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JPG" ContentType="image/.jpg"/>
  <Default Extension="wmf" ContentType="image/x-wmf"/>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2B067">
      <w:pPr>
        <w:adjustRightInd w:val="0"/>
        <w:snapToGrid w:val="0"/>
        <w:spacing w:line="360" w:lineRule="auto"/>
        <w:outlineLvl w:val="0"/>
        <w:rPr>
          <w:rFonts w:hint="eastAsia"/>
          <w:b/>
          <w:bCs/>
          <w:color w:val="auto"/>
          <w:sz w:val="72"/>
          <w:szCs w:val="72"/>
        </w:rPr>
      </w:pPr>
    </w:p>
    <w:p w14:paraId="3FBEB137">
      <w:pPr>
        <w:spacing w:line="360" w:lineRule="auto"/>
        <w:jc w:val="center"/>
        <w:rPr>
          <w:rFonts w:hint="eastAsia" w:ascii="Times New Roman" w:hAnsi="Times New Roman" w:eastAsia="宋体" w:cs="Times New Roman"/>
          <w:b/>
          <w:bCs/>
          <w:color w:val="auto"/>
          <w:sz w:val="52"/>
          <w:szCs w:val="52"/>
          <w:lang w:val="en-US" w:eastAsia="zh-CN"/>
        </w:rPr>
      </w:pPr>
      <w:bookmarkStart w:id="0" w:name="_Toc67486123"/>
      <w:bookmarkStart w:id="1" w:name="_Toc67486494"/>
      <w:r>
        <w:rPr>
          <w:rFonts w:hint="eastAsia" w:ascii="Times New Roman" w:hAnsi="Times New Roman" w:eastAsia="宋体" w:cs="Times New Roman"/>
          <w:b/>
          <w:bCs/>
          <w:color w:val="auto"/>
          <w:sz w:val="52"/>
          <w:szCs w:val="52"/>
          <w:lang w:val="en-US" w:eastAsia="zh-CN"/>
        </w:rPr>
        <w:t>建设项目生态环境影响报告表</w:t>
      </w:r>
      <w:bookmarkEnd w:id="0"/>
      <w:bookmarkEnd w:id="1"/>
    </w:p>
    <w:p w14:paraId="646F12F6">
      <w:pPr>
        <w:spacing w:line="360" w:lineRule="auto"/>
        <w:jc w:val="center"/>
        <w:rPr>
          <w:b/>
          <w:bCs/>
          <w:color w:val="auto"/>
          <w:sz w:val="36"/>
          <w:szCs w:val="36"/>
        </w:rPr>
      </w:pPr>
      <w:r>
        <w:rPr>
          <w:b/>
          <w:bCs/>
          <w:color w:val="auto"/>
          <w:sz w:val="36"/>
          <w:szCs w:val="36"/>
        </w:rPr>
        <w:t>（生态影响类）</w:t>
      </w:r>
    </w:p>
    <w:p w14:paraId="765B6270">
      <w:pPr>
        <w:pStyle w:val="14"/>
        <w:jc w:val="center"/>
        <w:rPr>
          <w:rFonts w:hint="eastAsia" w:ascii="宋体" w:hAnsi="宋体" w:eastAsia="宋体" w:cs="宋体"/>
          <w:color w:val="auto"/>
        </w:rPr>
      </w:pPr>
      <w:r>
        <w:rPr>
          <w:rFonts w:hint="eastAsia" w:ascii="宋体" w:hAnsi="宋体" w:eastAsia="宋体" w:cs="宋体"/>
          <w:color w:val="auto"/>
        </w:rPr>
        <w:t>（</w:t>
      </w:r>
      <w:r>
        <w:rPr>
          <w:rFonts w:hint="eastAsia" w:ascii="宋体" w:hAnsi="宋体" w:eastAsia="宋体" w:cs="宋体"/>
          <w:color w:val="auto"/>
          <w:lang w:val="en-US" w:eastAsia="zh-CN"/>
        </w:rPr>
        <w:t>报批</w:t>
      </w:r>
      <w:r>
        <w:rPr>
          <w:rFonts w:hint="eastAsia" w:ascii="宋体" w:hAnsi="宋体" w:eastAsia="宋体" w:cs="宋体"/>
          <w:color w:val="auto"/>
        </w:rPr>
        <w:t>稿）</w:t>
      </w:r>
    </w:p>
    <w:p w14:paraId="7320A985">
      <w:pPr>
        <w:pStyle w:val="14"/>
        <w:rPr>
          <w:color w:val="auto"/>
        </w:rPr>
      </w:pPr>
    </w:p>
    <w:p w14:paraId="4688B408">
      <w:pPr>
        <w:ind w:firstLine="1040"/>
        <w:jc w:val="center"/>
        <w:rPr>
          <w:color w:val="auto"/>
          <w:sz w:val="52"/>
          <w:szCs w:val="52"/>
        </w:rPr>
      </w:pPr>
    </w:p>
    <w:p w14:paraId="243025AD">
      <w:pPr>
        <w:pStyle w:val="2"/>
        <w:rPr>
          <w:color w:val="auto"/>
        </w:rPr>
      </w:pPr>
    </w:p>
    <w:p w14:paraId="05735513">
      <w:pPr>
        <w:rPr>
          <w:color w:val="auto"/>
        </w:rPr>
      </w:pPr>
    </w:p>
    <w:p w14:paraId="20F6CDDF">
      <w:pPr>
        <w:ind w:firstLine="880"/>
        <w:rPr>
          <w:color w:val="auto"/>
          <w:sz w:val="44"/>
          <w:szCs w:val="44"/>
        </w:rPr>
      </w:pPr>
    </w:p>
    <w:p w14:paraId="5D7AF146">
      <w:pPr>
        <w:ind w:firstLine="880"/>
        <w:rPr>
          <w:color w:val="auto"/>
          <w:sz w:val="44"/>
          <w:szCs w:val="44"/>
        </w:rPr>
      </w:pPr>
    </w:p>
    <w:p w14:paraId="465DB157">
      <w:pPr>
        <w:pStyle w:val="2"/>
        <w:rPr>
          <w:color w:val="auto"/>
        </w:rPr>
      </w:pPr>
    </w:p>
    <w:p w14:paraId="0860D8D1">
      <w:pPr>
        <w:spacing w:line="480" w:lineRule="auto"/>
        <w:ind w:left="1400" w:hanging="1400" w:hangingChars="500"/>
        <w:rPr>
          <w:color w:val="auto"/>
          <w:sz w:val="28"/>
          <w:szCs w:val="28"/>
          <w:u w:val="single"/>
        </w:rPr>
      </w:pPr>
      <w:r>
        <w:rPr>
          <w:color w:val="auto"/>
          <w:sz w:val="28"/>
          <w:szCs w:val="28"/>
        </w:rPr>
        <w:t>项目名称：</w:t>
      </w:r>
      <w:r>
        <w:rPr>
          <w:rFonts w:hint="eastAsia"/>
          <w:color w:val="auto"/>
          <w:sz w:val="28"/>
          <w:szCs w:val="28"/>
          <w:u w:val="single"/>
          <w:lang w:val="en-US" w:eastAsia="zh-CN"/>
        </w:rPr>
        <w:t xml:space="preserve">          </w:t>
      </w:r>
      <w:r>
        <w:rPr>
          <w:rFonts w:hint="eastAsia"/>
          <w:color w:val="auto"/>
          <w:sz w:val="28"/>
          <w:szCs w:val="28"/>
          <w:u w:val="single"/>
          <w:lang w:eastAsia="zh-CN"/>
        </w:rPr>
        <w:t>大草房至六合一110kV送出线路工程</w:t>
      </w:r>
      <w:r>
        <w:rPr>
          <w:rFonts w:hint="eastAsia"/>
          <w:color w:val="auto"/>
          <w:sz w:val="28"/>
          <w:szCs w:val="28"/>
          <w:u w:val="single"/>
        </w:rPr>
        <w:t xml:space="preserve">          </w:t>
      </w:r>
    </w:p>
    <w:p w14:paraId="4F558B2C">
      <w:pPr>
        <w:spacing w:line="480" w:lineRule="auto"/>
        <w:rPr>
          <w:color w:val="auto"/>
          <w:sz w:val="28"/>
          <w:szCs w:val="28"/>
          <w:u w:val="single"/>
        </w:rPr>
      </w:pPr>
      <w:r>
        <w:rPr>
          <w:color w:val="auto"/>
          <w:sz w:val="28"/>
          <w:szCs w:val="28"/>
        </w:rPr>
        <w:t>建设单位（盖章）：</w:t>
      </w:r>
      <w:r>
        <w:rPr>
          <w:color w:val="auto"/>
          <w:sz w:val="28"/>
          <w:szCs w:val="28"/>
          <w:u w:val="single"/>
        </w:rPr>
        <w:t xml:space="preserve">   </w:t>
      </w:r>
      <w:r>
        <w:rPr>
          <w:rFonts w:hint="eastAsia"/>
          <w:color w:val="auto"/>
          <w:sz w:val="28"/>
          <w:szCs w:val="28"/>
          <w:u w:val="single"/>
          <w:lang w:eastAsia="zh-CN"/>
        </w:rPr>
        <w:t>云南华电道成清洁能源有限公司</w:t>
      </w:r>
      <w:r>
        <w:rPr>
          <w:rFonts w:hint="eastAsia"/>
          <w:color w:val="auto"/>
          <w:sz w:val="28"/>
          <w:szCs w:val="28"/>
          <w:u w:val="single"/>
        </w:rPr>
        <w:t xml:space="preserve"> </w:t>
      </w:r>
      <w:r>
        <w:rPr>
          <w:rFonts w:hint="eastAsia"/>
          <w:color w:val="auto"/>
          <w:sz w:val="28"/>
          <w:szCs w:val="28"/>
          <w:u w:val="single"/>
          <w:lang w:val="en-US" w:eastAsia="zh-CN"/>
        </w:rPr>
        <w:t xml:space="preserve">    </w:t>
      </w:r>
      <w:r>
        <w:rPr>
          <w:rFonts w:hint="eastAsia"/>
          <w:color w:val="auto"/>
          <w:sz w:val="28"/>
          <w:szCs w:val="28"/>
          <w:u w:val="single"/>
        </w:rPr>
        <w:t xml:space="preserve">         </w:t>
      </w:r>
    </w:p>
    <w:p w14:paraId="03A86C15">
      <w:pPr>
        <w:spacing w:line="480" w:lineRule="auto"/>
        <w:rPr>
          <w:color w:val="auto"/>
          <w:sz w:val="28"/>
          <w:szCs w:val="28"/>
          <w:u w:val="single"/>
        </w:rPr>
      </w:pPr>
      <w:r>
        <w:rPr>
          <w:color w:val="auto"/>
          <w:sz w:val="28"/>
          <w:szCs w:val="28"/>
        </w:rPr>
        <w:t>编制日期：</w:t>
      </w:r>
      <w:r>
        <w:rPr>
          <w:color w:val="auto"/>
          <w:sz w:val="28"/>
          <w:szCs w:val="28"/>
          <w:u w:val="single"/>
        </w:rPr>
        <w:t xml:space="preserve">           </w:t>
      </w:r>
      <w:r>
        <w:rPr>
          <w:rFonts w:hint="eastAsia"/>
          <w:color w:val="auto"/>
          <w:sz w:val="28"/>
          <w:szCs w:val="28"/>
          <w:u w:val="single"/>
          <w:lang w:val="en-US" w:eastAsia="zh-CN"/>
        </w:rPr>
        <w:t xml:space="preserve">   </w:t>
      </w:r>
      <w:r>
        <w:rPr>
          <w:color w:val="auto"/>
          <w:sz w:val="28"/>
          <w:szCs w:val="28"/>
          <w:u w:val="single"/>
        </w:rPr>
        <w:t xml:space="preserve">      202</w:t>
      </w:r>
      <w:r>
        <w:rPr>
          <w:rFonts w:hint="eastAsia"/>
          <w:color w:val="auto"/>
          <w:sz w:val="28"/>
          <w:szCs w:val="28"/>
          <w:u w:val="single"/>
          <w:lang w:val="en-US" w:eastAsia="zh-CN"/>
        </w:rPr>
        <w:t>6</w:t>
      </w:r>
      <w:r>
        <w:rPr>
          <w:color w:val="auto"/>
          <w:sz w:val="28"/>
          <w:szCs w:val="28"/>
          <w:u w:val="single"/>
        </w:rPr>
        <w:t>年</w:t>
      </w:r>
      <w:r>
        <w:rPr>
          <w:rFonts w:hint="eastAsia"/>
          <w:color w:val="auto"/>
          <w:sz w:val="28"/>
          <w:szCs w:val="28"/>
          <w:u w:val="single"/>
          <w:lang w:val="en-US" w:eastAsia="zh-CN"/>
        </w:rPr>
        <w:t>10</w:t>
      </w:r>
      <w:r>
        <w:rPr>
          <w:color w:val="auto"/>
          <w:sz w:val="28"/>
          <w:szCs w:val="28"/>
          <w:u w:val="single"/>
        </w:rPr>
        <w:t xml:space="preserve">月           </w:t>
      </w:r>
      <w:r>
        <w:rPr>
          <w:rFonts w:hint="eastAsia"/>
          <w:color w:val="auto"/>
          <w:sz w:val="28"/>
          <w:szCs w:val="28"/>
          <w:u w:val="single"/>
        </w:rPr>
        <w:t xml:space="preserve">     </w:t>
      </w:r>
      <w:r>
        <w:rPr>
          <w:color w:val="auto"/>
          <w:sz w:val="28"/>
          <w:szCs w:val="28"/>
          <w:u w:val="single"/>
        </w:rPr>
        <w:t xml:space="preserve">      </w:t>
      </w:r>
    </w:p>
    <w:p w14:paraId="152AA42C">
      <w:pPr>
        <w:spacing w:line="288" w:lineRule="auto"/>
        <w:ind w:firstLine="720"/>
        <w:rPr>
          <w:color w:val="auto"/>
          <w:sz w:val="36"/>
          <w:szCs w:val="36"/>
        </w:rPr>
      </w:pPr>
      <w:bookmarkStart w:id="2" w:name="_Hlk57884087"/>
    </w:p>
    <w:p w14:paraId="76D17A63">
      <w:pPr>
        <w:spacing w:line="288" w:lineRule="auto"/>
        <w:ind w:firstLine="720"/>
        <w:rPr>
          <w:color w:val="auto"/>
          <w:sz w:val="36"/>
          <w:szCs w:val="36"/>
        </w:rPr>
      </w:pPr>
    </w:p>
    <w:p w14:paraId="68EC8E39">
      <w:pPr>
        <w:pStyle w:val="14"/>
        <w:rPr>
          <w:color w:val="auto"/>
        </w:rPr>
      </w:pPr>
    </w:p>
    <w:p w14:paraId="1E70DBF6">
      <w:pPr>
        <w:spacing w:line="288" w:lineRule="auto"/>
        <w:rPr>
          <w:color w:val="auto"/>
          <w:sz w:val="36"/>
          <w:szCs w:val="36"/>
        </w:rPr>
      </w:pPr>
    </w:p>
    <w:bookmarkEnd w:id="2"/>
    <w:p w14:paraId="0FDA8712">
      <w:pPr>
        <w:jc w:val="center"/>
        <w:rPr>
          <w:b/>
          <w:bCs/>
          <w:color w:val="auto"/>
          <w:sz w:val="36"/>
          <w:szCs w:val="36"/>
        </w:rPr>
      </w:pPr>
      <w:r>
        <w:rPr>
          <w:b/>
          <w:bCs/>
          <w:color w:val="auto"/>
          <w:sz w:val="36"/>
          <w:szCs w:val="36"/>
        </w:rPr>
        <w:t>中华人民共和国生态环境部制</w:t>
      </w:r>
    </w:p>
    <w:p w14:paraId="53B4E5ED">
      <w:pPr>
        <w:spacing w:line="288" w:lineRule="auto"/>
        <w:ind w:firstLine="720"/>
        <w:jc w:val="center"/>
        <w:rPr>
          <w:b/>
          <w:color w:val="auto"/>
          <w:sz w:val="32"/>
          <w:szCs w:val="32"/>
        </w:rPr>
        <w:sectPr>
          <w:headerReference r:id="rId5" w:type="default"/>
          <w:footerReference r:id="rId6" w:type="default"/>
          <w:footerReference r:id="rId7" w:type="even"/>
          <w:pgSz w:w="11906" w:h="16838"/>
          <w:pgMar w:top="1440" w:right="1570" w:bottom="1440" w:left="1570" w:header="794" w:footer="1077" w:gutter="0"/>
          <w:pgBorders>
            <w:top w:val="none" w:sz="0" w:space="0"/>
            <w:left w:val="none" w:sz="0" w:space="0"/>
            <w:bottom w:val="none" w:sz="0" w:space="0"/>
            <w:right w:val="none" w:sz="0" w:space="0"/>
          </w:pgBorders>
          <w:pgNumType w:start="3"/>
          <w:cols w:space="720" w:num="1"/>
          <w:docGrid w:linePitch="312" w:charSpace="0"/>
        </w:sectPr>
      </w:pPr>
    </w:p>
    <w:p w14:paraId="3A70CD38">
      <w:pPr>
        <w:adjustRightInd w:val="0"/>
        <w:snapToGrid w:val="0"/>
        <w:spacing w:line="288" w:lineRule="auto"/>
        <w:jc w:val="center"/>
        <w:rPr>
          <w:color w:val="auto"/>
          <w:sz w:val="36"/>
          <w:szCs w:val="36"/>
        </w:rPr>
      </w:pPr>
      <w:r>
        <w:rPr>
          <w:b/>
          <w:color w:val="auto"/>
          <w:sz w:val="32"/>
          <w:szCs w:val="32"/>
        </w:rPr>
        <w:t>目  录</w:t>
      </w:r>
      <w:r>
        <w:rPr>
          <w:b/>
          <w:color w:val="auto"/>
          <w:sz w:val="32"/>
          <w:szCs w:val="32"/>
        </w:rPr>
        <w:fldChar w:fldCharType="begin"/>
      </w:r>
      <w:r>
        <w:rPr>
          <w:b/>
          <w:color w:val="auto"/>
          <w:sz w:val="32"/>
          <w:szCs w:val="32"/>
        </w:rPr>
        <w:instrText xml:space="preserve"> TOC \o "1-1" \h \z \u </w:instrText>
      </w:r>
      <w:r>
        <w:rPr>
          <w:b/>
          <w:color w:val="auto"/>
          <w:sz w:val="32"/>
          <w:szCs w:val="32"/>
        </w:rPr>
        <w:fldChar w:fldCharType="separate"/>
      </w:r>
    </w:p>
    <w:p w14:paraId="57945B20">
      <w:pPr>
        <w:pStyle w:val="20"/>
        <w:tabs>
          <w:tab w:val="right" w:leader="dot" w:pos="8312"/>
          <w:tab w:val="clear" w:pos="8302"/>
        </w:tabs>
        <w:adjustRightInd w:val="0"/>
        <w:snapToGrid w:val="0"/>
        <w:spacing w:line="440" w:lineRule="exact"/>
        <w:rPr>
          <w:color w:val="auto"/>
        </w:rPr>
      </w:pPr>
      <w:r>
        <w:rPr>
          <w:color w:val="auto"/>
          <w:szCs w:val="36"/>
        </w:rPr>
        <w:fldChar w:fldCharType="begin"/>
      </w:r>
      <w:r>
        <w:rPr>
          <w:color w:val="auto"/>
          <w:szCs w:val="36"/>
        </w:rPr>
        <w:instrText xml:space="preserve"> HYPERLINK \l _Toc24591 </w:instrText>
      </w:r>
      <w:r>
        <w:rPr>
          <w:color w:val="auto"/>
          <w:szCs w:val="36"/>
        </w:rPr>
        <w:fldChar w:fldCharType="separate"/>
      </w:r>
      <w:r>
        <w:rPr>
          <w:color w:val="auto"/>
          <w:szCs w:val="30"/>
        </w:rPr>
        <w:t>一、建设项目基本情况</w:t>
      </w:r>
      <w:r>
        <w:rPr>
          <w:color w:val="auto"/>
        </w:rPr>
        <w:tab/>
      </w:r>
      <w:r>
        <w:rPr>
          <w:color w:val="auto"/>
        </w:rPr>
        <w:fldChar w:fldCharType="begin"/>
      </w:r>
      <w:r>
        <w:rPr>
          <w:color w:val="auto"/>
        </w:rPr>
        <w:instrText xml:space="preserve"> PAGEREF _Toc24591 \h </w:instrText>
      </w:r>
      <w:r>
        <w:rPr>
          <w:color w:val="auto"/>
        </w:rPr>
        <w:fldChar w:fldCharType="separate"/>
      </w:r>
      <w:r>
        <w:rPr>
          <w:color w:val="auto"/>
        </w:rPr>
        <w:t>4</w:t>
      </w:r>
      <w:r>
        <w:rPr>
          <w:color w:val="auto"/>
        </w:rPr>
        <w:fldChar w:fldCharType="end"/>
      </w:r>
      <w:r>
        <w:rPr>
          <w:color w:val="auto"/>
          <w:szCs w:val="36"/>
        </w:rPr>
        <w:fldChar w:fldCharType="end"/>
      </w:r>
    </w:p>
    <w:p w14:paraId="778AA8EF">
      <w:pPr>
        <w:pStyle w:val="20"/>
        <w:tabs>
          <w:tab w:val="right" w:leader="dot" w:pos="8312"/>
          <w:tab w:val="clear" w:pos="8302"/>
        </w:tabs>
        <w:adjustRightInd w:val="0"/>
        <w:snapToGrid w:val="0"/>
        <w:spacing w:line="440" w:lineRule="exact"/>
        <w:rPr>
          <w:color w:val="auto"/>
        </w:rPr>
      </w:pPr>
      <w:r>
        <w:rPr>
          <w:color w:val="auto"/>
          <w:szCs w:val="36"/>
        </w:rPr>
        <w:fldChar w:fldCharType="begin"/>
      </w:r>
      <w:r>
        <w:rPr>
          <w:color w:val="auto"/>
          <w:szCs w:val="36"/>
        </w:rPr>
        <w:instrText xml:space="preserve"> HYPERLINK \l _Toc3772 </w:instrText>
      </w:r>
      <w:r>
        <w:rPr>
          <w:color w:val="auto"/>
          <w:szCs w:val="36"/>
        </w:rPr>
        <w:fldChar w:fldCharType="separate"/>
      </w:r>
      <w:r>
        <w:rPr>
          <w:color w:val="auto"/>
          <w:szCs w:val="30"/>
        </w:rPr>
        <w:t>二、</w:t>
      </w:r>
      <w:r>
        <w:rPr>
          <w:color w:val="auto"/>
          <w:szCs w:val="30"/>
          <w:lang w:eastAsia="zh-CN"/>
        </w:rPr>
        <w:t>建设</w:t>
      </w:r>
      <w:r>
        <w:rPr>
          <w:color w:val="auto"/>
          <w:szCs w:val="30"/>
        </w:rPr>
        <w:t>内容</w:t>
      </w:r>
      <w:r>
        <w:rPr>
          <w:color w:val="auto"/>
        </w:rPr>
        <w:tab/>
      </w:r>
      <w:r>
        <w:rPr>
          <w:color w:val="auto"/>
        </w:rPr>
        <w:fldChar w:fldCharType="begin"/>
      </w:r>
      <w:r>
        <w:rPr>
          <w:color w:val="auto"/>
        </w:rPr>
        <w:instrText xml:space="preserve"> PAGEREF _Toc3772 \h </w:instrText>
      </w:r>
      <w:r>
        <w:rPr>
          <w:color w:val="auto"/>
        </w:rPr>
        <w:fldChar w:fldCharType="separate"/>
      </w:r>
      <w:r>
        <w:rPr>
          <w:color w:val="auto"/>
        </w:rPr>
        <w:t>53</w:t>
      </w:r>
      <w:r>
        <w:rPr>
          <w:color w:val="auto"/>
        </w:rPr>
        <w:fldChar w:fldCharType="end"/>
      </w:r>
      <w:r>
        <w:rPr>
          <w:color w:val="auto"/>
          <w:szCs w:val="36"/>
        </w:rPr>
        <w:fldChar w:fldCharType="end"/>
      </w:r>
    </w:p>
    <w:p w14:paraId="5AAEF071">
      <w:pPr>
        <w:pStyle w:val="20"/>
        <w:tabs>
          <w:tab w:val="right" w:leader="dot" w:pos="8312"/>
          <w:tab w:val="clear" w:pos="8302"/>
        </w:tabs>
        <w:adjustRightInd w:val="0"/>
        <w:snapToGrid w:val="0"/>
        <w:spacing w:line="440" w:lineRule="exact"/>
        <w:rPr>
          <w:color w:val="auto"/>
        </w:rPr>
      </w:pPr>
      <w:r>
        <w:rPr>
          <w:color w:val="auto"/>
          <w:szCs w:val="36"/>
        </w:rPr>
        <w:fldChar w:fldCharType="begin"/>
      </w:r>
      <w:r>
        <w:rPr>
          <w:color w:val="auto"/>
          <w:szCs w:val="36"/>
        </w:rPr>
        <w:instrText xml:space="preserve"> HYPERLINK \l _Toc17544 </w:instrText>
      </w:r>
      <w:r>
        <w:rPr>
          <w:color w:val="auto"/>
          <w:szCs w:val="36"/>
        </w:rPr>
        <w:fldChar w:fldCharType="separate"/>
      </w:r>
      <w:r>
        <w:rPr>
          <w:color w:val="auto"/>
          <w:szCs w:val="30"/>
        </w:rPr>
        <w:t>三、</w:t>
      </w:r>
      <w:r>
        <w:rPr>
          <w:color w:val="auto"/>
          <w:szCs w:val="30"/>
          <w:lang w:eastAsia="zh-CN"/>
        </w:rPr>
        <w:t>生态</w:t>
      </w:r>
      <w:r>
        <w:rPr>
          <w:color w:val="auto"/>
          <w:szCs w:val="30"/>
        </w:rPr>
        <w:t>环境现状、保护目标及评价标准</w:t>
      </w:r>
      <w:r>
        <w:rPr>
          <w:color w:val="auto"/>
        </w:rPr>
        <w:tab/>
      </w:r>
      <w:r>
        <w:rPr>
          <w:color w:val="auto"/>
        </w:rPr>
        <w:fldChar w:fldCharType="begin"/>
      </w:r>
      <w:r>
        <w:rPr>
          <w:color w:val="auto"/>
        </w:rPr>
        <w:instrText xml:space="preserve"> PAGEREF _Toc17544 \h </w:instrText>
      </w:r>
      <w:r>
        <w:rPr>
          <w:color w:val="auto"/>
        </w:rPr>
        <w:fldChar w:fldCharType="separate"/>
      </w:r>
      <w:r>
        <w:rPr>
          <w:color w:val="auto"/>
        </w:rPr>
        <w:t>79</w:t>
      </w:r>
      <w:r>
        <w:rPr>
          <w:color w:val="auto"/>
        </w:rPr>
        <w:fldChar w:fldCharType="end"/>
      </w:r>
      <w:r>
        <w:rPr>
          <w:color w:val="auto"/>
          <w:szCs w:val="36"/>
        </w:rPr>
        <w:fldChar w:fldCharType="end"/>
      </w:r>
    </w:p>
    <w:p w14:paraId="3F3B4CB0">
      <w:pPr>
        <w:pStyle w:val="20"/>
        <w:tabs>
          <w:tab w:val="right" w:leader="dot" w:pos="8312"/>
          <w:tab w:val="clear" w:pos="8302"/>
        </w:tabs>
        <w:adjustRightInd w:val="0"/>
        <w:snapToGrid w:val="0"/>
        <w:spacing w:line="440" w:lineRule="exact"/>
        <w:rPr>
          <w:color w:val="auto"/>
        </w:rPr>
      </w:pPr>
      <w:r>
        <w:rPr>
          <w:color w:val="auto"/>
          <w:szCs w:val="36"/>
        </w:rPr>
        <w:fldChar w:fldCharType="begin"/>
      </w:r>
      <w:r>
        <w:rPr>
          <w:color w:val="auto"/>
          <w:szCs w:val="36"/>
        </w:rPr>
        <w:instrText xml:space="preserve"> HYPERLINK \l _Toc22241 </w:instrText>
      </w:r>
      <w:r>
        <w:rPr>
          <w:color w:val="auto"/>
          <w:szCs w:val="36"/>
        </w:rPr>
        <w:fldChar w:fldCharType="separate"/>
      </w:r>
      <w:r>
        <w:rPr>
          <w:color w:val="auto"/>
          <w:szCs w:val="30"/>
        </w:rPr>
        <w:t>四、</w:t>
      </w:r>
      <w:r>
        <w:rPr>
          <w:color w:val="auto"/>
          <w:szCs w:val="30"/>
          <w:lang w:eastAsia="zh-CN"/>
        </w:rPr>
        <w:t>生态</w:t>
      </w:r>
      <w:r>
        <w:rPr>
          <w:color w:val="auto"/>
          <w:szCs w:val="30"/>
        </w:rPr>
        <w:t>环境影响分析</w:t>
      </w:r>
      <w:r>
        <w:rPr>
          <w:color w:val="auto"/>
        </w:rPr>
        <w:tab/>
      </w:r>
      <w:r>
        <w:rPr>
          <w:color w:val="auto"/>
        </w:rPr>
        <w:fldChar w:fldCharType="begin"/>
      </w:r>
      <w:r>
        <w:rPr>
          <w:color w:val="auto"/>
        </w:rPr>
        <w:instrText xml:space="preserve"> PAGEREF _Toc22241 \h </w:instrText>
      </w:r>
      <w:r>
        <w:rPr>
          <w:color w:val="auto"/>
        </w:rPr>
        <w:fldChar w:fldCharType="separate"/>
      </w:r>
      <w:r>
        <w:rPr>
          <w:color w:val="auto"/>
        </w:rPr>
        <w:t>103</w:t>
      </w:r>
      <w:r>
        <w:rPr>
          <w:color w:val="auto"/>
        </w:rPr>
        <w:fldChar w:fldCharType="end"/>
      </w:r>
      <w:r>
        <w:rPr>
          <w:color w:val="auto"/>
          <w:szCs w:val="36"/>
        </w:rPr>
        <w:fldChar w:fldCharType="end"/>
      </w:r>
    </w:p>
    <w:p w14:paraId="7E5D5787">
      <w:pPr>
        <w:pStyle w:val="20"/>
        <w:tabs>
          <w:tab w:val="right" w:leader="dot" w:pos="8312"/>
          <w:tab w:val="clear" w:pos="8302"/>
        </w:tabs>
        <w:adjustRightInd w:val="0"/>
        <w:snapToGrid w:val="0"/>
        <w:spacing w:line="440" w:lineRule="exact"/>
        <w:rPr>
          <w:color w:val="auto"/>
        </w:rPr>
      </w:pPr>
      <w:r>
        <w:rPr>
          <w:color w:val="auto"/>
          <w:szCs w:val="36"/>
        </w:rPr>
        <w:fldChar w:fldCharType="begin"/>
      </w:r>
      <w:r>
        <w:rPr>
          <w:color w:val="auto"/>
          <w:szCs w:val="36"/>
        </w:rPr>
        <w:instrText xml:space="preserve"> HYPERLINK \l _Toc5001 </w:instrText>
      </w:r>
      <w:r>
        <w:rPr>
          <w:color w:val="auto"/>
          <w:szCs w:val="36"/>
        </w:rPr>
        <w:fldChar w:fldCharType="separate"/>
      </w:r>
      <w:r>
        <w:rPr>
          <w:color w:val="auto"/>
          <w:szCs w:val="30"/>
        </w:rPr>
        <w:t>五、主要生态环境保护措施</w:t>
      </w:r>
      <w:r>
        <w:rPr>
          <w:color w:val="auto"/>
        </w:rPr>
        <w:tab/>
      </w:r>
      <w:r>
        <w:rPr>
          <w:color w:val="auto"/>
        </w:rPr>
        <w:fldChar w:fldCharType="begin"/>
      </w:r>
      <w:r>
        <w:rPr>
          <w:color w:val="auto"/>
        </w:rPr>
        <w:instrText xml:space="preserve"> PAGEREF _Toc5001 \h </w:instrText>
      </w:r>
      <w:r>
        <w:rPr>
          <w:color w:val="auto"/>
        </w:rPr>
        <w:fldChar w:fldCharType="separate"/>
      </w:r>
      <w:r>
        <w:rPr>
          <w:color w:val="auto"/>
        </w:rPr>
        <w:t>123</w:t>
      </w:r>
      <w:r>
        <w:rPr>
          <w:color w:val="auto"/>
        </w:rPr>
        <w:fldChar w:fldCharType="end"/>
      </w:r>
      <w:r>
        <w:rPr>
          <w:color w:val="auto"/>
          <w:szCs w:val="36"/>
        </w:rPr>
        <w:fldChar w:fldCharType="end"/>
      </w:r>
    </w:p>
    <w:p w14:paraId="726C55AF">
      <w:pPr>
        <w:pStyle w:val="20"/>
        <w:tabs>
          <w:tab w:val="right" w:leader="dot" w:pos="8312"/>
          <w:tab w:val="clear" w:pos="8302"/>
        </w:tabs>
        <w:adjustRightInd w:val="0"/>
        <w:snapToGrid w:val="0"/>
        <w:spacing w:line="440" w:lineRule="exact"/>
        <w:rPr>
          <w:color w:val="auto"/>
        </w:rPr>
      </w:pPr>
      <w:r>
        <w:rPr>
          <w:color w:val="auto"/>
          <w:szCs w:val="36"/>
        </w:rPr>
        <w:fldChar w:fldCharType="begin"/>
      </w:r>
      <w:r>
        <w:rPr>
          <w:color w:val="auto"/>
          <w:szCs w:val="36"/>
        </w:rPr>
        <w:instrText xml:space="preserve"> HYPERLINK \l _Toc1286 </w:instrText>
      </w:r>
      <w:r>
        <w:rPr>
          <w:color w:val="auto"/>
          <w:szCs w:val="36"/>
        </w:rPr>
        <w:fldChar w:fldCharType="separate"/>
      </w:r>
      <w:r>
        <w:rPr>
          <w:color w:val="auto"/>
          <w:szCs w:val="30"/>
          <w:lang w:eastAsia="zh-CN"/>
        </w:rPr>
        <w:t>六</w:t>
      </w:r>
      <w:r>
        <w:rPr>
          <w:color w:val="auto"/>
          <w:szCs w:val="30"/>
        </w:rPr>
        <w:t>、生态环境保护措施监督检查清单</w:t>
      </w:r>
      <w:r>
        <w:rPr>
          <w:color w:val="auto"/>
        </w:rPr>
        <w:tab/>
      </w:r>
      <w:r>
        <w:rPr>
          <w:color w:val="auto"/>
        </w:rPr>
        <w:fldChar w:fldCharType="begin"/>
      </w:r>
      <w:r>
        <w:rPr>
          <w:color w:val="auto"/>
        </w:rPr>
        <w:instrText xml:space="preserve"> PAGEREF _Toc1286 \h </w:instrText>
      </w:r>
      <w:r>
        <w:rPr>
          <w:color w:val="auto"/>
        </w:rPr>
        <w:fldChar w:fldCharType="separate"/>
      </w:r>
      <w:r>
        <w:rPr>
          <w:color w:val="auto"/>
        </w:rPr>
        <w:t>137</w:t>
      </w:r>
      <w:r>
        <w:rPr>
          <w:color w:val="auto"/>
        </w:rPr>
        <w:fldChar w:fldCharType="end"/>
      </w:r>
      <w:r>
        <w:rPr>
          <w:color w:val="auto"/>
          <w:szCs w:val="36"/>
        </w:rPr>
        <w:fldChar w:fldCharType="end"/>
      </w:r>
    </w:p>
    <w:p w14:paraId="2040A1D2">
      <w:pPr>
        <w:pStyle w:val="20"/>
        <w:tabs>
          <w:tab w:val="right" w:leader="dot" w:pos="8312"/>
          <w:tab w:val="clear" w:pos="8302"/>
        </w:tabs>
        <w:adjustRightInd w:val="0"/>
        <w:snapToGrid w:val="0"/>
        <w:spacing w:line="440" w:lineRule="exact"/>
        <w:rPr>
          <w:color w:val="auto"/>
        </w:rPr>
      </w:pPr>
      <w:r>
        <w:rPr>
          <w:color w:val="auto"/>
          <w:szCs w:val="36"/>
        </w:rPr>
        <w:fldChar w:fldCharType="begin"/>
      </w:r>
      <w:r>
        <w:rPr>
          <w:color w:val="auto"/>
          <w:szCs w:val="36"/>
        </w:rPr>
        <w:instrText xml:space="preserve"> HYPERLINK \l _Toc32734 </w:instrText>
      </w:r>
      <w:r>
        <w:rPr>
          <w:color w:val="auto"/>
          <w:szCs w:val="36"/>
        </w:rPr>
        <w:fldChar w:fldCharType="separate"/>
      </w:r>
      <w:r>
        <w:rPr>
          <w:color w:val="auto"/>
          <w:szCs w:val="30"/>
          <w:lang w:eastAsia="zh-CN"/>
        </w:rPr>
        <w:t>七</w:t>
      </w:r>
      <w:r>
        <w:rPr>
          <w:color w:val="auto"/>
          <w:szCs w:val="30"/>
        </w:rPr>
        <w:t>、结论</w:t>
      </w:r>
      <w:r>
        <w:rPr>
          <w:color w:val="auto"/>
        </w:rPr>
        <w:tab/>
      </w:r>
      <w:r>
        <w:rPr>
          <w:color w:val="auto"/>
        </w:rPr>
        <w:fldChar w:fldCharType="begin"/>
      </w:r>
      <w:r>
        <w:rPr>
          <w:color w:val="auto"/>
        </w:rPr>
        <w:instrText xml:space="preserve"> PAGEREF _Toc32734 \h </w:instrText>
      </w:r>
      <w:r>
        <w:rPr>
          <w:color w:val="auto"/>
        </w:rPr>
        <w:fldChar w:fldCharType="separate"/>
      </w:r>
      <w:r>
        <w:rPr>
          <w:color w:val="auto"/>
        </w:rPr>
        <w:t>146</w:t>
      </w:r>
      <w:r>
        <w:rPr>
          <w:color w:val="auto"/>
        </w:rPr>
        <w:fldChar w:fldCharType="end"/>
      </w:r>
      <w:r>
        <w:rPr>
          <w:color w:val="auto"/>
          <w:szCs w:val="36"/>
        </w:rPr>
        <w:fldChar w:fldCharType="end"/>
      </w:r>
    </w:p>
    <w:p w14:paraId="74AB0467">
      <w:pPr>
        <w:adjustRightInd w:val="0"/>
        <w:snapToGrid w:val="0"/>
        <w:spacing w:line="440" w:lineRule="exact"/>
        <w:rPr>
          <w:color w:val="auto"/>
          <w:sz w:val="36"/>
          <w:szCs w:val="36"/>
        </w:rPr>
      </w:pPr>
      <w:r>
        <w:rPr>
          <w:color w:val="auto"/>
          <w:sz w:val="36"/>
          <w:szCs w:val="36"/>
        </w:rPr>
        <w:fldChar w:fldCharType="end"/>
      </w:r>
    </w:p>
    <w:p w14:paraId="4C41D83E">
      <w:pPr>
        <w:adjustRightInd w:val="0"/>
        <w:snapToGrid w:val="0"/>
        <w:spacing w:line="440" w:lineRule="exact"/>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==专题==</w:t>
      </w:r>
    </w:p>
    <w:p w14:paraId="0444C4E8">
      <w:pPr>
        <w:adjustRightInd w:val="0"/>
        <w:snapToGrid w:val="0"/>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电磁环境影响专题评价</w:t>
      </w:r>
    </w:p>
    <w:p w14:paraId="15C9446C">
      <w:pPr>
        <w:adjustRightInd w:val="0"/>
        <w:snapToGrid w:val="0"/>
        <w:spacing w:line="440" w:lineRule="exact"/>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生态环境影响专题评价</w:t>
      </w:r>
    </w:p>
    <w:p w14:paraId="0DF88D6D">
      <w:pPr>
        <w:pStyle w:val="25"/>
        <w:widowControl w:val="0"/>
        <w:spacing w:before="0" w:beforeAutospacing="0" w:after="0" w:afterAutospacing="0" w:line="240" w:lineRule="auto"/>
        <w:jc w:val="center"/>
        <w:outlineLvl w:val="0"/>
        <w:rPr>
          <w:rFonts w:ascii="Times New Roman" w:hAnsi="Times New Roman"/>
          <w:b/>
          <w:snapToGrid w:val="0"/>
          <w:color w:val="auto"/>
          <w:sz w:val="30"/>
          <w:szCs w:val="30"/>
        </w:rPr>
      </w:pPr>
      <w:r>
        <w:rPr>
          <w:rFonts w:hint="eastAsia" w:ascii="Times New Roman" w:hAnsi="Times New Roman" w:cs="Times New Roman"/>
          <w:color w:val="auto"/>
          <w:kern w:val="0"/>
          <w:sz w:val="24"/>
          <w:lang w:val="en-US" w:eastAsia="zh-CN"/>
        </w:rPr>
        <w:br w:type="page"/>
      </w:r>
      <w:bookmarkStart w:id="3" w:name="_Toc24591"/>
      <w:bookmarkStart w:id="4" w:name="_Toc27171"/>
      <w:r>
        <w:rPr>
          <w:rFonts w:ascii="Times New Roman" w:hAnsi="Times New Roman"/>
          <w:b/>
          <w:snapToGrid w:val="0"/>
          <w:color w:val="auto"/>
          <w:sz w:val="30"/>
          <w:szCs w:val="30"/>
        </w:rPr>
        <w:t>一、建设项目基本情况</w:t>
      </w:r>
      <w:bookmarkEnd w:id="3"/>
      <w:bookmarkEnd w:id="4"/>
    </w:p>
    <w:tbl>
      <w:tblPr>
        <w:tblStyle w:val="30"/>
        <w:tblW w:w="49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81"/>
        <w:gridCol w:w="2006"/>
        <w:gridCol w:w="2153"/>
        <w:gridCol w:w="2910"/>
      </w:tblGrid>
      <w:tr w14:paraId="7FFD3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pct"/>
            <w:noWrap w:val="0"/>
            <w:tcMar>
              <w:top w:w="16" w:type="dxa"/>
              <w:left w:w="16" w:type="dxa"/>
              <w:right w:w="16" w:type="dxa"/>
            </w:tcMar>
            <w:vAlign w:val="center"/>
          </w:tcPr>
          <w:p w14:paraId="16138D04">
            <w:pPr>
              <w:adjustRightInd w:val="0"/>
              <w:snapToGrid w:val="0"/>
              <w:spacing w:line="240" w:lineRule="auto"/>
              <w:jc w:val="center"/>
              <w:rPr>
                <w:b/>
                <w:bCs/>
                <w:color w:val="auto"/>
                <w:sz w:val="24"/>
              </w:rPr>
            </w:pPr>
            <w:r>
              <w:rPr>
                <w:b/>
                <w:bCs/>
                <w:color w:val="auto"/>
                <w:sz w:val="24"/>
              </w:rPr>
              <w:t>建设项目名称</w:t>
            </w:r>
          </w:p>
        </w:tc>
        <w:tc>
          <w:tcPr>
            <w:tcW w:w="4183" w:type="pct"/>
            <w:gridSpan w:val="3"/>
            <w:noWrap w:val="0"/>
            <w:vAlign w:val="center"/>
          </w:tcPr>
          <w:p w14:paraId="0138C9FF">
            <w:pPr>
              <w:adjustRightInd w:val="0"/>
              <w:snapToGrid w:val="0"/>
              <w:spacing w:line="240" w:lineRule="auto"/>
              <w:jc w:val="center"/>
              <w:rPr>
                <w:rFonts w:hint="eastAsia" w:eastAsia="宋体"/>
                <w:color w:val="auto"/>
                <w:sz w:val="24"/>
                <w:lang w:eastAsia="zh-CN"/>
              </w:rPr>
            </w:pPr>
            <w:r>
              <w:rPr>
                <w:rFonts w:hint="eastAsia"/>
                <w:color w:val="auto"/>
                <w:sz w:val="24"/>
                <w:lang w:eastAsia="zh-CN"/>
              </w:rPr>
              <w:t>大草房至六合一110kV送出线路工程</w:t>
            </w:r>
          </w:p>
        </w:tc>
      </w:tr>
      <w:tr w14:paraId="62B29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6" w:type="pct"/>
            <w:noWrap w:val="0"/>
            <w:tcMar>
              <w:top w:w="16" w:type="dxa"/>
              <w:left w:w="16" w:type="dxa"/>
              <w:right w:w="16" w:type="dxa"/>
            </w:tcMar>
            <w:vAlign w:val="center"/>
          </w:tcPr>
          <w:p w14:paraId="79DE80A4">
            <w:pPr>
              <w:adjustRightInd w:val="0"/>
              <w:snapToGrid w:val="0"/>
              <w:spacing w:line="240" w:lineRule="auto"/>
              <w:jc w:val="center"/>
              <w:rPr>
                <w:b/>
                <w:bCs/>
                <w:color w:val="auto"/>
                <w:sz w:val="24"/>
              </w:rPr>
            </w:pPr>
            <w:r>
              <w:rPr>
                <w:b/>
                <w:bCs/>
                <w:color w:val="auto"/>
                <w:sz w:val="24"/>
              </w:rPr>
              <w:t>项目代码</w:t>
            </w:r>
          </w:p>
        </w:tc>
        <w:tc>
          <w:tcPr>
            <w:tcW w:w="4183" w:type="pct"/>
            <w:gridSpan w:val="3"/>
            <w:noWrap w:val="0"/>
            <w:vAlign w:val="center"/>
          </w:tcPr>
          <w:p w14:paraId="1DCDC2A1">
            <w:pPr>
              <w:adjustRightInd w:val="0"/>
              <w:snapToGrid w:val="0"/>
              <w:spacing w:line="240" w:lineRule="auto"/>
              <w:jc w:val="center"/>
              <w:rPr>
                <w:rFonts w:hint="default" w:eastAsia="宋体"/>
                <w:color w:val="auto"/>
                <w:sz w:val="24"/>
                <w:lang w:val="en-US" w:eastAsia="zh-CN"/>
              </w:rPr>
            </w:pPr>
            <w:r>
              <w:rPr>
                <w:rFonts w:hint="eastAsia"/>
                <w:color w:val="auto"/>
                <w:sz w:val="24"/>
                <w:lang w:val="en-US" w:eastAsia="zh-CN"/>
              </w:rPr>
              <w:t>2605-530300-04-01-320373</w:t>
            </w:r>
          </w:p>
        </w:tc>
      </w:tr>
      <w:tr w14:paraId="00A2D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6" w:type="pct"/>
            <w:noWrap w:val="0"/>
            <w:tcMar>
              <w:top w:w="16" w:type="dxa"/>
              <w:left w:w="16" w:type="dxa"/>
              <w:right w:w="16" w:type="dxa"/>
            </w:tcMar>
            <w:vAlign w:val="center"/>
          </w:tcPr>
          <w:p w14:paraId="4D21065E">
            <w:pPr>
              <w:adjustRightInd w:val="0"/>
              <w:snapToGrid w:val="0"/>
              <w:spacing w:line="240" w:lineRule="auto"/>
              <w:jc w:val="center"/>
              <w:rPr>
                <w:b/>
                <w:bCs/>
                <w:color w:val="auto"/>
                <w:sz w:val="24"/>
              </w:rPr>
            </w:pPr>
            <w:r>
              <w:rPr>
                <w:b/>
                <w:bCs/>
                <w:color w:val="auto"/>
                <w:sz w:val="24"/>
              </w:rPr>
              <w:t>建设单位联系人</w:t>
            </w:r>
          </w:p>
        </w:tc>
        <w:tc>
          <w:tcPr>
            <w:tcW w:w="1187" w:type="pct"/>
            <w:noWrap w:val="0"/>
            <w:vAlign w:val="center"/>
          </w:tcPr>
          <w:p w14:paraId="2F988909">
            <w:pPr>
              <w:adjustRightInd w:val="0"/>
              <w:snapToGrid w:val="0"/>
              <w:spacing w:line="240" w:lineRule="auto"/>
              <w:jc w:val="center"/>
              <w:rPr>
                <w:rFonts w:hint="eastAsia" w:eastAsia="宋体"/>
                <w:color w:val="auto"/>
                <w:sz w:val="24"/>
                <w:lang w:eastAsia="zh-CN"/>
              </w:rPr>
            </w:pPr>
            <w:r>
              <w:rPr>
                <w:rFonts w:hint="eastAsia" w:ascii="Times New Roman" w:hAnsi="Times New Roman" w:cs="Times New Roman"/>
                <w:color w:val="auto"/>
                <w:sz w:val="24"/>
                <w:szCs w:val="24"/>
                <w:lang w:val="en-US" w:eastAsia="zh-CN"/>
              </w:rPr>
              <w:t>张学修</w:t>
            </w:r>
          </w:p>
        </w:tc>
        <w:tc>
          <w:tcPr>
            <w:tcW w:w="1274" w:type="pct"/>
            <w:noWrap w:val="0"/>
            <w:vAlign w:val="center"/>
          </w:tcPr>
          <w:p w14:paraId="2978D09F">
            <w:pPr>
              <w:adjustRightInd w:val="0"/>
              <w:snapToGrid w:val="0"/>
              <w:spacing w:line="240" w:lineRule="auto"/>
              <w:jc w:val="center"/>
              <w:rPr>
                <w:color w:val="auto"/>
                <w:sz w:val="24"/>
              </w:rPr>
            </w:pPr>
            <w:r>
              <w:rPr>
                <w:b/>
                <w:bCs/>
                <w:color w:val="auto"/>
                <w:sz w:val="24"/>
              </w:rPr>
              <w:t>联系方式</w:t>
            </w:r>
          </w:p>
        </w:tc>
        <w:tc>
          <w:tcPr>
            <w:tcW w:w="1721" w:type="pct"/>
            <w:noWrap w:val="0"/>
            <w:vAlign w:val="center"/>
          </w:tcPr>
          <w:p w14:paraId="4AA4C71C">
            <w:pPr>
              <w:adjustRightInd w:val="0"/>
              <w:snapToGrid w:val="0"/>
              <w:spacing w:line="240" w:lineRule="auto"/>
              <w:jc w:val="center"/>
              <w:rPr>
                <w:rFonts w:hint="eastAsia" w:eastAsia="宋体"/>
                <w:color w:val="auto"/>
                <w:sz w:val="24"/>
                <w:lang w:eastAsia="zh-CN"/>
              </w:rPr>
            </w:pPr>
            <w:r>
              <w:rPr>
                <w:rFonts w:hint="eastAsia" w:ascii="Times New Roman" w:hAnsi="Times New Roman" w:cs="Times New Roman"/>
                <w:color w:val="auto"/>
                <w:sz w:val="24"/>
                <w:szCs w:val="24"/>
                <w:lang w:val="en-US" w:eastAsia="zh-CN"/>
              </w:rPr>
              <w:t>188</w:t>
            </w:r>
            <w:r>
              <w:rPr>
                <w:rFonts w:hint="eastAsia" w:cs="Times New Roman"/>
                <w:color w:val="auto"/>
                <w:sz w:val="24"/>
                <w:szCs w:val="24"/>
                <w:lang w:val="en-US" w:eastAsia="zh-CN"/>
              </w:rPr>
              <w:t>*******</w:t>
            </w:r>
            <w:r>
              <w:rPr>
                <w:rFonts w:hint="eastAsia" w:ascii="Times New Roman" w:hAnsi="Times New Roman" w:cs="Times New Roman"/>
                <w:color w:val="auto"/>
                <w:sz w:val="24"/>
                <w:szCs w:val="24"/>
                <w:lang w:val="en-US" w:eastAsia="zh-CN"/>
              </w:rPr>
              <w:t>58</w:t>
            </w:r>
          </w:p>
        </w:tc>
      </w:tr>
      <w:tr w14:paraId="25E1E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816" w:type="pct"/>
            <w:noWrap w:val="0"/>
            <w:tcMar>
              <w:top w:w="16" w:type="dxa"/>
              <w:left w:w="16" w:type="dxa"/>
              <w:right w:w="16" w:type="dxa"/>
            </w:tcMar>
            <w:vAlign w:val="center"/>
          </w:tcPr>
          <w:p w14:paraId="156F26E1">
            <w:pPr>
              <w:adjustRightInd w:val="0"/>
              <w:snapToGrid w:val="0"/>
              <w:spacing w:line="240" w:lineRule="auto"/>
              <w:jc w:val="center"/>
              <w:rPr>
                <w:b/>
                <w:bCs/>
                <w:color w:val="auto"/>
                <w:sz w:val="24"/>
              </w:rPr>
            </w:pPr>
            <w:r>
              <w:rPr>
                <w:b/>
                <w:bCs/>
                <w:color w:val="auto"/>
                <w:sz w:val="24"/>
              </w:rPr>
              <w:t>建设地点</w:t>
            </w:r>
          </w:p>
        </w:tc>
        <w:tc>
          <w:tcPr>
            <w:tcW w:w="4183" w:type="pct"/>
            <w:gridSpan w:val="3"/>
            <w:noWrap w:val="0"/>
            <w:vAlign w:val="center"/>
          </w:tcPr>
          <w:p w14:paraId="3EF837A7">
            <w:pPr>
              <w:pStyle w:val="11"/>
              <w:adjustRightInd w:val="0"/>
              <w:snapToGrid w:val="0"/>
              <w:spacing w:after="0" w:line="240" w:lineRule="auto"/>
              <w:ind w:left="0" w:leftChars="0"/>
              <w:jc w:val="center"/>
              <w:rPr>
                <w:rFonts w:hint="default" w:eastAsia="宋体"/>
                <w:color w:val="auto"/>
                <w:lang w:val="en-US" w:eastAsia="zh-CN"/>
              </w:rPr>
            </w:pPr>
            <w:r>
              <w:rPr>
                <w:color w:val="auto"/>
                <w:szCs w:val="21"/>
                <w:u w:val="single"/>
              </w:rPr>
              <w:t>云南省</w:t>
            </w:r>
            <w:r>
              <w:rPr>
                <w:color w:val="auto"/>
                <w:szCs w:val="21"/>
              </w:rPr>
              <w:t>（自治区）</w:t>
            </w:r>
            <w:r>
              <w:rPr>
                <w:rFonts w:hint="eastAsia"/>
                <w:color w:val="auto"/>
                <w:szCs w:val="21"/>
                <w:u w:val="single"/>
                <w:lang w:val="en-US" w:eastAsia="zh-CN"/>
              </w:rPr>
              <w:t>曲靖市会泽县</w:t>
            </w:r>
            <w:r>
              <w:rPr>
                <w:rFonts w:hint="eastAsia" w:ascii="Times New Roman" w:hAnsi="Times New Roman"/>
                <w:color w:val="auto"/>
                <w:sz w:val="24"/>
                <w:szCs w:val="24"/>
                <w:u w:val="single"/>
                <w:lang w:val="en-US" w:eastAsia="zh-CN"/>
              </w:rPr>
              <w:t>宝云街道、乐业</w:t>
            </w:r>
            <w:r>
              <w:rPr>
                <w:rFonts w:ascii="Times New Roman" w:hAnsi="Times New Roman"/>
                <w:color w:val="auto"/>
                <w:sz w:val="24"/>
                <w:szCs w:val="24"/>
                <w:u w:val="single"/>
              </w:rPr>
              <w:t>镇</w:t>
            </w:r>
            <w:r>
              <w:rPr>
                <w:rFonts w:hint="eastAsia"/>
                <w:color w:val="auto"/>
                <w:szCs w:val="21"/>
                <w:u w:val="single"/>
                <w:lang w:val="en-US" w:eastAsia="zh-CN"/>
              </w:rPr>
              <w:t>、五星乡境内</w:t>
            </w:r>
          </w:p>
        </w:tc>
      </w:tr>
      <w:tr w14:paraId="24B08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6" w:type="pct"/>
            <w:noWrap w:val="0"/>
            <w:tcMar>
              <w:top w:w="16" w:type="dxa"/>
              <w:left w:w="16" w:type="dxa"/>
              <w:right w:w="16" w:type="dxa"/>
            </w:tcMar>
            <w:vAlign w:val="center"/>
          </w:tcPr>
          <w:p w14:paraId="57D42D1A">
            <w:pPr>
              <w:adjustRightInd w:val="0"/>
              <w:snapToGrid w:val="0"/>
              <w:spacing w:line="240" w:lineRule="auto"/>
              <w:jc w:val="center"/>
              <w:rPr>
                <w:b/>
                <w:bCs/>
                <w:color w:val="auto"/>
                <w:sz w:val="24"/>
              </w:rPr>
            </w:pPr>
            <w:r>
              <w:rPr>
                <w:b/>
                <w:bCs/>
                <w:color w:val="auto"/>
                <w:sz w:val="24"/>
              </w:rPr>
              <w:t>地理坐标</w:t>
            </w:r>
          </w:p>
        </w:tc>
        <w:tc>
          <w:tcPr>
            <w:tcW w:w="4183" w:type="pct"/>
            <w:gridSpan w:val="3"/>
            <w:noWrap w:val="0"/>
            <w:vAlign w:val="center"/>
          </w:tcPr>
          <w:p w14:paraId="52F09A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项目新建110kV输电线路，其中线路架空</w:t>
            </w:r>
            <w:r>
              <w:rPr>
                <w:rFonts w:hint="default" w:ascii="Times New Roman" w:hAnsi="Times New Roman" w:eastAsia="宋体" w:cs="Times New Roman"/>
                <w:color w:val="auto"/>
                <w:sz w:val="24"/>
                <w:lang w:val="en-US" w:eastAsia="zh-CN"/>
              </w:rPr>
              <w:t>段</w:t>
            </w:r>
            <w:r>
              <w:rPr>
                <w:rFonts w:hint="default" w:ascii="Times New Roman" w:hAnsi="Times New Roman" w:eastAsia="宋体" w:cs="Times New Roman"/>
                <w:color w:val="auto"/>
                <w:sz w:val="24"/>
              </w:rPr>
              <w:t>起点坐标：东经</w:t>
            </w:r>
            <w:r>
              <w:rPr>
                <w:rFonts w:hint="default" w:ascii="Times New Roman" w:hAnsi="Times New Roman" w:eastAsia="宋体" w:cs="Times New Roman"/>
                <w:color w:val="auto"/>
                <w:sz w:val="24"/>
                <w:szCs w:val="24"/>
                <w:lang w:eastAsia="zh-CN"/>
              </w:rPr>
              <w:t>103°21′26.894″</w:t>
            </w:r>
            <w:r>
              <w:rPr>
                <w:rFonts w:hint="default" w:ascii="Times New Roman" w:hAnsi="Times New Roman" w:eastAsia="宋体" w:cs="Times New Roman"/>
                <w:color w:val="auto"/>
                <w:sz w:val="24"/>
              </w:rPr>
              <w:t>、北纬</w:t>
            </w:r>
            <w:r>
              <w:rPr>
                <w:rFonts w:hint="default" w:ascii="Times New Roman" w:hAnsi="Times New Roman" w:eastAsia="宋体" w:cs="Times New Roman"/>
                <w:color w:val="auto"/>
                <w:sz w:val="24"/>
                <w:szCs w:val="24"/>
                <w:lang w:eastAsia="zh-CN"/>
              </w:rPr>
              <w:t>26°29′58.275″</w:t>
            </w:r>
            <w:r>
              <w:rPr>
                <w:rFonts w:hint="default" w:ascii="Times New Roman" w:hAnsi="Times New Roman" w:eastAsia="宋体" w:cs="Times New Roman"/>
                <w:color w:val="auto"/>
                <w:sz w:val="24"/>
              </w:rPr>
              <w:t>，终点坐标东经</w:t>
            </w:r>
            <w:r>
              <w:rPr>
                <w:rFonts w:hint="default" w:ascii="Times New Roman" w:hAnsi="Times New Roman" w:eastAsia="宋体" w:cs="Times New Roman"/>
                <w:color w:val="auto"/>
                <w:sz w:val="24"/>
                <w:szCs w:val="24"/>
                <w:lang w:eastAsia="zh-CN"/>
              </w:rPr>
              <w:t>103°26′59.873″</w:t>
            </w:r>
            <w:r>
              <w:rPr>
                <w:rFonts w:hint="default" w:ascii="Times New Roman" w:hAnsi="Times New Roman" w:eastAsia="宋体" w:cs="Times New Roman"/>
                <w:color w:val="auto"/>
                <w:sz w:val="24"/>
              </w:rPr>
              <w:t>、北纬</w:t>
            </w:r>
            <w:r>
              <w:rPr>
                <w:rFonts w:hint="default" w:ascii="Times New Roman" w:hAnsi="Times New Roman" w:eastAsia="宋体" w:cs="Times New Roman"/>
                <w:color w:val="auto"/>
                <w:sz w:val="24"/>
                <w:szCs w:val="24"/>
                <w:lang w:eastAsia="zh-CN"/>
              </w:rPr>
              <w:t>26°34′47.292″</w:t>
            </w:r>
            <w:r>
              <w:rPr>
                <w:rFonts w:hint="default" w:ascii="Times New Roman" w:hAnsi="Times New Roman" w:eastAsia="宋体" w:cs="Times New Roman"/>
                <w:color w:val="auto"/>
                <w:sz w:val="24"/>
                <w:lang w:val="en-US" w:eastAsia="zh-CN"/>
              </w:rPr>
              <w:t>。</w:t>
            </w:r>
          </w:p>
          <w:p w14:paraId="605550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lang w:val="en-US" w:eastAsia="zh-CN"/>
              </w:rPr>
              <w:t>主要拐点（N5）东经103°21′36.972″</w:t>
            </w:r>
            <w:r>
              <w:rPr>
                <w:rFonts w:hint="default" w:ascii="Times New Roman" w:hAnsi="Times New Roman" w:eastAsia="宋体" w:cs="Times New Roman"/>
                <w:color w:val="auto"/>
                <w:sz w:val="24"/>
              </w:rPr>
              <w:t>、北纬</w:t>
            </w:r>
            <w:r>
              <w:rPr>
                <w:rFonts w:hint="default" w:ascii="Times New Roman" w:hAnsi="Times New Roman" w:eastAsia="宋体" w:cs="Times New Roman"/>
                <w:color w:val="auto"/>
                <w:sz w:val="24"/>
                <w:lang w:eastAsia="zh-CN"/>
              </w:rPr>
              <w:t>26°30′46.986″</w:t>
            </w:r>
            <w:r>
              <w:rPr>
                <w:rFonts w:hint="eastAsia" w:ascii="Times New Roman" w:hAnsi="Times New Roman" w:eastAsia="宋体" w:cs="Times New Roman"/>
                <w:color w:val="auto"/>
                <w:sz w:val="24"/>
                <w:lang w:eastAsia="zh-CN"/>
              </w:rPr>
              <w:t>；</w:t>
            </w:r>
          </w:p>
          <w:p w14:paraId="2396B8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方正仿宋_GB2312"/>
                <w:color w:val="auto"/>
                <w:lang w:val="en-US" w:eastAsia="zh-CN"/>
              </w:rPr>
            </w:pPr>
            <w:r>
              <w:rPr>
                <w:rFonts w:hint="default" w:ascii="Times New Roman" w:hAnsi="Times New Roman" w:eastAsia="宋体" w:cs="Times New Roman"/>
                <w:color w:val="auto"/>
                <w:sz w:val="24"/>
                <w:lang w:val="en-US" w:eastAsia="zh-CN"/>
              </w:rPr>
              <w:t>主要拐点（N24）东经103°24′4.824″</w:t>
            </w:r>
            <w:r>
              <w:rPr>
                <w:rFonts w:hint="default" w:ascii="Times New Roman" w:hAnsi="Times New Roman" w:eastAsia="宋体" w:cs="Times New Roman"/>
                <w:color w:val="auto"/>
                <w:sz w:val="24"/>
              </w:rPr>
              <w:t>、北纬</w:t>
            </w:r>
            <w:r>
              <w:rPr>
                <w:rFonts w:hint="default" w:ascii="Times New Roman" w:hAnsi="Times New Roman" w:eastAsia="宋体" w:cs="Times New Roman"/>
                <w:color w:val="auto"/>
                <w:sz w:val="24"/>
                <w:lang w:eastAsia="zh-CN"/>
              </w:rPr>
              <w:t>26°32′27.543″</w:t>
            </w:r>
            <w:r>
              <w:rPr>
                <w:rFonts w:hint="eastAsia" w:ascii="Times New Roman" w:hAnsi="Times New Roman" w:eastAsia="宋体" w:cs="Times New Roman"/>
                <w:color w:val="auto"/>
                <w:sz w:val="24"/>
                <w:lang w:eastAsia="zh-CN"/>
              </w:rPr>
              <w:t>。</w:t>
            </w:r>
          </w:p>
        </w:tc>
      </w:tr>
      <w:tr w14:paraId="73E3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16" w:type="pct"/>
            <w:noWrap w:val="0"/>
            <w:tcMar>
              <w:top w:w="16" w:type="dxa"/>
              <w:left w:w="16" w:type="dxa"/>
              <w:right w:w="16" w:type="dxa"/>
            </w:tcMar>
            <w:vAlign w:val="center"/>
          </w:tcPr>
          <w:p w14:paraId="5EC0B9E9">
            <w:pPr>
              <w:adjustRightInd w:val="0"/>
              <w:snapToGrid w:val="0"/>
              <w:spacing w:line="240" w:lineRule="auto"/>
              <w:jc w:val="center"/>
              <w:rPr>
                <w:b/>
                <w:bCs/>
                <w:color w:val="auto"/>
                <w:sz w:val="24"/>
              </w:rPr>
            </w:pPr>
            <w:r>
              <w:rPr>
                <w:b/>
                <w:bCs/>
                <w:color w:val="auto"/>
                <w:sz w:val="24"/>
              </w:rPr>
              <w:t>国民经济</w:t>
            </w:r>
          </w:p>
          <w:p w14:paraId="33748E47">
            <w:pPr>
              <w:adjustRightInd w:val="0"/>
              <w:snapToGrid w:val="0"/>
              <w:spacing w:line="240" w:lineRule="auto"/>
              <w:jc w:val="center"/>
              <w:rPr>
                <w:b/>
                <w:bCs/>
                <w:color w:val="auto"/>
                <w:sz w:val="24"/>
              </w:rPr>
            </w:pPr>
            <w:r>
              <w:rPr>
                <w:b/>
                <w:bCs/>
                <w:color w:val="auto"/>
                <w:sz w:val="24"/>
              </w:rPr>
              <w:t>行业类别</w:t>
            </w:r>
          </w:p>
        </w:tc>
        <w:tc>
          <w:tcPr>
            <w:tcW w:w="1187" w:type="pct"/>
            <w:noWrap w:val="0"/>
            <w:vAlign w:val="center"/>
          </w:tcPr>
          <w:p w14:paraId="1C3C60E5">
            <w:pPr>
              <w:adjustRightInd w:val="0"/>
              <w:snapToGrid w:val="0"/>
              <w:spacing w:line="240" w:lineRule="auto"/>
              <w:jc w:val="center"/>
              <w:rPr>
                <w:color w:val="auto"/>
                <w:sz w:val="24"/>
              </w:rPr>
            </w:pPr>
            <w:r>
              <w:rPr>
                <w:color w:val="auto"/>
                <w:sz w:val="24"/>
              </w:rPr>
              <w:t>五十五、核与辐射</w:t>
            </w:r>
          </w:p>
          <w:p w14:paraId="525D7B24">
            <w:pPr>
              <w:adjustRightInd w:val="0"/>
              <w:snapToGrid w:val="0"/>
              <w:spacing w:line="240" w:lineRule="auto"/>
              <w:jc w:val="center"/>
              <w:rPr>
                <w:color w:val="auto"/>
                <w:sz w:val="24"/>
              </w:rPr>
            </w:pPr>
            <w:r>
              <w:rPr>
                <w:color w:val="auto"/>
                <w:sz w:val="24"/>
              </w:rPr>
              <w:t>161输变电工程</w:t>
            </w:r>
          </w:p>
          <w:p w14:paraId="0224CA1D">
            <w:pPr>
              <w:adjustRightInd w:val="0"/>
              <w:snapToGrid w:val="0"/>
              <w:spacing w:line="240" w:lineRule="auto"/>
              <w:jc w:val="center"/>
              <w:rPr>
                <w:color w:val="auto"/>
                <w:sz w:val="24"/>
              </w:rPr>
            </w:pPr>
            <w:r>
              <w:rPr>
                <w:color w:val="auto"/>
                <w:sz w:val="24"/>
              </w:rPr>
              <w:t>其他（100kV以下的除外）</w:t>
            </w:r>
          </w:p>
        </w:tc>
        <w:tc>
          <w:tcPr>
            <w:tcW w:w="1274" w:type="pct"/>
            <w:noWrap w:val="0"/>
            <w:vAlign w:val="center"/>
          </w:tcPr>
          <w:p w14:paraId="243BE40A">
            <w:pPr>
              <w:pStyle w:val="11"/>
              <w:adjustRightInd w:val="0"/>
              <w:snapToGrid w:val="0"/>
              <w:spacing w:line="240" w:lineRule="auto"/>
              <w:ind w:left="0" w:leftChars="0"/>
              <w:jc w:val="center"/>
              <w:rPr>
                <w:b/>
                <w:bCs/>
                <w:color w:val="auto"/>
              </w:rPr>
            </w:pPr>
            <w:r>
              <w:rPr>
                <w:b/>
                <w:bCs/>
                <w:color w:val="auto"/>
              </w:rPr>
              <w:t>用地（用海）面积（m</w:t>
            </w:r>
            <w:r>
              <w:rPr>
                <w:rStyle w:val="83"/>
                <w:b/>
                <w:color w:val="auto"/>
              </w:rPr>
              <w:t>2</w:t>
            </w:r>
            <w:r>
              <w:rPr>
                <w:b/>
                <w:bCs/>
                <w:color w:val="auto"/>
              </w:rPr>
              <w:t>）/长度（km）</w:t>
            </w:r>
          </w:p>
        </w:tc>
        <w:tc>
          <w:tcPr>
            <w:tcW w:w="1721" w:type="pct"/>
            <w:noWrap w:val="0"/>
            <w:vAlign w:val="center"/>
          </w:tcPr>
          <w:p w14:paraId="136A0B39">
            <w:pPr>
              <w:pStyle w:val="11"/>
              <w:adjustRightInd w:val="0"/>
              <w:snapToGrid w:val="0"/>
              <w:spacing w:after="0" w:line="240" w:lineRule="auto"/>
              <w:ind w:left="0" w:leftChars="0"/>
              <w:rPr>
                <w:rFonts w:hint="eastAsia"/>
                <w:color w:val="auto"/>
                <w:highlight w:val="yellow"/>
              </w:rPr>
            </w:pPr>
            <w:r>
              <w:rPr>
                <w:rFonts w:ascii="Times New Roman" w:hAnsi="Times New Roman"/>
                <w:color w:val="auto"/>
                <w:sz w:val="24"/>
                <w:szCs w:val="24"/>
              </w:rPr>
              <w:t>项目总占地</w:t>
            </w:r>
            <w:r>
              <w:rPr>
                <w:rFonts w:hint="eastAsia" w:ascii="Times New Roman" w:hAnsi="Times New Roman" w:eastAsia="方正仿宋_GB2312"/>
                <w:color w:val="auto"/>
                <w:sz w:val="24"/>
                <w:lang w:val="en-US" w:eastAsia="zh-CN"/>
              </w:rPr>
              <w:t>0.60895</w:t>
            </w:r>
            <w:r>
              <w:rPr>
                <w:rFonts w:ascii="Times New Roman" w:hAnsi="Times New Roman" w:eastAsia="方正仿宋_GB2312"/>
                <w:color w:val="auto"/>
                <w:sz w:val="24"/>
              </w:rPr>
              <w:t>hm</w:t>
            </w:r>
            <w:r>
              <w:rPr>
                <w:rFonts w:ascii="Times New Roman" w:hAnsi="Times New Roman" w:eastAsia="方正仿宋_GB2312"/>
                <w:color w:val="auto"/>
                <w:sz w:val="24"/>
                <w:vertAlign w:val="superscript"/>
              </w:rPr>
              <w:t>2</w:t>
            </w:r>
            <w:r>
              <w:rPr>
                <w:rFonts w:ascii="Times New Roman" w:hAnsi="Times New Roman" w:eastAsia="方正仿宋_GB2312"/>
                <w:color w:val="auto"/>
                <w:sz w:val="24"/>
              </w:rPr>
              <w:t>，</w:t>
            </w:r>
            <w:r>
              <w:rPr>
                <w:rFonts w:ascii="Times New Roman" w:hAnsi="Times New Roman"/>
                <w:bCs/>
                <w:color w:val="auto"/>
                <w:sz w:val="24"/>
              </w:rPr>
              <w:t>永久占地</w:t>
            </w:r>
            <w:r>
              <w:rPr>
                <w:rFonts w:hint="eastAsia" w:ascii="Times New Roman" w:hAnsi="Times New Roman"/>
                <w:bCs/>
                <w:color w:val="auto"/>
                <w:sz w:val="24"/>
                <w:lang w:val="en-US" w:eastAsia="zh-CN"/>
              </w:rPr>
              <w:t>0.25495</w:t>
            </w:r>
            <w:r>
              <w:rPr>
                <w:rFonts w:ascii="Times New Roman" w:hAnsi="Times New Roman"/>
                <w:bCs/>
                <w:color w:val="auto"/>
                <w:sz w:val="24"/>
              </w:rPr>
              <w:t>hm</w:t>
            </w:r>
            <w:r>
              <w:rPr>
                <w:rFonts w:ascii="Times New Roman" w:hAnsi="Times New Roman"/>
                <w:bCs/>
                <w:color w:val="auto"/>
                <w:sz w:val="24"/>
                <w:vertAlign w:val="superscript"/>
              </w:rPr>
              <w:t>2</w:t>
            </w:r>
            <w:r>
              <w:rPr>
                <w:rFonts w:ascii="Times New Roman" w:hAnsi="Times New Roman"/>
                <w:bCs/>
                <w:color w:val="auto"/>
                <w:sz w:val="24"/>
              </w:rPr>
              <w:t>，临时占地</w:t>
            </w:r>
            <w:r>
              <w:rPr>
                <w:rFonts w:hint="eastAsia" w:ascii="Times New Roman" w:hAnsi="Times New Roman"/>
                <w:bCs/>
                <w:color w:val="auto"/>
                <w:sz w:val="24"/>
                <w:lang w:val="en-US" w:eastAsia="zh-CN"/>
              </w:rPr>
              <w:t>0.354</w:t>
            </w:r>
            <w:r>
              <w:rPr>
                <w:rFonts w:ascii="Times New Roman" w:hAnsi="Times New Roman"/>
                <w:bCs/>
                <w:color w:val="auto"/>
                <w:sz w:val="24"/>
              </w:rPr>
              <w:t>hm</w:t>
            </w:r>
            <w:r>
              <w:rPr>
                <w:rFonts w:ascii="Times New Roman" w:hAnsi="Times New Roman"/>
                <w:bCs/>
                <w:color w:val="auto"/>
                <w:sz w:val="24"/>
                <w:vertAlign w:val="superscript"/>
              </w:rPr>
              <w:t>2</w:t>
            </w:r>
            <w:r>
              <w:rPr>
                <w:rFonts w:ascii="Times New Roman" w:hAnsi="Times New Roman"/>
                <w:color w:val="auto"/>
                <w:sz w:val="24"/>
              </w:rPr>
              <w:t>。</w:t>
            </w:r>
            <w:r>
              <w:rPr>
                <w:rFonts w:hint="eastAsia" w:ascii="Times New Roman" w:hAnsi="Times New Roman"/>
                <w:color w:val="auto"/>
                <w:sz w:val="24"/>
                <w:lang w:val="en-US" w:eastAsia="zh-CN"/>
              </w:rPr>
              <w:t>线路长度16km</w:t>
            </w:r>
            <w:r>
              <w:rPr>
                <w:rFonts w:hint="eastAsia"/>
                <w:color w:val="auto"/>
              </w:rPr>
              <w:t>。</w:t>
            </w:r>
          </w:p>
        </w:tc>
      </w:tr>
      <w:tr w14:paraId="3764D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16" w:type="pct"/>
            <w:noWrap w:val="0"/>
            <w:tcMar>
              <w:top w:w="16" w:type="dxa"/>
              <w:left w:w="16" w:type="dxa"/>
              <w:right w:w="16" w:type="dxa"/>
            </w:tcMar>
            <w:vAlign w:val="center"/>
          </w:tcPr>
          <w:p w14:paraId="5A412CC6">
            <w:pPr>
              <w:adjustRightInd w:val="0"/>
              <w:snapToGrid w:val="0"/>
              <w:spacing w:line="240" w:lineRule="auto"/>
              <w:jc w:val="center"/>
              <w:rPr>
                <w:b/>
                <w:bCs/>
                <w:color w:val="auto"/>
                <w:sz w:val="24"/>
              </w:rPr>
            </w:pPr>
            <w:r>
              <w:rPr>
                <w:b/>
                <w:bCs/>
                <w:color w:val="auto"/>
                <w:sz w:val="24"/>
              </w:rPr>
              <w:t>建设性质</w:t>
            </w:r>
          </w:p>
        </w:tc>
        <w:tc>
          <w:tcPr>
            <w:tcW w:w="1187" w:type="pct"/>
            <w:noWrap w:val="0"/>
            <w:vAlign w:val="center"/>
          </w:tcPr>
          <w:p w14:paraId="675CCA24">
            <w:pPr>
              <w:adjustRightInd w:val="0"/>
              <w:snapToGrid w:val="0"/>
              <w:spacing w:line="240" w:lineRule="auto"/>
              <w:rPr>
                <w:color w:val="auto"/>
                <w:sz w:val="24"/>
              </w:rPr>
            </w:pPr>
            <w:r>
              <w:rPr>
                <w:color w:val="auto"/>
                <w:sz w:val="24"/>
              </w:rPr>
              <w:sym w:font="Wingdings 2" w:char="0052"/>
            </w:r>
            <w:r>
              <w:rPr>
                <w:color w:val="auto"/>
                <w:sz w:val="24"/>
              </w:rPr>
              <w:t>新建（迁建）</w:t>
            </w:r>
          </w:p>
          <w:p w14:paraId="767B0EB2">
            <w:pPr>
              <w:adjustRightInd w:val="0"/>
              <w:snapToGrid w:val="0"/>
              <w:spacing w:line="240" w:lineRule="auto"/>
              <w:rPr>
                <w:color w:val="auto"/>
                <w:sz w:val="24"/>
              </w:rPr>
            </w:pPr>
            <w:r>
              <w:rPr>
                <w:color w:val="auto"/>
                <w:sz w:val="24"/>
              </w:rPr>
              <w:sym w:font="Wingdings 2" w:char="00A3"/>
            </w:r>
            <w:r>
              <w:rPr>
                <w:color w:val="auto"/>
                <w:sz w:val="24"/>
              </w:rPr>
              <w:t>改建</w:t>
            </w:r>
          </w:p>
          <w:p w14:paraId="2989CDE1">
            <w:pPr>
              <w:adjustRightInd w:val="0"/>
              <w:snapToGrid w:val="0"/>
              <w:spacing w:line="240" w:lineRule="auto"/>
              <w:rPr>
                <w:color w:val="auto"/>
                <w:sz w:val="24"/>
              </w:rPr>
            </w:pPr>
            <w:r>
              <w:rPr>
                <w:color w:val="auto"/>
                <w:sz w:val="24"/>
              </w:rPr>
              <w:sym w:font="Wingdings 2" w:char="00A3"/>
            </w:r>
            <w:r>
              <w:rPr>
                <w:color w:val="auto"/>
                <w:sz w:val="24"/>
              </w:rPr>
              <w:t>扩建</w:t>
            </w:r>
          </w:p>
          <w:p w14:paraId="2A3DC521">
            <w:pPr>
              <w:adjustRightInd w:val="0"/>
              <w:snapToGrid w:val="0"/>
              <w:spacing w:line="240" w:lineRule="auto"/>
              <w:rPr>
                <w:color w:val="auto"/>
                <w:sz w:val="24"/>
              </w:rPr>
            </w:pPr>
            <w:r>
              <w:rPr>
                <w:color w:val="auto"/>
                <w:sz w:val="24"/>
              </w:rPr>
              <w:sym w:font="Wingdings 2" w:char="00A3"/>
            </w:r>
            <w:r>
              <w:rPr>
                <w:color w:val="auto"/>
                <w:sz w:val="24"/>
              </w:rPr>
              <w:t>技术改造</w:t>
            </w:r>
          </w:p>
        </w:tc>
        <w:tc>
          <w:tcPr>
            <w:tcW w:w="1274" w:type="pct"/>
            <w:noWrap w:val="0"/>
            <w:vAlign w:val="center"/>
          </w:tcPr>
          <w:p w14:paraId="63C573A3">
            <w:pPr>
              <w:adjustRightInd w:val="0"/>
              <w:snapToGrid w:val="0"/>
              <w:spacing w:line="240" w:lineRule="auto"/>
              <w:jc w:val="center"/>
              <w:rPr>
                <w:b/>
                <w:bCs/>
                <w:color w:val="auto"/>
                <w:sz w:val="24"/>
              </w:rPr>
            </w:pPr>
            <w:r>
              <w:rPr>
                <w:b/>
                <w:bCs/>
                <w:color w:val="auto"/>
                <w:sz w:val="24"/>
              </w:rPr>
              <w:t>建设项目</w:t>
            </w:r>
          </w:p>
          <w:p w14:paraId="212AC578">
            <w:pPr>
              <w:adjustRightInd w:val="0"/>
              <w:snapToGrid w:val="0"/>
              <w:spacing w:line="240" w:lineRule="auto"/>
              <w:jc w:val="center"/>
              <w:rPr>
                <w:b/>
                <w:bCs/>
                <w:color w:val="auto"/>
                <w:sz w:val="24"/>
              </w:rPr>
            </w:pPr>
            <w:r>
              <w:rPr>
                <w:b/>
                <w:bCs/>
                <w:color w:val="auto"/>
                <w:sz w:val="24"/>
              </w:rPr>
              <w:t>申报情形</w:t>
            </w:r>
          </w:p>
        </w:tc>
        <w:tc>
          <w:tcPr>
            <w:tcW w:w="1721" w:type="pct"/>
            <w:noWrap w:val="0"/>
            <w:vAlign w:val="center"/>
          </w:tcPr>
          <w:p w14:paraId="7A035310">
            <w:pPr>
              <w:adjustRightInd w:val="0"/>
              <w:snapToGrid w:val="0"/>
              <w:spacing w:line="240" w:lineRule="auto"/>
              <w:rPr>
                <w:color w:val="auto"/>
                <w:sz w:val="24"/>
              </w:rPr>
            </w:pPr>
            <w:r>
              <w:rPr>
                <w:color w:val="auto"/>
                <w:sz w:val="24"/>
              </w:rPr>
              <w:sym w:font="Wingdings 2" w:char="0052"/>
            </w:r>
            <w:r>
              <w:rPr>
                <w:color w:val="auto"/>
                <w:sz w:val="24"/>
              </w:rPr>
              <w:t>首次申报项目</w:t>
            </w:r>
          </w:p>
          <w:p w14:paraId="722DD434">
            <w:pPr>
              <w:adjustRightInd w:val="0"/>
              <w:snapToGrid w:val="0"/>
              <w:spacing w:line="240" w:lineRule="auto"/>
              <w:rPr>
                <w:color w:val="auto"/>
                <w:sz w:val="24"/>
              </w:rPr>
            </w:pPr>
            <w:r>
              <w:rPr>
                <w:color w:val="auto"/>
                <w:sz w:val="24"/>
              </w:rPr>
              <w:sym w:font="Wingdings 2" w:char="00A3"/>
            </w:r>
            <w:r>
              <w:rPr>
                <w:color w:val="auto"/>
                <w:sz w:val="24"/>
              </w:rPr>
              <w:t>不予批准后再次申报项目</w:t>
            </w:r>
          </w:p>
          <w:p w14:paraId="14E82EE5">
            <w:pPr>
              <w:adjustRightInd w:val="0"/>
              <w:snapToGrid w:val="0"/>
              <w:spacing w:line="240" w:lineRule="auto"/>
              <w:rPr>
                <w:color w:val="auto"/>
                <w:sz w:val="24"/>
              </w:rPr>
            </w:pPr>
            <w:r>
              <w:rPr>
                <w:color w:val="auto"/>
                <w:sz w:val="24"/>
              </w:rPr>
              <w:sym w:font="Wingdings 2" w:char="00A3"/>
            </w:r>
            <w:r>
              <w:rPr>
                <w:color w:val="auto"/>
                <w:sz w:val="24"/>
              </w:rPr>
              <w:t>超五年重新审核项目</w:t>
            </w:r>
          </w:p>
          <w:p w14:paraId="6A17AAB3">
            <w:pPr>
              <w:adjustRightInd w:val="0"/>
              <w:snapToGrid w:val="0"/>
              <w:spacing w:line="240" w:lineRule="auto"/>
              <w:rPr>
                <w:color w:val="auto"/>
                <w:sz w:val="24"/>
              </w:rPr>
            </w:pPr>
            <w:r>
              <w:rPr>
                <w:color w:val="auto"/>
                <w:sz w:val="24"/>
              </w:rPr>
              <w:sym w:font="Wingdings 2" w:char="00A3"/>
            </w:r>
            <w:r>
              <w:rPr>
                <w:color w:val="auto"/>
                <w:sz w:val="24"/>
              </w:rPr>
              <w:t>重大变动重新报批项目</w:t>
            </w:r>
          </w:p>
        </w:tc>
      </w:tr>
      <w:tr w14:paraId="37915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16" w:type="pct"/>
            <w:noWrap w:val="0"/>
            <w:tcMar>
              <w:top w:w="16" w:type="dxa"/>
              <w:left w:w="16" w:type="dxa"/>
              <w:right w:w="16" w:type="dxa"/>
            </w:tcMar>
            <w:vAlign w:val="center"/>
          </w:tcPr>
          <w:p w14:paraId="6A76C448">
            <w:pPr>
              <w:adjustRightInd w:val="0"/>
              <w:snapToGrid w:val="0"/>
              <w:spacing w:line="240" w:lineRule="auto"/>
              <w:jc w:val="center"/>
              <w:rPr>
                <w:b/>
                <w:bCs/>
                <w:color w:val="auto"/>
                <w:sz w:val="24"/>
              </w:rPr>
            </w:pPr>
            <w:r>
              <w:rPr>
                <w:b/>
                <w:bCs/>
                <w:color w:val="auto"/>
                <w:sz w:val="24"/>
              </w:rPr>
              <w:t>项目审批（核准/备案）部门</w:t>
            </w:r>
          </w:p>
        </w:tc>
        <w:tc>
          <w:tcPr>
            <w:tcW w:w="1187" w:type="pct"/>
            <w:noWrap w:val="0"/>
            <w:vAlign w:val="center"/>
          </w:tcPr>
          <w:p w14:paraId="03FC650F">
            <w:pPr>
              <w:adjustRightInd w:val="0"/>
              <w:snapToGrid w:val="0"/>
              <w:spacing w:line="240" w:lineRule="auto"/>
              <w:jc w:val="center"/>
              <w:rPr>
                <w:rFonts w:hint="default" w:eastAsia="宋体"/>
                <w:color w:val="auto"/>
                <w:sz w:val="24"/>
                <w:lang w:val="en-US" w:eastAsia="zh-CN"/>
              </w:rPr>
            </w:pPr>
            <w:r>
              <w:rPr>
                <w:rFonts w:hint="eastAsia"/>
                <w:color w:val="auto"/>
                <w:sz w:val="24"/>
                <w:lang w:val="en-US" w:eastAsia="zh-CN"/>
              </w:rPr>
              <w:t>曲靖市发展和改革委员会</w:t>
            </w:r>
          </w:p>
        </w:tc>
        <w:tc>
          <w:tcPr>
            <w:tcW w:w="1274" w:type="pct"/>
            <w:noWrap w:val="0"/>
            <w:vAlign w:val="center"/>
          </w:tcPr>
          <w:p w14:paraId="6F849179">
            <w:pPr>
              <w:adjustRightInd w:val="0"/>
              <w:snapToGrid w:val="0"/>
              <w:spacing w:line="240" w:lineRule="auto"/>
              <w:jc w:val="center"/>
              <w:rPr>
                <w:b/>
                <w:bCs/>
                <w:color w:val="auto"/>
                <w:sz w:val="24"/>
              </w:rPr>
            </w:pPr>
            <w:r>
              <w:rPr>
                <w:b/>
                <w:bCs/>
                <w:color w:val="auto"/>
                <w:sz w:val="24"/>
              </w:rPr>
              <w:t>项目审批（核准/</w:t>
            </w:r>
          </w:p>
          <w:p w14:paraId="6A5E9B0D">
            <w:pPr>
              <w:adjustRightInd w:val="0"/>
              <w:snapToGrid w:val="0"/>
              <w:spacing w:line="240" w:lineRule="auto"/>
              <w:jc w:val="center"/>
              <w:rPr>
                <w:b/>
                <w:bCs/>
                <w:color w:val="auto"/>
                <w:sz w:val="24"/>
              </w:rPr>
            </w:pPr>
            <w:r>
              <w:rPr>
                <w:b/>
                <w:bCs/>
                <w:color w:val="auto"/>
                <w:sz w:val="24"/>
              </w:rPr>
              <w:t>备案）文号</w:t>
            </w:r>
          </w:p>
        </w:tc>
        <w:tc>
          <w:tcPr>
            <w:tcW w:w="1721" w:type="pct"/>
            <w:noWrap w:val="0"/>
            <w:vAlign w:val="center"/>
          </w:tcPr>
          <w:p w14:paraId="27D9ADC1">
            <w:pPr>
              <w:adjustRightInd w:val="0"/>
              <w:snapToGrid w:val="0"/>
              <w:spacing w:line="240" w:lineRule="auto"/>
              <w:jc w:val="center"/>
              <w:rPr>
                <w:rFonts w:hint="default" w:eastAsia="宋体"/>
                <w:color w:val="auto"/>
                <w:sz w:val="24"/>
                <w:lang w:val="en-US" w:eastAsia="zh-CN"/>
              </w:rPr>
            </w:pPr>
            <w:r>
              <w:rPr>
                <w:rFonts w:hint="eastAsia" w:eastAsia="宋体"/>
                <w:color w:val="auto"/>
                <w:sz w:val="24"/>
                <w:lang w:val="en-US" w:eastAsia="zh-CN"/>
              </w:rPr>
              <w:t>曲发改基础〔2026〕24号</w:t>
            </w:r>
          </w:p>
        </w:tc>
      </w:tr>
      <w:tr w14:paraId="556AE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16" w:type="pct"/>
            <w:noWrap w:val="0"/>
            <w:tcMar>
              <w:top w:w="16" w:type="dxa"/>
              <w:left w:w="16" w:type="dxa"/>
              <w:right w:w="16" w:type="dxa"/>
            </w:tcMar>
            <w:vAlign w:val="center"/>
          </w:tcPr>
          <w:p w14:paraId="58B1F31B">
            <w:pPr>
              <w:adjustRightInd w:val="0"/>
              <w:snapToGrid w:val="0"/>
              <w:spacing w:line="240" w:lineRule="auto"/>
              <w:jc w:val="center"/>
              <w:rPr>
                <w:b/>
                <w:bCs/>
                <w:color w:val="auto"/>
                <w:sz w:val="24"/>
              </w:rPr>
            </w:pPr>
            <w:r>
              <w:rPr>
                <w:b/>
                <w:bCs/>
                <w:color w:val="auto"/>
                <w:sz w:val="24"/>
              </w:rPr>
              <w:t>总投资（万元）</w:t>
            </w:r>
          </w:p>
        </w:tc>
        <w:tc>
          <w:tcPr>
            <w:tcW w:w="1187" w:type="pct"/>
            <w:noWrap w:val="0"/>
            <w:vAlign w:val="center"/>
          </w:tcPr>
          <w:p w14:paraId="160604C4">
            <w:pPr>
              <w:adjustRightInd w:val="0"/>
              <w:snapToGrid w:val="0"/>
              <w:spacing w:line="240" w:lineRule="auto"/>
              <w:jc w:val="center"/>
              <w:rPr>
                <w:rFonts w:hint="default" w:eastAsia="宋体"/>
                <w:color w:val="auto"/>
                <w:sz w:val="24"/>
                <w:lang w:val="en-US" w:eastAsia="zh-CN"/>
              </w:rPr>
            </w:pPr>
            <w:r>
              <w:rPr>
                <w:rFonts w:hint="eastAsia"/>
                <w:color w:val="auto"/>
                <w:sz w:val="24"/>
                <w:lang w:val="en-US" w:eastAsia="zh-CN"/>
              </w:rPr>
              <w:t>2028.98</w:t>
            </w:r>
          </w:p>
        </w:tc>
        <w:tc>
          <w:tcPr>
            <w:tcW w:w="1274" w:type="pct"/>
            <w:noWrap w:val="0"/>
            <w:tcMar>
              <w:top w:w="16" w:type="dxa"/>
              <w:left w:w="16" w:type="dxa"/>
              <w:right w:w="16" w:type="dxa"/>
            </w:tcMar>
            <w:vAlign w:val="center"/>
          </w:tcPr>
          <w:p w14:paraId="14EDB6B2">
            <w:pPr>
              <w:adjustRightInd w:val="0"/>
              <w:snapToGrid w:val="0"/>
              <w:spacing w:line="240" w:lineRule="auto"/>
              <w:jc w:val="center"/>
              <w:rPr>
                <w:b/>
                <w:bCs/>
                <w:color w:val="auto"/>
                <w:sz w:val="24"/>
              </w:rPr>
            </w:pPr>
            <w:r>
              <w:rPr>
                <w:b/>
                <w:bCs/>
                <w:color w:val="auto"/>
                <w:sz w:val="24"/>
              </w:rPr>
              <w:t>环保投资（万元）</w:t>
            </w:r>
          </w:p>
        </w:tc>
        <w:tc>
          <w:tcPr>
            <w:tcW w:w="1721" w:type="pct"/>
            <w:noWrap w:val="0"/>
            <w:vAlign w:val="center"/>
          </w:tcPr>
          <w:p w14:paraId="0441751E">
            <w:pPr>
              <w:adjustRightInd w:val="0"/>
              <w:snapToGrid w:val="0"/>
              <w:spacing w:line="240" w:lineRule="auto"/>
              <w:jc w:val="center"/>
              <w:rPr>
                <w:rFonts w:hint="default" w:eastAsia="宋体"/>
                <w:color w:val="auto"/>
                <w:sz w:val="24"/>
                <w:lang w:val="en-US" w:eastAsia="zh-CN"/>
              </w:rPr>
            </w:pPr>
            <w:r>
              <w:rPr>
                <w:rFonts w:hint="eastAsia"/>
                <w:color w:val="auto"/>
                <w:sz w:val="24"/>
                <w:lang w:val="en-US" w:eastAsia="zh-CN"/>
              </w:rPr>
              <w:t>137.5</w:t>
            </w:r>
          </w:p>
        </w:tc>
      </w:tr>
      <w:tr w14:paraId="5978C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16" w:type="pct"/>
            <w:noWrap w:val="0"/>
            <w:tcMar>
              <w:top w:w="16" w:type="dxa"/>
              <w:left w:w="16" w:type="dxa"/>
              <w:right w:w="16" w:type="dxa"/>
            </w:tcMar>
            <w:vAlign w:val="center"/>
          </w:tcPr>
          <w:p w14:paraId="22B39511">
            <w:pPr>
              <w:adjustRightInd w:val="0"/>
              <w:snapToGrid w:val="0"/>
              <w:spacing w:line="240" w:lineRule="auto"/>
              <w:jc w:val="center"/>
              <w:rPr>
                <w:b/>
                <w:bCs/>
                <w:color w:val="auto"/>
                <w:sz w:val="24"/>
              </w:rPr>
            </w:pPr>
            <w:r>
              <w:rPr>
                <w:b/>
                <w:bCs/>
                <w:color w:val="auto"/>
                <w:sz w:val="24"/>
              </w:rPr>
              <w:t>环保投资占比（%）</w:t>
            </w:r>
          </w:p>
        </w:tc>
        <w:tc>
          <w:tcPr>
            <w:tcW w:w="1187" w:type="pct"/>
            <w:noWrap w:val="0"/>
            <w:vAlign w:val="center"/>
          </w:tcPr>
          <w:p w14:paraId="20FF806C">
            <w:pPr>
              <w:adjustRightInd w:val="0"/>
              <w:snapToGrid w:val="0"/>
              <w:spacing w:line="240" w:lineRule="auto"/>
              <w:jc w:val="center"/>
              <w:rPr>
                <w:color w:val="auto"/>
                <w:sz w:val="24"/>
              </w:rPr>
            </w:pPr>
            <w:r>
              <w:rPr>
                <w:rFonts w:hint="eastAsia"/>
                <w:color w:val="auto"/>
                <w:sz w:val="24"/>
                <w:lang w:val="en-US" w:eastAsia="zh-CN"/>
              </w:rPr>
              <w:t>6.78</w:t>
            </w:r>
            <w:r>
              <w:rPr>
                <w:rFonts w:hint="eastAsia"/>
                <w:color w:val="auto"/>
                <w:sz w:val="24"/>
              </w:rPr>
              <w:t>%</w:t>
            </w:r>
          </w:p>
        </w:tc>
        <w:tc>
          <w:tcPr>
            <w:tcW w:w="1274" w:type="pct"/>
            <w:noWrap w:val="0"/>
            <w:tcMar>
              <w:top w:w="16" w:type="dxa"/>
              <w:left w:w="16" w:type="dxa"/>
              <w:right w:w="16" w:type="dxa"/>
            </w:tcMar>
            <w:vAlign w:val="center"/>
          </w:tcPr>
          <w:p w14:paraId="31F1A230">
            <w:pPr>
              <w:adjustRightInd w:val="0"/>
              <w:snapToGrid w:val="0"/>
              <w:spacing w:line="240" w:lineRule="auto"/>
              <w:jc w:val="center"/>
              <w:rPr>
                <w:b/>
                <w:bCs/>
                <w:color w:val="auto"/>
                <w:sz w:val="24"/>
              </w:rPr>
            </w:pPr>
            <w:r>
              <w:rPr>
                <w:b/>
                <w:bCs/>
                <w:color w:val="auto"/>
                <w:sz w:val="24"/>
              </w:rPr>
              <w:t>施工工期</w:t>
            </w:r>
          </w:p>
        </w:tc>
        <w:tc>
          <w:tcPr>
            <w:tcW w:w="1721" w:type="pct"/>
            <w:noWrap w:val="0"/>
            <w:vAlign w:val="center"/>
          </w:tcPr>
          <w:p w14:paraId="081F2CC6">
            <w:pPr>
              <w:adjustRightInd w:val="0"/>
              <w:snapToGrid w:val="0"/>
              <w:spacing w:line="240" w:lineRule="auto"/>
              <w:jc w:val="center"/>
              <w:rPr>
                <w:color w:val="auto"/>
                <w:sz w:val="24"/>
              </w:rPr>
            </w:pPr>
            <w:r>
              <w:rPr>
                <w:rFonts w:hint="eastAsia"/>
                <w:color w:val="auto"/>
                <w:sz w:val="24"/>
                <w:lang w:val="en-US" w:eastAsia="zh-CN"/>
              </w:rPr>
              <w:t>8</w:t>
            </w:r>
            <w:r>
              <w:rPr>
                <w:color w:val="auto"/>
                <w:sz w:val="24"/>
              </w:rPr>
              <w:t>个月</w:t>
            </w:r>
          </w:p>
        </w:tc>
      </w:tr>
      <w:tr w14:paraId="08017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16" w:type="pct"/>
            <w:noWrap w:val="0"/>
            <w:tcMar>
              <w:top w:w="16" w:type="dxa"/>
              <w:left w:w="16" w:type="dxa"/>
              <w:right w:w="16" w:type="dxa"/>
            </w:tcMar>
            <w:vAlign w:val="center"/>
          </w:tcPr>
          <w:p w14:paraId="339476F1">
            <w:pPr>
              <w:adjustRightInd w:val="0"/>
              <w:snapToGrid w:val="0"/>
              <w:spacing w:line="400" w:lineRule="exact"/>
              <w:jc w:val="center"/>
              <w:rPr>
                <w:b/>
                <w:bCs/>
                <w:color w:val="auto"/>
                <w:sz w:val="24"/>
              </w:rPr>
            </w:pPr>
            <w:r>
              <w:rPr>
                <w:b/>
                <w:bCs/>
                <w:color w:val="auto"/>
                <w:sz w:val="24"/>
              </w:rPr>
              <w:t>是否开工建设</w:t>
            </w:r>
          </w:p>
        </w:tc>
        <w:tc>
          <w:tcPr>
            <w:tcW w:w="4183" w:type="pct"/>
            <w:gridSpan w:val="3"/>
            <w:noWrap w:val="0"/>
            <w:vAlign w:val="center"/>
          </w:tcPr>
          <w:p w14:paraId="3D87C6A1">
            <w:pPr>
              <w:adjustRightInd w:val="0"/>
              <w:snapToGrid w:val="0"/>
              <w:spacing w:line="400" w:lineRule="exact"/>
              <w:rPr>
                <w:color w:val="auto"/>
                <w:sz w:val="24"/>
              </w:rPr>
            </w:pPr>
            <w:r>
              <w:rPr>
                <w:rFonts w:hint="eastAsia"/>
                <w:color w:val="auto"/>
                <w:sz w:val="24"/>
                <w:lang w:eastAsia="zh-CN"/>
              </w:rPr>
              <w:t>☑</w:t>
            </w:r>
            <w:r>
              <w:rPr>
                <w:color w:val="auto"/>
                <w:sz w:val="24"/>
              </w:rPr>
              <w:t>否</w:t>
            </w:r>
          </w:p>
          <w:p w14:paraId="79D1FB04">
            <w:pPr>
              <w:adjustRightInd w:val="0"/>
              <w:snapToGrid w:val="0"/>
              <w:spacing w:line="400" w:lineRule="exact"/>
              <w:rPr>
                <w:rFonts w:hint="default" w:eastAsia="宋体"/>
                <w:color w:val="auto"/>
                <w:sz w:val="24"/>
                <w:lang w:val="en-US" w:eastAsia="zh-CN"/>
              </w:rPr>
            </w:pPr>
            <w:r>
              <w:rPr>
                <w:color w:val="auto"/>
                <w:sz w:val="24"/>
              </w:rPr>
              <w:sym w:font="Wingdings 2" w:char="00A3"/>
            </w:r>
            <w:r>
              <w:rPr>
                <w:color w:val="auto"/>
                <w:sz w:val="24"/>
              </w:rPr>
              <w:t>是</w:t>
            </w:r>
          </w:p>
        </w:tc>
      </w:tr>
      <w:tr w14:paraId="4D08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jc w:val="center"/>
        </w:trPr>
        <w:tc>
          <w:tcPr>
            <w:tcW w:w="816" w:type="pct"/>
            <w:noWrap w:val="0"/>
            <w:tcMar>
              <w:top w:w="16" w:type="dxa"/>
              <w:left w:w="16" w:type="dxa"/>
              <w:right w:w="16" w:type="dxa"/>
            </w:tcMar>
            <w:vAlign w:val="center"/>
          </w:tcPr>
          <w:p w14:paraId="6E395C39">
            <w:pPr>
              <w:adjustRightInd w:val="0"/>
              <w:snapToGrid w:val="0"/>
              <w:spacing w:line="400" w:lineRule="exact"/>
              <w:jc w:val="center"/>
              <w:rPr>
                <w:b/>
                <w:bCs/>
                <w:color w:val="auto"/>
                <w:sz w:val="24"/>
              </w:rPr>
            </w:pPr>
            <w:r>
              <w:rPr>
                <w:b/>
                <w:bCs/>
                <w:color w:val="auto"/>
                <w:kern w:val="0"/>
                <w:sz w:val="24"/>
              </w:rPr>
              <w:t>专项评价设置情况</w:t>
            </w:r>
          </w:p>
        </w:tc>
        <w:tc>
          <w:tcPr>
            <w:tcW w:w="4183" w:type="pct"/>
            <w:gridSpan w:val="3"/>
            <w:noWrap w:val="0"/>
            <w:vAlign w:val="center"/>
          </w:tcPr>
          <w:p w14:paraId="0BFE6775">
            <w:pPr>
              <w:adjustRightInd w:val="0"/>
              <w:snapToGrid w:val="0"/>
              <w:spacing w:line="400" w:lineRule="exact"/>
              <w:ind w:firstLine="480" w:firstLineChars="200"/>
              <w:rPr>
                <w:color w:val="auto"/>
                <w:sz w:val="24"/>
              </w:rPr>
            </w:pPr>
            <w:r>
              <w:rPr>
                <w:rFonts w:hint="eastAsia"/>
                <w:color w:val="auto"/>
                <w:sz w:val="24"/>
              </w:rPr>
              <w:t>根据《建设项目环境影响报告表编制技术指南》（生态影响类）（试 行）专项设置情况表分析，本项目专项评价设置原则表情况见下表。</w:t>
            </w:r>
          </w:p>
          <w:p w14:paraId="43390578">
            <w:pPr>
              <w:autoSpaceDE w:val="0"/>
              <w:autoSpaceDN w:val="0"/>
              <w:adjustRightInd w:val="0"/>
              <w:snapToGrid w:val="0"/>
              <w:spacing w:line="240" w:lineRule="auto"/>
              <w:jc w:val="center"/>
              <w:rPr>
                <w:b/>
                <w:bCs/>
                <w:color w:val="auto"/>
                <w:spacing w:val="-6"/>
                <w:sz w:val="24"/>
              </w:rPr>
            </w:pPr>
            <w:r>
              <w:rPr>
                <w:b/>
                <w:bCs/>
                <w:color w:val="auto"/>
                <w:spacing w:val="-6"/>
                <w:sz w:val="24"/>
              </w:rPr>
              <w:t>表</w:t>
            </w:r>
            <w:r>
              <w:rPr>
                <w:b/>
                <w:bCs/>
                <w:color w:val="auto"/>
                <w:spacing w:val="-4"/>
                <w:sz w:val="24"/>
              </w:rPr>
              <w:t xml:space="preserve">1-1 </w:t>
            </w:r>
            <w:r>
              <w:rPr>
                <w:rFonts w:hint="eastAsia"/>
                <w:b/>
                <w:bCs/>
                <w:color w:val="auto"/>
                <w:spacing w:val="-4"/>
                <w:sz w:val="24"/>
              </w:rPr>
              <w:t xml:space="preserve"> 专项评价设置原则表</w:t>
            </w:r>
          </w:p>
          <w:tbl>
            <w:tblPr>
              <w:tblStyle w:val="30"/>
              <w:tblW w:w="49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816"/>
              <w:gridCol w:w="3287"/>
              <w:gridCol w:w="2076"/>
              <w:gridCol w:w="739"/>
            </w:tblGrid>
            <w:tr w14:paraId="363FDC4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590" w:type="pct"/>
                  <w:noWrap w:val="0"/>
                  <w:vAlign w:val="center"/>
                </w:tcPr>
                <w:p w14:paraId="3F723CC5">
                  <w:pPr>
                    <w:adjustRightInd w:val="0"/>
                    <w:snapToGrid w:val="0"/>
                    <w:spacing w:line="240" w:lineRule="auto"/>
                    <w:jc w:val="center"/>
                    <w:rPr>
                      <w:rFonts w:hint="eastAsia"/>
                      <w:color w:val="auto"/>
                      <w:szCs w:val="21"/>
                    </w:rPr>
                  </w:pPr>
                  <w:r>
                    <w:rPr>
                      <w:rFonts w:hint="eastAsia"/>
                      <w:color w:val="auto"/>
                      <w:szCs w:val="21"/>
                    </w:rPr>
                    <w:t>专项评价类别</w:t>
                  </w:r>
                </w:p>
              </w:tc>
              <w:tc>
                <w:tcPr>
                  <w:tcW w:w="2376" w:type="pct"/>
                  <w:noWrap w:val="0"/>
                  <w:vAlign w:val="center"/>
                </w:tcPr>
                <w:p w14:paraId="6B1AD06E">
                  <w:pPr>
                    <w:adjustRightInd w:val="0"/>
                    <w:snapToGrid w:val="0"/>
                    <w:spacing w:line="240" w:lineRule="auto"/>
                    <w:jc w:val="center"/>
                    <w:rPr>
                      <w:rFonts w:hint="eastAsia"/>
                      <w:color w:val="auto"/>
                      <w:szCs w:val="21"/>
                    </w:rPr>
                  </w:pPr>
                  <w:r>
                    <w:rPr>
                      <w:rFonts w:hint="eastAsia"/>
                      <w:color w:val="auto"/>
                      <w:szCs w:val="21"/>
                    </w:rPr>
                    <w:t>涉及项目类别</w:t>
                  </w:r>
                </w:p>
              </w:tc>
              <w:tc>
                <w:tcPr>
                  <w:tcW w:w="1500" w:type="pct"/>
                  <w:noWrap w:val="0"/>
                  <w:vAlign w:val="center"/>
                </w:tcPr>
                <w:p w14:paraId="317D98BC">
                  <w:pPr>
                    <w:adjustRightInd w:val="0"/>
                    <w:snapToGrid w:val="0"/>
                    <w:spacing w:line="240" w:lineRule="auto"/>
                    <w:jc w:val="center"/>
                    <w:rPr>
                      <w:rFonts w:hint="eastAsia"/>
                      <w:color w:val="auto"/>
                      <w:szCs w:val="21"/>
                    </w:rPr>
                  </w:pPr>
                  <w:r>
                    <w:rPr>
                      <w:rFonts w:hint="eastAsia"/>
                      <w:color w:val="auto"/>
                      <w:szCs w:val="21"/>
                    </w:rPr>
                    <w:t>本项目专项评价判定</w:t>
                  </w:r>
                </w:p>
              </w:tc>
              <w:tc>
                <w:tcPr>
                  <w:tcW w:w="532" w:type="pct"/>
                  <w:noWrap w:val="0"/>
                  <w:vAlign w:val="center"/>
                </w:tcPr>
                <w:p w14:paraId="1EEC9DFE">
                  <w:pPr>
                    <w:adjustRightInd w:val="0"/>
                    <w:snapToGrid w:val="0"/>
                    <w:spacing w:line="240" w:lineRule="auto"/>
                    <w:jc w:val="center"/>
                    <w:rPr>
                      <w:rFonts w:hint="eastAsia"/>
                      <w:color w:val="auto"/>
                      <w:szCs w:val="21"/>
                    </w:rPr>
                  </w:pPr>
                  <w:r>
                    <w:rPr>
                      <w:rFonts w:hint="eastAsia"/>
                      <w:color w:val="auto"/>
                      <w:szCs w:val="21"/>
                    </w:rPr>
                    <w:t>设置情况</w:t>
                  </w:r>
                </w:p>
              </w:tc>
            </w:tr>
            <w:tr w14:paraId="7315D9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590" w:type="pct"/>
                  <w:noWrap w:val="0"/>
                  <w:vAlign w:val="center"/>
                </w:tcPr>
                <w:p w14:paraId="6801D2CC">
                  <w:pPr>
                    <w:adjustRightInd w:val="0"/>
                    <w:snapToGrid w:val="0"/>
                    <w:spacing w:line="240" w:lineRule="auto"/>
                    <w:jc w:val="center"/>
                    <w:rPr>
                      <w:rFonts w:hint="eastAsia"/>
                      <w:color w:val="auto"/>
                      <w:szCs w:val="21"/>
                    </w:rPr>
                  </w:pPr>
                  <w:r>
                    <w:rPr>
                      <w:rFonts w:hint="eastAsia"/>
                      <w:color w:val="auto"/>
                      <w:szCs w:val="21"/>
                    </w:rPr>
                    <w:t>地表水</w:t>
                  </w:r>
                </w:p>
              </w:tc>
              <w:tc>
                <w:tcPr>
                  <w:tcW w:w="2376" w:type="pct"/>
                  <w:noWrap w:val="0"/>
                  <w:vAlign w:val="center"/>
                </w:tcPr>
                <w:p w14:paraId="4ACE3529">
                  <w:pPr>
                    <w:adjustRightInd w:val="0"/>
                    <w:snapToGrid w:val="0"/>
                    <w:spacing w:line="240" w:lineRule="auto"/>
                    <w:jc w:val="left"/>
                    <w:rPr>
                      <w:rFonts w:hint="eastAsia"/>
                      <w:color w:val="auto"/>
                      <w:szCs w:val="21"/>
                    </w:rPr>
                  </w:pPr>
                  <w:r>
                    <w:rPr>
                      <w:rFonts w:hint="eastAsia"/>
                      <w:color w:val="auto"/>
                      <w:szCs w:val="21"/>
                    </w:rPr>
                    <w:t>水力发电：引水式发电、涉及调峰发电的项目；人工湖、人工湿地：全部；</w:t>
                  </w:r>
                </w:p>
                <w:p w14:paraId="656CE48F">
                  <w:pPr>
                    <w:adjustRightInd w:val="0"/>
                    <w:snapToGrid w:val="0"/>
                    <w:spacing w:line="240" w:lineRule="auto"/>
                    <w:jc w:val="left"/>
                    <w:rPr>
                      <w:rFonts w:hint="eastAsia"/>
                      <w:color w:val="auto"/>
                      <w:szCs w:val="21"/>
                    </w:rPr>
                  </w:pPr>
                  <w:r>
                    <w:rPr>
                      <w:rFonts w:hint="eastAsia"/>
                      <w:color w:val="auto"/>
                      <w:szCs w:val="21"/>
                    </w:rPr>
                    <w:t>水库：全部；</w:t>
                  </w:r>
                </w:p>
                <w:p w14:paraId="38811C4C">
                  <w:pPr>
                    <w:adjustRightInd w:val="0"/>
                    <w:snapToGrid w:val="0"/>
                    <w:spacing w:line="240" w:lineRule="auto"/>
                    <w:jc w:val="left"/>
                    <w:rPr>
                      <w:rFonts w:hint="eastAsia"/>
                      <w:color w:val="auto"/>
                      <w:szCs w:val="21"/>
                    </w:rPr>
                  </w:pPr>
                  <w:r>
                    <w:rPr>
                      <w:rFonts w:hint="eastAsia"/>
                      <w:color w:val="auto"/>
                      <w:szCs w:val="21"/>
                    </w:rPr>
                    <w:t>引水工程：全部（配套的管线工程等除外）；</w:t>
                  </w:r>
                </w:p>
                <w:p w14:paraId="740FA060">
                  <w:pPr>
                    <w:adjustRightInd w:val="0"/>
                    <w:snapToGrid w:val="0"/>
                    <w:spacing w:line="240" w:lineRule="auto"/>
                    <w:jc w:val="left"/>
                    <w:rPr>
                      <w:rFonts w:hint="eastAsia"/>
                      <w:color w:val="auto"/>
                      <w:szCs w:val="21"/>
                    </w:rPr>
                  </w:pPr>
                  <w:r>
                    <w:rPr>
                      <w:rFonts w:hint="eastAsia"/>
                      <w:color w:val="auto"/>
                      <w:szCs w:val="21"/>
                    </w:rPr>
                    <w:t>防洪除涝工程：包含水库的项目；</w:t>
                  </w:r>
                </w:p>
                <w:p w14:paraId="0EE14334">
                  <w:pPr>
                    <w:adjustRightInd w:val="0"/>
                    <w:snapToGrid w:val="0"/>
                    <w:spacing w:line="240" w:lineRule="auto"/>
                    <w:jc w:val="left"/>
                    <w:rPr>
                      <w:rFonts w:hint="eastAsia"/>
                      <w:color w:val="auto"/>
                      <w:szCs w:val="21"/>
                    </w:rPr>
                  </w:pPr>
                  <w:r>
                    <w:rPr>
                      <w:rFonts w:hint="eastAsia"/>
                      <w:color w:val="auto"/>
                      <w:szCs w:val="21"/>
                    </w:rPr>
                    <w:t>河湖整治：涉及清淤且底泥存在重金属污染的项目</w:t>
                  </w:r>
                </w:p>
              </w:tc>
              <w:tc>
                <w:tcPr>
                  <w:tcW w:w="1500" w:type="pct"/>
                  <w:noWrap w:val="0"/>
                  <w:vAlign w:val="center"/>
                </w:tcPr>
                <w:p w14:paraId="5A3F4B0C">
                  <w:pPr>
                    <w:adjustRightInd w:val="0"/>
                    <w:snapToGrid w:val="0"/>
                    <w:spacing w:line="240" w:lineRule="auto"/>
                    <w:jc w:val="center"/>
                    <w:rPr>
                      <w:rFonts w:hint="eastAsia"/>
                      <w:color w:val="auto"/>
                      <w:szCs w:val="21"/>
                    </w:rPr>
                  </w:pPr>
                  <w:r>
                    <w:rPr>
                      <w:rFonts w:hint="eastAsia"/>
                      <w:color w:val="auto"/>
                      <w:szCs w:val="21"/>
                    </w:rPr>
                    <w:t>本项目为输变电建设项目，不属于需做地表水专项的项目类别</w:t>
                  </w:r>
                </w:p>
              </w:tc>
              <w:tc>
                <w:tcPr>
                  <w:tcW w:w="532" w:type="pct"/>
                  <w:noWrap w:val="0"/>
                  <w:vAlign w:val="center"/>
                </w:tcPr>
                <w:p w14:paraId="56E7954D">
                  <w:pPr>
                    <w:adjustRightInd w:val="0"/>
                    <w:snapToGrid w:val="0"/>
                    <w:spacing w:line="240" w:lineRule="auto"/>
                    <w:jc w:val="center"/>
                    <w:rPr>
                      <w:rFonts w:hint="eastAsia"/>
                      <w:color w:val="auto"/>
                      <w:szCs w:val="21"/>
                    </w:rPr>
                  </w:pPr>
                  <w:r>
                    <w:rPr>
                      <w:rFonts w:hint="eastAsia"/>
                      <w:color w:val="auto"/>
                      <w:szCs w:val="21"/>
                    </w:rPr>
                    <w:t>不设置</w:t>
                  </w:r>
                </w:p>
              </w:tc>
            </w:tr>
            <w:tr w14:paraId="6D3A962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590" w:type="pct"/>
                  <w:noWrap w:val="0"/>
                  <w:vAlign w:val="center"/>
                </w:tcPr>
                <w:p w14:paraId="3B39B9AF">
                  <w:pPr>
                    <w:adjustRightInd w:val="0"/>
                    <w:snapToGrid w:val="0"/>
                    <w:spacing w:line="240" w:lineRule="auto"/>
                    <w:jc w:val="center"/>
                    <w:rPr>
                      <w:rFonts w:hint="eastAsia"/>
                      <w:color w:val="auto"/>
                      <w:szCs w:val="21"/>
                    </w:rPr>
                  </w:pPr>
                  <w:r>
                    <w:rPr>
                      <w:rFonts w:hint="eastAsia"/>
                      <w:color w:val="auto"/>
                      <w:szCs w:val="21"/>
                    </w:rPr>
                    <w:t>地下水</w:t>
                  </w:r>
                </w:p>
              </w:tc>
              <w:tc>
                <w:tcPr>
                  <w:tcW w:w="2376" w:type="pct"/>
                  <w:noWrap w:val="0"/>
                  <w:vAlign w:val="center"/>
                </w:tcPr>
                <w:p w14:paraId="10A65821">
                  <w:pPr>
                    <w:adjustRightInd w:val="0"/>
                    <w:snapToGrid w:val="0"/>
                    <w:spacing w:line="240" w:lineRule="auto"/>
                    <w:jc w:val="left"/>
                    <w:rPr>
                      <w:rFonts w:hint="eastAsia"/>
                      <w:color w:val="auto"/>
                      <w:szCs w:val="21"/>
                    </w:rPr>
                  </w:pPr>
                  <w:r>
                    <w:rPr>
                      <w:rFonts w:hint="eastAsia"/>
                      <w:color w:val="auto"/>
                      <w:szCs w:val="21"/>
                    </w:rPr>
                    <w:t>陆地石油和天然气开采：全部；</w:t>
                  </w:r>
                </w:p>
                <w:p w14:paraId="77B2B919">
                  <w:pPr>
                    <w:adjustRightInd w:val="0"/>
                    <w:snapToGrid w:val="0"/>
                    <w:spacing w:line="240" w:lineRule="auto"/>
                    <w:jc w:val="left"/>
                    <w:rPr>
                      <w:rFonts w:hint="eastAsia"/>
                      <w:color w:val="auto"/>
                      <w:szCs w:val="21"/>
                    </w:rPr>
                  </w:pPr>
                  <w:r>
                    <w:rPr>
                      <w:rFonts w:hint="eastAsia"/>
                      <w:color w:val="auto"/>
                      <w:szCs w:val="21"/>
                    </w:rPr>
                    <w:t>地下水（含矿泉水）开采：全部；</w:t>
                  </w:r>
                </w:p>
                <w:p w14:paraId="235DE115">
                  <w:pPr>
                    <w:adjustRightInd w:val="0"/>
                    <w:snapToGrid w:val="0"/>
                    <w:spacing w:line="240" w:lineRule="auto"/>
                    <w:jc w:val="left"/>
                    <w:rPr>
                      <w:rFonts w:hint="eastAsia"/>
                      <w:color w:val="auto"/>
                      <w:szCs w:val="21"/>
                    </w:rPr>
                  </w:pPr>
                  <w:r>
                    <w:rPr>
                      <w:rFonts w:hint="eastAsia"/>
                      <w:color w:val="auto"/>
                      <w:szCs w:val="21"/>
                    </w:rPr>
                    <w:t>水利、水电、交通等：含穿越可溶岩地层隧道的项目</w:t>
                  </w:r>
                </w:p>
              </w:tc>
              <w:tc>
                <w:tcPr>
                  <w:tcW w:w="1500" w:type="pct"/>
                  <w:noWrap w:val="0"/>
                  <w:vAlign w:val="center"/>
                </w:tcPr>
                <w:p w14:paraId="480F0884">
                  <w:pPr>
                    <w:adjustRightInd w:val="0"/>
                    <w:snapToGrid w:val="0"/>
                    <w:spacing w:line="240" w:lineRule="auto"/>
                    <w:jc w:val="center"/>
                    <w:rPr>
                      <w:rFonts w:hint="eastAsia"/>
                      <w:color w:val="auto"/>
                      <w:szCs w:val="21"/>
                    </w:rPr>
                  </w:pPr>
                  <w:r>
                    <w:rPr>
                      <w:rFonts w:hint="eastAsia"/>
                      <w:color w:val="auto"/>
                      <w:szCs w:val="21"/>
                    </w:rPr>
                    <w:t>本项目为输变电建设项目，不属于需做地下水专项的项目类别</w:t>
                  </w:r>
                </w:p>
              </w:tc>
              <w:tc>
                <w:tcPr>
                  <w:tcW w:w="532" w:type="pct"/>
                  <w:noWrap w:val="0"/>
                  <w:vAlign w:val="center"/>
                </w:tcPr>
                <w:p w14:paraId="3C61D813">
                  <w:pPr>
                    <w:adjustRightInd w:val="0"/>
                    <w:snapToGrid w:val="0"/>
                    <w:spacing w:line="240" w:lineRule="auto"/>
                    <w:jc w:val="center"/>
                    <w:rPr>
                      <w:rFonts w:hint="eastAsia"/>
                      <w:color w:val="auto"/>
                      <w:szCs w:val="21"/>
                    </w:rPr>
                  </w:pPr>
                  <w:r>
                    <w:rPr>
                      <w:rFonts w:hint="eastAsia"/>
                      <w:color w:val="auto"/>
                      <w:szCs w:val="21"/>
                    </w:rPr>
                    <w:t>不设置</w:t>
                  </w:r>
                </w:p>
              </w:tc>
            </w:tr>
            <w:tr w14:paraId="0CD969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590" w:type="pct"/>
                  <w:noWrap w:val="0"/>
                  <w:vAlign w:val="center"/>
                </w:tcPr>
                <w:p w14:paraId="5DECBE68">
                  <w:pPr>
                    <w:adjustRightInd w:val="0"/>
                    <w:snapToGrid w:val="0"/>
                    <w:spacing w:line="240" w:lineRule="auto"/>
                    <w:jc w:val="center"/>
                    <w:rPr>
                      <w:rFonts w:hint="eastAsia"/>
                      <w:color w:val="auto"/>
                      <w:szCs w:val="21"/>
                    </w:rPr>
                  </w:pPr>
                  <w:r>
                    <w:rPr>
                      <w:rFonts w:hint="eastAsia"/>
                      <w:color w:val="auto"/>
                      <w:szCs w:val="21"/>
                    </w:rPr>
                    <w:t>生态</w:t>
                  </w:r>
                </w:p>
              </w:tc>
              <w:tc>
                <w:tcPr>
                  <w:tcW w:w="2376" w:type="pct"/>
                  <w:noWrap w:val="0"/>
                  <w:vAlign w:val="center"/>
                </w:tcPr>
                <w:p w14:paraId="3ACE2DA2">
                  <w:pPr>
                    <w:adjustRightInd w:val="0"/>
                    <w:snapToGrid w:val="0"/>
                    <w:spacing w:line="240" w:lineRule="auto"/>
                    <w:jc w:val="center"/>
                    <w:rPr>
                      <w:rFonts w:hint="eastAsia"/>
                      <w:color w:val="auto"/>
                      <w:szCs w:val="21"/>
                    </w:rPr>
                  </w:pPr>
                  <w:r>
                    <w:rPr>
                      <w:rFonts w:hint="eastAsia"/>
                      <w:color w:val="auto"/>
                      <w:szCs w:val="21"/>
                    </w:rPr>
                    <w:t>涉及环境敏感区（不包括饮用水水源保护区，以居住、医疗卫生、文化教育、科研、行政办公为主要功能的区域，以及文物保护单位）的项目</w:t>
                  </w:r>
                </w:p>
              </w:tc>
              <w:tc>
                <w:tcPr>
                  <w:tcW w:w="1500" w:type="pct"/>
                  <w:noWrap w:val="0"/>
                  <w:vAlign w:val="center"/>
                </w:tcPr>
                <w:p w14:paraId="51DA0895">
                  <w:pPr>
                    <w:widowControl/>
                    <w:autoSpaceDE w:val="0"/>
                    <w:autoSpaceDN w:val="0"/>
                    <w:adjustRightInd w:val="0"/>
                    <w:snapToGrid w:val="0"/>
                    <w:spacing w:line="240" w:lineRule="auto"/>
                    <w:jc w:val="center"/>
                    <w:rPr>
                      <w:rFonts w:hint="eastAsia"/>
                      <w:color w:val="auto"/>
                      <w:szCs w:val="21"/>
                    </w:rPr>
                  </w:pPr>
                  <w:r>
                    <w:rPr>
                      <w:rFonts w:hint="eastAsia" w:ascii="宋体" w:hAnsi="宋体" w:cs="宋体"/>
                      <w:color w:val="auto"/>
                      <w:kern w:val="0"/>
                      <w:szCs w:val="21"/>
                      <w:lang w:bidi="ar"/>
                    </w:rPr>
                    <w:t>《建设项目环境影响评价分类管理名录》中针对该类项目所列的敏感区为：（一）国家公园、自然保护区、风景名胜区、世界文化和自然遗产地、海洋特别保护区、饮用水水源保护区；（三）以居住、医疗卫生、文化教育、科研、行政办公等为主要功能的区域。根据相关部门的查询结果，项目不涉及上述生态敏感区。</w:t>
                  </w:r>
                </w:p>
              </w:tc>
              <w:tc>
                <w:tcPr>
                  <w:tcW w:w="532" w:type="pct"/>
                  <w:noWrap w:val="0"/>
                  <w:vAlign w:val="center"/>
                </w:tcPr>
                <w:p w14:paraId="3E97B5C7">
                  <w:pPr>
                    <w:adjustRightInd w:val="0"/>
                    <w:snapToGrid w:val="0"/>
                    <w:spacing w:line="240" w:lineRule="auto"/>
                    <w:jc w:val="center"/>
                    <w:rPr>
                      <w:rFonts w:hint="eastAsia"/>
                      <w:color w:val="auto"/>
                      <w:szCs w:val="21"/>
                    </w:rPr>
                  </w:pPr>
                  <w:r>
                    <w:rPr>
                      <w:rFonts w:hint="eastAsia"/>
                      <w:color w:val="auto"/>
                      <w:szCs w:val="21"/>
                    </w:rPr>
                    <w:t>不设置</w:t>
                  </w:r>
                </w:p>
              </w:tc>
            </w:tr>
            <w:tr w14:paraId="2286425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590" w:type="pct"/>
                  <w:noWrap w:val="0"/>
                  <w:vAlign w:val="center"/>
                </w:tcPr>
                <w:p w14:paraId="56D95C2B">
                  <w:pPr>
                    <w:adjustRightInd w:val="0"/>
                    <w:snapToGrid w:val="0"/>
                    <w:spacing w:line="240" w:lineRule="auto"/>
                    <w:jc w:val="center"/>
                    <w:rPr>
                      <w:rFonts w:hint="eastAsia"/>
                      <w:color w:val="auto"/>
                      <w:szCs w:val="21"/>
                    </w:rPr>
                  </w:pPr>
                  <w:r>
                    <w:rPr>
                      <w:rFonts w:hint="eastAsia"/>
                      <w:color w:val="auto"/>
                      <w:szCs w:val="21"/>
                    </w:rPr>
                    <w:t>大气</w:t>
                  </w:r>
                </w:p>
              </w:tc>
              <w:tc>
                <w:tcPr>
                  <w:tcW w:w="2376" w:type="pct"/>
                  <w:noWrap w:val="0"/>
                  <w:vAlign w:val="center"/>
                </w:tcPr>
                <w:p w14:paraId="5A769535">
                  <w:pPr>
                    <w:adjustRightInd w:val="0"/>
                    <w:snapToGrid w:val="0"/>
                    <w:spacing w:line="240" w:lineRule="auto"/>
                    <w:jc w:val="left"/>
                    <w:rPr>
                      <w:rFonts w:hint="eastAsia"/>
                      <w:color w:val="auto"/>
                      <w:szCs w:val="21"/>
                    </w:rPr>
                  </w:pPr>
                  <w:r>
                    <w:rPr>
                      <w:rFonts w:hint="eastAsia"/>
                      <w:color w:val="auto"/>
                      <w:szCs w:val="21"/>
                    </w:rPr>
                    <w:t>油气、液体化工码头：全部；</w:t>
                  </w:r>
                </w:p>
                <w:p w14:paraId="5A37DAFC">
                  <w:pPr>
                    <w:adjustRightInd w:val="0"/>
                    <w:snapToGrid w:val="0"/>
                    <w:spacing w:line="240" w:lineRule="auto"/>
                    <w:jc w:val="left"/>
                    <w:rPr>
                      <w:rFonts w:hint="eastAsia"/>
                      <w:color w:val="auto"/>
                      <w:szCs w:val="21"/>
                    </w:rPr>
                  </w:pPr>
                  <w:r>
                    <w:rPr>
                      <w:rFonts w:hint="eastAsia"/>
                      <w:color w:val="auto"/>
                      <w:szCs w:val="21"/>
                    </w:rPr>
                    <w:t>干散货（含煤炭、矿石）、件杂、多用途、通用码头：涉及粉尘、挥发性有机物排放的项目</w:t>
                  </w:r>
                </w:p>
              </w:tc>
              <w:tc>
                <w:tcPr>
                  <w:tcW w:w="1500" w:type="pct"/>
                  <w:noWrap w:val="0"/>
                  <w:vAlign w:val="center"/>
                </w:tcPr>
                <w:p w14:paraId="549FD336">
                  <w:pPr>
                    <w:adjustRightInd w:val="0"/>
                    <w:snapToGrid w:val="0"/>
                    <w:spacing w:line="240" w:lineRule="auto"/>
                    <w:jc w:val="center"/>
                    <w:rPr>
                      <w:rFonts w:hint="eastAsia"/>
                      <w:color w:val="auto"/>
                      <w:szCs w:val="21"/>
                    </w:rPr>
                  </w:pPr>
                  <w:r>
                    <w:rPr>
                      <w:rFonts w:hint="eastAsia"/>
                      <w:color w:val="auto"/>
                      <w:szCs w:val="21"/>
                    </w:rPr>
                    <w:t>本项目为输变电建设项目，不属于需做大气专项的项目类别</w:t>
                  </w:r>
                </w:p>
              </w:tc>
              <w:tc>
                <w:tcPr>
                  <w:tcW w:w="532" w:type="pct"/>
                  <w:noWrap w:val="0"/>
                  <w:vAlign w:val="center"/>
                </w:tcPr>
                <w:p w14:paraId="7456C8D9">
                  <w:pPr>
                    <w:adjustRightInd w:val="0"/>
                    <w:snapToGrid w:val="0"/>
                    <w:spacing w:line="240" w:lineRule="auto"/>
                    <w:jc w:val="center"/>
                    <w:rPr>
                      <w:rFonts w:hint="eastAsia"/>
                      <w:color w:val="auto"/>
                      <w:szCs w:val="21"/>
                    </w:rPr>
                  </w:pPr>
                  <w:r>
                    <w:rPr>
                      <w:rFonts w:hint="eastAsia"/>
                      <w:color w:val="auto"/>
                      <w:szCs w:val="21"/>
                    </w:rPr>
                    <w:t>不设置</w:t>
                  </w:r>
                </w:p>
              </w:tc>
            </w:tr>
            <w:tr w14:paraId="159CDA6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590" w:type="pct"/>
                  <w:noWrap w:val="0"/>
                  <w:vAlign w:val="center"/>
                </w:tcPr>
                <w:p w14:paraId="6B91636D">
                  <w:pPr>
                    <w:adjustRightInd w:val="0"/>
                    <w:snapToGrid w:val="0"/>
                    <w:spacing w:line="240" w:lineRule="auto"/>
                    <w:jc w:val="center"/>
                    <w:rPr>
                      <w:rFonts w:hint="eastAsia"/>
                      <w:color w:val="auto"/>
                      <w:szCs w:val="21"/>
                    </w:rPr>
                  </w:pPr>
                  <w:r>
                    <w:rPr>
                      <w:rFonts w:hint="eastAsia"/>
                      <w:color w:val="auto"/>
                      <w:szCs w:val="21"/>
                    </w:rPr>
                    <w:t>噪声</w:t>
                  </w:r>
                </w:p>
              </w:tc>
              <w:tc>
                <w:tcPr>
                  <w:tcW w:w="2376" w:type="pct"/>
                  <w:noWrap w:val="0"/>
                  <w:vAlign w:val="center"/>
                </w:tcPr>
                <w:p w14:paraId="2B76D698">
                  <w:pPr>
                    <w:adjustRightInd w:val="0"/>
                    <w:snapToGrid w:val="0"/>
                    <w:spacing w:line="240" w:lineRule="auto"/>
                    <w:jc w:val="left"/>
                    <w:rPr>
                      <w:rFonts w:hint="eastAsia"/>
                      <w:color w:val="auto"/>
                      <w:szCs w:val="21"/>
                    </w:rPr>
                  </w:pPr>
                  <w:r>
                    <w:rPr>
                      <w:rFonts w:hint="eastAsia"/>
                      <w:color w:val="auto"/>
                      <w:szCs w:val="21"/>
                    </w:rPr>
                    <w:t>公路、铁路、机场等交通运输业涉及环境敏感区（以居住、医疗卫生、文化教育、科研、行政办公为主要功能的区域）的项目；</w:t>
                  </w:r>
                </w:p>
                <w:p w14:paraId="72CD8E72">
                  <w:pPr>
                    <w:adjustRightInd w:val="0"/>
                    <w:snapToGrid w:val="0"/>
                    <w:spacing w:line="240" w:lineRule="auto"/>
                    <w:jc w:val="left"/>
                    <w:rPr>
                      <w:rFonts w:hint="eastAsia"/>
                      <w:color w:val="auto"/>
                      <w:szCs w:val="21"/>
                    </w:rPr>
                  </w:pPr>
                  <w:r>
                    <w:rPr>
                      <w:rFonts w:hint="eastAsia"/>
                      <w:color w:val="auto"/>
                      <w:szCs w:val="21"/>
                    </w:rPr>
                    <w:t>城市道路（不含维护，不含支路、人行天桥、人行地道）：全部</w:t>
                  </w:r>
                </w:p>
              </w:tc>
              <w:tc>
                <w:tcPr>
                  <w:tcW w:w="1500" w:type="pct"/>
                  <w:noWrap w:val="0"/>
                  <w:vAlign w:val="center"/>
                </w:tcPr>
                <w:p w14:paraId="18F20E87">
                  <w:pPr>
                    <w:adjustRightInd w:val="0"/>
                    <w:snapToGrid w:val="0"/>
                    <w:spacing w:line="240" w:lineRule="auto"/>
                    <w:jc w:val="center"/>
                    <w:rPr>
                      <w:rFonts w:hint="eastAsia"/>
                      <w:color w:val="auto"/>
                      <w:szCs w:val="21"/>
                    </w:rPr>
                  </w:pPr>
                  <w:r>
                    <w:rPr>
                      <w:rFonts w:hint="eastAsia"/>
                      <w:color w:val="auto"/>
                      <w:szCs w:val="21"/>
                    </w:rPr>
                    <w:t>本项目为输变电建设项目，不属于需做噪声专项的项目类别</w:t>
                  </w:r>
                </w:p>
              </w:tc>
              <w:tc>
                <w:tcPr>
                  <w:tcW w:w="532" w:type="pct"/>
                  <w:noWrap w:val="0"/>
                  <w:vAlign w:val="center"/>
                </w:tcPr>
                <w:p w14:paraId="1C789E99">
                  <w:pPr>
                    <w:adjustRightInd w:val="0"/>
                    <w:snapToGrid w:val="0"/>
                    <w:spacing w:line="240" w:lineRule="auto"/>
                    <w:jc w:val="center"/>
                    <w:rPr>
                      <w:rFonts w:hint="eastAsia"/>
                      <w:color w:val="auto"/>
                      <w:szCs w:val="21"/>
                    </w:rPr>
                  </w:pPr>
                  <w:r>
                    <w:rPr>
                      <w:rFonts w:hint="eastAsia"/>
                      <w:color w:val="auto"/>
                      <w:szCs w:val="21"/>
                    </w:rPr>
                    <w:t>不设置</w:t>
                  </w:r>
                </w:p>
              </w:tc>
            </w:tr>
            <w:tr w14:paraId="29EB37D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jc w:val="center"/>
              </w:trPr>
              <w:tc>
                <w:tcPr>
                  <w:tcW w:w="590" w:type="pct"/>
                  <w:noWrap w:val="0"/>
                  <w:vAlign w:val="center"/>
                </w:tcPr>
                <w:p w14:paraId="4CD843A5">
                  <w:pPr>
                    <w:adjustRightInd w:val="0"/>
                    <w:snapToGrid w:val="0"/>
                    <w:spacing w:line="240" w:lineRule="auto"/>
                    <w:jc w:val="center"/>
                    <w:rPr>
                      <w:rFonts w:hint="eastAsia"/>
                      <w:color w:val="auto"/>
                      <w:szCs w:val="21"/>
                    </w:rPr>
                  </w:pPr>
                  <w:r>
                    <w:rPr>
                      <w:rFonts w:hint="eastAsia"/>
                      <w:color w:val="auto"/>
                      <w:szCs w:val="21"/>
                    </w:rPr>
                    <w:t>环境风险</w:t>
                  </w:r>
                </w:p>
              </w:tc>
              <w:tc>
                <w:tcPr>
                  <w:tcW w:w="2376" w:type="pct"/>
                  <w:noWrap w:val="0"/>
                  <w:vAlign w:val="center"/>
                </w:tcPr>
                <w:p w14:paraId="49C36495">
                  <w:pPr>
                    <w:adjustRightInd w:val="0"/>
                    <w:snapToGrid w:val="0"/>
                    <w:spacing w:line="240" w:lineRule="auto"/>
                    <w:jc w:val="left"/>
                    <w:rPr>
                      <w:rFonts w:hint="eastAsia"/>
                      <w:color w:val="auto"/>
                      <w:szCs w:val="21"/>
                    </w:rPr>
                  </w:pPr>
                  <w:r>
                    <w:rPr>
                      <w:rFonts w:hint="eastAsia"/>
                      <w:color w:val="auto"/>
                      <w:szCs w:val="21"/>
                    </w:rPr>
                    <w:t>石油和天然气开采：全部；</w:t>
                  </w:r>
                </w:p>
                <w:p w14:paraId="03B83159">
                  <w:pPr>
                    <w:adjustRightInd w:val="0"/>
                    <w:snapToGrid w:val="0"/>
                    <w:spacing w:line="240" w:lineRule="auto"/>
                    <w:jc w:val="left"/>
                    <w:rPr>
                      <w:rFonts w:hint="eastAsia"/>
                      <w:color w:val="auto"/>
                      <w:szCs w:val="21"/>
                    </w:rPr>
                  </w:pPr>
                  <w:r>
                    <w:rPr>
                      <w:rFonts w:hint="eastAsia"/>
                      <w:color w:val="auto"/>
                      <w:szCs w:val="21"/>
                    </w:rPr>
                    <w:t>油气、液体化工码头：全部；</w:t>
                  </w:r>
                </w:p>
                <w:p w14:paraId="52700C87">
                  <w:pPr>
                    <w:adjustRightInd w:val="0"/>
                    <w:snapToGrid w:val="0"/>
                    <w:spacing w:line="240" w:lineRule="auto"/>
                    <w:jc w:val="left"/>
                    <w:rPr>
                      <w:rFonts w:hint="eastAsia"/>
                      <w:color w:val="auto"/>
                      <w:szCs w:val="21"/>
                    </w:rPr>
                  </w:pPr>
                  <w:r>
                    <w:rPr>
                      <w:rFonts w:hint="eastAsia"/>
                      <w:color w:val="auto"/>
                      <w:szCs w:val="21"/>
                    </w:rPr>
                    <w:t>原油、成品油、天然气管线（不含城镇天然气管线、企业厂区内管线），危险化学品输送管线（不含企业厂区内管线）：全部</w:t>
                  </w:r>
                </w:p>
              </w:tc>
              <w:tc>
                <w:tcPr>
                  <w:tcW w:w="1500" w:type="pct"/>
                  <w:noWrap w:val="0"/>
                  <w:vAlign w:val="center"/>
                </w:tcPr>
                <w:p w14:paraId="0F546681">
                  <w:pPr>
                    <w:adjustRightInd w:val="0"/>
                    <w:snapToGrid w:val="0"/>
                    <w:spacing w:line="240" w:lineRule="auto"/>
                    <w:jc w:val="center"/>
                    <w:rPr>
                      <w:rFonts w:hint="eastAsia"/>
                      <w:color w:val="auto"/>
                      <w:szCs w:val="21"/>
                    </w:rPr>
                  </w:pPr>
                  <w:r>
                    <w:rPr>
                      <w:rFonts w:hint="eastAsia"/>
                      <w:color w:val="auto"/>
                      <w:szCs w:val="21"/>
                    </w:rPr>
                    <w:t>本项目为输变电建设项目，不属于需做环境风险专项的项目类别</w:t>
                  </w:r>
                </w:p>
              </w:tc>
              <w:tc>
                <w:tcPr>
                  <w:tcW w:w="532" w:type="pct"/>
                  <w:noWrap w:val="0"/>
                  <w:vAlign w:val="center"/>
                </w:tcPr>
                <w:p w14:paraId="6BFB8495">
                  <w:pPr>
                    <w:adjustRightInd w:val="0"/>
                    <w:snapToGrid w:val="0"/>
                    <w:spacing w:line="240" w:lineRule="auto"/>
                    <w:jc w:val="center"/>
                    <w:rPr>
                      <w:rFonts w:hint="eastAsia"/>
                      <w:color w:val="auto"/>
                      <w:szCs w:val="21"/>
                    </w:rPr>
                  </w:pPr>
                  <w:r>
                    <w:rPr>
                      <w:rFonts w:hint="eastAsia"/>
                      <w:color w:val="auto"/>
                      <w:szCs w:val="21"/>
                    </w:rPr>
                    <w:t>不设置</w:t>
                  </w:r>
                </w:p>
              </w:tc>
            </w:tr>
            <w:tr w14:paraId="10EC46E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5000" w:type="pct"/>
                  <w:gridSpan w:val="4"/>
                  <w:noWrap w:val="0"/>
                  <w:vAlign w:val="center"/>
                </w:tcPr>
                <w:p w14:paraId="79542A5A">
                  <w:pPr>
                    <w:adjustRightInd w:val="0"/>
                    <w:snapToGrid w:val="0"/>
                    <w:spacing w:line="240" w:lineRule="auto"/>
                    <w:jc w:val="left"/>
                    <w:rPr>
                      <w:rFonts w:hint="eastAsia"/>
                      <w:color w:val="auto"/>
                      <w:szCs w:val="21"/>
                    </w:rPr>
                  </w:pPr>
                  <w:r>
                    <w:rPr>
                      <w:color w:val="auto"/>
                      <w:szCs w:val="21"/>
                    </w:rPr>
                    <w:t>注：“涉及环境敏感区”是指建设项目位于、穿（跨）越（无害化通过的除外）环境敏感区，或环境影响范围涵盖环境敏感区。环境敏感区是指《建设项目环境影响评价分类管理名录》中针对该类项目所列的敏感区。</w:t>
                  </w:r>
                </w:p>
              </w:tc>
            </w:tr>
          </w:tbl>
          <w:p w14:paraId="1D125A83">
            <w:pPr>
              <w:adjustRightInd w:val="0"/>
              <w:snapToGrid w:val="0"/>
              <w:spacing w:line="400" w:lineRule="exact"/>
              <w:ind w:firstLine="480" w:firstLineChars="200"/>
              <w:rPr>
                <w:color w:val="auto"/>
                <w:sz w:val="24"/>
              </w:rPr>
            </w:pPr>
            <w:r>
              <w:rPr>
                <w:color w:val="auto"/>
                <w:sz w:val="24"/>
              </w:rPr>
              <w:t>根据《环境影响评价技术导则  输变电》（HJ24-2020）</w:t>
            </w:r>
            <w:r>
              <w:rPr>
                <w:rFonts w:hint="eastAsia"/>
                <w:color w:val="auto"/>
                <w:sz w:val="24"/>
              </w:rPr>
              <w:t>相关要求</w:t>
            </w:r>
            <w:r>
              <w:rPr>
                <w:color w:val="auto"/>
                <w:sz w:val="24"/>
              </w:rPr>
              <w:t>，本报告设电磁环境影响专题评价</w:t>
            </w:r>
            <w:r>
              <w:rPr>
                <w:rFonts w:hint="eastAsia"/>
                <w:color w:val="auto"/>
                <w:sz w:val="24"/>
              </w:rPr>
              <w:t>；项目</w:t>
            </w:r>
            <w:r>
              <w:rPr>
                <w:rFonts w:hint="eastAsia"/>
                <w:color w:val="auto"/>
                <w:sz w:val="24"/>
                <w:lang w:val="en-US" w:eastAsia="zh-CN"/>
              </w:rPr>
              <w:t>线路跨越金沙江下游—小江流域水土流失控制生态保护红线约89.2米，不在生态保护红线内立塔</w:t>
            </w:r>
            <w:r>
              <w:rPr>
                <w:rFonts w:hint="eastAsia"/>
                <w:color w:val="auto"/>
                <w:sz w:val="24"/>
              </w:rPr>
              <w:t>，因此，本报告设置</w:t>
            </w:r>
            <w:bookmarkStart w:id="5" w:name="_Toc99981355"/>
            <w:bookmarkStart w:id="6" w:name="_Toc76050179"/>
            <w:bookmarkStart w:id="7" w:name="_Toc11389"/>
            <w:bookmarkStart w:id="8" w:name="_Toc31944"/>
            <w:bookmarkStart w:id="9" w:name="_Toc76215337"/>
            <w:bookmarkStart w:id="10" w:name="_Toc27962"/>
            <w:bookmarkStart w:id="11" w:name="_Toc7749"/>
            <w:bookmarkStart w:id="12" w:name="_Toc24714"/>
            <w:r>
              <w:rPr>
                <w:rFonts w:hint="eastAsia"/>
                <w:color w:val="auto"/>
                <w:sz w:val="24"/>
              </w:rPr>
              <w:t>生态环境影响</w:t>
            </w:r>
            <w:bookmarkEnd w:id="5"/>
            <w:bookmarkEnd w:id="6"/>
            <w:bookmarkEnd w:id="7"/>
            <w:bookmarkEnd w:id="8"/>
            <w:bookmarkEnd w:id="9"/>
            <w:bookmarkEnd w:id="10"/>
            <w:bookmarkEnd w:id="11"/>
            <w:bookmarkEnd w:id="12"/>
            <w:r>
              <w:rPr>
                <w:rFonts w:hint="eastAsia"/>
                <w:color w:val="auto"/>
                <w:sz w:val="24"/>
              </w:rPr>
              <w:t>专题评价。</w:t>
            </w:r>
          </w:p>
        </w:tc>
      </w:tr>
      <w:tr w14:paraId="42F2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6" w:type="pct"/>
            <w:noWrap w:val="0"/>
            <w:vAlign w:val="center"/>
          </w:tcPr>
          <w:p w14:paraId="0DE0CA15">
            <w:pPr>
              <w:adjustRightInd w:val="0"/>
              <w:snapToGrid w:val="0"/>
              <w:spacing w:line="400" w:lineRule="exact"/>
              <w:jc w:val="center"/>
              <w:rPr>
                <w:b/>
                <w:bCs/>
                <w:color w:val="auto"/>
                <w:kern w:val="0"/>
                <w:sz w:val="24"/>
              </w:rPr>
            </w:pPr>
            <w:r>
              <w:rPr>
                <w:b/>
                <w:bCs/>
                <w:color w:val="auto"/>
                <w:kern w:val="0"/>
                <w:sz w:val="24"/>
              </w:rPr>
              <w:t>规划情况</w:t>
            </w:r>
          </w:p>
        </w:tc>
        <w:tc>
          <w:tcPr>
            <w:tcW w:w="4183" w:type="pct"/>
            <w:gridSpan w:val="3"/>
            <w:noWrap w:val="0"/>
            <w:vAlign w:val="center"/>
          </w:tcPr>
          <w:p w14:paraId="3D097D77">
            <w:pPr>
              <w:adjustRightInd w:val="0"/>
              <w:snapToGrid w:val="0"/>
              <w:spacing w:line="440" w:lineRule="exact"/>
              <w:jc w:val="left"/>
              <w:rPr>
                <w:b/>
                <w:bCs/>
                <w:color w:val="auto"/>
                <w:sz w:val="24"/>
              </w:rPr>
            </w:pPr>
            <w:r>
              <w:rPr>
                <w:b/>
                <w:bCs/>
                <w:color w:val="auto"/>
                <w:sz w:val="24"/>
              </w:rPr>
              <w:t>1、云南省绿色能源发展“十四五”规划</w:t>
            </w:r>
          </w:p>
          <w:p w14:paraId="787D8A87">
            <w:pPr>
              <w:adjustRightInd w:val="0"/>
              <w:snapToGrid w:val="0"/>
              <w:spacing w:line="440" w:lineRule="exact"/>
              <w:jc w:val="left"/>
              <w:rPr>
                <w:color w:val="auto"/>
                <w:sz w:val="24"/>
              </w:rPr>
            </w:pPr>
            <w:r>
              <w:rPr>
                <w:color w:val="auto"/>
                <w:sz w:val="24"/>
              </w:rPr>
              <w:t>规划名称：《云南省绿色能源发展“十四五”规划》。</w:t>
            </w:r>
          </w:p>
          <w:p w14:paraId="19DC42CC">
            <w:pPr>
              <w:adjustRightInd w:val="0"/>
              <w:snapToGrid w:val="0"/>
              <w:spacing w:line="440" w:lineRule="exact"/>
              <w:jc w:val="left"/>
              <w:rPr>
                <w:color w:val="auto"/>
                <w:sz w:val="24"/>
              </w:rPr>
            </w:pPr>
            <w:r>
              <w:rPr>
                <w:color w:val="auto"/>
                <w:sz w:val="24"/>
              </w:rPr>
              <w:t>审批机关：云南省人民政府办公厅。</w:t>
            </w:r>
          </w:p>
          <w:p w14:paraId="681D8B23">
            <w:pPr>
              <w:adjustRightInd w:val="0"/>
              <w:snapToGrid w:val="0"/>
              <w:spacing w:line="440" w:lineRule="exact"/>
              <w:rPr>
                <w:color w:val="auto"/>
                <w:sz w:val="24"/>
              </w:rPr>
            </w:pPr>
            <w:r>
              <w:rPr>
                <w:color w:val="auto"/>
                <w:sz w:val="24"/>
              </w:rPr>
              <w:t>审批文件名：云南省人民政府办公厅关于印发云南省绿色能源发展“十四五”规划的通知。</w:t>
            </w:r>
          </w:p>
          <w:p w14:paraId="28406FCB">
            <w:pPr>
              <w:adjustRightInd w:val="0"/>
              <w:snapToGrid w:val="0"/>
              <w:spacing w:line="440" w:lineRule="exact"/>
              <w:rPr>
                <w:color w:val="auto"/>
                <w:sz w:val="24"/>
              </w:rPr>
            </w:pPr>
            <w:r>
              <w:rPr>
                <w:color w:val="auto"/>
                <w:sz w:val="24"/>
              </w:rPr>
              <w:t>审批文号：云政办发〔2022〕99号。</w:t>
            </w:r>
          </w:p>
          <w:p w14:paraId="459D2A27">
            <w:pPr>
              <w:keepNext w:val="0"/>
              <w:keepLines w:val="0"/>
              <w:pageBreakBefore w:val="0"/>
              <w:widowControl w:val="0"/>
              <w:kinsoku/>
              <w:wordWrap/>
              <w:overflowPunct/>
              <w:topLinePunct w:val="0"/>
              <w:autoSpaceDE/>
              <w:autoSpaceDN/>
              <w:bidi w:val="0"/>
              <w:adjustRightInd w:val="0"/>
              <w:snapToGrid w:val="0"/>
              <w:spacing w:line="440" w:lineRule="exact"/>
              <w:jc w:val="left"/>
              <w:textAlignment w:val="auto"/>
              <w:rPr>
                <w:rFonts w:hint="default" w:ascii="Times New Roman" w:hAnsi="Times New Roman" w:eastAsia="宋体" w:cs="Times New Roman"/>
                <w:b/>
                <w:bCs/>
                <w:color w:val="auto"/>
                <w:sz w:val="24"/>
                <w:szCs w:val="24"/>
                <w:lang w:eastAsia="zh-CN"/>
              </w:rPr>
            </w:pPr>
            <w:r>
              <w:rPr>
                <w:rFonts w:hint="default"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lang w:eastAsia="zh-CN"/>
              </w:rPr>
              <w:t>、曲靖市绿色能源发展“十四五”规划</w:t>
            </w:r>
          </w:p>
          <w:p w14:paraId="5FF55074">
            <w:pPr>
              <w:keepNext w:val="0"/>
              <w:keepLines w:val="0"/>
              <w:pageBreakBefore w:val="0"/>
              <w:widowControl w:val="0"/>
              <w:kinsoku/>
              <w:wordWrap/>
              <w:overflowPunct/>
              <w:topLinePunct w:val="0"/>
              <w:autoSpaceDE/>
              <w:autoSpaceDN/>
              <w:bidi w:val="0"/>
              <w:adjustRightInd w:val="0"/>
              <w:snapToGrid w:val="0"/>
              <w:spacing w:line="440" w:lineRule="exact"/>
              <w:jc w:val="lef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规划名称：《</w:t>
            </w:r>
            <w:r>
              <w:rPr>
                <w:rFonts w:hint="eastAsia" w:ascii="Times New Roman" w:hAnsi="Times New Roman" w:eastAsia="宋体" w:cs="Times New Roman"/>
                <w:color w:val="auto"/>
                <w:sz w:val="24"/>
                <w:szCs w:val="24"/>
                <w:lang w:val="en-US" w:eastAsia="zh-CN"/>
              </w:rPr>
              <w:t>曲靖市</w:t>
            </w:r>
            <w:r>
              <w:rPr>
                <w:rFonts w:hint="default" w:ascii="Times New Roman" w:hAnsi="Times New Roman" w:eastAsia="宋体" w:cs="Times New Roman"/>
                <w:color w:val="auto"/>
                <w:sz w:val="24"/>
                <w:szCs w:val="24"/>
                <w:lang w:eastAsia="zh-CN"/>
              </w:rPr>
              <w:t>绿色能源发展“十四五”规划》。</w:t>
            </w:r>
          </w:p>
          <w:p w14:paraId="52AE4A9B">
            <w:pPr>
              <w:keepNext w:val="0"/>
              <w:keepLines w:val="0"/>
              <w:pageBreakBefore w:val="0"/>
              <w:widowControl w:val="0"/>
              <w:kinsoku/>
              <w:wordWrap/>
              <w:overflowPunct/>
              <w:topLinePunct w:val="0"/>
              <w:autoSpaceDE/>
              <w:autoSpaceDN/>
              <w:bidi w:val="0"/>
              <w:adjustRightInd w:val="0"/>
              <w:snapToGrid w:val="0"/>
              <w:spacing w:line="440" w:lineRule="exact"/>
              <w:jc w:val="lef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审批机关：曲靖市人民政府办公室。</w:t>
            </w:r>
          </w:p>
          <w:p w14:paraId="709B350B">
            <w:pPr>
              <w:keepNext w:val="0"/>
              <w:keepLines w:val="0"/>
              <w:pageBreakBefore w:val="0"/>
              <w:widowControl w:val="0"/>
              <w:kinsoku/>
              <w:wordWrap/>
              <w:overflowPunct/>
              <w:topLinePunct w:val="0"/>
              <w:autoSpaceDE/>
              <w:autoSpaceDN/>
              <w:bidi w:val="0"/>
              <w:adjustRightInd w:val="0"/>
              <w:snapToGrid w:val="0"/>
              <w:spacing w:line="440" w:lineRule="exact"/>
              <w:jc w:val="lef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审批文件名：曲靖市人民政府办公室关于印发曲靖市绿色能源发展“十四五”规划的通知。</w:t>
            </w:r>
          </w:p>
          <w:p w14:paraId="4863108A">
            <w:pPr>
              <w:pStyle w:val="14"/>
              <w:rPr>
                <w:color w:val="auto"/>
              </w:rPr>
            </w:pPr>
            <w:r>
              <w:rPr>
                <w:rFonts w:hint="default" w:ascii="Times New Roman" w:hAnsi="Times New Roman" w:eastAsia="宋体" w:cs="Times New Roman"/>
                <w:color w:val="auto"/>
                <w:sz w:val="24"/>
                <w:szCs w:val="24"/>
                <w:lang w:eastAsia="zh-CN"/>
              </w:rPr>
              <w:t>审批文号：曲政办发〔2023〕28号。</w:t>
            </w:r>
          </w:p>
        </w:tc>
      </w:tr>
      <w:tr w14:paraId="7CE18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jc w:val="center"/>
        </w:trPr>
        <w:tc>
          <w:tcPr>
            <w:tcW w:w="816" w:type="pct"/>
            <w:noWrap w:val="0"/>
            <w:vAlign w:val="center"/>
          </w:tcPr>
          <w:p w14:paraId="42359356">
            <w:pPr>
              <w:adjustRightInd w:val="0"/>
              <w:snapToGrid w:val="0"/>
              <w:spacing w:line="400" w:lineRule="exact"/>
              <w:jc w:val="center"/>
              <w:rPr>
                <w:color w:val="auto"/>
                <w:kern w:val="0"/>
                <w:sz w:val="24"/>
              </w:rPr>
            </w:pPr>
            <w:r>
              <w:rPr>
                <w:b/>
                <w:bCs/>
                <w:color w:val="auto"/>
                <w:sz w:val="24"/>
              </w:rPr>
              <w:t>规划环境影响评价情况</w:t>
            </w:r>
          </w:p>
        </w:tc>
        <w:tc>
          <w:tcPr>
            <w:tcW w:w="4183" w:type="pct"/>
            <w:gridSpan w:val="3"/>
            <w:noWrap w:val="0"/>
            <w:vAlign w:val="center"/>
          </w:tcPr>
          <w:p w14:paraId="1F567EBF">
            <w:pPr>
              <w:keepNext w:val="0"/>
              <w:keepLines w:val="0"/>
              <w:pageBreakBefore w:val="0"/>
              <w:widowControl w:val="0"/>
              <w:kinsoku/>
              <w:wordWrap/>
              <w:overflowPunct/>
              <w:topLinePunct w:val="0"/>
              <w:autoSpaceDE/>
              <w:autoSpaceDN/>
              <w:bidi w:val="0"/>
              <w:adjustRightInd w:val="0"/>
              <w:snapToGrid w:val="0"/>
              <w:spacing w:line="440" w:lineRule="exact"/>
              <w:jc w:val="left"/>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《云南省绿色能源发展</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十四五</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规划》环境影响篇章（第六章）</w:t>
            </w:r>
            <w:r>
              <w:rPr>
                <w:rFonts w:hint="eastAsia" w:ascii="Times New Roman" w:hAnsi="Times New Roman" w:eastAsia="宋体" w:cs="Times New Roman"/>
                <w:color w:val="auto"/>
                <w:sz w:val="24"/>
                <w:szCs w:val="24"/>
                <w:lang w:val="en-US" w:eastAsia="zh-CN"/>
              </w:rPr>
              <w:t>；</w:t>
            </w:r>
          </w:p>
          <w:p w14:paraId="7F9A5F74">
            <w:pPr>
              <w:adjustRightInd w:val="0"/>
              <w:snapToGrid w:val="0"/>
              <w:spacing w:line="400" w:lineRule="exact"/>
              <w:rPr>
                <w:rFonts w:hint="eastAsia"/>
                <w:color w:val="auto"/>
                <w:kern w:val="0"/>
                <w:sz w:val="24"/>
              </w:rPr>
            </w:pPr>
            <w:r>
              <w:rPr>
                <w:rFonts w:hint="eastAsia" w:ascii="Times New Roman" w:hAnsi="Times New Roman" w:eastAsia="宋体" w:cs="Times New Roman"/>
                <w:color w:val="auto"/>
                <w:sz w:val="24"/>
                <w:szCs w:val="24"/>
                <w:lang w:val="en-US" w:eastAsia="zh-CN"/>
              </w:rPr>
              <w:t>2、《曲靖市绿色能源发展“十四五”规划》</w:t>
            </w:r>
            <w:r>
              <w:rPr>
                <w:rFonts w:hint="default" w:ascii="Times New Roman" w:hAnsi="Times New Roman" w:eastAsia="宋体" w:cs="Times New Roman"/>
                <w:color w:val="auto"/>
                <w:sz w:val="24"/>
                <w:szCs w:val="24"/>
                <w:lang w:val="en-US" w:eastAsia="zh-CN"/>
              </w:rPr>
              <w:t>环境影响篇章（第六章）</w:t>
            </w:r>
            <w:r>
              <w:rPr>
                <w:rFonts w:hint="eastAsia" w:ascii="Times New Roman" w:hAnsi="Times New Roman" w:eastAsia="宋体" w:cs="Times New Roman"/>
                <w:color w:val="auto"/>
                <w:sz w:val="24"/>
                <w:szCs w:val="24"/>
                <w:lang w:val="en-US" w:eastAsia="zh-CN"/>
              </w:rPr>
              <w:t>；</w:t>
            </w:r>
          </w:p>
        </w:tc>
      </w:tr>
      <w:tr w14:paraId="3B378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6" w:type="pct"/>
            <w:noWrap w:val="0"/>
            <w:vAlign w:val="center"/>
          </w:tcPr>
          <w:p w14:paraId="6A15390F">
            <w:pPr>
              <w:jc w:val="center"/>
              <w:rPr>
                <w:color w:val="auto"/>
                <w:kern w:val="0"/>
                <w:sz w:val="24"/>
              </w:rPr>
            </w:pPr>
            <w:r>
              <w:rPr>
                <w:b/>
                <w:bCs/>
                <w:color w:val="auto"/>
                <w:kern w:val="0"/>
                <w:sz w:val="24"/>
              </w:rPr>
              <w:t>规划及规划环境影响评价符合性分析</w:t>
            </w:r>
          </w:p>
        </w:tc>
        <w:tc>
          <w:tcPr>
            <w:tcW w:w="4183" w:type="pct"/>
            <w:gridSpan w:val="3"/>
            <w:noWrap w:val="0"/>
            <w:vAlign w:val="center"/>
          </w:tcPr>
          <w:p w14:paraId="09CBCB22">
            <w:pPr>
              <w:adjustRightInd w:val="0"/>
              <w:snapToGrid w:val="0"/>
              <w:spacing w:line="440" w:lineRule="exact"/>
              <w:ind w:firstLine="482" w:firstLineChars="200"/>
              <w:rPr>
                <w:b/>
                <w:color w:val="auto"/>
                <w:sz w:val="24"/>
              </w:rPr>
            </w:pPr>
            <w:r>
              <w:rPr>
                <w:b/>
                <w:bCs/>
                <w:color w:val="auto"/>
                <w:sz w:val="24"/>
              </w:rPr>
              <w:t>1、</w:t>
            </w:r>
            <w:r>
              <w:rPr>
                <w:b/>
                <w:color w:val="auto"/>
                <w:sz w:val="24"/>
              </w:rPr>
              <w:t>与《云南省绿色能源发展“十四五”规划》的符合性</w:t>
            </w:r>
          </w:p>
          <w:p w14:paraId="7A8899DB">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jc w:val="both"/>
              <w:textAlignment w:val="auto"/>
              <w:rPr>
                <w:rFonts w:hint="default" w:ascii="Times New Roman" w:hAnsi="Times New Roman" w:eastAsia="宋体" w:cs="Times New Roman"/>
                <w:b/>
                <w:bCs w:val="0"/>
                <w:color w:val="auto"/>
                <w:sz w:val="24"/>
                <w:szCs w:val="24"/>
                <w:lang w:val="en-US" w:eastAsia="zh-CN"/>
              </w:rPr>
            </w:pPr>
            <w:r>
              <w:rPr>
                <w:rFonts w:hint="eastAsia" w:ascii="Times New Roman" w:hAnsi="Times New Roman" w:eastAsia="宋体" w:cs="Times New Roman"/>
                <w:b/>
                <w:bCs w:val="0"/>
                <w:color w:val="auto"/>
                <w:sz w:val="24"/>
                <w:szCs w:val="24"/>
                <w:lang w:val="en-US" w:eastAsia="zh-CN"/>
              </w:rPr>
              <w:t>（1）《云南省绿色能源发展“十四五”规划》概况</w:t>
            </w:r>
          </w:p>
          <w:p w14:paraId="20548159">
            <w:pPr>
              <w:adjustRightInd w:val="0"/>
              <w:snapToGrid w:val="0"/>
              <w:spacing w:line="440" w:lineRule="exact"/>
              <w:ind w:firstLine="480" w:firstLineChars="200"/>
              <w:rPr>
                <w:bCs/>
                <w:color w:val="auto"/>
                <w:sz w:val="24"/>
              </w:rPr>
            </w:pPr>
            <w:r>
              <w:rPr>
                <w:bCs/>
                <w:color w:val="auto"/>
                <w:sz w:val="24"/>
              </w:rPr>
              <w:t>云南省绿色能源发展“十四五”规划发展思路要求：保供应</w:t>
            </w:r>
            <w:r>
              <w:rPr>
                <w:rFonts w:hint="eastAsia"/>
                <w:bCs/>
                <w:color w:val="auto"/>
                <w:sz w:val="24"/>
              </w:rPr>
              <w:t>，</w:t>
            </w:r>
            <w:r>
              <w:rPr>
                <w:bCs/>
                <w:color w:val="auto"/>
                <w:sz w:val="24"/>
              </w:rPr>
              <w:t>做足电源、做强电网、做优煤炭、做大油气，积极推进水电开发，加快布局“风光水火储”多能互补基地，加大煤田地质勘探力度，推进油气开发，丰富能源供应品种，推动多能互补协调发展，化解电力、电量“双缺”主要矛盾及系</w:t>
            </w:r>
            <w:r>
              <w:rPr>
                <w:rFonts w:hint="eastAsia"/>
                <w:bCs/>
                <w:color w:val="auto"/>
                <w:sz w:val="24"/>
                <w:lang w:eastAsia="zh-CN"/>
              </w:rPr>
              <w:t>统性</w:t>
            </w:r>
            <w:r>
              <w:rPr>
                <w:bCs/>
                <w:color w:val="auto"/>
                <w:sz w:val="24"/>
              </w:rPr>
              <w:t>风险，保障能源供需平衡，增强能源供应链产业链稳定安全。</w:t>
            </w:r>
          </w:p>
          <w:p w14:paraId="56CD2087">
            <w:pPr>
              <w:adjustRightInd w:val="0"/>
              <w:snapToGrid w:val="0"/>
              <w:spacing w:line="440" w:lineRule="exact"/>
              <w:ind w:firstLine="480" w:firstLineChars="200"/>
              <w:rPr>
                <w:bCs/>
                <w:color w:val="auto"/>
                <w:sz w:val="24"/>
              </w:rPr>
            </w:pPr>
            <w:r>
              <w:rPr>
                <w:bCs/>
                <w:color w:val="auto"/>
                <w:sz w:val="24"/>
              </w:rPr>
              <w:t>发展目标：着力打造绿色能源强省、“一基地三示范一枢纽”，即：建设国家清洁能源基地、创建新型电力系统先行示范、绿色能源和绿色制造融合发展示范、绿色能源试点示范，打造国际区域性绿色能源枢纽。到“十四五”末，加快规划建设新型能源体系取得显著成效，重塑全省绿色能源新优势，千亿级能源优势产业效应发挥更加明显，完成构建高质量现代能源产业体系框架，绿色能源基地建设步入快车道，基本建成国家清洁能源基地，新型电力系统初具雏形，统筹近期、中期与远期关系，打出“扩绿、建新、降碳、减量、转型、节能、升级、改革、合作”组合拳，完成能源碳达峰阶段性目标，形成较为完整的绿色制造产业链、高端绿色制造产业集群和云南跨境电力交换的骨干网络，推进国际能源合作，绿色能源成为云南标志性品牌，主要指标全国领先，云南能源在全国和全省的地位作用进一步巩固提升</w:t>
            </w:r>
            <w:r>
              <w:rPr>
                <w:rFonts w:hint="eastAsia"/>
                <w:bCs/>
                <w:color w:val="auto"/>
                <w:sz w:val="24"/>
                <w:lang w:eastAsia="zh-CN"/>
              </w:rPr>
              <w:t>，让</w:t>
            </w:r>
            <w:r>
              <w:rPr>
                <w:bCs/>
                <w:color w:val="auto"/>
                <w:sz w:val="24"/>
              </w:rPr>
              <w:t>人民群众从能源普遍服务中获得更多实惠，助力加快建设能源强国，为全省经济社会高质量发展提供重要支撑和保障。</w:t>
            </w:r>
          </w:p>
          <w:p w14:paraId="4F072852">
            <w:pPr>
              <w:adjustRightInd w:val="0"/>
              <w:snapToGrid w:val="0"/>
              <w:spacing w:line="440" w:lineRule="exact"/>
              <w:ind w:firstLine="480" w:firstLineChars="200"/>
              <w:rPr>
                <w:bCs/>
                <w:color w:val="auto"/>
                <w:sz w:val="24"/>
              </w:rPr>
            </w:pPr>
            <w:r>
              <w:rPr>
                <w:bCs/>
                <w:color w:val="auto"/>
                <w:sz w:val="24"/>
              </w:rPr>
              <w:t>重点任务：（1）分时序快节奏推进电源建设，强化电源保障，协调发展各类清洁能源。提前谋划，深入挖掘水电开发潜力；创新开发模式，加快布局风电、光伏等新能源，积极布局“风光水火储”多能互补基地建设；积极探索，研究发展燃气发电，有序推进其他类型电源。到2025年，全省电源装机容量超过1.6亿千瓦。（2）围绕产业发展布局，优化电力生产、输电通道建设布局，形成“四横四纵五环三中心”的骨干网架。保障重点产业发展，加强中东部南北向输电通道布局，研究推动跨区域互联互济。支撑大规模新能源接入，加强新能源富集地区送出通道建设。落实乡村振兴、边境小康村和新型城镇化建设要求，加强配网建设，消除电网薄弱环节，打造高可靠性的城市供电示范区。推进智能电网建设，提高电网调节性、灵活性，提高电网安全可靠稳定水平，促进能源就地消纳。持续巩固提升农村电网，提高农村电气化水平等。</w:t>
            </w:r>
          </w:p>
          <w:p w14:paraId="35E6CD4E">
            <w:pPr>
              <w:adjustRightInd w:val="0"/>
              <w:snapToGrid w:val="0"/>
              <w:spacing w:line="440" w:lineRule="exact"/>
              <w:ind w:firstLine="482" w:firstLineChars="200"/>
              <w:rPr>
                <w:b/>
                <w:color w:val="auto"/>
                <w:sz w:val="24"/>
              </w:rPr>
            </w:pPr>
            <w:r>
              <w:rPr>
                <w:b/>
                <w:color w:val="auto"/>
                <w:sz w:val="24"/>
              </w:rPr>
              <w:t>《规划》实施环境影响分析评价：</w:t>
            </w:r>
          </w:p>
          <w:p w14:paraId="2A315D84">
            <w:pPr>
              <w:adjustRightInd w:val="0"/>
              <w:snapToGrid w:val="0"/>
              <w:spacing w:line="440" w:lineRule="exact"/>
              <w:ind w:firstLine="480" w:firstLineChars="200"/>
              <w:rPr>
                <w:bCs/>
                <w:color w:val="auto"/>
                <w:sz w:val="24"/>
              </w:rPr>
            </w:pPr>
            <w:r>
              <w:rPr>
                <w:bCs/>
                <w:color w:val="auto"/>
                <w:sz w:val="24"/>
              </w:rPr>
              <w:t>“十四五”时期，《规划》项目开发建设对环境的主要影响有：火电建设运行会产生烟尘、二氧化硫、氮氧化物、二氧化碳等大气污染物，可能对生态环境产生负面影响。</w:t>
            </w:r>
          </w:p>
          <w:p w14:paraId="21F25B3E">
            <w:pPr>
              <w:adjustRightInd w:val="0"/>
              <w:snapToGrid w:val="0"/>
              <w:spacing w:line="440" w:lineRule="exact"/>
              <w:ind w:firstLine="480" w:firstLineChars="200"/>
              <w:rPr>
                <w:bCs/>
                <w:color w:val="auto"/>
                <w:sz w:val="24"/>
              </w:rPr>
            </w:pPr>
            <w:r>
              <w:rPr>
                <w:bCs/>
                <w:color w:val="auto"/>
                <w:sz w:val="24"/>
              </w:rPr>
              <w:t>油气管道建设及石油炼化项目，发生管道和设备破坏等事故将使油气大量外泄，对周围土壤、植被、水体等造成污染和损害，引发火灾、爆炸</w:t>
            </w:r>
            <w:r>
              <w:rPr>
                <w:rFonts w:hint="eastAsia"/>
                <w:bCs/>
                <w:color w:val="auto"/>
                <w:sz w:val="24"/>
                <w:lang w:val="en-US" w:eastAsia="zh-CN"/>
              </w:rPr>
              <w:t>和泄漏等</w:t>
            </w:r>
            <w:r>
              <w:rPr>
                <w:bCs/>
                <w:color w:val="auto"/>
                <w:sz w:val="24"/>
              </w:rPr>
              <w:t>环境风险。水电、新能源项目开发和送出工程，可能对环境敏感区产生影响，可能带来上下游水文泥沙情势变化，可能对水生生物及陆生生物造成一定影响。总体来看，在能源重大项目具体推进过程中采取相应的预防措施和生态环境保护策略基本可以避免实施《规划》产生的环境负面影响。同时，《规划》实施可推动云南能源资源有效利用和清洁低碳发展，促进经济发展与生态环境更加平衡协调。按照《规划环境影响评价技术导则总纲》的有关要求，根据规划的环境影响分析结果，拟采取以下对策措施：</w:t>
            </w:r>
          </w:p>
          <w:p w14:paraId="1FAA5323">
            <w:pPr>
              <w:adjustRightInd w:val="0"/>
              <w:snapToGrid w:val="0"/>
              <w:spacing w:line="440" w:lineRule="exact"/>
              <w:ind w:firstLine="480" w:firstLineChars="200"/>
              <w:rPr>
                <w:bCs/>
                <w:color w:val="auto"/>
                <w:sz w:val="24"/>
              </w:rPr>
            </w:pPr>
            <w:r>
              <w:rPr>
                <w:bCs/>
                <w:color w:val="auto"/>
                <w:sz w:val="24"/>
              </w:rPr>
              <w:t>（一）发挥《规划》的指导约束作用</w:t>
            </w:r>
          </w:p>
          <w:p w14:paraId="19AD70A1">
            <w:pPr>
              <w:adjustRightInd w:val="0"/>
              <w:snapToGrid w:val="0"/>
              <w:spacing w:line="440" w:lineRule="exact"/>
              <w:ind w:firstLine="480" w:firstLineChars="200"/>
              <w:rPr>
                <w:bCs/>
                <w:color w:val="auto"/>
                <w:sz w:val="24"/>
              </w:rPr>
            </w:pPr>
            <w:r>
              <w:rPr>
                <w:bCs/>
                <w:color w:val="auto"/>
                <w:sz w:val="24"/>
              </w:rPr>
              <w:t>发挥能源规划及规划环评的指导约束作用，合理规划项目布局，避让自然保护区、风景名胜区等各类自然保护地和集中居民区等环境敏感区，采取工程和生态保护措施，减少树木采伐，及时进行生态修复，降低生态影响。</w:t>
            </w:r>
          </w:p>
          <w:p w14:paraId="0AAC60BD">
            <w:pPr>
              <w:adjustRightInd w:val="0"/>
              <w:snapToGrid w:val="0"/>
              <w:spacing w:line="440" w:lineRule="exact"/>
              <w:ind w:firstLine="480" w:firstLineChars="200"/>
              <w:rPr>
                <w:bCs/>
                <w:color w:val="auto"/>
                <w:sz w:val="24"/>
              </w:rPr>
            </w:pPr>
            <w:r>
              <w:rPr>
                <w:bCs/>
                <w:color w:val="auto"/>
                <w:sz w:val="24"/>
              </w:rPr>
              <w:t>（二）严格各类能源开发生产的过程控制</w:t>
            </w:r>
          </w:p>
          <w:p w14:paraId="0E150997">
            <w:pPr>
              <w:adjustRightInd w:val="0"/>
              <w:snapToGrid w:val="0"/>
              <w:spacing w:line="440" w:lineRule="exact"/>
              <w:ind w:firstLine="480" w:firstLineChars="200"/>
              <w:rPr>
                <w:bCs/>
                <w:color w:val="auto"/>
                <w:sz w:val="24"/>
              </w:rPr>
            </w:pPr>
            <w:r>
              <w:rPr>
                <w:bCs/>
                <w:color w:val="auto"/>
                <w:sz w:val="24"/>
              </w:rPr>
              <w:t>做好项目建设涉及的自然生态环境保护工作，注意避让生态环境敏感区和脆弱区。加强施工准备、筹建和施工过程中的环境保护。提高电网运行安全稳定水平，降低电磁环境影响。制定矿区生态综合整治目标，严格控制施工占地。加强油气管网运营与环境保护。</w:t>
            </w:r>
          </w:p>
          <w:p w14:paraId="690FBB4C">
            <w:pPr>
              <w:adjustRightInd w:val="0"/>
              <w:snapToGrid w:val="0"/>
              <w:spacing w:line="440" w:lineRule="exact"/>
              <w:ind w:firstLine="480" w:firstLineChars="200"/>
              <w:rPr>
                <w:bCs/>
                <w:color w:val="auto"/>
                <w:sz w:val="24"/>
              </w:rPr>
            </w:pPr>
            <w:r>
              <w:rPr>
                <w:bCs/>
                <w:color w:val="auto"/>
                <w:sz w:val="24"/>
              </w:rPr>
              <w:t>（三）严格落实能源消费总量和强度“双控”机制</w:t>
            </w:r>
          </w:p>
          <w:p w14:paraId="4E012EF5">
            <w:pPr>
              <w:adjustRightInd w:val="0"/>
              <w:snapToGrid w:val="0"/>
              <w:spacing w:line="440" w:lineRule="exact"/>
              <w:ind w:firstLine="480" w:firstLineChars="200"/>
              <w:rPr>
                <w:bCs/>
                <w:color w:val="auto"/>
                <w:sz w:val="24"/>
              </w:rPr>
            </w:pPr>
            <w:r>
              <w:rPr>
                <w:bCs/>
                <w:color w:val="auto"/>
                <w:sz w:val="24"/>
              </w:rPr>
              <w:t>继续贯彻落实国家能源消费总量和强度“双控”要求，调整能源需求结构，加强节能和需求侧管理，推进生产、流通、消费各环节循环经济发展。健全法律法规和标准体系，加强监测能力建设。实施全面节能行动方案，逐步构建以企业为主体、政府引导、全社会共同参与的合理用能、科学用能、节约用能的长效机制。</w:t>
            </w:r>
          </w:p>
          <w:p w14:paraId="0EA6F20C">
            <w:pPr>
              <w:adjustRightInd w:val="0"/>
              <w:snapToGrid w:val="0"/>
              <w:spacing w:line="440" w:lineRule="exact"/>
              <w:ind w:firstLine="480" w:firstLineChars="200"/>
              <w:rPr>
                <w:bCs/>
                <w:color w:val="auto"/>
                <w:sz w:val="24"/>
              </w:rPr>
            </w:pPr>
            <w:r>
              <w:rPr>
                <w:bCs/>
                <w:color w:val="auto"/>
                <w:sz w:val="24"/>
              </w:rPr>
              <w:t>（四）加强能源发展的环境管理</w:t>
            </w:r>
          </w:p>
          <w:p w14:paraId="6CC8815F">
            <w:pPr>
              <w:adjustRightInd w:val="0"/>
              <w:snapToGrid w:val="0"/>
              <w:spacing w:line="440" w:lineRule="exact"/>
              <w:ind w:firstLine="480" w:firstLineChars="200"/>
              <w:rPr>
                <w:bCs/>
                <w:color w:val="auto"/>
                <w:sz w:val="24"/>
              </w:rPr>
            </w:pPr>
            <w:r>
              <w:rPr>
                <w:bCs/>
                <w:color w:val="auto"/>
                <w:sz w:val="24"/>
              </w:rPr>
              <w:t>建立覆盖全社会的能源环境监管体制，明确各部门监管职责，完善监管标准、监管规则和监管程序，形成规范有序、公开透明的监管体系。开展项目环境保护工作阶段性检查和验收工作，适时开展环境影响回顾性评价和后评价，注重主要环境影响复核和环境保护措施效果分析，及时调整补充相应环保措施。</w:t>
            </w:r>
          </w:p>
          <w:p w14:paraId="0058BA2F">
            <w:pPr>
              <w:adjustRightInd w:val="0"/>
              <w:snapToGrid w:val="0"/>
              <w:spacing w:line="440" w:lineRule="exact"/>
              <w:ind w:firstLine="480" w:firstLineChars="200"/>
              <w:rPr>
                <w:bCs/>
                <w:color w:val="auto"/>
                <w:sz w:val="24"/>
              </w:rPr>
            </w:pPr>
            <w:r>
              <w:rPr>
                <w:bCs/>
                <w:color w:val="auto"/>
                <w:sz w:val="24"/>
              </w:rPr>
              <w:t>本项目</w:t>
            </w:r>
            <w:r>
              <w:rPr>
                <w:rFonts w:hint="eastAsia"/>
                <w:bCs/>
                <w:color w:val="auto"/>
                <w:sz w:val="24"/>
              </w:rPr>
              <w:t>为输变电工程，项目</w:t>
            </w:r>
            <w:r>
              <w:rPr>
                <w:bCs/>
                <w:color w:val="auto"/>
                <w:sz w:val="24"/>
              </w:rPr>
              <w:t>的建设满足</w:t>
            </w:r>
            <w:r>
              <w:rPr>
                <w:rFonts w:hint="eastAsia"/>
                <w:bCs/>
                <w:color w:val="auto"/>
                <w:sz w:val="24"/>
              </w:rPr>
              <w:t>、</w:t>
            </w:r>
            <w:r>
              <w:rPr>
                <w:bCs/>
                <w:color w:val="auto"/>
                <w:sz w:val="24"/>
              </w:rPr>
              <w:t>做足电源、做强电网的发展思路要求，可以加快打造绿色能源强省、“一基地三示范一枢纽”，即：建设国家清洁能源基地、创建新型电力系统先行示范、绿色能源和绿色制造融合发展示范、绿色能源试点示范，打造国际区域性绿色能源枢纽的进程，此外</w:t>
            </w:r>
            <w:r>
              <w:rPr>
                <w:rFonts w:hint="eastAsia"/>
                <w:bCs/>
                <w:color w:val="auto"/>
                <w:sz w:val="24"/>
              </w:rPr>
              <w:t>，</w:t>
            </w:r>
            <w:r>
              <w:rPr>
                <w:bCs/>
                <w:color w:val="auto"/>
                <w:sz w:val="24"/>
              </w:rPr>
              <w:t>项目属于优化电力生产、输电通道建设布局。本项目选址不涉及</w:t>
            </w:r>
            <w:r>
              <w:rPr>
                <w:rFonts w:hint="eastAsia"/>
                <w:bCs/>
                <w:color w:val="auto"/>
                <w:sz w:val="24"/>
              </w:rPr>
              <w:t>占用国家公园、自然保护区、森林公园、风景名胜区、草原公园等各类自然保护地</w:t>
            </w:r>
            <w:r>
              <w:rPr>
                <w:bCs/>
                <w:color w:val="auto"/>
                <w:sz w:val="24"/>
              </w:rPr>
              <w:t>等环境敏感区。本环评针对项目施工和运营提出一系列的生态环境防治措施，最低限度降低生态环境影响，不会对</w:t>
            </w:r>
            <w:r>
              <w:rPr>
                <w:rFonts w:hint="eastAsia"/>
                <w:bCs/>
                <w:color w:val="auto"/>
                <w:sz w:val="24"/>
              </w:rPr>
              <w:t>周边环境</w:t>
            </w:r>
            <w:r>
              <w:rPr>
                <w:bCs/>
                <w:color w:val="auto"/>
                <w:sz w:val="24"/>
              </w:rPr>
              <w:t>造成</w:t>
            </w:r>
            <w:r>
              <w:rPr>
                <w:rFonts w:hint="eastAsia"/>
                <w:bCs/>
                <w:color w:val="auto"/>
                <w:sz w:val="24"/>
              </w:rPr>
              <w:t>较大</w:t>
            </w:r>
            <w:r>
              <w:rPr>
                <w:bCs/>
                <w:color w:val="auto"/>
                <w:sz w:val="24"/>
              </w:rPr>
              <w:t>影响，采取本环评提出的措施后项目对陆生生物的影响较小，项目的建设符合《云南省绿色能源发展“十四五”规划》的要求。</w:t>
            </w:r>
          </w:p>
          <w:p w14:paraId="52D3896F">
            <w:pPr>
              <w:adjustRightInd w:val="0"/>
              <w:snapToGrid w:val="0"/>
              <w:spacing w:line="440" w:lineRule="exact"/>
              <w:ind w:firstLine="482" w:firstLineChars="200"/>
              <w:rPr>
                <w:rFonts w:hint="eastAsia"/>
                <w:b/>
                <w:color w:val="auto"/>
                <w:sz w:val="24"/>
              </w:rPr>
            </w:pPr>
            <w:r>
              <w:rPr>
                <w:rFonts w:hint="eastAsia"/>
                <w:b/>
                <w:color w:val="auto"/>
                <w:sz w:val="24"/>
                <w:lang w:eastAsia="zh-CN"/>
              </w:rPr>
              <w:t>（</w:t>
            </w:r>
            <w:r>
              <w:rPr>
                <w:rFonts w:hint="eastAsia"/>
                <w:b/>
                <w:color w:val="auto"/>
                <w:sz w:val="24"/>
                <w:lang w:val="en-US" w:eastAsia="zh-CN"/>
              </w:rPr>
              <w:t>2</w:t>
            </w:r>
            <w:r>
              <w:rPr>
                <w:rFonts w:hint="eastAsia"/>
                <w:b/>
                <w:color w:val="auto"/>
                <w:sz w:val="24"/>
                <w:lang w:eastAsia="zh-CN"/>
              </w:rPr>
              <w:t>）</w:t>
            </w:r>
            <w:r>
              <w:rPr>
                <w:rFonts w:hint="eastAsia"/>
                <w:b/>
                <w:color w:val="auto"/>
                <w:sz w:val="24"/>
              </w:rPr>
              <w:t>与《云南省绿色能源发展“十四五”规划》环境影响篇章符合性分析</w:t>
            </w:r>
          </w:p>
          <w:p w14:paraId="3D0659B7">
            <w:pPr>
              <w:autoSpaceDE w:val="0"/>
              <w:autoSpaceDN w:val="0"/>
              <w:adjustRightInd w:val="0"/>
              <w:snapToGrid w:val="0"/>
              <w:spacing w:line="440" w:lineRule="exact"/>
              <w:ind w:firstLine="480" w:firstLineChars="200"/>
              <w:rPr>
                <w:rFonts w:hint="eastAsia"/>
                <w:color w:val="auto"/>
                <w:sz w:val="24"/>
              </w:rPr>
            </w:pPr>
            <w:r>
              <w:rPr>
                <w:rFonts w:hint="eastAsia"/>
                <w:color w:val="auto"/>
                <w:sz w:val="24"/>
              </w:rPr>
              <w:t>云南省人民政府办公厅于2023年1月4日下发了《云南省人民政府办公厅关于印发云南省绿色能源发展“十四五”规划的通知》，项目与该规划中第六章“环境影响分析与国土空间规划衔接性评价”符合性分析见下表：</w:t>
            </w:r>
          </w:p>
          <w:p w14:paraId="2EEE3386">
            <w:pPr>
              <w:spacing w:line="240" w:lineRule="auto"/>
              <w:jc w:val="center"/>
              <w:rPr>
                <w:rFonts w:hint="eastAsia"/>
                <w:b/>
                <w:bCs/>
                <w:color w:val="auto"/>
                <w:szCs w:val="21"/>
              </w:rPr>
            </w:pPr>
            <w:r>
              <w:rPr>
                <w:rFonts w:hint="eastAsia"/>
                <w:b/>
                <w:bCs/>
                <w:color w:val="auto"/>
                <w:szCs w:val="21"/>
              </w:rPr>
              <w:t>表1-2  项目与《云南省绿色能源发展“十四五”规划》环境影响篇章的符合性</w:t>
            </w:r>
          </w:p>
          <w:tbl>
            <w:tblPr>
              <w:tblStyle w:val="30"/>
              <w:tblW w:w="4999"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51" w:type="dxa"/>
                <w:bottom w:w="0" w:type="dxa"/>
                <w:right w:w="51" w:type="dxa"/>
              </w:tblCellMar>
            </w:tblPr>
            <w:tblGrid>
              <w:gridCol w:w="2045"/>
              <w:gridCol w:w="4068"/>
              <w:gridCol w:w="739"/>
            </w:tblGrid>
            <w:tr w14:paraId="7CB5211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51" w:type="dxa"/>
                  <w:bottom w:w="0" w:type="dxa"/>
                  <w:right w:w="51" w:type="dxa"/>
                </w:tblCellMar>
              </w:tblPrEx>
              <w:trPr>
                <w:trHeight w:val="340" w:hRule="atLeast"/>
                <w:jc w:val="center"/>
              </w:trPr>
              <w:tc>
                <w:tcPr>
                  <w:tcW w:w="1492" w:type="pct"/>
                  <w:noWrap w:val="0"/>
                  <w:vAlign w:val="center"/>
                </w:tcPr>
                <w:p w14:paraId="1A8D8F25">
                  <w:pPr>
                    <w:spacing w:line="240" w:lineRule="auto"/>
                    <w:jc w:val="center"/>
                    <w:rPr>
                      <w:rFonts w:hint="eastAsia"/>
                      <w:b/>
                      <w:bCs/>
                      <w:color w:val="auto"/>
                      <w:szCs w:val="21"/>
                    </w:rPr>
                  </w:pPr>
                  <w:r>
                    <w:rPr>
                      <w:rFonts w:hint="eastAsia"/>
                      <w:b/>
                      <w:bCs/>
                      <w:color w:val="auto"/>
                      <w:szCs w:val="21"/>
                    </w:rPr>
                    <w:t>规划要求</w:t>
                  </w:r>
                </w:p>
              </w:tc>
              <w:tc>
                <w:tcPr>
                  <w:tcW w:w="2968" w:type="pct"/>
                  <w:noWrap w:val="0"/>
                  <w:vAlign w:val="center"/>
                </w:tcPr>
                <w:p w14:paraId="0A91E47C">
                  <w:pPr>
                    <w:spacing w:line="240" w:lineRule="auto"/>
                    <w:jc w:val="center"/>
                    <w:rPr>
                      <w:rFonts w:hint="eastAsia"/>
                      <w:b/>
                      <w:bCs/>
                      <w:color w:val="auto"/>
                      <w:szCs w:val="21"/>
                    </w:rPr>
                  </w:pPr>
                  <w:r>
                    <w:rPr>
                      <w:rFonts w:hint="eastAsia"/>
                      <w:b/>
                      <w:bCs/>
                      <w:color w:val="auto"/>
                      <w:szCs w:val="21"/>
                    </w:rPr>
                    <w:t>项目情况</w:t>
                  </w:r>
                </w:p>
              </w:tc>
              <w:tc>
                <w:tcPr>
                  <w:tcW w:w="539" w:type="pct"/>
                  <w:noWrap w:val="0"/>
                  <w:vAlign w:val="center"/>
                </w:tcPr>
                <w:p w14:paraId="72F4DB5B">
                  <w:pPr>
                    <w:spacing w:line="240" w:lineRule="auto"/>
                    <w:jc w:val="center"/>
                    <w:rPr>
                      <w:rFonts w:hint="eastAsia"/>
                      <w:b/>
                      <w:bCs/>
                      <w:color w:val="auto"/>
                      <w:szCs w:val="21"/>
                    </w:rPr>
                  </w:pPr>
                  <w:r>
                    <w:rPr>
                      <w:rFonts w:hint="eastAsia"/>
                      <w:b/>
                      <w:bCs/>
                      <w:color w:val="auto"/>
                      <w:szCs w:val="21"/>
                    </w:rPr>
                    <w:t>相符性</w:t>
                  </w:r>
                </w:p>
              </w:tc>
            </w:tr>
            <w:tr w14:paraId="7B2637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51" w:type="dxa"/>
                  <w:bottom w:w="0" w:type="dxa"/>
                  <w:right w:w="51" w:type="dxa"/>
                </w:tblCellMar>
              </w:tblPrEx>
              <w:trPr>
                <w:trHeight w:val="340" w:hRule="atLeast"/>
                <w:jc w:val="center"/>
              </w:trPr>
              <w:tc>
                <w:tcPr>
                  <w:tcW w:w="1492" w:type="pct"/>
                  <w:noWrap w:val="0"/>
                  <w:vAlign w:val="center"/>
                </w:tcPr>
                <w:p w14:paraId="7EE34D9F">
                  <w:pPr>
                    <w:spacing w:line="240" w:lineRule="auto"/>
                    <w:jc w:val="center"/>
                    <w:rPr>
                      <w:rFonts w:hint="eastAsia"/>
                      <w:color w:val="auto"/>
                      <w:szCs w:val="21"/>
                    </w:rPr>
                  </w:pPr>
                  <w:r>
                    <w:rPr>
                      <w:rFonts w:hint="eastAsia"/>
                      <w:color w:val="auto"/>
                      <w:szCs w:val="21"/>
                    </w:rPr>
                    <w:t>合理规划项目布局，避让自然保护区、风景名胜区等各类自然保护地和集中居民区等环境敏感区，采取工程和生态保护措施，减少树木采伐，及时进行生态修复，降低生态影响。</w:t>
                  </w:r>
                </w:p>
              </w:tc>
              <w:tc>
                <w:tcPr>
                  <w:tcW w:w="2968" w:type="pct"/>
                  <w:noWrap w:val="0"/>
                  <w:vAlign w:val="center"/>
                </w:tcPr>
                <w:p w14:paraId="2B32F5AC">
                  <w:pPr>
                    <w:spacing w:line="240" w:lineRule="auto"/>
                    <w:jc w:val="center"/>
                    <w:rPr>
                      <w:rFonts w:hint="eastAsia"/>
                      <w:color w:val="auto"/>
                      <w:szCs w:val="21"/>
                    </w:rPr>
                  </w:pPr>
                  <w:r>
                    <w:rPr>
                      <w:rFonts w:hint="eastAsia" w:ascii="Times New Roman" w:hAnsi="Times New Roman" w:eastAsia="宋体" w:cs="Times New Roman"/>
                      <w:color w:val="auto"/>
                      <w:kern w:val="2"/>
                      <w:sz w:val="21"/>
                      <w:szCs w:val="21"/>
                      <w:lang w:val="en-US" w:eastAsia="zh-CN" w:bidi="ar-SA"/>
                    </w:rPr>
                    <w:t>根据核实，</w:t>
                  </w:r>
                  <w:r>
                    <w:rPr>
                      <w:rFonts w:hint="default" w:ascii="Times New Roman" w:hAnsi="Times New Roman" w:eastAsia="宋体" w:cs="Times New Roman"/>
                      <w:color w:val="auto"/>
                      <w:kern w:val="2"/>
                      <w:sz w:val="21"/>
                      <w:szCs w:val="21"/>
                      <w:lang w:val="en-US" w:eastAsia="zh-CN" w:bidi="ar-SA"/>
                    </w:rPr>
                    <w:t>项目未占用基本农田，项目选址不涉及国家公园、自然保护区、森林公园、风景名胜区、草原公园等各类自然保护地</w:t>
                  </w:r>
                  <w:r>
                    <w:rPr>
                      <w:rFonts w:hint="eastAsia" w:ascii="Times New Roman" w:hAnsi="Times New Roman" w:eastAsia="宋体" w:cs="Times New Roman"/>
                      <w:color w:val="auto"/>
                      <w:kern w:val="2"/>
                      <w:sz w:val="21"/>
                      <w:szCs w:val="21"/>
                      <w:lang w:val="en-US" w:eastAsia="zh-CN" w:bidi="ar-SA"/>
                    </w:rPr>
                    <w:t>等；</w:t>
                  </w:r>
                  <w:r>
                    <w:rPr>
                      <w:rFonts w:hint="default" w:ascii="Times New Roman" w:hAnsi="Times New Roman" w:eastAsia="宋体" w:cs="Times New Roman"/>
                      <w:color w:val="auto"/>
                      <w:kern w:val="2"/>
                      <w:sz w:val="21"/>
                      <w:szCs w:val="21"/>
                      <w:lang w:val="en-US" w:eastAsia="zh-CN" w:bidi="ar-SA"/>
                    </w:rPr>
                    <w:t>根据</w:t>
                  </w:r>
                  <w:r>
                    <w:rPr>
                      <w:rFonts w:hint="default" w:ascii="Times New Roman" w:hAnsi="Times New Roman" w:cs="Times New Roman"/>
                      <w:color w:val="auto"/>
                      <w:kern w:val="2"/>
                      <w:sz w:val="21"/>
                      <w:szCs w:val="21"/>
                      <w:lang w:val="en-US" w:eastAsia="zh-CN" w:bidi="ar-SA"/>
                    </w:rPr>
                    <w:t>会泽县</w:t>
                  </w:r>
                  <w:r>
                    <w:rPr>
                      <w:rFonts w:hint="default" w:ascii="Times New Roman" w:hAnsi="Times New Roman" w:eastAsia="宋体" w:cs="Times New Roman"/>
                      <w:color w:val="auto"/>
                      <w:kern w:val="2"/>
                      <w:sz w:val="21"/>
                      <w:szCs w:val="21"/>
                      <w:lang w:val="en-US" w:eastAsia="zh-CN" w:bidi="ar-SA"/>
                    </w:rPr>
                    <w:t>各局查询意见、项目选址踏勘及</w:t>
                  </w:r>
                  <w:r>
                    <w:rPr>
                      <w:rFonts w:hint="default" w:ascii="Times New Roman" w:hAnsi="Times New Roman" w:cs="Times New Roman"/>
                      <w:color w:val="auto"/>
                      <w:kern w:val="2"/>
                      <w:sz w:val="21"/>
                      <w:szCs w:val="21"/>
                      <w:lang w:val="en-US" w:eastAsia="zh-CN" w:bidi="ar-SA"/>
                    </w:rPr>
                    <w:t>会泽县</w:t>
                  </w:r>
                  <w:r>
                    <w:rPr>
                      <w:rFonts w:hint="default" w:ascii="Times New Roman" w:hAnsi="Times New Roman" w:eastAsia="宋体" w:cs="Times New Roman"/>
                      <w:color w:val="auto"/>
                      <w:kern w:val="2"/>
                      <w:sz w:val="21"/>
                      <w:szCs w:val="21"/>
                      <w:lang w:val="en-US" w:eastAsia="zh-CN" w:bidi="ar-SA"/>
                    </w:rPr>
                    <w:t>相关敏感区资料核对，项目占地类型为</w:t>
                  </w:r>
                  <w:r>
                    <w:rPr>
                      <w:rFonts w:hint="default" w:ascii="Times New Roman" w:hAnsi="Times New Roman" w:cs="Times New Roman"/>
                      <w:color w:val="auto"/>
                      <w:kern w:val="2"/>
                      <w:sz w:val="21"/>
                      <w:szCs w:val="21"/>
                      <w:lang w:val="en-US" w:eastAsia="zh-CN" w:bidi="ar-SA"/>
                    </w:rPr>
                    <w:t>林地、耕地</w:t>
                  </w:r>
                  <w:r>
                    <w:rPr>
                      <w:rFonts w:hint="eastAsia" w:ascii="Times New Roman" w:hAnsi="Times New Roman" w:cs="Times New Roman"/>
                      <w:color w:val="auto"/>
                      <w:kern w:val="2"/>
                      <w:sz w:val="21"/>
                      <w:szCs w:val="21"/>
                      <w:lang w:val="en-US" w:eastAsia="zh-CN" w:bidi="ar-SA"/>
                    </w:rPr>
                    <w:t>、草地</w:t>
                  </w:r>
                  <w:r>
                    <w:rPr>
                      <w:rFonts w:hint="default" w:ascii="Times New Roman" w:hAnsi="Times New Roman" w:eastAsia="宋体" w:cs="Times New Roman"/>
                      <w:color w:val="auto"/>
                      <w:kern w:val="2"/>
                      <w:sz w:val="21"/>
                      <w:szCs w:val="21"/>
                      <w:lang w:val="en-US" w:eastAsia="zh-CN" w:bidi="ar-SA"/>
                    </w:rPr>
                    <w:t>，</w:t>
                  </w:r>
                  <w:r>
                    <w:rPr>
                      <w:rFonts w:hint="eastAsia"/>
                      <w:color w:val="auto"/>
                      <w:szCs w:val="21"/>
                    </w:rPr>
                    <w:t>项目</w:t>
                  </w:r>
                  <w:r>
                    <w:rPr>
                      <w:rFonts w:hint="eastAsia"/>
                      <w:color w:val="auto"/>
                      <w:szCs w:val="21"/>
                      <w:lang w:val="en-US" w:eastAsia="zh-CN"/>
                    </w:rPr>
                    <w:t>涉及跨越</w:t>
                  </w:r>
                  <w:r>
                    <w:rPr>
                      <w:rFonts w:hint="eastAsia"/>
                      <w:color w:val="auto"/>
                      <w:szCs w:val="21"/>
                    </w:rPr>
                    <w:t>生态保护红线，</w:t>
                  </w:r>
                  <w:r>
                    <w:rPr>
                      <w:rFonts w:hint="eastAsia"/>
                      <w:color w:val="auto"/>
                      <w:szCs w:val="21"/>
                      <w:lang w:val="en-US" w:eastAsia="zh-CN"/>
                    </w:rPr>
                    <w:t>对照《有限人为活动准入目录》，属于准入类别，“输电线塔基、通讯基站等小面积零星分散建设项目用地”属于准入目录，属于“必须且无法避让、符合县级以上国土空间规划的线性基础设施”</w:t>
                  </w:r>
                </w:p>
              </w:tc>
              <w:tc>
                <w:tcPr>
                  <w:tcW w:w="539" w:type="pct"/>
                  <w:noWrap w:val="0"/>
                  <w:vAlign w:val="center"/>
                </w:tcPr>
                <w:p w14:paraId="6BA1AC07">
                  <w:pPr>
                    <w:spacing w:line="240" w:lineRule="auto"/>
                    <w:jc w:val="center"/>
                    <w:rPr>
                      <w:rFonts w:hint="eastAsia"/>
                      <w:color w:val="auto"/>
                      <w:szCs w:val="21"/>
                    </w:rPr>
                  </w:pPr>
                  <w:r>
                    <w:rPr>
                      <w:rFonts w:hint="eastAsia"/>
                      <w:color w:val="auto"/>
                      <w:szCs w:val="21"/>
                    </w:rPr>
                    <w:t>符合</w:t>
                  </w:r>
                </w:p>
              </w:tc>
            </w:tr>
            <w:tr w14:paraId="57C2B43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51" w:type="dxa"/>
                  <w:bottom w:w="0" w:type="dxa"/>
                  <w:right w:w="51" w:type="dxa"/>
                </w:tblCellMar>
              </w:tblPrEx>
              <w:trPr>
                <w:trHeight w:val="340" w:hRule="atLeast"/>
                <w:jc w:val="center"/>
              </w:trPr>
              <w:tc>
                <w:tcPr>
                  <w:tcW w:w="1492" w:type="pct"/>
                  <w:noWrap w:val="0"/>
                  <w:vAlign w:val="center"/>
                </w:tcPr>
                <w:p w14:paraId="350D07C3">
                  <w:pPr>
                    <w:spacing w:line="240" w:lineRule="auto"/>
                    <w:jc w:val="center"/>
                    <w:rPr>
                      <w:rFonts w:hint="eastAsia"/>
                      <w:color w:val="auto"/>
                      <w:szCs w:val="21"/>
                    </w:rPr>
                  </w:pPr>
                  <w:r>
                    <w:rPr>
                      <w:rFonts w:hint="eastAsia"/>
                      <w:color w:val="auto"/>
                      <w:szCs w:val="21"/>
                    </w:rPr>
                    <w:t>做好项目建设涉及的自然生态环境保护工作，注意避让生态环境敏感区和脆弱区。加强施工准备、筹建和施工过程中的环境保护。提高电网运行安全稳定</w:t>
                  </w:r>
                  <w:r>
                    <w:rPr>
                      <w:rFonts w:hint="eastAsia"/>
                      <w:color w:val="auto"/>
                      <w:szCs w:val="21"/>
                      <w:lang w:eastAsia="zh-CN"/>
                    </w:rPr>
                    <w:t>水平</w:t>
                  </w:r>
                  <w:r>
                    <w:rPr>
                      <w:rFonts w:hint="eastAsia"/>
                      <w:color w:val="auto"/>
                      <w:szCs w:val="21"/>
                    </w:rPr>
                    <w:t>，降低电磁环境影响。</w:t>
                  </w:r>
                </w:p>
              </w:tc>
              <w:tc>
                <w:tcPr>
                  <w:tcW w:w="2968" w:type="pct"/>
                  <w:noWrap w:val="0"/>
                  <w:vAlign w:val="center"/>
                </w:tcPr>
                <w:p w14:paraId="047E7D29">
                  <w:pPr>
                    <w:spacing w:line="240" w:lineRule="auto"/>
                    <w:jc w:val="center"/>
                    <w:rPr>
                      <w:rFonts w:hint="eastAsia"/>
                      <w:color w:val="auto"/>
                      <w:szCs w:val="21"/>
                    </w:rPr>
                  </w:pPr>
                  <w:r>
                    <w:rPr>
                      <w:rFonts w:hint="default" w:ascii="Times New Roman" w:hAnsi="Times New Roman" w:eastAsia="宋体" w:cs="Times New Roman"/>
                      <w:color w:val="auto"/>
                      <w:kern w:val="2"/>
                      <w:sz w:val="21"/>
                      <w:szCs w:val="21"/>
                      <w:lang w:val="en-US" w:eastAsia="zh-CN" w:bidi="ar-SA"/>
                    </w:rPr>
                    <w:t>根据</w:t>
                  </w:r>
                  <w:r>
                    <w:rPr>
                      <w:rFonts w:hint="default" w:ascii="Times New Roman" w:hAnsi="Times New Roman" w:cs="Times New Roman"/>
                      <w:color w:val="auto"/>
                      <w:kern w:val="2"/>
                      <w:sz w:val="21"/>
                      <w:szCs w:val="21"/>
                      <w:lang w:val="en-US" w:eastAsia="zh-CN" w:bidi="ar-SA"/>
                    </w:rPr>
                    <w:t>会泽县</w:t>
                  </w:r>
                  <w:r>
                    <w:rPr>
                      <w:rFonts w:hint="default" w:ascii="Times New Roman" w:hAnsi="Times New Roman" w:eastAsia="宋体" w:cs="Times New Roman"/>
                      <w:color w:val="auto"/>
                      <w:kern w:val="2"/>
                      <w:sz w:val="21"/>
                      <w:szCs w:val="21"/>
                      <w:lang w:val="en-US" w:eastAsia="zh-CN" w:bidi="ar-SA"/>
                    </w:rPr>
                    <w:t>各局查询意见、项目选址踏勘、生态调查及</w:t>
                  </w:r>
                  <w:r>
                    <w:rPr>
                      <w:rFonts w:hint="default" w:ascii="Times New Roman" w:hAnsi="Times New Roman" w:cs="Times New Roman"/>
                      <w:color w:val="auto"/>
                      <w:kern w:val="2"/>
                      <w:sz w:val="21"/>
                      <w:szCs w:val="21"/>
                      <w:lang w:val="en-US" w:eastAsia="zh-CN" w:bidi="ar-SA"/>
                    </w:rPr>
                    <w:t>会泽县</w:t>
                  </w:r>
                  <w:r>
                    <w:rPr>
                      <w:rFonts w:hint="default" w:ascii="Times New Roman" w:hAnsi="Times New Roman" w:eastAsia="宋体" w:cs="Times New Roman"/>
                      <w:color w:val="auto"/>
                      <w:kern w:val="2"/>
                      <w:sz w:val="21"/>
                      <w:szCs w:val="21"/>
                      <w:lang w:val="en-US" w:eastAsia="zh-CN" w:bidi="ar-SA"/>
                    </w:rPr>
                    <w:t>相关敏感区资料核对，项目选址区域不涉及自然保护区、国家公园、风景名胜区、文物古迹、湿地保护区、饮用水水源保护区、集中式饮用水水源地、生物多样性保护区域、特殊生态环境及特有物种保护区域、鸟类迁徙重要通道及其栖息地、民俗保护区等生态保护红线和生态敏感区域。</w:t>
                  </w:r>
                </w:p>
              </w:tc>
              <w:tc>
                <w:tcPr>
                  <w:tcW w:w="539" w:type="pct"/>
                  <w:noWrap w:val="0"/>
                  <w:vAlign w:val="center"/>
                </w:tcPr>
                <w:p w14:paraId="65BFDD50">
                  <w:pPr>
                    <w:spacing w:line="240" w:lineRule="auto"/>
                    <w:jc w:val="center"/>
                    <w:rPr>
                      <w:rFonts w:hint="eastAsia"/>
                      <w:color w:val="auto"/>
                      <w:szCs w:val="21"/>
                    </w:rPr>
                  </w:pPr>
                  <w:r>
                    <w:rPr>
                      <w:rFonts w:hint="eastAsia"/>
                      <w:color w:val="auto"/>
                      <w:szCs w:val="21"/>
                    </w:rPr>
                    <w:t>符合</w:t>
                  </w:r>
                </w:p>
              </w:tc>
            </w:tr>
            <w:tr w14:paraId="127471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51" w:type="dxa"/>
                  <w:bottom w:w="0" w:type="dxa"/>
                  <w:right w:w="51" w:type="dxa"/>
                </w:tblCellMar>
              </w:tblPrEx>
              <w:trPr>
                <w:trHeight w:val="340" w:hRule="atLeast"/>
                <w:jc w:val="center"/>
              </w:trPr>
              <w:tc>
                <w:tcPr>
                  <w:tcW w:w="1492" w:type="pct"/>
                  <w:noWrap w:val="0"/>
                  <w:vAlign w:val="center"/>
                </w:tcPr>
                <w:p w14:paraId="20C40F6C">
                  <w:pPr>
                    <w:spacing w:line="240" w:lineRule="auto"/>
                    <w:jc w:val="center"/>
                    <w:rPr>
                      <w:rFonts w:hint="eastAsia"/>
                      <w:color w:val="auto"/>
                      <w:szCs w:val="21"/>
                    </w:rPr>
                  </w:pPr>
                  <w:r>
                    <w:rPr>
                      <w:rFonts w:hint="eastAsia"/>
                      <w:color w:val="auto"/>
                      <w:szCs w:val="21"/>
                    </w:rPr>
                    <w:t>严格落实国土空间规划管控要求，尽量避让生态保护红线、耕地和永久基本农田。</w:t>
                  </w:r>
                </w:p>
              </w:tc>
              <w:tc>
                <w:tcPr>
                  <w:tcW w:w="2968" w:type="pct"/>
                  <w:noWrap w:val="0"/>
                  <w:vAlign w:val="center"/>
                </w:tcPr>
                <w:p w14:paraId="17F6E517">
                  <w:pPr>
                    <w:spacing w:line="240" w:lineRule="auto"/>
                    <w:jc w:val="center"/>
                    <w:rPr>
                      <w:rFonts w:hint="eastAsia"/>
                      <w:color w:val="auto"/>
                      <w:szCs w:val="21"/>
                    </w:rPr>
                  </w:pPr>
                  <w:r>
                    <w:rPr>
                      <w:rFonts w:hint="eastAsia"/>
                      <w:color w:val="auto"/>
                      <w:szCs w:val="21"/>
                    </w:rPr>
                    <w:t>根据查询资料，项目用地范围不涉及占用基本农田，</w:t>
                  </w:r>
                  <w:r>
                    <w:rPr>
                      <w:rFonts w:hint="eastAsia"/>
                      <w:color w:val="auto"/>
                      <w:szCs w:val="21"/>
                      <w:lang w:val="en-US" w:eastAsia="zh-CN"/>
                    </w:rPr>
                    <w:t>受自然条件等因素限制，线路不可避让跨越生态保护红线，对照《有限人为活动准入目录》，属于准入类别，“输电线塔基、通讯基站等小面积零星分散建设项目用地”属于准入目录，属于“必须且无法避让、符合县级以上国土空间规划的线性基础设施”</w:t>
                  </w:r>
                </w:p>
              </w:tc>
              <w:tc>
                <w:tcPr>
                  <w:tcW w:w="539" w:type="pct"/>
                  <w:noWrap w:val="0"/>
                  <w:vAlign w:val="center"/>
                </w:tcPr>
                <w:p w14:paraId="5F646336">
                  <w:pPr>
                    <w:spacing w:line="240" w:lineRule="auto"/>
                    <w:jc w:val="center"/>
                    <w:rPr>
                      <w:rFonts w:hint="eastAsia"/>
                      <w:color w:val="auto"/>
                      <w:szCs w:val="21"/>
                    </w:rPr>
                  </w:pPr>
                  <w:r>
                    <w:rPr>
                      <w:rFonts w:hint="eastAsia"/>
                      <w:color w:val="auto"/>
                      <w:szCs w:val="21"/>
                    </w:rPr>
                    <w:t>符合</w:t>
                  </w:r>
                </w:p>
              </w:tc>
            </w:tr>
          </w:tbl>
          <w:p w14:paraId="76B869BB">
            <w:pPr>
              <w:adjustRightInd w:val="0"/>
              <w:snapToGrid w:val="0"/>
              <w:spacing w:line="440" w:lineRule="exact"/>
              <w:ind w:firstLine="480" w:firstLineChars="200"/>
              <w:rPr>
                <w:rFonts w:hint="eastAsia"/>
                <w:color w:val="auto"/>
                <w:sz w:val="24"/>
              </w:rPr>
            </w:pPr>
            <w:r>
              <w:rPr>
                <w:rFonts w:hint="eastAsia"/>
                <w:color w:val="auto"/>
                <w:sz w:val="24"/>
              </w:rPr>
              <w:t>综上，项目建设</w:t>
            </w:r>
            <w:r>
              <w:rPr>
                <w:rFonts w:hint="eastAsia"/>
                <w:color w:val="auto"/>
                <w:sz w:val="24"/>
                <w:lang w:eastAsia="zh-CN"/>
              </w:rPr>
              <w:t>符合</w:t>
            </w:r>
            <w:r>
              <w:rPr>
                <w:rFonts w:hint="eastAsia"/>
                <w:color w:val="auto"/>
                <w:sz w:val="24"/>
              </w:rPr>
              <w:t>《云南省绿色能源发展“十四五”规划》环境影响篇章相关要求。</w:t>
            </w:r>
          </w:p>
          <w:p w14:paraId="7737056B">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2" w:firstLineChars="200"/>
              <w:jc w:val="both"/>
              <w:textAlignment w:val="auto"/>
              <w:rPr>
                <w:rFonts w:hint="default" w:ascii="Times New Roman" w:hAnsi="Times New Roman" w:eastAsia="宋体" w:cs="Times New Roman"/>
                <w:b/>
                <w:bCs w:val="0"/>
                <w:color w:val="auto"/>
                <w:sz w:val="24"/>
                <w:szCs w:val="24"/>
                <w:lang w:val="en-US" w:eastAsia="zh-CN"/>
              </w:rPr>
            </w:pPr>
            <w:r>
              <w:rPr>
                <w:rFonts w:hint="eastAsia" w:ascii="Times New Roman" w:hAnsi="Times New Roman" w:cs="Times New Roman"/>
                <w:b/>
                <w:bCs w:val="0"/>
                <w:color w:val="auto"/>
                <w:sz w:val="24"/>
                <w:szCs w:val="24"/>
                <w:lang w:val="en-US" w:eastAsia="zh-CN"/>
              </w:rPr>
              <w:t>2</w:t>
            </w:r>
            <w:r>
              <w:rPr>
                <w:rFonts w:hint="default" w:ascii="Times New Roman" w:hAnsi="Times New Roman" w:cs="Times New Roman"/>
                <w:b/>
                <w:bCs w:val="0"/>
                <w:color w:val="auto"/>
                <w:sz w:val="24"/>
                <w:szCs w:val="24"/>
                <w:lang w:val="en-US" w:eastAsia="zh-CN"/>
              </w:rPr>
              <w:t>、</w:t>
            </w:r>
            <w:r>
              <w:rPr>
                <w:rFonts w:hint="default" w:ascii="Times New Roman" w:hAnsi="Times New Roman" w:eastAsia="宋体" w:cs="Times New Roman"/>
                <w:b/>
                <w:bCs w:val="0"/>
                <w:color w:val="auto"/>
                <w:sz w:val="24"/>
                <w:szCs w:val="24"/>
                <w:lang w:val="en-US" w:eastAsia="zh-CN"/>
              </w:rPr>
              <w:t>与《曲靖市绿色能源发展“十四五”规划》的符合性分析</w:t>
            </w:r>
          </w:p>
          <w:p w14:paraId="29F81D3E">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eastAsia="宋体" w:cs="Times New Roman"/>
                <w:b/>
                <w:bCs w:val="0"/>
                <w:color w:val="auto"/>
                <w:sz w:val="24"/>
                <w:szCs w:val="24"/>
                <w:lang w:val="en-US" w:eastAsia="zh-CN"/>
              </w:rPr>
            </w:pPr>
            <w:r>
              <w:rPr>
                <w:rFonts w:hint="eastAsia" w:ascii="Times New Roman" w:hAnsi="Times New Roman" w:cs="Times New Roman"/>
                <w:b/>
                <w:bCs w:val="0"/>
                <w:color w:val="auto"/>
                <w:sz w:val="24"/>
                <w:szCs w:val="24"/>
                <w:lang w:val="en-US" w:eastAsia="zh-CN"/>
              </w:rPr>
              <w:t>（1）《曲靖市绿色能源发展“十四五”规划》概况</w:t>
            </w:r>
          </w:p>
          <w:p w14:paraId="66D808C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eastAsia="宋体" w:cs="Times New Roman"/>
                <w:b w:val="0"/>
                <w:bCs/>
                <w:color w:val="auto"/>
                <w:sz w:val="24"/>
                <w:szCs w:val="24"/>
                <w:lang w:val="en-US" w:eastAsia="zh-CN"/>
              </w:rPr>
            </w:pPr>
            <w:r>
              <w:rPr>
                <w:rFonts w:hint="eastAsia" w:ascii="Times New Roman" w:hAnsi="Times New Roman" w:eastAsia="宋体" w:cs="Times New Roman"/>
                <w:b w:val="0"/>
                <w:bCs/>
                <w:color w:val="auto"/>
                <w:sz w:val="24"/>
                <w:szCs w:val="24"/>
                <w:lang w:val="en-US" w:eastAsia="zh-CN"/>
              </w:rPr>
              <w:t>2023年5月10日，曲靖市人民政府办公室关于印发曲靖市绿色能源发展“十四五”规划的通知（曲政办发〔2023〕28号），规划发展目标为着力打造绿色能源强市，到“十四五”末，煤炭转型升级取得重大进展，产业结构更加优化，科技装备水平显著提升，实现集约、安全、高效、绿色、低碳发展；火电可持续发展能力不断增强，风电、光伏等清洁能源开发建设取得重大进展，打造成为云南省乃至西南重要的新能源基地；电网布局更加优化，构建形成覆盖城乡的安全、智能、高效、可靠、绿色智能电网；天然气网络及基础设施建设加快推进，形成布局合理、科学储配、辐射周边的天然气输送网络体系，基本实现多能互补格局。</w:t>
            </w:r>
          </w:p>
          <w:p w14:paraId="346EC12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eastAsia="宋体" w:cs="Times New Roman"/>
                <w:b w:val="0"/>
                <w:bCs/>
                <w:color w:val="auto"/>
                <w:sz w:val="24"/>
                <w:szCs w:val="24"/>
                <w:lang w:val="en-US" w:eastAsia="zh-CN"/>
              </w:rPr>
            </w:pPr>
            <w:r>
              <w:rPr>
                <w:rFonts w:hint="eastAsia" w:ascii="Times New Roman" w:hAnsi="Times New Roman" w:eastAsia="宋体" w:cs="Times New Roman"/>
                <w:b w:val="0"/>
                <w:bCs/>
                <w:color w:val="auto"/>
                <w:sz w:val="24"/>
                <w:szCs w:val="24"/>
                <w:lang w:val="en-US" w:eastAsia="zh-CN"/>
              </w:rPr>
              <w:t>到2025年，预计全市能源生产总量4444万吨标准煤，地区能源消费总量1674.93万吨标准煤，非化石能源消费占比达21%；原煤产量达到5000万吨/年；电力总装机2357万千瓦，可再生能源装机1447万千瓦以上；天然气储气能力达1900万立方米。</w:t>
            </w:r>
          </w:p>
          <w:p w14:paraId="06CDB93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b w:val="0"/>
                <w:bCs/>
                <w:color w:val="auto"/>
                <w:sz w:val="24"/>
                <w:szCs w:val="24"/>
                <w:lang w:val="en-US" w:eastAsia="zh-CN"/>
              </w:rPr>
            </w:pPr>
            <w:r>
              <w:rPr>
                <w:rFonts w:hint="eastAsia" w:ascii="Times New Roman" w:hAnsi="Times New Roman" w:eastAsia="宋体" w:cs="Times New Roman"/>
                <w:b w:val="0"/>
                <w:bCs/>
                <w:color w:val="auto"/>
                <w:sz w:val="24"/>
                <w:szCs w:val="24"/>
                <w:lang w:val="en-US" w:eastAsia="zh-CN"/>
              </w:rPr>
              <w:t>展望2035年，曲靖高质量现代化能源体系基本确立，煤炭产业实现稳定、高效发展，建成西南重要能源基地，打造成“光伏之都”核心区，形成以非化石能源为主导的能源供给体系，能源产业链更加完备，科技创新显著增强，能源产业成为全市第一大支柱产业，全面带动全市经济社会发展，充分满足人民对美好生活的用能需求。</w:t>
            </w:r>
          </w:p>
          <w:p w14:paraId="7966D05F">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bCs w:val="0"/>
                <w:color w:val="auto"/>
                <w:sz w:val="24"/>
                <w:szCs w:val="24"/>
                <w:lang w:val="en-US" w:eastAsia="zh-CN"/>
              </w:rPr>
              <w:t>强化电网建设。</w:t>
            </w:r>
            <w:r>
              <w:rPr>
                <w:rFonts w:hint="default" w:ascii="Times New Roman" w:hAnsi="Times New Roman" w:eastAsia="宋体" w:cs="Times New Roman"/>
                <w:b w:val="0"/>
                <w:bCs/>
                <w:color w:val="auto"/>
                <w:sz w:val="24"/>
                <w:szCs w:val="24"/>
                <w:lang w:val="en-US" w:eastAsia="zh-CN"/>
              </w:rPr>
              <w:t>“十四五”期间，曲靖电网规划建设500千伏西山变、喜平变扩建第三台主变工程、龙海变扩建第三台主变工程、500千伏铜都开关站扩建</w:t>
            </w:r>
            <w:r>
              <w:rPr>
                <w:rFonts w:hint="eastAsia" w:ascii="Times New Roman" w:hAnsi="Times New Roman" w:eastAsia="宋体" w:cs="Times New Roman"/>
                <w:b w:val="0"/>
                <w:bCs/>
                <w:color w:val="auto"/>
                <w:sz w:val="24"/>
                <w:szCs w:val="24"/>
                <w:lang w:val="en-US" w:eastAsia="zh-CN"/>
              </w:rPr>
              <w:t>升压站</w:t>
            </w:r>
            <w:r>
              <w:rPr>
                <w:rFonts w:hint="default" w:ascii="Times New Roman" w:hAnsi="Times New Roman" w:eastAsia="宋体" w:cs="Times New Roman"/>
                <w:b w:val="0"/>
                <w:bCs/>
                <w:color w:val="auto"/>
                <w:sz w:val="24"/>
                <w:szCs w:val="24"/>
                <w:lang w:val="en-US" w:eastAsia="zh-CN"/>
              </w:rPr>
              <w:t>工程，新增500千伏变电容量600万千伏安；至2025年，500千伏变电总容量达到1450万千伏安，500千伏变电容量充足，能够满足经开区、工业园区项目新增大用户负荷供电的要求。输电线路方面，500千伏</w:t>
            </w:r>
            <w:r>
              <w:rPr>
                <w:rFonts w:hint="eastAsia" w:ascii="Times New Roman" w:hAnsi="Times New Roman" w:eastAsia="宋体" w:cs="Times New Roman"/>
                <w:b w:val="0"/>
                <w:bCs/>
                <w:color w:val="auto"/>
                <w:sz w:val="24"/>
                <w:szCs w:val="24"/>
                <w:lang w:val="en-US" w:eastAsia="zh-CN"/>
              </w:rPr>
              <w:t>升压站</w:t>
            </w:r>
            <w:r>
              <w:rPr>
                <w:rFonts w:hint="default" w:ascii="Times New Roman" w:hAnsi="Times New Roman" w:eastAsia="宋体" w:cs="Times New Roman"/>
                <w:b w:val="0"/>
                <w:bCs/>
                <w:color w:val="auto"/>
                <w:sz w:val="24"/>
                <w:szCs w:val="24"/>
                <w:lang w:val="en-US" w:eastAsia="zh-CN"/>
              </w:rPr>
              <w:t>220千伏出线均采用2×300平方毫米以上导线截面，并对原有的一些导线进行并线改造，主网输电能力得到增强。曲靖电网经过“十四五”期间主网架的规划建设，当500千伏或220千伏</w:t>
            </w:r>
            <w:r>
              <w:rPr>
                <w:rFonts w:hint="eastAsia" w:ascii="Times New Roman" w:hAnsi="Times New Roman" w:eastAsia="宋体" w:cs="Times New Roman"/>
                <w:b w:val="0"/>
                <w:bCs/>
                <w:color w:val="auto"/>
                <w:sz w:val="24"/>
                <w:szCs w:val="24"/>
                <w:lang w:val="en-US" w:eastAsia="zh-CN"/>
              </w:rPr>
              <w:t>升压站</w:t>
            </w:r>
            <w:r>
              <w:rPr>
                <w:rFonts w:hint="default" w:ascii="Times New Roman" w:hAnsi="Times New Roman" w:eastAsia="宋体" w:cs="Times New Roman"/>
                <w:b w:val="0"/>
                <w:bCs/>
                <w:color w:val="auto"/>
                <w:sz w:val="24"/>
                <w:szCs w:val="24"/>
                <w:lang w:val="en-US" w:eastAsia="zh-CN"/>
              </w:rPr>
              <w:t>在发生主变N—1或线路N—1故障时，其所供负荷均可由近区电网支援供电，不需采取措施，可保证供电。主要</w:t>
            </w:r>
            <w:r>
              <w:rPr>
                <w:rFonts w:hint="eastAsia" w:ascii="Times New Roman" w:hAnsi="Times New Roman" w:eastAsia="宋体" w:cs="Times New Roman"/>
                <w:b w:val="0"/>
                <w:bCs/>
                <w:color w:val="auto"/>
                <w:sz w:val="24"/>
                <w:szCs w:val="24"/>
                <w:lang w:val="en-US" w:eastAsia="zh-CN"/>
              </w:rPr>
              <w:t>升压站</w:t>
            </w:r>
            <w:r>
              <w:rPr>
                <w:rFonts w:hint="default" w:ascii="Times New Roman" w:hAnsi="Times New Roman" w:eastAsia="宋体" w:cs="Times New Roman"/>
                <w:b w:val="0"/>
                <w:bCs/>
                <w:color w:val="auto"/>
                <w:sz w:val="24"/>
                <w:szCs w:val="24"/>
                <w:lang w:val="en-US" w:eastAsia="zh-CN"/>
              </w:rPr>
              <w:t>均采用双回链式或有联络的环网供电结构，保证电网的供电可靠性。到2025年，曲靖电网供电可靠性均可满足要求。通过曲靖电网“十四五”规划方案的实施，规划电网能够满足599号令对于电网运行风险控制的要求，保障曲靖电网的安全稳定运行，为曲靖社会经济的发展保驾护航。</w:t>
            </w:r>
          </w:p>
          <w:p w14:paraId="196290B4">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eastAsia" w:ascii="Times New Roman" w:hAnsi="Times New Roman" w:cs="Times New Roman"/>
                <w:b w:val="0"/>
                <w:bCs/>
                <w:color w:val="auto"/>
                <w:sz w:val="24"/>
                <w:szCs w:val="24"/>
                <w:lang w:val="en-US" w:eastAsia="zh-CN"/>
              </w:rPr>
            </w:pPr>
            <w:r>
              <w:rPr>
                <w:rFonts w:hint="default" w:ascii="Times New Roman" w:hAnsi="Times New Roman" w:eastAsia="宋体" w:cs="Times New Roman"/>
                <w:b/>
                <w:bCs w:val="0"/>
                <w:color w:val="auto"/>
                <w:sz w:val="24"/>
                <w:szCs w:val="24"/>
                <w:lang w:val="en-US" w:eastAsia="zh-CN"/>
              </w:rPr>
              <w:t>加强电源电网建设</w:t>
            </w:r>
            <w:r>
              <w:rPr>
                <w:rFonts w:hint="eastAsia" w:ascii="Times New Roman" w:hAnsi="Times New Roman" w:cs="Times New Roman"/>
                <w:b/>
                <w:bCs w:val="0"/>
                <w:color w:val="auto"/>
                <w:sz w:val="24"/>
                <w:szCs w:val="24"/>
                <w:lang w:val="en-US" w:eastAsia="zh-CN"/>
              </w:rPr>
              <w:t>：</w:t>
            </w:r>
            <w:r>
              <w:rPr>
                <w:rFonts w:hint="eastAsia" w:ascii="Times New Roman" w:hAnsi="Times New Roman" w:cs="Times New Roman"/>
                <w:b w:val="0"/>
                <w:bCs/>
                <w:color w:val="auto"/>
                <w:sz w:val="24"/>
                <w:szCs w:val="24"/>
                <w:lang w:val="en-US" w:eastAsia="zh-CN"/>
              </w:rPr>
              <w:t>（一）为适应曲靖市整体经济社会发展、满足重点工业园区建设及新增负荷供电，规划新建及改扩建500千伏升压站3座，新增主变容量400万千伏安，新建输电线路175公里；新建及改扩建220千伏升压站6座，新增主变容量183万千伏安，新建输电线路683公里。新建及改扩建110千伏升压站27座，容量148万千伏安，新建输电线路760公里；新建及改扩建35千伏升压站38座，容量31万千伏安新建输电线路695公里。（三）加强配电网项目规划建设。巩固拓展脱贫攻坚成果同乡村振兴有效衔接，夯实乡村电网基础，提升乡村电网供电能力和供电质量。到2025年，新建及改造电缆线路60.80公里，架空线路1936.61公里，新建及改造智能中压开关站19个，新建及改造智能自动化开关739台，新建及改造配变3243台，容量471.18兆伏安，低压线路4328.88公里。到2025年底，全市乡村供电可靠率达99.891%，用户年均停电时间9.5小时。</w:t>
            </w:r>
          </w:p>
          <w:p w14:paraId="56F4F3A5">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bCs w:val="0"/>
                <w:color w:val="auto"/>
                <w:sz w:val="24"/>
                <w:szCs w:val="24"/>
                <w:lang w:val="en-US" w:eastAsia="zh-CN"/>
              </w:rPr>
              <w:t>打造绿色能源示范基地</w:t>
            </w:r>
            <w:r>
              <w:rPr>
                <w:rFonts w:hint="eastAsia" w:ascii="Times New Roman" w:hAnsi="Times New Roman" w:cs="Times New Roman"/>
                <w:b/>
                <w:bCs w:val="0"/>
                <w:color w:val="auto"/>
                <w:sz w:val="24"/>
                <w:szCs w:val="24"/>
                <w:lang w:val="en-US" w:eastAsia="zh-CN"/>
              </w:rPr>
              <w:t>：</w:t>
            </w:r>
            <w:r>
              <w:rPr>
                <w:rFonts w:hint="default" w:ascii="Times New Roman" w:hAnsi="Times New Roman" w:eastAsia="宋体" w:cs="Times New Roman"/>
                <w:b w:val="0"/>
                <w:bCs/>
                <w:color w:val="auto"/>
                <w:sz w:val="24"/>
                <w:szCs w:val="24"/>
                <w:lang w:val="en-US" w:eastAsia="zh-CN"/>
              </w:rPr>
              <w:t>（一）积极推进风电、光伏新能源项目建设。按照“能开全开、能开尽开、依法依规、科学有序”的原则，全面有序开发利用新能源。强化要素支撑和服务保障，优化项目设计方案，做实做细项目前期，协调加快项目手续办理、接网工程和并网消纳，加快推进394万千瓦的10个风电基地项目、542.4万千瓦的56个地面集中式光伏项目、39.7万千瓦的3个整县屋顶分布式光伏试点项目建设，到2025年，力争实现全容量并网发电。为适应大规模风电、光伏清洁能源接入电网，避免负荷较大波动的不利影响，综合电网接入条件，规划构建曲靖风光火一体化综合能源基地，配套光伏容量240万千瓦、风电装机容量52万千瓦，通过现有火电机组负荷调节改造及配套一定比例电储能等技术方式，促进风电、光伏新能源项目安全、可靠、有序发展。选择工业负荷规模大、新能源资源条件好的工业园区，规划园区级源网荷储一体化项目，配套光伏容量50万千瓦、风电装机容量18万千瓦。</w:t>
            </w:r>
          </w:p>
          <w:p w14:paraId="3C8CDE6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color w:val="auto"/>
              </w:rPr>
            </w:pPr>
            <w:r>
              <w:rPr>
                <w:rFonts w:ascii="Times New Roman" w:hAnsi="Times New Roman"/>
                <w:color w:val="auto"/>
                <w:sz w:val="24"/>
                <w:szCs w:val="24"/>
              </w:rPr>
              <w:t>本工程建设主要为</w:t>
            </w:r>
            <w:r>
              <w:rPr>
                <w:rFonts w:hint="default" w:ascii="Times New Roman" w:hAnsi="Times New Roman" w:cs="Times New Roman"/>
                <w:color w:val="auto"/>
                <w:sz w:val="24"/>
                <w:szCs w:val="24"/>
              </w:rPr>
              <w:t>满足</w:t>
            </w:r>
            <w:r>
              <w:rPr>
                <w:rFonts w:hint="eastAsia" w:ascii="Times New Roman" w:hAnsi="Times New Roman" w:cs="Times New Roman"/>
                <w:color w:val="auto"/>
                <w:sz w:val="24"/>
                <w:szCs w:val="24"/>
                <w:lang w:val="en-US" w:eastAsia="zh-CN"/>
              </w:rPr>
              <w:t>曲靖市会泽县火红乡湾子村委会大草房光伏发电项目</w:t>
            </w:r>
            <w:r>
              <w:rPr>
                <w:rFonts w:hint="default" w:ascii="Times New Roman" w:hAnsi="Times New Roman" w:cs="Times New Roman"/>
                <w:color w:val="auto"/>
                <w:sz w:val="24"/>
                <w:szCs w:val="24"/>
              </w:rPr>
              <w:t>新能源的装机电力送出和消纳。</w:t>
            </w:r>
            <w:r>
              <w:rPr>
                <w:rFonts w:hint="eastAsia" w:ascii="Times New Roman" w:hAnsi="Times New Roman"/>
                <w:color w:val="auto"/>
                <w:sz w:val="24"/>
                <w:szCs w:val="24"/>
              </w:rPr>
              <w:t>项目</w:t>
            </w:r>
            <w:r>
              <w:rPr>
                <w:rFonts w:hint="eastAsia" w:ascii="Times New Roman" w:hAnsi="Times New Roman"/>
                <w:color w:val="auto"/>
                <w:sz w:val="24"/>
                <w:szCs w:val="24"/>
                <w:lang w:val="en-US" w:eastAsia="zh-CN"/>
              </w:rPr>
              <w:t>已纳入《云南省2024年第一批新能源项目开发建设方案》（云能源水电〔2024〕74号），属于云南省2024年新能源项目建设清单中“三、曲靖市9大草房光伏发电项目”，</w:t>
            </w:r>
            <w:r>
              <w:rPr>
                <w:rFonts w:ascii="Times New Roman" w:hAnsi="Times New Roman"/>
                <w:color w:val="auto"/>
                <w:sz w:val="24"/>
                <w:szCs w:val="24"/>
              </w:rPr>
              <w:t>项目的建设有利于缓解</w:t>
            </w:r>
            <w:r>
              <w:rPr>
                <w:rFonts w:hint="eastAsia" w:ascii="Times New Roman" w:hAnsi="Times New Roman"/>
                <w:color w:val="auto"/>
                <w:sz w:val="24"/>
                <w:szCs w:val="24"/>
                <w:lang w:val="en-US" w:eastAsia="zh-CN"/>
              </w:rPr>
              <w:t>曲靖市、会泽县</w:t>
            </w:r>
            <w:r>
              <w:rPr>
                <w:rFonts w:ascii="Times New Roman" w:hAnsi="Times New Roman"/>
                <w:color w:val="auto"/>
                <w:sz w:val="24"/>
                <w:szCs w:val="24"/>
              </w:rPr>
              <w:t>电力供需矛盾，提高云南省电力保障能力，改善全省以水电为主的电源结构。因此，</w:t>
            </w:r>
            <w:r>
              <w:rPr>
                <w:rFonts w:hint="default" w:ascii="Times New Roman" w:hAnsi="Times New Roman" w:eastAsia="宋体" w:cs="Times New Roman"/>
                <w:b w:val="0"/>
                <w:bCs/>
                <w:color w:val="auto"/>
                <w:sz w:val="24"/>
                <w:szCs w:val="24"/>
                <w:lang w:val="en-US" w:eastAsia="zh-CN"/>
              </w:rPr>
              <w:t>项目的建设符合《</w:t>
            </w:r>
            <w:r>
              <w:rPr>
                <w:rFonts w:hint="eastAsia" w:ascii="Times New Roman" w:hAnsi="Times New Roman" w:eastAsia="宋体" w:cs="Times New Roman"/>
                <w:b w:val="0"/>
                <w:bCs/>
                <w:color w:val="auto"/>
                <w:sz w:val="24"/>
                <w:szCs w:val="24"/>
                <w:lang w:val="en-US" w:eastAsia="zh-CN"/>
              </w:rPr>
              <w:t>曲靖市</w:t>
            </w:r>
            <w:r>
              <w:rPr>
                <w:rFonts w:hint="default" w:ascii="Times New Roman" w:hAnsi="Times New Roman" w:eastAsia="宋体" w:cs="Times New Roman"/>
                <w:b w:val="0"/>
                <w:bCs/>
                <w:color w:val="auto"/>
                <w:sz w:val="24"/>
                <w:szCs w:val="24"/>
                <w:lang w:val="en-US" w:eastAsia="zh-CN"/>
              </w:rPr>
              <w:t>绿色能源发展“十四五”规划》的要求</w:t>
            </w:r>
            <w:r>
              <w:rPr>
                <w:rFonts w:ascii="Times New Roman" w:hAnsi="Times New Roman"/>
                <w:color w:val="auto"/>
                <w:sz w:val="24"/>
                <w:szCs w:val="24"/>
              </w:rPr>
              <w:t>。</w:t>
            </w:r>
          </w:p>
          <w:p w14:paraId="2A045C9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b/>
                <w:bCs/>
                <w:color w:val="auto"/>
                <w:lang w:val="en-US" w:eastAsia="zh-CN"/>
              </w:rPr>
            </w:pPr>
            <w:r>
              <w:rPr>
                <w:color w:val="auto"/>
                <w:highlight w:val="none"/>
              </w:rPr>
              <w:drawing>
                <wp:inline distT="0" distB="0" distL="114300" distR="114300">
                  <wp:extent cx="4588510" cy="2662555"/>
                  <wp:effectExtent l="0" t="0" r="2540" b="4445"/>
                  <wp:docPr id="10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
                          <pic:cNvPicPr>
                            <a:picLocks noChangeAspect="1"/>
                          </pic:cNvPicPr>
                        </pic:nvPicPr>
                        <pic:blipFill>
                          <a:blip r:embed="rId17"/>
                          <a:stretch>
                            <a:fillRect/>
                          </a:stretch>
                        </pic:blipFill>
                        <pic:spPr>
                          <a:xfrm>
                            <a:off x="0" y="0"/>
                            <a:ext cx="4588510" cy="2662555"/>
                          </a:xfrm>
                          <a:prstGeom prst="rect">
                            <a:avLst/>
                          </a:prstGeom>
                          <a:noFill/>
                          <a:ln>
                            <a:noFill/>
                          </a:ln>
                        </pic:spPr>
                      </pic:pic>
                    </a:graphicData>
                  </a:graphic>
                </wp:inline>
              </w:drawing>
            </w:r>
          </w:p>
          <w:p w14:paraId="0520DA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b/>
                <w:bCs/>
                <w:color w:val="auto"/>
                <w:sz w:val="24"/>
                <w:szCs w:val="24"/>
                <w:lang w:val="en-US" w:eastAsia="zh-CN"/>
              </w:rPr>
            </w:pPr>
            <w:r>
              <w:rPr>
                <w:rFonts w:hint="eastAsia" w:ascii="Times New Roman" w:hAnsi="Times New Roman"/>
                <w:b/>
                <w:bCs/>
                <w:color w:val="auto"/>
                <w:kern w:val="0"/>
                <w:sz w:val="24"/>
                <w:lang w:val="en-US" w:eastAsia="zh-CN"/>
              </w:rPr>
              <w:t>图1-1  云南省2022年新能源项目投产并网项目清单</w:t>
            </w:r>
          </w:p>
          <w:p w14:paraId="3EFE091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highlight w:val="none"/>
                <w:lang w:val="en-US" w:eastAsia="zh-CN"/>
              </w:rPr>
            </w:pPr>
            <w:r>
              <w:rPr>
                <w:rFonts w:hint="default"/>
                <w:color w:val="auto"/>
                <w:highlight w:val="none"/>
                <w:lang w:val="en-US" w:eastAsia="zh-CN"/>
              </w:rPr>
              <w:drawing>
                <wp:inline distT="0" distB="0" distL="114300" distR="114300">
                  <wp:extent cx="4461510" cy="3180080"/>
                  <wp:effectExtent l="0" t="0" r="15240" b="1270"/>
                  <wp:docPr id="108" name="图片 71" descr="d0aab629-71f1-4027-91f6-edc67e40b4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71" descr="d0aab629-71f1-4027-91f6-edc67e40b4b3"/>
                          <pic:cNvPicPr>
                            <a:picLocks noChangeAspect="1"/>
                          </pic:cNvPicPr>
                        </pic:nvPicPr>
                        <pic:blipFill>
                          <a:blip r:embed="rId18"/>
                          <a:stretch>
                            <a:fillRect/>
                          </a:stretch>
                        </pic:blipFill>
                        <pic:spPr>
                          <a:xfrm>
                            <a:off x="0" y="0"/>
                            <a:ext cx="4461510" cy="3180080"/>
                          </a:xfrm>
                          <a:prstGeom prst="rect">
                            <a:avLst/>
                          </a:prstGeom>
                          <a:noFill/>
                          <a:ln>
                            <a:noFill/>
                          </a:ln>
                        </pic:spPr>
                      </pic:pic>
                    </a:graphicData>
                  </a:graphic>
                </wp:inline>
              </w:drawing>
            </w:r>
          </w:p>
          <w:p w14:paraId="61C89B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b/>
                <w:bCs/>
                <w:color w:val="auto"/>
                <w:sz w:val="24"/>
                <w:szCs w:val="24"/>
              </w:rPr>
            </w:pPr>
            <w:r>
              <w:rPr>
                <w:rFonts w:ascii="Times New Roman" w:hAnsi="Times New Roman" w:eastAsia="宋体"/>
                <w:b/>
                <w:bCs/>
                <w:color w:val="auto"/>
                <w:sz w:val="24"/>
                <w:szCs w:val="24"/>
              </w:rPr>
              <w:t>图1-</w:t>
            </w:r>
            <w:r>
              <w:rPr>
                <w:rFonts w:hint="eastAsia" w:ascii="Times New Roman" w:hAnsi="Times New Roman"/>
                <w:b/>
                <w:bCs/>
                <w:color w:val="auto"/>
                <w:sz w:val="24"/>
                <w:szCs w:val="24"/>
                <w:lang w:val="en-US" w:eastAsia="zh-CN"/>
              </w:rPr>
              <w:t>2</w:t>
            </w:r>
            <w:r>
              <w:rPr>
                <w:rFonts w:ascii="Times New Roman" w:hAnsi="Times New Roman" w:eastAsia="宋体"/>
                <w:b/>
                <w:bCs/>
                <w:color w:val="auto"/>
                <w:sz w:val="24"/>
                <w:szCs w:val="24"/>
              </w:rPr>
              <w:t xml:space="preserve">  工程接入系统方案电网规划图</w:t>
            </w:r>
          </w:p>
          <w:p w14:paraId="62DDBC50">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jc w:val="both"/>
              <w:textAlignment w:val="auto"/>
              <w:rPr>
                <w:rFonts w:hint="default" w:ascii="Times New Roman" w:hAnsi="Times New Roman" w:eastAsia="宋体" w:cs="Times New Roman"/>
                <w:b/>
                <w:bCs w:val="0"/>
                <w:color w:val="auto"/>
                <w:sz w:val="24"/>
                <w:szCs w:val="24"/>
                <w:lang w:val="en-US" w:eastAsia="zh-CN"/>
              </w:rPr>
            </w:pPr>
            <w:r>
              <w:rPr>
                <w:rFonts w:hint="eastAsia" w:ascii="Times New Roman" w:hAnsi="Times New Roman" w:eastAsia="宋体" w:cs="Times New Roman"/>
                <w:b/>
                <w:bCs w:val="0"/>
                <w:color w:val="auto"/>
                <w:sz w:val="24"/>
                <w:szCs w:val="24"/>
                <w:lang w:val="en-US" w:eastAsia="zh-CN"/>
              </w:rPr>
              <w:t>（2）</w:t>
            </w:r>
            <w:r>
              <w:rPr>
                <w:rFonts w:hint="default" w:ascii="Times New Roman" w:hAnsi="Times New Roman" w:eastAsia="宋体" w:cs="Times New Roman"/>
                <w:b/>
                <w:bCs w:val="0"/>
                <w:color w:val="auto"/>
                <w:sz w:val="24"/>
                <w:szCs w:val="24"/>
                <w:lang w:val="en-US" w:eastAsia="zh-CN"/>
              </w:rPr>
              <w:t>与《曲靖市绿色能源发展“十四五”规划》环境影响篇章符合性分析</w:t>
            </w:r>
          </w:p>
          <w:p w14:paraId="17CE6CB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eastAsia="zh-CN"/>
              </w:rPr>
              <w:t>曲靖市人民政府办公室</w:t>
            </w:r>
            <w:r>
              <w:rPr>
                <w:rFonts w:hint="eastAsia" w:ascii="Times New Roman" w:hAnsi="Times New Roman" w:eastAsia="宋体" w:cs="Times New Roman"/>
                <w:color w:val="auto"/>
                <w:sz w:val="24"/>
                <w:szCs w:val="24"/>
                <w:lang w:val="en-US" w:eastAsia="zh-CN"/>
              </w:rPr>
              <w:t>于2023年5月10日</w:t>
            </w:r>
            <w:r>
              <w:rPr>
                <w:rFonts w:hint="default" w:ascii="Times New Roman" w:hAnsi="Times New Roman" w:eastAsia="宋体" w:cs="Times New Roman"/>
                <w:color w:val="auto"/>
                <w:sz w:val="24"/>
                <w:szCs w:val="24"/>
                <w:lang w:eastAsia="zh-CN"/>
              </w:rPr>
              <w:t>关于印发曲靖市绿色能源发展“十四五”规划的通知</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eastAsia="zh-CN"/>
              </w:rPr>
              <w:t>曲政办发〔2023〕28号</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项目与该规划中第六章“环境影响分析与相关规划的衔接性分析”符合性分析见下表：</w:t>
            </w:r>
          </w:p>
          <w:p w14:paraId="63EB1CD1">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表1-</w:t>
            </w:r>
            <w:r>
              <w:rPr>
                <w:rFonts w:hint="eastAsia" w:ascii="Times New Roman" w:hAnsi="Times New Roman" w:eastAsia="宋体" w:cs="Times New Roman"/>
                <w:b/>
                <w:bCs/>
                <w:color w:val="auto"/>
                <w:sz w:val="21"/>
                <w:szCs w:val="21"/>
                <w:lang w:val="en-US" w:eastAsia="zh-CN"/>
              </w:rPr>
              <w:t>3</w:t>
            </w:r>
            <w:r>
              <w:rPr>
                <w:rFonts w:hint="default" w:ascii="Times New Roman" w:hAnsi="Times New Roman" w:eastAsia="宋体" w:cs="Times New Roman"/>
                <w:b/>
                <w:bCs/>
                <w:color w:val="auto"/>
                <w:sz w:val="21"/>
                <w:szCs w:val="21"/>
                <w:lang w:val="en-US" w:eastAsia="zh-CN"/>
              </w:rPr>
              <w:t xml:space="preserve">  项目与《曲靖市绿色能源发展“十四五”规划》环境影响篇章的符合性</w:t>
            </w:r>
          </w:p>
          <w:tbl>
            <w:tblPr>
              <w:tblStyle w:val="9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3535"/>
              <w:gridCol w:w="2762"/>
              <w:gridCol w:w="542"/>
            </w:tblGrid>
            <w:tr w14:paraId="37005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2584" w:type="pct"/>
                  <w:tcBorders>
                    <w:tl2br w:val="nil"/>
                    <w:tr2bl w:val="nil"/>
                  </w:tcBorders>
                  <w:noWrap w:val="0"/>
                  <w:vAlign w:val="center"/>
                </w:tcPr>
                <w:p w14:paraId="6E5DF874">
                  <w:pPr>
                    <w:autoSpaceDE/>
                    <w:autoSpaceDN/>
                    <w:spacing w:before="0" w:after="0" w:line="240" w:lineRule="auto"/>
                    <w:ind w:left="0" w:right="0"/>
                    <w:jc w:val="center"/>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规划要求</w:t>
                  </w:r>
                </w:p>
              </w:tc>
              <w:tc>
                <w:tcPr>
                  <w:tcW w:w="2019" w:type="pct"/>
                  <w:tcBorders>
                    <w:tl2br w:val="nil"/>
                    <w:tr2bl w:val="nil"/>
                  </w:tcBorders>
                  <w:noWrap w:val="0"/>
                  <w:vAlign w:val="center"/>
                </w:tcPr>
                <w:p w14:paraId="00D2EAB7">
                  <w:pPr>
                    <w:autoSpaceDE/>
                    <w:autoSpaceDN/>
                    <w:spacing w:before="0" w:after="0" w:line="240" w:lineRule="auto"/>
                    <w:ind w:left="0" w:right="0"/>
                    <w:jc w:val="center"/>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项目情况</w:t>
                  </w:r>
                </w:p>
              </w:tc>
              <w:tc>
                <w:tcPr>
                  <w:tcW w:w="396" w:type="pct"/>
                  <w:tcBorders>
                    <w:tl2br w:val="nil"/>
                    <w:tr2bl w:val="nil"/>
                  </w:tcBorders>
                  <w:noWrap w:val="0"/>
                  <w:vAlign w:val="center"/>
                </w:tcPr>
                <w:p w14:paraId="542C0888">
                  <w:pPr>
                    <w:autoSpaceDE/>
                    <w:autoSpaceDN/>
                    <w:spacing w:before="0" w:after="0" w:line="240" w:lineRule="auto"/>
                    <w:ind w:left="0" w:right="0"/>
                    <w:jc w:val="center"/>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相符性</w:t>
                  </w:r>
                </w:p>
              </w:tc>
            </w:tr>
            <w:tr w14:paraId="77F3B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2584" w:type="pct"/>
                  <w:tcBorders>
                    <w:tl2br w:val="nil"/>
                    <w:tr2bl w:val="nil"/>
                  </w:tcBorders>
                  <w:noWrap w:val="0"/>
                  <w:vAlign w:val="center"/>
                </w:tcPr>
                <w:p w14:paraId="58C70ED6">
                  <w:pPr>
                    <w:autoSpaceDE/>
                    <w:autoSpaceDN/>
                    <w:spacing w:before="0" w:after="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在充分分析曲靖市资源、生态和环境承载力的基础和前提下，本规划形成的相关能源发展布局、重点任务和重大工程符合法律法规、政策要求，与云南省国民经济与社会发展规划纲要、国家能源专项规划等上位规划保持一致，与生态文明、国土空间、乡村振兴、工业产业等规划，以及节能减排、生态环境保护、战略性新兴产业等专项规划相衔接，与生态保护红线和重大政策战略相适应。从生态环境保护上看，本规划强调能源发展和环境保护并重，加强对大气、水环境、土壤的保护，与建设生态文明建设排头兵方向一致。从节能减排的角度看，本规划以节能减排、优化结构、保障安全为重点，强化能源可持续发展观念。</w:t>
                  </w:r>
                </w:p>
              </w:tc>
              <w:tc>
                <w:tcPr>
                  <w:tcW w:w="2019" w:type="pct"/>
                  <w:tcBorders>
                    <w:tl2br w:val="nil"/>
                    <w:tr2bl w:val="nil"/>
                  </w:tcBorders>
                  <w:noWrap w:val="0"/>
                  <w:vAlign w:val="center"/>
                </w:tcPr>
                <w:p w14:paraId="6836F8E6">
                  <w:pPr>
                    <w:autoSpaceDE/>
                    <w:autoSpaceDN/>
                    <w:spacing w:before="0" w:after="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本项目符合相关规划，符合国土空间规划；</w:t>
                  </w:r>
                  <w:r>
                    <w:rPr>
                      <w:rFonts w:hint="default" w:ascii="Times New Roman" w:hAnsi="Times New Roman" w:eastAsia="宋体" w:cs="Times New Roman"/>
                      <w:color w:val="auto"/>
                      <w:kern w:val="2"/>
                      <w:sz w:val="21"/>
                      <w:szCs w:val="21"/>
                      <w:lang w:val="en-US" w:eastAsia="zh-CN" w:bidi="ar-SA"/>
                    </w:rPr>
                    <w:t>根据</w:t>
                  </w:r>
                  <w:r>
                    <w:rPr>
                      <w:rFonts w:hint="default" w:ascii="Times New Roman" w:hAnsi="Times New Roman" w:cs="Times New Roman"/>
                      <w:color w:val="auto"/>
                      <w:kern w:val="2"/>
                      <w:sz w:val="21"/>
                      <w:szCs w:val="21"/>
                      <w:lang w:val="en-US" w:eastAsia="zh-CN" w:bidi="ar-SA"/>
                    </w:rPr>
                    <w:t>会泽县</w:t>
                  </w:r>
                  <w:r>
                    <w:rPr>
                      <w:rFonts w:hint="default" w:ascii="Times New Roman" w:hAnsi="Times New Roman" w:eastAsia="宋体" w:cs="Times New Roman"/>
                      <w:color w:val="auto"/>
                      <w:kern w:val="2"/>
                      <w:sz w:val="21"/>
                      <w:szCs w:val="21"/>
                      <w:lang w:val="en-US" w:eastAsia="zh-CN" w:bidi="ar-SA"/>
                    </w:rPr>
                    <w:t>各局查询意见、项目选址踏勘及</w:t>
                  </w:r>
                  <w:r>
                    <w:rPr>
                      <w:rFonts w:hint="default" w:ascii="Times New Roman" w:hAnsi="Times New Roman" w:cs="Times New Roman"/>
                      <w:color w:val="auto"/>
                      <w:kern w:val="2"/>
                      <w:sz w:val="21"/>
                      <w:szCs w:val="21"/>
                      <w:lang w:val="en-US" w:eastAsia="zh-CN" w:bidi="ar-SA"/>
                    </w:rPr>
                    <w:t>会泽县</w:t>
                  </w:r>
                  <w:r>
                    <w:rPr>
                      <w:rFonts w:hint="default" w:ascii="Times New Roman" w:hAnsi="Times New Roman" w:eastAsia="宋体" w:cs="Times New Roman"/>
                      <w:color w:val="auto"/>
                      <w:kern w:val="2"/>
                      <w:sz w:val="21"/>
                      <w:szCs w:val="21"/>
                      <w:lang w:val="en-US" w:eastAsia="zh-CN" w:bidi="ar-SA"/>
                    </w:rPr>
                    <w:t>相关敏感区资料核对，项目占地类型为</w:t>
                  </w:r>
                  <w:r>
                    <w:rPr>
                      <w:rFonts w:hint="eastAsia" w:ascii="Times New Roman" w:hAnsi="Times New Roman" w:cs="Times New Roman"/>
                      <w:color w:val="auto"/>
                      <w:kern w:val="2"/>
                      <w:sz w:val="21"/>
                      <w:szCs w:val="21"/>
                      <w:lang w:val="en-US" w:eastAsia="zh-CN" w:bidi="ar-SA"/>
                    </w:rPr>
                    <w:t>林地、耕地、草地</w:t>
                  </w:r>
                  <w:r>
                    <w:rPr>
                      <w:rFonts w:hint="default" w:ascii="Times New Roman" w:hAnsi="Times New Roman" w:eastAsia="宋体" w:cs="Times New Roman"/>
                      <w:color w:val="auto"/>
                      <w:kern w:val="2"/>
                      <w:sz w:val="21"/>
                      <w:szCs w:val="21"/>
                      <w:lang w:val="en-US" w:eastAsia="zh-CN" w:bidi="ar-SA"/>
                    </w:rPr>
                    <w:t>，</w:t>
                  </w:r>
                  <w:r>
                    <w:rPr>
                      <w:rFonts w:hint="eastAsia"/>
                      <w:color w:val="auto"/>
                      <w:szCs w:val="21"/>
                    </w:rPr>
                    <w:t>项目</w:t>
                  </w:r>
                  <w:r>
                    <w:rPr>
                      <w:rFonts w:hint="eastAsia"/>
                      <w:color w:val="auto"/>
                      <w:szCs w:val="21"/>
                      <w:lang w:val="en-US" w:eastAsia="zh-CN"/>
                    </w:rPr>
                    <w:t>涉及跨越</w:t>
                  </w:r>
                  <w:r>
                    <w:rPr>
                      <w:rFonts w:hint="eastAsia"/>
                      <w:color w:val="auto"/>
                      <w:szCs w:val="21"/>
                    </w:rPr>
                    <w:t>生态保护红线，</w:t>
                  </w:r>
                  <w:r>
                    <w:rPr>
                      <w:rFonts w:hint="eastAsia"/>
                      <w:color w:val="auto"/>
                      <w:szCs w:val="21"/>
                      <w:lang w:val="en-US" w:eastAsia="zh-CN"/>
                    </w:rPr>
                    <w:t>对照《有限人为活动准入目录》，属于准入类别，“输电线塔基、通讯基站等小面积零星分散建设项目用地”属于准入目录，属于“必须且无法避让、符合县级以上国土空间规划的线性基础设施”</w:t>
                  </w:r>
                  <w:r>
                    <w:rPr>
                      <w:rFonts w:hint="eastAsia"/>
                      <w:color w:val="auto"/>
                      <w:kern w:val="0"/>
                      <w:szCs w:val="21"/>
                      <w:lang w:bidi="ar"/>
                    </w:rPr>
                    <w:t>；</w:t>
                  </w:r>
                  <w:r>
                    <w:rPr>
                      <w:rFonts w:hint="default" w:ascii="Times New Roman" w:hAnsi="Times New Roman" w:eastAsia="宋体" w:cs="Times New Roman"/>
                      <w:color w:val="auto"/>
                      <w:kern w:val="2"/>
                      <w:sz w:val="21"/>
                      <w:szCs w:val="21"/>
                      <w:lang w:val="en-US" w:eastAsia="zh-CN" w:bidi="ar-SA"/>
                    </w:rPr>
                    <w:t>项目未占用基本农田，项目选址不涉及国家公园、自然保护区、森林公园、风景名胜区、草原公园等各类自然保护地、天然林</w:t>
                  </w:r>
                  <w:r>
                    <w:rPr>
                      <w:rFonts w:hint="eastAsia" w:ascii="Times New Roman" w:hAnsi="Times New Roman" w:eastAsia="宋体" w:cs="Times New Roman"/>
                      <w:color w:val="auto"/>
                      <w:kern w:val="2"/>
                      <w:sz w:val="21"/>
                      <w:szCs w:val="21"/>
                      <w:lang w:val="en-US" w:eastAsia="zh-CN" w:bidi="ar-SA"/>
                    </w:rPr>
                    <w:t>；运营期无废气、废水产生</w:t>
                  </w:r>
                </w:p>
              </w:tc>
              <w:tc>
                <w:tcPr>
                  <w:tcW w:w="396" w:type="pct"/>
                  <w:tcBorders>
                    <w:tl2br w:val="nil"/>
                    <w:tr2bl w:val="nil"/>
                  </w:tcBorders>
                  <w:noWrap w:val="0"/>
                  <w:vAlign w:val="center"/>
                </w:tcPr>
                <w:p w14:paraId="5D3BE0E3">
                  <w:pPr>
                    <w:autoSpaceDE/>
                    <w:autoSpaceDN/>
                    <w:spacing w:before="0" w:after="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符合</w:t>
                  </w:r>
                </w:p>
              </w:tc>
            </w:tr>
            <w:tr w14:paraId="5D1CC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2584" w:type="pct"/>
                  <w:tcBorders>
                    <w:tl2br w:val="nil"/>
                    <w:tr2bl w:val="nil"/>
                  </w:tcBorders>
                  <w:noWrap w:val="0"/>
                  <w:vAlign w:val="center"/>
                </w:tcPr>
                <w:p w14:paraId="48EDBBDC">
                  <w:pPr>
                    <w:autoSpaceDE/>
                    <w:autoSpaceDN/>
                    <w:spacing w:before="0" w:after="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十四五”时期，相关规划项目开发建设对环境的主要影响有：火电建设运行可能产生烟尘、二氧化硫、氮氧化物、二氧化碳等大气污染物，对生态环境产生负面影响。油气管道建设及石油炼化项目，发生管道和设备破坏等事故将使油气大量外泄，对周围土壤、植被、水体等造成污染和损害，引发火灾、爆炸和</w:t>
                  </w:r>
                  <w:r>
                    <w:rPr>
                      <w:rFonts w:hint="eastAsia" w:ascii="Times New Roman" w:hAnsi="Times New Roman" w:eastAsia="宋体" w:cs="Times New Roman"/>
                      <w:color w:val="auto"/>
                      <w:kern w:val="2"/>
                      <w:sz w:val="21"/>
                      <w:szCs w:val="21"/>
                      <w:lang w:val="en-US" w:eastAsia="zh-CN" w:bidi="ar-SA"/>
                    </w:rPr>
                    <w:t>泄漏</w:t>
                  </w:r>
                  <w:r>
                    <w:rPr>
                      <w:rFonts w:hint="default" w:ascii="Times New Roman" w:hAnsi="Times New Roman" w:eastAsia="宋体" w:cs="Times New Roman"/>
                      <w:color w:val="auto"/>
                      <w:kern w:val="2"/>
                      <w:sz w:val="21"/>
                      <w:szCs w:val="21"/>
                      <w:lang w:val="en-US" w:eastAsia="zh-CN" w:bidi="ar-SA"/>
                    </w:rPr>
                    <w:t>等环境风险。水电、新能源项目开发和送出工程，可能对环境敏感区产生影响，可能带来上下游水文泥沙情势变化，可能对水生生物及陆生生物造成一定影响。</w:t>
                  </w:r>
                </w:p>
              </w:tc>
              <w:tc>
                <w:tcPr>
                  <w:tcW w:w="2019" w:type="pct"/>
                  <w:tcBorders>
                    <w:tl2br w:val="nil"/>
                    <w:tr2bl w:val="nil"/>
                  </w:tcBorders>
                  <w:noWrap w:val="0"/>
                  <w:vAlign w:val="center"/>
                </w:tcPr>
                <w:p w14:paraId="6ED71FA4">
                  <w:pPr>
                    <w:autoSpaceDE/>
                    <w:autoSpaceDN/>
                    <w:spacing w:before="0" w:after="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项目不属于火电建设项目，属于输变电送出工程，对陆生生物影响有限，采取生态保护措施后影响可接受</w:t>
                  </w:r>
                </w:p>
              </w:tc>
              <w:tc>
                <w:tcPr>
                  <w:tcW w:w="396" w:type="pct"/>
                  <w:tcBorders>
                    <w:tl2br w:val="nil"/>
                    <w:tr2bl w:val="nil"/>
                  </w:tcBorders>
                  <w:noWrap w:val="0"/>
                  <w:vAlign w:val="center"/>
                </w:tcPr>
                <w:p w14:paraId="1F0E60B9">
                  <w:pPr>
                    <w:autoSpaceDE/>
                    <w:autoSpaceDN/>
                    <w:spacing w:before="0" w:after="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符合</w:t>
                  </w:r>
                </w:p>
              </w:tc>
            </w:tr>
            <w:tr w14:paraId="1A1AC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2584" w:type="pct"/>
                  <w:tcBorders>
                    <w:tl2br w:val="nil"/>
                    <w:tr2bl w:val="nil"/>
                  </w:tcBorders>
                  <w:noWrap w:val="0"/>
                  <w:vAlign w:val="center"/>
                </w:tcPr>
                <w:p w14:paraId="761FF587">
                  <w:pPr>
                    <w:autoSpaceDE/>
                    <w:autoSpaceDN/>
                    <w:spacing w:before="0" w:after="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发挥规划的指导约束作用。发挥能源规划及规划环评的指导约束作用，合理规划项目布局，避让自然资源保护区、风景名胜区等各类资源保护地、集中居民区等环境敏感区，采取工程和生态保护措施，减少树木采伐，及时进行生态修复，降低生态影响。</w:t>
                  </w:r>
                </w:p>
              </w:tc>
              <w:tc>
                <w:tcPr>
                  <w:tcW w:w="2019" w:type="pct"/>
                  <w:tcBorders>
                    <w:tl2br w:val="nil"/>
                    <w:tr2bl w:val="nil"/>
                  </w:tcBorders>
                  <w:noWrap w:val="0"/>
                  <w:vAlign w:val="center"/>
                </w:tcPr>
                <w:p w14:paraId="096CBB0B">
                  <w:pPr>
                    <w:autoSpaceDE/>
                    <w:autoSpaceDN/>
                    <w:spacing w:before="0" w:after="0" w:line="240" w:lineRule="auto"/>
                    <w:ind w:left="0" w:right="0"/>
                    <w:jc w:val="center"/>
                    <w:rPr>
                      <w:rFonts w:hint="default"/>
                      <w:color w:val="auto"/>
                      <w:lang w:val="en-US" w:eastAsia="zh-CN"/>
                    </w:rPr>
                  </w:pPr>
                  <w:r>
                    <w:rPr>
                      <w:rFonts w:hint="default" w:ascii="Times New Roman" w:hAnsi="Times New Roman" w:eastAsia="宋体" w:cs="Times New Roman"/>
                      <w:color w:val="auto"/>
                      <w:kern w:val="2"/>
                      <w:sz w:val="21"/>
                      <w:szCs w:val="21"/>
                      <w:lang w:val="en-US" w:eastAsia="zh-CN" w:bidi="ar-SA"/>
                    </w:rPr>
                    <w:t>根据</w:t>
                  </w:r>
                  <w:r>
                    <w:rPr>
                      <w:rFonts w:hint="default" w:ascii="Times New Roman" w:hAnsi="Times New Roman" w:cs="Times New Roman"/>
                      <w:color w:val="auto"/>
                      <w:kern w:val="2"/>
                      <w:sz w:val="21"/>
                      <w:szCs w:val="21"/>
                      <w:lang w:val="en-US" w:eastAsia="zh-CN" w:bidi="ar-SA"/>
                    </w:rPr>
                    <w:t>会泽县</w:t>
                  </w:r>
                  <w:r>
                    <w:rPr>
                      <w:rFonts w:hint="default" w:ascii="Times New Roman" w:hAnsi="Times New Roman" w:eastAsia="宋体" w:cs="Times New Roman"/>
                      <w:color w:val="auto"/>
                      <w:kern w:val="2"/>
                      <w:sz w:val="21"/>
                      <w:szCs w:val="21"/>
                      <w:lang w:val="en-US" w:eastAsia="zh-CN" w:bidi="ar-SA"/>
                    </w:rPr>
                    <w:t>各局查询意见、项目选址踏勘、生态调查及</w:t>
                  </w:r>
                  <w:r>
                    <w:rPr>
                      <w:rFonts w:hint="default" w:ascii="Times New Roman" w:hAnsi="Times New Roman" w:cs="Times New Roman"/>
                      <w:color w:val="auto"/>
                      <w:kern w:val="2"/>
                      <w:sz w:val="21"/>
                      <w:szCs w:val="21"/>
                      <w:lang w:val="en-US" w:eastAsia="zh-CN" w:bidi="ar-SA"/>
                    </w:rPr>
                    <w:t>会泽县</w:t>
                  </w:r>
                  <w:r>
                    <w:rPr>
                      <w:rFonts w:hint="default" w:ascii="Times New Roman" w:hAnsi="Times New Roman" w:eastAsia="宋体" w:cs="Times New Roman"/>
                      <w:color w:val="auto"/>
                      <w:kern w:val="2"/>
                      <w:sz w:val="21"/>
                      <w:szCs w:val="21"/>
                      <w:lang w:val="en-US" w:eastAsia="zh-CN" w:bidi="ar-SA"/>
                    </w:rPr>
                    <w:t>相关敏感区资料核对，项目选址区域不涉及自然保护区、风景名胜区等各类资源保护地、集中居民区等环境敏感区，</w:t>
                  </w:r>
                  <w:r>
                    <w:rPr>
                      <w:rFonts w:hint="eastAsia" w:ascii="Times New Roman" w:hAnsi="Times New Roman" w:eastAsia="宋体" w:cs="Times New Roman"/>
                      <w:color w:val="auto"/>
                      <w:kern w:val="2"/>
                      <w:sz w:val="21"/>
                      <w:szCs w:val="21"/>
                      <w:lang w:val="en-US" w:eastAsia="zh-CN" w:bidi="ar-SA"/>
                    </w:rPr>
                    <w:t>本次评价提出生态保护措施，施工结束后恢复植被，降低生态影响</w:t>
                  </w:r>
                </w:p>
              </w:tc>
              <w:tc>
                <w:tcPr>
                  <w:tcW w:w="396" w:type="pct"/>
                  <w:tcBorders>
                    <w:tl2br w:val="nil"/>
                    <w:tr2bl w:val="nil"/>
                  </w:tcBorders>
                  <w:noWrap w:val="0"/>
                  <w:vAlign w:val="center"/>
                </w:tcPr>
                <w:p w14:paraId="414AF1A4">
                  <w:pPr>
                    <w:autoSpaceDE/>
                    <w:autoSpaceDN/>
                    <w:spacing w:before="0" w:after="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符合</w:t>
                  </w:r>
                </w:p>
              </w:tc>
            </w:tr>
            <w:tr w14:paraId="4A1A4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2584" w:type="pct"/>
                  <w:tcBorders>
                    <w:tl2br w:val="nil"/>
                    <w:tr2bl w:val="nil"/>
                  </w:tcBorders>
                  <w:noWrap w:val="0"/>
                  <w:vAlign w:val="center"/>
                </w:tcPr>
                <w:p w14:paraId="19972D7D">
                  <w:pPr>
                    <w:autoSpaceDE/>
                    <w:autoSpaceDN/>
                    <w:spacing w:before="0" w:after="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二）严格各类能源开发生产的过程控制。做好项目建设涉及的生物多样性保护工作，注意避让环境敏感区。加强施工准备、筹建和施工过程中的环境保护。提高电网运行安全稳定水平，降低电磁环境影响。制定矿区生态综合整治目标，严格控制施工占地。加强油气管网生产运营与环境保护。</w:t>
                  </w:r>
                </w:p>
              </w:tc>
              <w:tc>
                <w:tcPr>
                  <w:tcW w:w="2019" w:type="pct"/>
                  <w:tcBorders>
                    <w:tl2br w:val="nil"/>
                    <w:tr2bl w:val="nil"/>
                  </w:tcBorders>
                  <w:noWrap w:val="0"/>
                  <w:vAlign w:val="center"/>
                </w:tcPr>
                <w:p w14:paraId="00825DC6">
                  <w:pPr>
                    <w:autoSpaceDE/>
                    <w:autoSpaceDN/>
                    <w:spacing w:before="0" w:after="0" w:line="240" w:lineRule="auto"/>
                    <w:ind w:left="0" w:right="0"/>
                    <w:jc w:val="center"/>
                    <w:rPr>
                      <w:rFonts w:hint="eastAsia"/>
                      <w:color w:val="auto"/>
                      <w:szCs w:val="21"/>
                    </w:rPr>
                  </w:pPr>
                  <w:r>
                    <w:rPr>
                      <w:rFonts w:hint="eastAsia"/>
                      <w:color w:val="auto"/>
                      <w:szCs w:val="21"/>
                    </w:rPr>
                    <w:t>根据查询资料，</w:t>
                  </w:r>
                  <w:r>
                    <w:rPr>
                      <w:rFonts w:hint="eastAsia"/>
                      <w:color w:val="auto"/>
                      <w:szCs w:val="21"/>
                      <w:lang w:val="en-US" w:eastAsia="zh-CN"/>
                    </w:rPr>
                    <w:t>项目已避让环境敏感区，</w:t>
                  </w:r>
                  <w:r>
                    <w:rPr>
                      <w:rFonts w:hint="eastAsia"/>
                      <w:color w:val="auto"/>
                      <w:szCs w:val="21"/>
                    </w:rPr>
                    <w:t>项目用地范围不涉及占用基本农田，</w:t>
                  </w:r>
                  <w:r>
                    <w:rPr>
                      <w:rFonts w:hint="eastAsia"/>
                      <w:color w:val="auto"/>
                      <w:szCs w:val="21"/>
                      <w:lang w:val="en-US" w:eastAsia="zh-CN"/>
                    </w:rPr>
                    <w:t>受自然条件等因素限制，线路不可避让跨越生态保护红线，对照《有限人为活动准入目录》，属于准入类别，“输电线塔基、通讯基站等小面积零星分散建设项目用地”属于准入目录，属于“必须且无法避让、符合县级以上国土空间规划的线性基础设施”</w:t>
                  </w:r>
                </w:p>
              </w:tc>
              <w:tc>
                <w:tcPr>
                  <w:tcW w:w="396" w:type="pct"/>
                  <w:tcBorders>
                    <w:tl2br w:val="nil"/>
                    <w:tr2bl w:val="nil"/>
                  </w:tcBorders>
                  <w:noWrap w:val="0"/>
                  <w:vAlign w:val="center"/>
                </w:tcPr>
                <w:p w14:paraId="1F398646">
                  <w:pPr>
                    <w:autoSpaceDE/>
                    <w:autoSpaceDN/>
                    <w:spacing w:before="0" w:after="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符合</w:t>
                  </w:r>
                </w:p>
              </w:tc>
            </w:tr>
            <w:tr w14:paraId="0F48B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2584" w:type="pct"/>
                  <w:tcBorders>
                    <w:tl2br w:val="nil"/>
                    <w:tr2bl w:val="nil"/>
                  </w:tcBorders>
                  <w:noWrap w:val="0"/>
                  <w:vAlign w:val="center"/>
                </w:tcPr>
                <w:p w14:paraId="2760BDD9">
                  <w:pPr>
                    <w:autoSpaceDE/>
                    <w:autoSpaceDN/>
                    <w:spacing w:before="0" w:after="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四）加强能源发展的环境管理。建立覆盖全社会的能源环境监管体制，明确各部门监管职责，完善监管标准、监管规则和监管程序，形成规范有序、公开透明的监管体系。开展项目环境保护工作阶段性检查和验收工作，适时开展环境影响回顾性评价和后评价，注重主要环境影响复核和环境保护措施效果分析，及时调整补充相应环保措施。</w:t>
                  </w:r>
                </w:p>
              </w:tc>
              <w:tc>
                <w:tcPr>
                  <w:tcW w:w="2019" w:type="pct"/>
                  <w:tcBorders>
                    <w:tl2br w:val="nil"/>
                    <w:tr2bl w:val="nil"/>
                  </w:tcBorders>
                  <w:noWrap w:val="0"/>
                  <w:vAlign w:val="center"/>
                </w:tcPr>
                <w:p w14:paraId="0637A762">
                  <w:pPr>
                    <w:autoSpaceDE/>
                    <w:autoSpaceDN/>
                    <w:spacing w:before="0" w:after="0" w:line="240" w:lineRule="auto"/>
                    <w:ind w:left="0" w:right="0"/>
                    <w:jc w:val="center"/>
                    <w:rPr>
                      <w:rFonts w:hint="default" w:eastAsia="宋体"/>
                      <w:color w:val="auto"/>
                      <w:szCs w:val="21"/>
                      <w:lang w:val="en-US" w:eastAsia="zh-CN"/>
                    </w:rPr>
                  </w:pPr>
                  <w:r>
                    <w:rPr>
                      <w:rFonts w:hint="eastAsia"/>
                      <w:color w:val="auto"/>
                      <w:szCs w:val="21"/>
                      <w:lang w:val="en-US" w:eastAsia="zh-CN"/>
                    </w:rPr>
                    <w:t>本项目按照要求开展环境影响评价工作，按相关法律法规要求开展验收工作，确保环境保护措施效果落实</w:t>
                  </w:r>
                </w:p>
              </w:tc>
              <w:tc>
                <w:tcPr>
                  <w:tcW w:w="396" w:type="pct"/>
                  <w:tcBorders>
                    <w:tl2br w:val="nil"/>
                    <w:tr2bl w:val="nil"/>
                  </w:tcBorders>
                  <w:noWrap w:val="0"/>
                  <w:vAlign w:val="center"/>
                </w:tcPr>
                <w:p w14:paraId="379CDB86">
                  <w:pPr>
                    <w:autoSpaceDE/>
                    <w:autoSpaceDN/>
                    <w:spacing w:before="0" w:after="0" w:line="240" w:lineRule="auto"/>
                    <w:ind w:left="0" w:right="0"/>
                    <w:jc w:val="center"/>
                    <w:rPr>
                      <w:rFonts w:hint="default" w:ascii="Times New Roman" w:hAnsi="Times New Roman" w:eastAsia="宋体" w:cs="Times New Roman"/>
                      <w:color w:val="auto"/>
                      <w:kern w:val="2"/>
                      <w:sz w:val="21"/>
                      <w:szCs w:val="21"/>
                      <w:lang w:val="en-US" w:eastAsia="zh-CN" w:bidi="ar-SA"/>
                    </w:rPr>
                  </w:pPr>
                </w:p>
              </w:tc>
            </w:tr>
          </w:tbl>
          <w:p w14:paraId="6694F108">
            <w:pPr>
              <w:pStyle w:val="2"/>
              <w:keepNext w:val="0"/>
              <w:keepLines w:val="0"/>
              <w:pageBreakBefore w:val="0"/>
              <w:widowControl/>
              <w:kinsoku/>
              <w:wordWrap/>
              <w:overflowPunct/>
              <w:topLinePunct w:val="0"/>
              <w:autoSpaceDE/>
              <w:autoSpaceDN/>
              <w:bidi w:val="0"/>
              <w:adjustRightInd/>
              <w:snapToGrid w:val="0"/>
              <w:spacing w:before="0" w:after="0" w:line="360" w:lineRule="auto"/>
              <w:ind w:right="0" w:firstLine="480" w:firstLineChars="200"/>
              <w:textAlignment w:val="auto"/>
              <w:rPr>
                <w:color w:val="auto"/>
              </w:rPr>
            </w:pPr>
            <w:r>
              <w:rPr>
                <w:rFonts w:hint="default" w:ascii="Times New Roman" w:hAnsi="Times New Roman" w:eastAsia="宋体" w:cs="Times New Roman"/>
                <w:color w:val="auto"/>
                <w:sz w:val="24"/>
                <w:szCs w:val="24"/>
                <w:lang w:val="en-US" w:eastAsia="zh-CN"/>
              </w:rPr>
              <w:t>综上，项目建设</w:t>
            </w:r>
            <w:r>
              <w:rPr>
                <w:rFonts w:hint="eastAsia" w:ascii="Times New Roman" w:hAnsi="Times New Roman" w:eastAsia="宋体" w:cs="Times New Roman"/>
                <w:color w:val="auto"/>
                <w:sz w:val="24"/>
                <w:szCs w:val="24"/>
                <w:lang w:val="en-US" w:eastAsia="zh-CN"/>
              </w:rPr>
              <w:t>符合</w:t>
            </w:r>
            <w:r>
              <w:rPr>
                <w:rFonts w:hint="default" w:ascii="Times New Roman" w:hAnsi="Times New Roman" w:eastAsia="宋体" w:cs="Times New Roman"/>
                <w:color w:val="auto"/>
                <w:sz w:val="24"/>
                <w:szCs w:val="24"/>
                <w:lang w:val="en-US" w:eastAsia="zh-CN"/>
              </w:rPr>
              <w:t>《曲靖市绿色能源发展“十四五”规划》环境影响篇章相关要求。</w:t>
            </w:r>
          </w:p>
        </w:tc>
      </w:tr>
      <w:tr w14:paraId="18507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pct"/>
            <w:noWrap w:val="0"/>
            <w:vAlign w:val="center"/>
          </w:tcPr>
          <w:p w14:paraId="00436080">
            <w:pPr>
              <w:jc w:val="center"/>
              <w:rPr>
                <w:color w:val="auto"/>
                <w:kern w:val="0"/>
                <w:sz w:val="24"/>
              </w:rPr>
            </w:pPr>
            <w:r>
              <w:rPr>
                <w:b/>
                <w:bCs/>
                <w:color w:val="auto"/>
                <w:kern w:val="0"/>
                <w:sz w:val="24"/>
              </w:rPr>
              <w:t>其他符合性分析</w:t>
            </w:r>
          </w:p>
        </w:tc>
        <w:tc>
          <w:tcPr>
            <w:tcW w:w="4183" w:type="pct"/>
            <w:gridSpan w:val="3"/>
            <w:noWrap w:val="0"/>
            <w:vAlign w:val="center"/>
          </w:tcPr>
          <w:p w14:paraId="1883795D">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b/>
                <w:color w:val="auto"/>
                <w:sz w:val="24"/>
              </w:rPr>
            </w:pPr>
            <w:r>
              <w:rPr>
                <w:b/>
                <w:color w:val="auto"/>
                <w:sz w:val="24"/>
              </w:rPr>
              <w:t>1、产业政策符合性分析</w:t>
            </w:r>
          </w:p>
          <w:p w14:paraId="3BCB124F">
            <w:pPr>
              <w:pStyle w:val="2"/>
              <w:keepNext w:val="0"/>
              <w:keepLines w:val="0"/>
              <w:pageBreakBefore w:val="0"/>
              <w:widowControl w:val="0"/>
              <w:kinsoku/>
              <w:wordWrap/>
              <w:overflowPunct/>
              <w:topLinePunct w:val="0"/>
              <w:autoSpaceDE/>
              <w:autoSpaceDN/>
              <w:bidi w:val="0"/>
              <w:adjustRightInd w:val="0"/>
              <w:snapToGrid w:val="0"/>
              <w:spacing w:before="0" w:after="0" w:line="360" w:lineRule="auto"/>
              <w:ind w:right="0" w:firstLine="480" w:firstLineChars="200"/>
              <w:textAlignment w:val="auto"/>
              <w:rPr>
                <w:bCs/>
                <w:color w:val="auto"/>
                <w:sz w:val="24"/>
              </w:rPr>
            </w:pPr>
            <w:r>
              <w:rPr>
                <w:bCs/>
                <w:color w:val="auto"/>
                <w:sz w:val="24"/>
              </w:rPr>
              <w:t>本工程为110kV输电线路工程建设项目，属《产业结构调整指导目录（2024年本）》</w:t>
            </w:r>
            <w:r>
              <w:rPr>
                <w:color w:val="auto"/>
                <w:sz w:val="24"/>
              </w:rPr>
              <w:t>中</w:t>
            </w:r>
            <w:r>
              <w:rPr>
                <w:bCs/>
                <w:color w:val="auto"/>
                <w:sz w:val="24"/>
              </w:rPr>
              <w:t>的第一类鼓励类（电力—电网改造与建设，增量配电网建设）项目。</w:t>
            </w:r>
          </w:p>
          <w:p w14:paraId="13745591">
            <w:pPr>
              <w:pStyle w:val="2"/>
              <w:keepNext w:val="0"/>
              <w:keepLines w:val="0"/>
              <w:pageBreakBefore w:val="0"/>
              <w:widowControl w:val="0"/>
              <w:kinsoku/>
              <w:wordWrap/>
              <w:overflowPunct/>
              <w:topLinePunct w:val="0"/>
              <w:autoSpaceDE/>
              <w:autoSpaceDN/>
              <w:bidi w:val="0"/>
              <w:adjustRightInd w:val="0"/>
              <w:snapToGrid w:val="0"/>
              <w:spacing w:before="0" w:after="0" w:line="360" w:lineRule="auto"/>
              <w:ind w:right="0" w:firstLine="480" w:firstLineChars="200"/>
              <w:textAlignment w:val="auto"/>
              <w:rPr>
                <w:color w:val="auto"/>
                <w:sz w:val="24"/>
              </w:rPr>
            </w:pPr>
            <w:r>
              <w:rPr>
                <w:color w:val="auto"/>
                <w:sz w:val="24"/>
              </w:rPr>
              <w:t>因此，本项目建设符合地方及国家相关产业政策的要求。</w:t>
            </w:r>
          </w:p>
          <w:p w14:paraId="2FCB0335">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color w:val="auto"/>
                <w:sz w:val="24"/>
              </w:rPr>
            </w:pPr>
            <w:r>
              <w:rPr>
                <w:rFonts w:hint="eastAsia" w:ascii="Times New Roman" w:hAnsi="Times New Roman" w:eastAsia="宋体" w:cs="Times New Roman"/>
                <w:b/>
                <w:color w:val="auto"/>
                <w:sz w:val="24"/>
                <w:lang w:val="en-US" w:eastAsia="zh-CN"/>
              </w:rPr>
              <w:t>2</w:t>
            </w:r>
            <w:r>
              <w:rPr>
                <w:rFonts w:hint="default" w:ascii="Times New Roman" w:hAnsi="Times New Roman" w:eastAsia="宋体" w:cs="Times New Roman"/>
                <w:b/>
                <w:color w:val="auto"/>
                <w:sz w:val="24"/>
              </w:rPr>
              <w:t>、与电网规划的符合性分析</w:t>
            </w:r>
          </w:p>
          <w:p w14:paraId="6CE5502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cs="Times New Roman"/>
                <w:color w:val="auto"/>
                <w:sz w:val="24"/>
                <w:szCs w:val="24"/>
                <w:lang w:val="en-US" w:eastAsia="zh-CN"/>
              </w:rPr>
            </w:pPr>
            <w:r>
              <w:rPr>
                <w:rFonts w:hint="default" w:ascii="Times New Roman" w:hAnsi="Times New Roman" w:cs="Times New Roman"/>
                <w:color w:val="auto"/>
                <w:sz w:val="24"/>
                <w:szCs w:val="24"/>
              </w:rPr>
              <w:t>本工程建设主要为满足</w:t>
            </w:r>
            <w:r>
              <w:rPr>
                <w:rFonts w:hint="eastAsia" w:ascii="Times New Roman" w:hAnsi="Times New Roman" w:cs="Times New Roman"/>
                <w:color w:val="auto"/>
                <w:sz w:val="24"/>
                <w:szCs w:val="24"/>
                <w:lang w:val="en-US" w:eastAsia="zh-CN"/>
              </w:rPr>
              <w:t>曲靖市会泽县火红乡湾子村委会大草房光伏发电项目</w:t>
            </w:r>
            <w:r>
              <w:rPr>
                <w:rFonts w:hint="default" w:ascii="Times New Roman" w:hAnsi="Times New Roman" w:cs="Times New Roman"/>
                <w:color w:val="auto"/>
                <w:sz w:val="24"/>
                <w:szCs w:val="24"/>
              </w:rPr>
              <w:t>新能源的装机电力送出和消纳。</w:t>
            </w:r>
            <w:r>
              <w:rPr>
                <w:rFonts w:hint="eastAsia" w:ascii="Times New Roman" w:hAnsi="Times New Roman"/>
                <w:color w:val="auto"/>
                <w:sz w:val="24"/>
                <w:szCs w:val="24"/>
              </w:rPr>
              <w:t>项目</w:t>
            </w:r>
            <w:r>
              <w:rPr>
                <w:rFonts w:hint="eastAsia" w:ascii="Times New Roman" w:hAnsi="Times New Roman"/>
                <w:color w:val="auto"/>
                <w:sz w:val="24"/>
                <w:szCs w:val="24"/>
                <w:lang w:val="en-US" w:eastAsia="zh-CN"/>
              </w:rPr>
              <w:t>已纳入《云南省2024年第一批新能源项目开发建设方案》（云能源水电〔2024〕74号），属于云南省2024年新能源项目建设清单中“三、曲靖市9大草房光伏发电项目”，</w:t>
            </w:r>
            <w:r>
              <w:rPr>
                <w:rFonts w:ascii="Times New Roman" w:hAnsi="Times New Roman"/>
                <w:color w:val="auto"/>
                <w:sz w:val="24"/>
                <w:szCs w:val="24"/>
              </w:rPr>
              <w:t>项目的建设有利于缓</w:t>
            </w:r>
            <w:r>
              <w:rPr>
                <w:rFonts w:hint="eastAsia" w:ascii="Times New Roman" w:hAnsi="Times New Roman" w:cs="Times New Roman"/>
                <w:color w:val="auto"/>
                <w:sz w:val="24"/>
                <w:szCs w:val="24"/>
                <w:lang w:val="en-US" w:eastAsia="zh-CN"/>
              </w:rPr>
              <w:t>解曲靖市、会泽县电力供需矛盾，提高云南省电力保障能力，改善全省以水电为主的电源结构。</w:t>
            </w:r>
          </w:p>
          <w:p w14:paraId="49C73AD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auto"/>
              </w:rPr>
            </w:pPr>
            <w:r>
              <w:rPr>
                <w:rFonts w:hint="eastAsia" w:ascii="Times New Roman" w:hAnsi="Times New Roman" w:cs="Times New Roman"/>
                <w:color w:val="auto"/>
                <w:sz w:val="24"/>
                <w:szCs w:val="24"/>
                <w:lang w:val="en-US" w:eastAsia="zh-CN"/>
              </w:rPr>
              <w:t>同时，2026年7月7日，云南电网有限责任公司电网规划建设研究中心《关于报送曲靖市会泽县大草房光伏发电项目、乐业镇六合一村一期光伏项目（复合型光伏发电项目）接入系统方案复核评审意见的函》（规划建设研究〔2026〕287号），2026年7月30日，取得云南电网有限责任公司关于曲靖市会泽县大草房光伏及乐业镇六合村一期光伏项目（复合型光伏发电项目）接入系统调整方案的意见（云电规划〔2026〕387号）</w:t>
            </w:r>
            <w:r>
              <w:rPr>
                <w:rFonts w:hint="default"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eastAsia="zh-CN"/>
              </w:rPr>
              <w:t>因此，</w:t>
            </w:r>
            <w:r>
              <w:rPr>
                <w:rFonts w:hint="default" w:ascii="Times New Roman" w:hAnsi="Times New Roman" w:cs="Times New Roman"/>
                <w:color w:val="auto"/>
                <w:sz w:val="24"/>
                <w:szCs w:val="24"/>
                <w:lang w:val="en-US" w:eastAsia="zh-CN"/>
              </w:rPr>
              <w:t>本项目建设符合电网规划。</w:t>
            </w:r>
          </w:p>
          <w:p w14:paraId="3C3DB548">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b/>
                <w:bCs/>
                <w:color w:val="auto"/>
                <w:sz w:val="24"/>
              </w:rPr>
            </w:pPr>
            <w:r>
              <w:rPr>
                <w:b/>
                <w:color w:val="auto"/>
                <w:sz w:val="24"/>
              </w:rPr>
              <w:t>2、</w:t>
            </w:r>
            <w:r>
              <w:rPr>
                <w:b/>
                <w:bCs/>
                <w:color w:val="auto"/>
                <w:sz w:val="24"/>
              </w:rPr>
              <w:t>与</w:t>
            </w:r>
            <w:r>
              <w:rPr>
                <w:rFonts w:hint="eastAsia"/>
                <w:b/>
                <w:bCs/>
                <w:color w:val="auto"/>
                <w:sz w:val="24"/>
              </w:rPr>
              <w:t>《</w:t>
            </w:r>
            <w:r>
              <w:rPr>
                <w:rFonts w:hint="eastAsia"/>
                <w:b/>
                <w:bCs/>
                <w:color w:val="auto"/>
                <w:sz w:val="24"/>
                <w:lang w:val="en-US" w:eastAsia="zh-CN"/>
              </w:rPr>
              <w:t>曲靖市</w:t>
            </w:r>
            <w:r>
              <w:rPr>
                <w:rFonts w:hint="eastAsia"/>
                <w:b/>
                <w:bCs/>
                <w:color w:val="auto"/>
                <w:sz w:val="24"/>
              </w:rPr>
              <w:t>生态环境分区管控动态更新调整方案（2023年）》</w:t>
            </w:r>
            <w:r>
              <w:rPr>
                <w:b/>
                <w:bCs/>
                <w:color w:val="auto"/>
                <w:sz w:val="24"/>
              </w:rPr>
              <w:t>符合性分析</w:t>
            </w:r>
          </w:p>
          <w:p w14:paraId="64189063">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2024年</w:t>
            </w:r>
            <w:r>
              <w:rPr>
                <w:rFonts w:hint="default" w:ascii="Times New Roman" w:hAnsi="Times New Roman" w:eastAsia="宋体" w:cs="Times New Roman"/>
                <w:color w:val="auto"/>
                <w:sz w:val="24"/>
                <w:szCs w:val="24"/>
                <w:lang w:val="en-US" w:eastAsia="zh-CN"/>
              </w:rPr>
              <w:t>7</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lang w:val="en-US" w:eastAsia="zh-CN"/>
              </w:rPr>
              <w:t>15</w:t>
            </w:r>
            <w:r>
              <w:rPr>
                <w:rFonts w:hint="default" w:ascii="Times New Roman" w:hAnsi="Times New Roman" w:eastAsia="宋体" w:cs="Times New Roman"/>
                <w:color w:val="auto"/>
                <w:sz w:val="24"/>
                <w:szCs w:val="24"/>
              </w:rPr>
              <w:t>日，</w:t>
            </w:r>
            <w:r>
              <w:rPr>
                <w:rFonts w:hint="default" w:ascii="Times New Roman" w:hAnsi="Times New Roman" w:eastAsia="宋体" w:cs="Times New Roman"/>
                <w:color w:val="auto"/>
                <w:sz w:val="24"/>
                <w:szCs w:val="24"/>
                <w:lang w:val="en-US" w:eastAsia="zh-CN"/>
              </w:rPr>
              <w:t>曲靖市</w:t>
            </w:r>
            <w:r>
              <w:rPr>
                <w:rFonts w:hint="default" w:ascii="Times New Roman" w:hAnsi="Times New Roman" w:eastAsia="宋体" w:cs="Times New Roman"/>
                <w:color w:val="auto"/>
                <w:sz w:val="24"/>
                <w:szCs w:val="24"/>
              </w:rPr>
              <w:t>生态环境局关于印发《曲靖市生态环境分区管控动态更新方案</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2023年</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》的通知（曲环通〔2024〕</w:t>
            </w:r>
            <w:r>
              <w:rPr>
                <w:rFonts w:hint="default" w:ascii="Times New Roman" w:hAnsi="Times New Roman" w:eastAsia="宋体" w:cs="Times New Roman"/>
                <w:color w:val="auto"/>
                <w:sz w:val="24"/>
                <w:szCs w:val="24"/>
                <w:lang w:val="en-US" w:eastAsia="zh-CN"/>
              </w:rPr>
              <w:t>36</w:t>
            </w:r>
            <w:r>
              <w:rPr>
                <w:rFonts w:hint="default" w:ascii="Times New Roman" w:hAnsi="Times New Roman" w:eastAsia="宋体" w:cs="Times New Roman"/>
                <w:color w:val="auto"/>
                <w:sz w:val="24"/>
                <w:szCs w:val="24"/>
              </w:rPr>
              <w:t>号）。根据通知：</w:t>
            </w:r>
          </w:p>
          <w:p w14:paraId="6799512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衔接“三区三线”和国土空间规划等最新成果，对全市生态环境管控单元和准入清单进行动态更新。更新后共划定生态环境管控单元</w:t>
            </w:r>
            <w:r>
              <w:rPr>
                <w:rStyle w:val="33"/>
                <w:rFonts w:hint="default" w:ascii="Times New Roman" w:hAnsi="Times New Roman" w:eastAsia="宋体" w:cs="Times New Roman"/>
                <w:b w:val="0"/>
                <w:bCs w:val="0"/>
                <w:color w:val="auto"/>
                <w:kern w:val="0"/>
                <w:sz w:val="24"/>
                <w:szCs w:val="24"/>
                <w:lang w:val="en-US" w:eastAsia="zh-CN" w:bidi="ar"/>
              </w:rPr>
              <w:t>91个</w:t>
            </w:r>
            <w:r>
              <w:rPr>
                <w:rFonts w:hint="default" w:ascii="Times New Roman" w:hAnsi="Times New Roman" w:eastAsia="宋体" w:cs="Times New Roman"/>
                <w:color w:val="auto"/>
                <w:kern w:val="0"/>
                <w:sz w:val="24"/>
                <w:szCs w:val="24"/>
                <w:lang w:val="en-US" w:eastAsia="zh-CN" w:bidi="ar"/>
              </w:rPr>
              <w:t>（优先保护单元27个、重点管控单元55个、一般管控单元9个），并相应调整了生态保护红线、环境质量底线及资源利用上线等分区管控要求。</w:t>
            </w:r>
          </w:p>
          <w:p w14:paraId="0C9831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bCs/>
                <w:color w:val="auto"/>
                <w:sz w:val="24"/>
                <w:lang w:eastAsia="zh-CN"/>
              </w:rPr>
            </w:pPr>
            <w:r>
              <w:rPr>
                <w:rFonts w:hint="eastAsia"/>
                <w:color w:val="auto"/>
                <w:sz w:val="24"/>
              </w:rPr>
              <w:t>根据</w:t>
            </w:r>
            <w:r>
              <w:rPr>
                <w:rFonts w:hint="eastAsia"/>
                <w:color w:val="auto"/>
                <w:sz w:val="24"/>
                <w:lang w:eastAsia="zh-CN"/>
              </w:rPr>
              <w:t>云南省生态环境分区管控公共服务查询平台（http://183.224.17.39:19272/sxydyn）</w:t>
            </w:r>
            <w:r>
              <w:rPr>
                <w:rFonts w:hint="eastAsia"/>
                <w:color w:val="auto"/>
                <w:sz w:val="24"/>
              </w:rPr>
              <w:t>查询</w:t>
            </w:r>
            <w:r>
              <w:rPr>
                <w:rFonts w:hint="eastAsia"/>
                <w:bCs/>
                <w:color w:val="auto"/>
                <w:sz w:val="24"/>
              </w:rPr>
              <w:t>，项目位于会泽县生态保护红线优先保护单元（ZH53032610001）、会泽县一般生态空间优先保护单元（ZH53032610002）、会泽县一般管控单元（ZH53032630001），</w:t>
            </w:r>
            <w:r>
              <w:rPr>
                <w:rFonts w:hint="default" w:ascii="Times New Roman" w:hAnsi="Times New Roman" w:eastAsia="宋体" w:cs="Times New Roman"/>
                <w:color w:val="auto"/>
                <w:sz w:val="24"/>
                <w:highlight w:val="none"/>
                <w:lang w:val="en-US" w:eastAsia="zh-CN"/>
              </w:rPr>
              <w:t>本项目</w:t>
            </w:r>
            <w:r>
              <w:rPr>
                <w:rFonts w:hint="eastAsia" w:ascii="Times New Roman" w:hAnsi="Times New Roman" w:cs="Times New Roman"/>
                <w:color w:val="auto"/>
                <w:sz w:val="24"/>
                <w:highlight w:val="none"/>
                <w:lang w:val="en-US" w:eastAsia="zh-CN"/>
              </w:rPr>
              <w:t>300米范围内</w:t>
            </w:r>
            <w:r>
              <w:rPr>
                <w:rFonts w:hint="default" w:ascii="Times New Roman" w:hAnsi="Times New Roman" w:eastAsia="宋体" w:cs="Times New Roman"/>
                <w:color w:val="auto"/>
                <w:sz w:val="24"/>
                <w:highlight w:val="none"/>
                <w:lang w:val="en-US" w:eastAsia="zh-CN"/>
              </w:rPr>
              <w:t>涉及</w:t>
            </w:r>
            <w:r>
              <w:rPr>
                <w:rFonts w:hint="eastAsia"/>
                <w:bCs/>
                <w:color w:val="auto"/>
                <w:sz w:val="24"/>
              </w:rPr>
              <w:t>会泽县生态保护红线优先保护单元（ZH53032610001）、会泽县一般生态空间优先保护单元（ZH53032610002）、会泽县一般管控单元（ZH53032630001）</w:t>
            </w:r>
            <w:r>
              <w:rPr>
                <w:rFonts w:hint="eastAsia"/>
                <w:bCs/>
                <w:color w:val="auto"/>
                <w:sz w:val="24"/>
                <w:lang w:eastAsia="zh-CN"/>
              </w:rPr>
              <w:t>。</w:t>
            </w:r>
          </w:p>
          <w:p w14:paraId="28EE739C">
            <w:pPr>
              <w:pStyle w:val="2"/>
              <w:rPr>
                <w:rFonts w:hint="eastAsia"/>
                <w:bCs/>
                <w:color w:val="auto"/>
                <w:sz w:val="24"/>
                <w:lang w:eastAsia="zh-CN"/>
              </w:rPr>
            </w:pPr>
          </w:p>
          <w:p w14:paraId="58A163DC">
            <w:pPr>
              <w:pStyle w:val="2"/>
              <w:rPr>
                <w:rFonts w:hint="eastAsia"/>
                <w:bCs/>
                <w:color w:val="auto"/>
                <w:sz w:val="24"/>
                <w:lang w:eastAsia="zh-CN"/>
              </w:rPr>
            </w:pPr>
          </w:p>
          <w:p w14:paraId="46E941A7">
            <w:pPr>
              <w:pStyle w:val="2"/>
              <w:rPr>
                <w:rFonts w:hint="eastAsia"/>
                <w:bCs/>
                <w:color w:val="auto"/>
                <w:sz w:val="24"/>
                <w:lang w:eastAsia="zh-CN"/>
              </w:rPr>
            </w:pPr>
          </w:p>
          <w:p w14:paraId="56B63BAA">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eastAsia="宋体"/>
                <w:bCs/>
                <w:color w:val="auto"/>
                <w:sz w:val="24"/>
                <w:lang w:eastAsia="zh-CN"/>
              </w:rPr>
            </w:pPr>
            <w:r>
              <w:rPr>
                <w:rFonts w:hint="eastAsia" w:eastAsia="宋体"/>
                <w:bCs/>
                <w:color w:val="auto"/>
                <w:sz w:val="24"/>
                <w:lang w:eastAsia="zh-CN"/>
              </w:rPr>
              <w:drawing>
                <wp:inline distT="0" distB="0" distL="114300" distR="114300">
                  <wp:extent cx="4515485" cy="4251960"/>
                  <wp:effectExtent l="0" t="0" r="18415" b="15240"/>
                  <wp:docPr id="109" name="图片 72" descr="管控单元截图20260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72" descr="管控单元截图20260513"/>
                          <pic:cNvPicPr>
                            <a:picLocks noChangeAspect="1"/>
                          </pic:cNvPicPr>
                        </pic:nvPicPr>
                        <pic:blipFill>
                          <a:blip r:embed="rId19"/>
                          <a:stretch>
                            <a:fillRect/>
                          </a:stretch>
                        </pic:blipFill>
                        <pic:spPr>
                          <a:xfrm>
                            <a:off x="0" y="0"/>
                            <a:ext cx="4515485" cy="4251960"/>
                          </a:xfrm>
                          <a:prstGeom prst="rect">
                            <a:avLst/>
                          </a:prstGeom>
                          <a:noFill/>
                          <a:ln>
                            <a:noFill/>
                          </a:ln>
                        </pic:spPr>
                      </pic:pic>
                    </a:graphicData>
                  </a:graphic>
                </wp:inline>
              </w:drawing>
            </w:r>
          </w:p>
          <w:p w14:paraId="5282CDA1">
            <w:pPr>
              <w:keepNext w:val="0"/>
              <w:keepLines w:val="0"/>
              <w:pageBreakBefore w:val="0"/>
              <w:widowControl w:val="0"/>
              <w:kinsoku/>
              <w:wordWrap/>
              <w:overflowPunct/>
              <w:topLinePunct w:val="0"/>
              <w:autoSpaceDE w:val="0"/>
              <w:autoSpaceDN w:val="0"/>
              <w:bidi w:val="0"/>
              <w:adjustRightInd w:val="0"/>
              <w:snapToGrid w:val="0"/>
              <w:spacing w:line="240" w:lineRule="auto"/>
              <w:ind w:firstLine="482" w:firstLineChars="200"/>
              <w:jc w:val="center"/>
              <w:textAlignment w:val="auto"/>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图1-</w:t>
            </w:r>
            <w:r>
              <w:rPr>
                <w:rFonts w:hint="eastAsia" w:ascii="Times New Roman" w:hAnsi="Times New Roman" w:cs="Times New Roman"/>
                <w:b/>
                <w:bCs/>
                <w:color w:val="auto"/>
                <w:sz w:val="24"/>
                <w:highlight w:val="none"/>
                <w:lang w:val="en-US" w:eastAsia="zh-CN"/>
              </w:rPr>
              <w:t>3</w:t>
            </w:r>
            <w:r>
              <w:rPr>
                <w:rFonts w:hint="default" w:ascii="Times New Roman" w:hAnsi="Times New Roman" w:eastAsia="宋体" w:cs="Times New Roman"/>
                <w:b/>
                <w:bCs/>
                <w:color w:val="auto"/>
                <w:sz w:val="24"/>
                <w:highlight w:val="none"/>
                <w:lang w:val="en-US" w:eastAsia="zh-CN"/>
              </w:rPr>
              <w:t xml:space="preserve">  项目涉及的管控单元位置图</w:t>
            </w:r>
          </w:p>
          <w:p w14:paraId="4291AE1D">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auto"/>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drawing>
                <wp:inline distT="0" distB="0" distL="114300" distR="114300">
                  <wp:extent cx="4430395" cy="3970020"/>
                  <wp:effectExtent l="0" t="0" r="8255" b="11430"/>
                  <wp:docPr id="110" name="图片 104" descr="管控单元截图20260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04" descr="管控单元截图20260811"/>
                          <pic:cNvPicPr>
                            <a:picLocks noChangeAspect="1"/>
                          </pic:cNvPicPr>
                        </pic:nvPicPr>
                        <pic:blipFill>
                          <a:blip r:embed="rId20"/>
                          <a:stretch>
                            <a:fillRect/>
                          </a:stretch>
                        </pic:blipFill>
                        <pic:spPr>
                          <a:xfrm>
                            <a:off x="0" y="0"/>
                            <a:ext cx="4430395" cy="3970020"/>
                          </a:xfrm>
                          <a:prstGeom prst="rect">
                            <a:avLst/>
                          </a:prstGeom>
                          <a:noFill/>
                          <a:ln>
                            <a:noFill/>
                          </a:ln>
                        </pic:spPr>
                      </pic:pic>
                    </a:graphicData>
                  </a:graphic>
                </wp:inline>
              </w:drawing>
            </w:r>
          </w:p>
          <w:p w14:paraId="30B66C4B">
            <w:pPr>
              <w:keepNext w:val="0"/>
              <w:keepLines w:val="0"/>
              <w:pageBreakBefore w:val="0"/>
              <w:widowControl w:val="0"/>
              <w:kinsoku/>
              <w:wordWrap/>
              <w:overflowPunct/>
              <w:topLinePunct w:val="0"/>
              <w:autoSpaceDE w:val="0"/>
              <w:autoSpaceDN w:val="0"/>
              <w:bidi w:val="0"/>
              <w:adjustRightInd w:val="0"/>
              <w:snapToGrid w:val="0"/>
              <w:spacing w:line="240" w:lineRule="auto"/>
              <w:ind w:firstLine="482" w:firstLineChars="200"/>
              <w:jc w:val="center"/>
              <w:textAlignment w:val="auto"/>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图1-</w:t>
            </w:r>
            <w:r>
              <w:rPr>
                <w:rFonts w:hint="eastAsia" w:ascii="Times New Roman" w:hAnsi="Times New Roman" w:cs="Times New Roman"/>
                <w:b/>
                <w:bCs/>
                <w:color w:val="auto"/>
                <w:sz w:val="24"/>
                <w:highlight w:val="none"/>
                <w:lang w:val="en-US" w:eastAsia="zh-CN"/>
              </w:rPr>
              <w:t>4</w:t>
            </w:r>
            <w:r>
              <w:rPr>
                <w:rFonts w:hint="default" w:ascii="Times New Roman" w:hAnsi="Times New Roman" w:eastAsia="宋体" w:cs="Times New Roman"/>
                <w:b/>
                <w:bCs/>
                <w:color w:val="auto"/>
                <w:sz w:val="24"/>
                <w:highlight w:val="none"/>
                <w:lang w:val="en-US" w:eastAsia="zh-CN"/>
              </w:rPr>
              <w:t xml:space="preserve">  项目</w:t>
            </w:r>
            <w:r>
              <w:rPr>
                <w:rFonts w:hint="eastAsia" w:ascii="Times New Roman" w:hAnsi="Times New Roman" w:cs="Times New Roman"/>
                <w:b/>
                <w:bCs/>
                <w:color w:val="auto"/>
                <w:sz w:val="24"/>
                <w:highlight w:val="none"/>
                <w:lang w:val="en-US" w:eastAsia="zh-CN"/>
              </w:rPr>
              <w:t>300米范围</w:t>
            </w:r>
            <w:r>
              <w:rPr>
                <w:rFonts w:hint="default" w:ascii="Times New Roman" w:hAnsi="Times New Roman" w:eastAsia="宋体" w:cs="Times New Roman"/>
                <w:b/>
                <w:bCs/>
                <w:color w:val="auto"/>
                <w:sz w:val="24"/>
                <w:highlight w:val="none"/>
                <w:lang w:val="en-US" w:eastAsia="zh-CN"/>
              </w:rPr>
              <w:t>涉及的管控单元位置图</w:t>
            </w:r>
          </w:p>
          <w:p w14:paraId="5C2560B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color w:val="auto"/>
                <w:sz w:val="24"/>
              </w:rPr>
            </w:pPr>
            <w:r>
              <w:rPr>
                <w:rFonts w:hint="default" w:ascii="Times New Roman" w:hAnsi="Times New Roman" w:cs="Times New Roman"/>
                <w:bCs/>
                <w:color w:val="auto"/>
                <w:sz w:val="24"/>
                <w:szCs w:val="24"/>
                <w:lang w:val="en-US" w:eastAsia="zh-CN"/>
              </w:rPr>
              <w:t>根据查询结果统计分析</w:t>
            </w:r>
            <w:r>
              <w:rPr>
                <w:rFonts w:hint="eastAsia" w:ascii="Times New Roman" w:hAnsi="Times New Roman" w:cs="Times New Roman"/>
                <w:bCs/>
                <w:color w:val="auto"/>
                <w:sz w:val="24"/>
                <w:szCs w:val="24"/>
                <w:lang w:val="en-US" w:eastAsia="zh-CN"/>
              </w:rPr>
              <w:t>，</w:t>
            </w:r>
            <w:r>
              <w:rPr>
                <w:rFonts w:hint="default" w:ascii="Times New Roman" w:hAnsi="Times New Roman" w:cs="Times New Roman"/>
                <w:bCs/>
                <w:color w:val="auto"/>
                <w:sz w:val="24"/>
                <w:szCs w:val="24"/>
                <w:lang w:val="en-US" w:eastAsia="zh-CN"/>
              </w:rPr>
              <w:t>项目不涉及自然保护区、国家一级公益林等生态敏感区</w:t>
            </w:r>
            <w:r>
              <w:rPr>
                <w:rFonts w:hint="eastAsia" w:ascii="Times New Roman" w:hAnsi="Times New Roman"/>
                <w:bCs/>
                <w:color w:val="auto"/>
                <w:sz w:val="24"/>
                <w:szCs w:val="24"/>
              </w:rPr>
              <w:t>，涉及一般生态空间优先保护单元为省级公益林</w:t>
            </w:r>
            <w:r>
              <w:rPr>
                <w:rFonts w:hint="default" w:ascii="Times New Roman" w:hAnsi="Times New Roman" w:cs="Times New Roman"/>
                <w:bCs/>
                <w:color w:val="auto"/>
                <w:sz w:val="24"/>
                <w:szCs w:val="24"/>
                <w:lang w:val="en-US" w:eastAsia="zh-CN"/>
              </w:rPr>
              <w:t>。</w:t>
            </w:r>
          </w:p>
          <w:p w14:paraId="6F72101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color w:val="auto"/>
                <w:sz w:val="24"/>
              </w:rPr>
            </w:pPr>
            <w:r>
              <w:rPr>
                <w:rFonts w:hint="eastAsia"/>
                <w:color w:val="auto"/>
                <w:sz w:val="24"/>
              </w:rPr>
              <w:t>对照《</w:t>
            </w:r>
            <w:r>
              <w:rPr>
                <w:rFonts w:hint="eastAsia"/>
                <w:color w:val="auto"/>
                <w:sz w:val="24"/>
                <w:lang w:val="en-US" w:eastAsia="zh-CN"/>
              </w:rPr>
              <w:t>曲靖市</w:t>
            </w:r>
            <w:r>
              <w:rPr>
                <w:rFonts w:hint="eastAsia"/>
                <w:color w:val="auto"/>
                <w:sz w:val="24"/>
              </w:rPr>
              <w:t>生态环境分区管控动态更新调整方案（2023年）》中生态环境准入清单，符合性分析见下表：</w:t>
            </w:r>
          </w:p>
          <w:p w14:paraId="49D2C4E2">
            <w:pPr>
              <w:spacing w:line="240" w:lineRule="auto"/>
              <w:jc w:val="center"/>
              <w:rPr>
                <w:b/>
                <w:bCs/>
                <w:color w:val="auto"/>
                <w:sz w:val="24"/>
              </w:rPr>
            </w:pPr>
            <w:r>
              <w:rPr>
                <w:b/>
                <w:bCs/>
                <w:color w:val="auto"/>
                <w:sz w:val="24"/>
              </w:rPr>
              <w:t>表</w:t>
            </w:r>
            <w:r>
              <w:rPr>
                <w:rFonts w:eastAsia="Therese"/>
                <w:b/>
                <w:bCs/>
                <w:color w:val="auto"/>
                <w:sz w:val="24"/>
              </w:rPr>
              <w:t>1-</w:t>
            </w:r>
            <w:r>
              <w:rPr>
                <w:rFonts w:hint="eastAsia" w:eastAsia="宋体"/>
                <w:b/>
                <w:bCs/>
                <w:color w:val="auto"/>
                <w:sz w:val="24"/>
                <w:lang w:val="en-US" w:eastAsia="zh-CN"/>
              </w:rPr>
              <w:t>4</w:t>
            </w:r>
            <w:r>
              <w:rPr>
                <w:rFonts w:eastAsia="Therese"/>
                <w:b/>
                <w:bCs/>
                <w:color w:val="auto"/>
                <w:sz w:val="24"/>
              </w:rPr>
              <w:t xml:space="preserve">  </w:t>
            </w:r>
            <w:r>
              <w:rPr>
                <w:b/>
                <w:bCs/>
                <w:color w:val="auto"/>
                <w:sz w:val="24"/>
              </w:rPr>
              <w:t>与生态环境准入清单符合性</w:t>
            </w:r>
          </w:p>
          <w:tbl>
            <w:tblPr>
              <w:tblStyle w:val="30"/>
              <w:tblW w:w="4995"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4"/>
              <w:gridCol w:w="519"/>
              <w:gridCol w:w="3226"/>
              <w:gridCol w:w="1789"/>
              <w:gridCol w:w="629"/>
            </w:tblGrid>
            <w:tr w14:paraId="103FBA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9" w:type="pct"/>
                  <w:noWrap w:val="0"/>
                  <w:vAlign w:val="center"/>
                </w:tcPr>
                <w:p w14:paraId="038538C3">
                  <w:pPr>
                    <w:overflowPunct w:val="0"/>
                    <w:topLinePunct/>
                    <w:autoSpaceDE w:val="0"/>
                    <w:autoSpaceDN w:val="0"/>
                    <w:adjustRightInd w:val="0"/>
                    <w:snapToGrid w:val="0"/>
                    <w:spacing w:line="240" w:lineRule="auto"/>
                    <w:jc w:val="center"/>
                    <w:textAlignment w:val="center"/>
                    <w:rPr>
                      <w:b/>
                      <w:bCs/>
                      <w:color w:val="auto"/>
                      <w:szCs w:val="21"/>
                    </w:rPr>
                  </w:pPr>
                  <w:r>
                    <w:rPr>
                      <w:b/>
                      <w:bCs/>
                      <w:color w:val="auto"/>
                      <w:kern w:val="0"/>
                      <w:szCs w:val="21"/>
                      <w:lang w:bidi="ar"/>
                    </w:rPr>
                    <w:t>管控单元</w:t>
                  </w:r>
                </w:p>
              </w:tc>
              <w:tc>
                <w:tcPr>
                  <w:tcW w:w="2734" w:type="pct"/>
                  <w:gridSpan w:val="2"/>
                  <w:noWrap w:val="0"/>
                  <w:vAlign w:val="center"/>
                </w:tcPr>
                <w:p w14:paraId="587C1D7A">
                  <w:pPr>
                    <w:overflowPunct w:val="0"/>
                    <w:topLinePunct/>
                    <w:autoSpaceDE w:val="0"/>
                    <w:autoSpaceDN w:val="0"/>
                    <w:adjustRightInd w:val="0"/>
                    <w:snapToGrid w:val="0"/>
                    <w:spacing w:line="240" w:lineRule="auto"/>
                    <w:jc w:val="center"/>
                    <w:textAlignment w:val="center"/>
                    <w:rPr>
                      <w:b/>
                      <w:bCs/>
                      <w:color w:val="auto"/>
                      <w:kern w:val="0"/>
                      <w:szCs w:val="21"/>
                      <w:lang w:bidi="ar"/>
                    </w:rPr>
                  </w:pPr>
                  <w:r>
                    <w:rPr>
                      <w:b/>
                      <w:bCs/>
                      <w:color w:val="auto"/>
                      <w:kern w:val="0"/>
                      <w:szCs w:val="21"/>
                      <w:lang w:bidi="ar"/>
                    </w:rPr>
                    <w:t>更新管控要求</w:t>
                  </w:r>
                </w:p>
              </w:tc>
              <w:tc>
                <w:tcPr>
                  <w:tcW w:w="1306" w:type="pct"/>
                  <w:noWrap w:val="0"/>
                  <w:vAlign w:val="center"/>
                </w:tcPr>
                <w:p w14:paraId="557F3D8E">
                  <w:pPr>
                    <w:overflowPunct w:val="0"/>
                    <w:topLinePunct/>
                    <w:autoSpaceDE w:val="0"/>
                    <w:autoSpaceDN w:val="0"/>
                    <w:adjustRightInd w:val="0"/>
                    <w:snapToGrid w:val="0"/>
                    <w:spacing w:line="240" w:lineRule="auto"/>
                    <w:jc w:val="center"/>
                    <w:textAlignment w:val="center"/>
                    <w:rPr>
                      <w:b/>
                      <w:bCs/>
                      <w:color w:val="auto"/>
                      <w:kern w:val="0"/>
                      <w:szCs w:val="21"/>
                      <w:lang w:bidi="ar"/>
                    </w:rPr>
                  </w:pPr>
                  <w:r>
                    <w:rPr>
                      <w:b/>
                      <w:bCs/>
                      <w:color w:val="auto"/>
                      <w:kern w:val="0"/>
                      <w:szCs w:val="21"/>
                      <w:lang w:bidi="ar"/>
                    </w:rPr>
                    <w:t>项目情况</w:t>
                  </w:r>
                </w:p>
              </w:tc>
              <w:tc>
                <w:tcPr>
                  <w:tcW w:w="459" w:type="pct"/>
                  <w:noWrap w:val="0"/>
                  <w:vAlign w:val="center"/>
                </w:tcPr>
                <w:p w14:paraId="3AF88F23">
                  <w:pPr>
                    <w:overflowPunct w:val="0"/>
                    <w:topLinePunct/>
                    <w:autoSpaceDE w:val="0"/>
                    <w:autoSpaceDN w:val="0"/>
                    <w:adjustRightInd w:val="0"/>
                    <w:snapToGrid w:val="0"/>
                    <w:spacing w:line="240" w:lineRule="auto"/>
                    <w:jc w:val="center"/>
                    <w:textAlignment w:val="center"/>
                    <w:rPr>
                      <w:b/>
                      <w:bCs/>
                      <w:color w:val="auto"/>
                      <w:kern w:val="0"/>
                      <w:szCs w:val="21"/>
                      <w:lang w:bidi="ar"/>
                    </w:rPr>
                  </w:pPr>
                  <w:r>
                    <w:rPr>
                      <w:b/>
                      <w:bCs/>
                      <w:color w:val="auto"/>
                      <w:kern w:val="0"/>
                      <w:szCs w:val="21"/>
                      <w:lang w:bidi="ar"/>
                    </w:rPr>
                    <w:t>符合性</w:t>
                  </w:r>
                </w:p>
              </w:tc>
            </w:tr>
            <w:tr w14:paraId="259248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9" w:type="pct"/>
                  <w:vMerge w:val="restart"/>
                  <w:noWrap w:val="0"/>
                  <w:vAlign w:val="center"/>
                </w:tcPr>
                <w:p w14:paraId="40400C1B">
                  <w:pPr>
                    <w:overflowPunct w:val="0"/>
                    <w:topLinePunct/>
                    <w:autoSpaceDE w:val="0"/>
                    <w:autoSpaceDN w:val="0"/>
                    <w:adjustRightInd w:val="0"/>
                    <w:snapToGrid w:val="0"/>
                    <w:spacing w:line="240" w:lineRule="auto"/>
                    <w:jc w:val="center"/>
                    <w:textAlignment w:val="center"/>
                    <w:rPr>
                      <w:color w:val="auto"/>
                      <w:kern w:val="0"/>
                      <w:szCs w:val="21"/>
                      <w:lang w:bidi="ar"/>
                    </w:rPr>
                  </w:pPr>
                  <w:r>
                    <w:rPr>
                      <w:rFonts w:hint="eastAsia"/>
                      <w:color w:val="auto"/>
                      <w:kern w:val="0"/>
                      <w:szCs w:val="21"/>
                      <w:lang w:val="en-US" w:eastAsia="zh-CN" w:bidi="ar"/>
                    </w:rPr>
                    <w:t>曲靖市</w:t>
                  </w:r>
                  <w:r>
                    <w:rPr>
                      <w:color w:val="auto"/>
                      <w:kern w:val="0"/>
                      <w:szCs w:val="21"/>
                      <w:lang w:bidi="ar"/>
                    </w:rPr>
                    <w:t>生态环境分区管控总体要求</w:t>
                  </w:r>
                </w:p>
              </w:tc>
              <w:tc>
                <w:tcPr>
                  <w:tcW w:w="379" w:type="pct"/>
                  <w:noWrap w:val="0"/>
                  <w:vAlign w:val="center"/>
                </w:tcPr>
                <w:p w14:paraId="1D2367BA">
                  <w:pPr>
                    <w:overflowPunct w:val="0"/>
                    <w:topLinePunct/>
                    <w:autoSpaceDE w:val="0"/>
                    <w:autoSpaceDN w:val="0"/>
                    <w:adjustRightInd w:val="0"/>
                    <w:snapToGrid w:val="0"/>
                    <w:spacing w:line="240" w:lineRule="auto"/>
                    <w:jc w:val="center"/>
                    <w:textAlignment w:val="center"/>
                    <w:rPr>
                      <w:color w:val="auto"/>
                      <w:kern w:val="0"/>
                      <w:szCs w:val="21"/>
                      <w:lang w:bidi="ar"/>
                    </w:rPr>
                  </w:pPr>
                  <w:r>
                    <w:rPr>
                      <w:color w:val="auto"/>
                      <w:kern w:val="0"/>
                      <w:szCs w:val="21"/>
                      <w:lang w:bidi="ar"/>
                    </w:rPr>
                    <w:t>空间布局约束</w:t>
                  </w:r>
                </w:p>
              </w:tc>
              <w:tc>
                <w:tcPr>
                  <w:tcW w:w="2355" w:type="pct"/>
                  <w:noWrap w:val="0"/>
                  <w:vAlign w:val="center"/>
                </w:tcPr>
                <w:p w14:paraId="256BA266">
                  <w:pPr>
                    <w:overflowPunct w:val="0"/>
                    <w:topLinePunct/>
                    <w:autoSpaceDE w:val="0"/>
                    <w:autoSpaceDN w:val="0"/>
                    <w:adjustRightInd w:val="0"/>
                    <w:snapToGrid w:val="0"/>
                    <w:spacing w:line="240" w:lineRule="auto"/>
                    <w:jc w:val="center"/>
                    <w:textAlignment w:val="center"/>
                    <w:rPr>
                      <w:b/>
                      <w:bCs/>
                      <w:color w:val="auto"/>
                      <w:kern w:val="0"/>
                      <w:szCs w:val="21"/>
                      <w:lang w:bidi="ar"/>
                    </w:rPr>
                  </w:pPr>
                  <w:r>
                    <w:rPr>
                      <w:rFonts w:hint="eastAsia"/>
                      <w:b w:val="0"/>
                      <w:bCs w:val="0"/>
                      <w:color w:val="auto"/>
                      <w:kern w:val="0"/>
                      <w:szCs w:val="21"/>
                      <w:lang w:bidi="ar"/>
                    </w:rPr>
                    <w:t>1.严格执行《长江经济带发展负面清单指南（试行，2022年版）》《云南省长江经济带发展负面清单指南实施细则（试行）》等产业准入有关要求。2.严格实施化解过剩产能和淘汰落后产能，制定产能过剩行业淘汰计划，确保国家、省下达的淘汰落后产能目标任务全面完成。3.将资源承载能力、生态环境容量作为承接产业转移的基础和前提，合理确定承接产业转移重点，禁止引进环境污染大、资源消耗高、技术落后的生产能力。4.支持现有各类产业园区有供热需求的实施热电联产或者集中供热改造，具备条件的工业园区实现集中供热。5.严格控制在生态脆弱或环境敏感地区建设《环境保护综合名录》中“高污染、高环境风险”行业项目。6.禁止在合规园区外新建、扩建钢铁、石化、化工、焦化、建材、有色行业中的高污染项目。7.集中式饮用水水源地严格执行《中华人民共和国水污染防治法》《地下水管理条例》《饮用水水源保护区污染防治管理规定》《云南省牛栏江保护条例》《曲靖市集中式饮用水水源地保护条例》《云南省曲靖独木水库保护条例》，水源地内城镇开发边界范围已开发区域强化环境基础设施建设与运行维护。8.各县（市、区）产业园区重点管控单元、曲靖经济开发区重点管控单元、曲靖高新技术产业开发区重点管控单元、宣威市经济技术开发区重点管控单元空间布局约束、污染物排放管控、环境风险防控、资源利用效率四个维度严格执行现行有效的园区规划、规划环评及其审查意见。</w:t>
                  </w:r>
                </w:p>
              </w:tc>
              <w:tc>
                <w:tcPr>
                  <w:tcW w:w="1306" w:type="pct"/>
                  <w:noWrap w:val="0"/>
                  <w:vAlign w:val="center"/>
                </w:tcPr>
                <w:p w14:paraId="72776A8B">
                  <w:pPr>
                    <w:keepNext w:val="0"/>
                    <w:keepLines w:val="0"/>
                    <w:pageBreakBefore w:val="0"/>
                    <w:widowControl/>
                    <w:numPr>
                      <w:ilvl w:val="0"/>
                      <w:numId w:val="0"/>
                    </w:numPr>
                    <w:kinsoku/>
                    <w:wordWrap/>
                    <w:overflowPunct/>
                    <w:autoSpaceDE/>
                    <w:autoSpaceDN/>
                    <w:bidi w:val="0"/>
                    <w:adjustRightInd w:val="0"/>
                    <w:snapToGrid w:val="0"/>
                    <w:spacing w:line="240" w:lineRule="auto"/>
                    <w:ind w:left="0" w:leftChars="0" w:firstLine="0" w:firstLineChars="0"/>
                    <w:jc w:val="center"/>
                    <w:textAlignment w:val="auto"/>
                    <w:rPr>
                      <w:color w:val="auto"/>
                      <w:kern w:val="0"/>
                      <w:szCs w:val="21"/>
                      <w:lang w:bidi="ar"/>
                    </w:rPr>
                  </w:pPr>
                  <w:r>
                    <w:rPr>
                      <w:rFonts w:hint="eastAsia" w:ascii="Times New Roman" w:hAnsi="Times New Roman" w:eastAsia="宋体" w:cs="Times New Roman"/>
                      <w:color w:val="auto"/>
                      <w:kern w:val="0"/>
                      <w:sz w:val="21"/>
                      <w:szCs w:val="21"/>
                      <w:highlight w:val="none"/>
                      <w:lang w:val="en-US" w:eastAsia="zh-CN"/>
                    </w:rPr>
                    <w:t>1、</w:t>
                  </w:r>
                  <w:r>
                    <w:rPr>
                      <w:rFonts w:hint="default" w:ascii="Times New Roman" w:hAnsi="Times New Roman" w:eastAsia="宋体" w:cs="Times New Roman"/>
                      <w:color w:val="auto"/>
                      <w:kern w:val="0"/>
                      <w:sz w:val="21"/>
                      <w:szCs w:val="21"/>
                      <w:highlight w:val="none"/>
                      <w:lang w:val="en-US" w:eastAsia="zh-CN"/>
                    </w:rPr>
                    <w:t>根据分析，本项目符合《长江经济带发展负面清单指南（试行，2022年版）</w:t>
                  </w:r>
                  <w:r>
                    <w:rPr>
                      <w:rFonts w:hint="eastAsia" w:ascii="Times New Roman" w:hAnsi="Times New Roman" w:eastAsia="宋体"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rPr>
                    <w:t>云南省长江经济带发展负面清单指南实施细则（试行）》（云发改基础〔2019〕924号）的相关要求；2、本项目为</w:t>
                  </w:r>
                  <w:r>
                    <w:rPr>
                      <w:rFonts w:hint="default" w:ascii="Times New Roman" w:hAnsi="Times New Roman" w:cs="Times New Roman"/>
                      <w:color w:val="auto"/>
                      <w:kern w:val="0"/>
                      <w:sz w:val="21"/>
                      <w:szCs w:val="21"/>
                      <w:highlight w:val="none"/>
                      <w:lang w:val="en-US" w:eastAsia="zh-CN"/>
                    </w:rPr>
                    <w:t>输变电</w:t>
                  </w:r>
                  <w:r>
                    <w:rPr>
                      <w:rFonts w:hint="default" w:ascii="Times New Roman" w:hAnsi="Times New Roman" w:eastAsia="宋体" w:cs="Times New Roman"/>
                      <w:color w:val="auto"/>
                      <w:kern w:val="0"/>
                      <w:sz w:val="21"/>
                      <w:szCs w:val="21"/>
                      <w:highlight w:val="none"/>
                      <w:lang w:val="en-US" w:eastAsia="zh-CN"/>
                    </w:rPr>
                    <w:t>项目，不涉及过剩产能和淘汰落后产能；3、项目不属于环境污染大、资源消耗高、技术落后的生产项目；4、项目不涉及；5、本项目为</w:t>
                  </w:r>
                  <w:r>
                    <w:rPr>
                      <w:rFonts w:hint="default" w:ascii="Times New Roman" w:hAnsi="Times New Roman" w:cs="Times New Roman"/>
                      <w:color w:val="auto"/>
                      <w:kern w:val="0"/>
                      <w:sz w:val="21"/>
                      <w:szCs w:val="21"/>
                      <w:highlight w:val="none"/>
                      <w:lang w:val="en-US" w:eastAsia="zh-CN"/>
                    </w:rPr>
                    <w:t>输变电</w:t>
                  </w:r>
                  <w:r>
                    <w:rPr>
                      <w:rFonts w:hint="default" w:ascii="Times New Roman" w:hAnsi="Times New Roman" w:eastAsia="宋体" w:cs="Times New Roman"/>
                      <w:color w:val="auto"/>
                      <w:kern w:val="0"/>
                      <w:sz w:val="21"/>
                      <w:szCs w:val="21"/>
                      <w:highlight w:val="none"/>
                      <w:lang w:val="en-US" w:eastAsia="zh-CN"/>
                    </w:rPr>
                    <w:t>项目，不属于“高污染、高环境风险”行业项目；6、本项目为</w:t>
                  </w:r>
                  <w:r>
                    <w:rPr>
                      <w:rFonts w:hint="default" w:ascii="Times New Roman" w:hAnsi="Times New Roman" w:cs="Times New Roman"/>
                      <w:color w:val="auto"/>
                      <w:kern w:val="0"/>
                      <w:sz w:val="21"/>
                      <w:szCs w:val="21"/>
                      <w:highlight w:val="none"/>
                      <w:lang w:val="en-US" w:eastAsia="zh-CN"/>
                    </w:rPr>
                    <w:t>输变电</w:t>
                  </w:r>
                  <w:r>
                    <w:rPr>
                      <w:rFonts w:hint="default" w:ascii="Times New Roman" w:hAnsi="Times New Roman" w:eastAsia="宋体" w:cs="Times New Roman"/>
                      <w:color w:val="auto"/>
                      <w:kern w:val="0"/>
                      <w:sz w:val="21"/>
                      <w:szCs w:val="21"/>
                      <w:highlight w:val="none"/>
                      <w:lang w:val="en-US" w:eastAsia="zh-CN"/>
                    </w:rPr>
                    <w:t>项目，不属于在合规园区外新建、扩建钢铁、石化、化工、焦化、建材、有色行业中的高污染项目；7、</w:t>
                  </w:r>
                  <w:r>
                    <w:rPr>
                      <w:rFonts w:hint="eastAsia" w:ascii="Times New Roman" w:hAnsi="Times New Roman" w:cs="Times New Roman"/>
                      <w:color w:val="auto"/>
                      <w:kern w:val="0"/>
                      <w:sz w:val="21"/>
                      <w:szCs w:val="21"/>
                      <w:highlight w:val="none"/>
                      <w:lang w:val="en-US" w:eastAsia="zh-CN"/>
                    </w:rPr>
                    <w:t>根据</w:t>
                  </w:r>
                  <w:r>
                    <w:rPr>
                      <w:rFonts w:hint="default" w:ascii="Times New Roman" w:hAnsi="Times New Roman" w:eastAsia="宋体" w:cs="Times New Roman"/>
                      <w:color w:val="auto"/>
                      <w:kern w:val="0"/>
                      <w:sz w:val="21"/>
                      <w:szCs w:val="21"/>
                      <w:highlight w:val="none"/>
                      <w:lang w:val="en-US" w:eastAsia="zh-CN"/>
                    </w:rPr>
                    <w:t>曲靖市生态环境局会泽分局关于</w:t>
                  </w:r>
                  <w:r>
                    <w:rPr>
                      <w:rFonts w:hint="eastAsia" w:ascii="Times New Roman" w:hAnsi="Times New Roman" w:eastAsia="宋体" w:cs="Times New Roman"/>
                      <w:color w:val="auto"/>
                      <w:kern w:val="0"/>
                      <w:sz w:val="21"/>
                      <w:szCs w:val="21"/>
                      <w:highlight w:val="none"/>
                      <w:lang w:val="en-US" w:eastAsia="zh-CN"/>
                    </w:rPr>
                    <w:t>大草房至六合一110</w:t>
                  </w:r>
                  <w:r>
                    <w:rPr>
                      <w:rFonts w:hint="default" w:ascii="Times New Roman" w:hAnsi="Times New Roman" w:eastAsia="宋体" w:cs="Times New Roman"/>
                      <w:color w:val="auto"/>
                      <w:kern w:val="0"/>
                      <w:sz w:val="21"/>
                      <w:szCs w:val="21"/>
                      <w:highlight w:val="none"/>
                      <w:lang w:val="en-US" w:eastAsia="zh-CN"/>
                    </w:rPr>
                    <w:t>kV</w:t>
                  </w:r>
                  <w:r>
                    <w:rPr>
                      <w:rFonts w:hint="eastAsia" w:ascii="Times New Roman" w:hAnsi="Times New Roman" w:eastAsia="宋体" w:cs="Times New Roman"/>
                      <w:color w:val="auto"/>
                      <w:kern w:val="0"/>
                      <w:sz w:val="21"/>
                      <w:szCs w:val="21"/>
                      <w:highlight w:val="none"/>
                      <w:lang w:val="en-US" w:eastAsia="zh-CN"/>
                    </w:rPr>
                    <w:t>联络</w:t>
                  </w:r>
                  <w:r>
                    <w:rPr>
                      <w:rFonts w:hint="default" w:ascii="Times New Roman" w:hAnsi="Times New Roman" w:eastAsia="宋体" w:cs="Times New Roman"/>
                      <w:color w:val="auto"/>
                      <w:kern w:val="0"/>
                      <w:sz w:val="21"/>
                      <w:szCs w:val="21"/>
                      <w:highlight w:val="none"/>
                      <w:lang w:val="en-US" w:eastAsia="zh-CN"/>
                    </w:rPr>
                    <w:t>线路工程项目（饮用水源地部分）查询情况说明，项目选址点位不涉及</w:t>
                  </w:r>
                  <w:r>
                    <w:rPr>
                      <w:rFonts w:hint="default" w:ascii="Times New Roman" w:hAnsi="Times New Roman" w:cs="Times New Roman"/>
                      <w:color w:val="auto"/>
                      <w:kern w:val="0"/>
                      <w:sz w:val="21"/>
                      <w:szCs w:val="21"/>
                      <w:highlight w:val="none"/>
                      <w:lang w:val="en-US" w:eastAsia="zh-CN"/>
                    </w:rPr>
                    <w:t>会泽县</w:t>
                  </w:r>
                  <w:r>
                    <w:rPr>
                      <w:rFonts w:hint="default" w:ascii="Times New Roman" w:hAnsi="Times New Roman" w:eastAsia="宋体" w:cs="Times New Roman"/>
                      <w:color w:val="auto"/>
                      <w:kern w:val="0"/>
                      <w:sz w:val="21"/>
                      <w:szCs w:val="21"/>
                      <w:highlight w:val="none"/>
                      <w:lang w:val="en-US" w:eastAsia="zh-CN"/>
                    </w:rPr>
                    <w:t>已批复集中式</w:t>
                  </w:r>
                  <w:r>
                    <w:rPr>
                      <w:rFonts w:hint="eastAsia" w:ascii="Times New Roman" w:hAnsi="Times New Roman" w:eastAsia="宋体" w:cs="Times New Roman"/>
                      <w:color w:val="auto"/>
                      <w:kern w:val="0"/>
                      <w:sz w:val="21"/>
                      <w:szCs w:val="21"/>
                      <w:highlight w:val="none"/>
                      <w:lang w:val="en-US" w:eastAsia="zh-CN"/>
                    </w:rPr>
                    <w:t>饮用水水源保护区</w:t>
                  </w:r>
                  <w:r>
                    <w:rPr>
                      <w:rFonts w:hint="default" w:ascii="Times New Roman" w:hAnsi="Times New Roman" w:eastAsia="宋体" w:cs="Times New Roman"/>
                      <w:color w:val="auto"/>
                      <w:kern w:val="0"/>
                      <w:sz w:val="21"/>
                      <w:szCs w:val="21"/>
                      <w:highlight w:val="none"/>
                      <w:lang w:val="en-US" w:eastAsia="zh-CN"/>
                    </w:rPr>
                    <w:t>。项目选址不涉及</w:t>
                  </w:r>
                  <w:r>
                    <w:rPr>
                      <w:rFonts w:hint="default" w:ascii="Times New Roman" w:hAnsi="Times New Roman" w:cs="Times New Roman"/>
                      <w:color w:val="auto"/>
                      <w:kern w:val="0"/>
                      <w:sz w:val="21"/>
                      <w:szCs w:val="21"/>
                      <w:highlight w:val="none"/>
                      <w:lang w:val="en-US" w:eastAsia="zh-CN"/>
                    </w:rPr>
                    <w:t>会泽县</w:t>
                  </w:r>
                  <w:r>
                    <w:rPr>
                      <w:rFonts w:hint="default" w:ascii="Times New Roman" w:hAnsi="Times New Roman" w:eastAsia="宋体" w:cs="Times New Roman"/>
                      <w:color w:val="auto"/>
                      <w:kern w:val="0"/>
                      <w:sz w:val="21"/>
                      <w:szCs w:val="21"/>
                      <w:highlight w:val="none"/>
                      <w:lang w:val="en-US" w:eastAsia="zh-CN"/>
                    </w:rPr>
                    <w:t>饮用水水源保护区范围。8、项目涉及</w:t>
                  </w:r>
                  <w:r>
                    <w:rPr>
                      <w:rFonts w:hint="default" w:ascii="Times New Roman" w:hAnsi="Times New Roman" w:cs="Times New Roman"/>
                      <w:color w:val="auto"/>
                      <w:kern w:val="0"/>
                      <w:sz w:val="21"/>
                      <w:szCs w:val="21"/>
                      <w:highlight w:val="none"/>
                      <w:lang w:val="en-US" w:eastAsia="zh-CN"/>
                    </w:rPr>
                    <w:t>会泽县</w:t>
                  </w:r>
                  <w:r>
                    <w:rPr>
                      <w:rFonts w:hint="default" w:ascii="Times New Roman" w:hAnsi="Times New Roman" w:eastAsia="宋体" w:cs="Times New Roman"/>
                      <w:color w:val="auto"/>
                      <w:kern w:val="0"/>
                      <w:sz w:val="21"/>
                      <w:szCs w:val="21"/>
                      <w:highlight w:val="none"/>
                      <w:lang w:val="en-US" w:eastAsia="zh-CN"/>
                    </w:rPr>
                    <w:t>生态保护红线优先保护单元</w:t>
                  </w:r>
                  <w:r>
                    <w:rPr>
                      <w:rFonts w:hint="default" w:ascii="Times New Roman" w:hAnsi="Times New Roman" w:cs="Times New Roman"/>
                      <w:color w:val="auto"/>
                      <w:kern w:val="0"/>
                      <w:sz w:val="21"/>
                      <w:szCs w:val="21"/>
                      <w:highlight w:val="none"/>
                      <w:lang w:val="en-US" w:eastAsia="zh-CN"/>
                    </w:rPr>
                    <w:t>、会泽县</w:t>
                  </w:r>
                  <w:r>
                    <w:rPr>
                      <w:rFonts w:hint="default" w:ascii="Times New Roman" w:hAnsi="Times New Roman" w:eastAsia="宋体" w:cs="Times New Roman"/>
                      <w:color w:val="auto"/>
                      <w:kern w:val="0"/>
                      <w:sz w:val="21"/>
                      <w:szCs w:val="21"/>
                      <w:highlight w:val="none"/>
                      <w:lang w:val="en-US" w:eastAsia="zh-CN"/>
                    </w:rPr>
                    <w:t>一般生态空间优先保护单元、</w:t>
                  </w:r>
                  <w:r>
                    <w:rPr>
                      <w:rFonts w:hint="default" w:ascii="Times New Roman" w:hAnsi="Times New Roman" w:cs="Times New Roman"/>
                      <w:color w:val="auto"/>
                      <w:kern w:val="0"/>
                      <w:sz w:val="21"/>
                      <w:szCs w:val="21"/>
                      <w:highlight w:val="none"/>
                      <w:lang w:val="en-US" w:eastAsia="zh-CN"/>
                    </w:rPr>
                    <w:t>会泽县</w:t>
                  </w:r>
                  <w:r>
                    <w:rPr>
                      <w:rFonts w:hint="default" w:ascii="Times New Roman" w:hAnsi="Times New Roman" w:eastAsia="宋体" w:cs="Times New Roman"/>
                      <w:color w:val="auto"/>
                      <w:kern w:val="0"/>
                      <w:sz w:val="21"/>
                      <w:szCs w:val="21"/>
                      <w:highlight w:val="none"/>
                      <w:lang w:val="en-US" w:eastAsia="zh-CN"/>
                    </w:rPr>
                    <w:t>一般管控单元，无条例中管控单元。</w:t>
                  </w:r>
                </w:p>
              </w:tc>
              <w:tc>
                <w:tcPr>
                  <w:tcW w:w="459" w:type="pct"/>
                  <w:noWrap w:val="0"/>
                  <w:vAlign w:val="center"/>
                </w:tcPr>
                <w:p w14:paraId="30A73B85">
                  <w:pPr>
                    <w:overflowPunct w:val="0"/>
                    <w:topLinePunct/>
                    <w:autoSpaceDE w:val="0"/>
                    <w:autoSpaceDN w:val="0"/>
                    <w:adjustRightInd w:val="0"/>
                    <w:snapToGrid w:val="0"/>
                    <w:spacing w:line="240" w:lineRule="auto"/>
                    <w:jc w:val="center"/>
                    <w:textAlignment w:val="center"/>
                    <w:rPr>
                      <w:rFonts w:hint="eastAsia"/>
                      <w:color w:val="auto"/>
                      <w:kern w:val="0"/>
                      <w:szCs w:val="21"/>
                      <w:lang w:bidi="ar"/>
                    </w:rPr>
                  </w:pPr>
                  <w:r>
                    <w:rPr>
                      <w:rFonts w:hint="eastAsia"/>
                      <w:color w:val="auto"/>
                      <w:kern w:val="0"/>
                      <w:szCs w:val="21"/>
                      <w:lang w:bidi="ar"/>
                    </w:rPr>
                    <w:t>符合</w:t>
                  </w:r>
                </w:p>
              </w:tc>
            </w:tr>
            <w:tr w14:paraId="58004B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9" w:type="pct"/>
                  <w:vMerge w:val="continue"/>
                  <w:noWrap w:val="0"/>
                  <w:vAlign w:val="center"/>
                </w:tcPr>
                <w:p w14:paraId="5D9883AA">
                  <w:pPr>
                    <w:overflowPunct w:val="0"/>
                    <w:topLinePunct/>
                    <w:autoSpaceDE w:val="0"/>
                    <w:autoSpaceDN w:val="0"/>
                    <w:adjustRightInd w:val="0"/>
                    <w:snapToGrid w:val="0"/>
                    <w:spacing w:line="240" w:lineRule="auto"/>
                    <w:jc w:val="center"/>
                    <w:textAlignment w:val="center"/>
                    <w:rPr>
                      <w:color w:val="auto"/>
                      <w:kern w:val="0"/>
                      <w:szCs w:val="21"/>
                      <w:lang w:bidi="ar"/>
                    </w:rPr>
                  </w:pPr>
                </w:p>
              </w:tc>
              <w:tc>
                <w:tcPr>
                  <w:tcW w:w="379" w:type="pct"/>
                  <w:noWrap w:val="0"/>
                  <w:vAlign w:val="center"/>
                </w:tcPr>
                <w:p w14:paraId="40E05A2F">
                  <w:pPr>
                    <w:overflowPunct w:val="0"/>
                    <w:topLinePunct/>
                    <w:autoSpaceDE w:val="0"/>
                    <w:autoSpaceDN w:val="0"/>
                    <w:adjustRightInd w:val="0"/>
                    <w:snapToGrid w:val="0"/>
                    <w:spacing w:line="240" w:lineRule="auto"/>
                    <w:jc w:val="center"/>
                    <w:textAlignment w:val="center"/>
                    <w:rPr>
                      <w:color w:val="auto"/>
                      <w:kern w:val="0"/>
                      <w:szCs w:val="21"/>
                      <w:lang w:bidi="ar"/>
                    </w:rPr>
                  </w:pPr>
                  <w:r>
                    <w:rPr>
                      <w:color w:val="auto"/>
                      <w:kern w:val="0"/>
                      <w:szCs w:val="21"/>
                      <w:lang w:bidi="ar"/>
                    </w:rPr>
                    <w:t>污染物排放管控</w:t>
                  </w:r>
                </w:p>
              </w:tc>
              <w:tc>
                <w:tcPr>
                  <w:tcW w:w="2355" w:type="pct"/>
                  <w:noWrap w:val="0"/>
                  <w:vAlign w:val="center"/>
                </w:tcPr>
                <w:p w14:paraId="6DDD521A">
                  <w:pPr>
                    <w:overflowPunct w:val="0"/>
                    <w:topLinePunct/>
                    <w:autoSpaceDE w:val="0"/>
                    <w:autoSpaceDN w:val="0"/>
                    <w:adjustRightInd w:val="0"/>
                    <w:snapToGrid w:val="0"/>
                    <w:spacing w:line="240" w:lineRule="auto"/>
                    <w:jc w:val="center"/>
                    <w:textAlignment w:val="center"/>
                    <w:rPr>
                      <w:rFonts w:hint="eastAsia"/>
                      <w:color w:val="auto"/>
                      <w:szCs w:val="21"/>
                    </w:rPr>
                  </w:pPr>
                  <w:r>
                    <w:rPr>
                      <w:rFonts w:hint="eastAsia"/>
                      <w:color w:val="auto"/>
                      <w:szCs w:val="21"/>
                    </w:rPr>
                    <w:t>1.推进以能源、化工、冶金、建材、造纸、农副食品加工、工业涂装和包装印刷等行业为重点的清洁生产审核工作，具体行业包括但不限于煤矿、火力发电，甲醇、焦化、氮肥、磷肥、氯碱、电石、制药、农药、黄磷、铬盐生产，钢铁、铁合金铅锌铝冶炼及再生，水泥、石灰、建筑陶瓷、平板玻璃、沥青防水材料，纸浆造纸，酿造、味精、柠檬酸、酶制剂、酵母，新能源电池</w:t>
                  </w:r>
                  <w:r>
                    <w:rPr>
                      <w:rFonts w:hint="eastAsia"/>
                      <w:color w:val="auto"/>
                      <w:szCs w:val="21"/>
                      <w:lang w:eastAsia="zh-CN"/>
                    </w:rPr>
                    <w:t>（</w:t>
                  </w:r>
                  <w:r>
                    <w:rPr>
                      <w:rFonts w:hint="eastAsia"/>
                      <w:color w:val="auto"/>
                      <w:szCs w:val="21"/>
                    </w:rPr>
                    <w:t>正负极材料</w:t>
                  </w:r>
                  <w:r>
                    <w:rPr>
                      <w:rFonts w:hint="eastAsia"/>
                      <w:color w:val="auto"/>
                      <w:szCs w:val="21"/>
                      <w:lang w:eastAsia="zh-CN"/>
                    </w:rPr>
                    <w:t>）</w:t>
                  </w:r>
                  <w:r>
                    <w:rPr>
                      <w:rFonts w:hint="eastAsia"/>
                      <w:color w:val="auto"/>
                      <w:szCs w:val="21"/>
                    </w:rPr>
                    <w:t>，多晶硅、单晶硅、有机硅，工业涂装和包装印刷等行业。2.落实云南省碳达峰碳中和相关要求，处理好发展和减排、整体和局部、长远目标和短期目标、政府和市场的关系，加快推动减污降碳协同创新试点，坚定不移走生态优先、绿色低碳的高质量发展道路。3.加大重点流域水污染防治，确保水质如期达标。南盘江龚家坝、北盘江旧营桥等断面汇水区，新建、改建、扩建重点行业建设项目实行主要污染物排放减量置换。到2025年，牛栏江、南盘江、北盘江流域内所有城镇区域内实现生活污水处理设施全覆盖、生活污水全处理。4.牛栏江等流域内，严格按照《云南省牛栏江保护条例》《牛栏江流域（云南部分）水环境保护规划报告》及其中期评估报告有关要求，禁止在牛栏江水源保护区核心区新建、改建、扩建排污口。牛栏江流域上游保护区内已设置排污口的生产企业，排放水污染物应当符合国家或者地方规定的水污染物排放标准和重点水污染物排放总量控制指标。5.严格保护集中式饮用水水源地，整治饮用水源保护区内的污染源，确保饮水安全。6.全面开展城市（县城）排水管网排查整治，消除城市建成区管网空白区、污水直排口，解决雨污混流、管网破损漏损、错接混接等问题。加大城市生活污水提标改造及扩容工作力度，麒麟区、沾益区、曲靖经开区新、改、扩建城市生活污水集中处理设施及工业园区污水集中处理设施污染物排放标准严格执行《地表水环境质量标准》</w:t>
                  </w:r>
                  <w:r>
                    <w:rPr>
                      <w:rFonts w:hint="eastAsia"/>
                      <w:color w:val="auto"/>
                      <w:szCs w:val="21"/>
                      <w:lang w:eastAsia="zh-CN"/>
                    </w:rPr>
                    <w:t>Ⅳ类</w:t>
                  </w:r>
                  <w:r>
                    <w:rPr>
                      <w:rFonts w:hint="eastAsia"/>
                      <w:color w:val="auto"/>
                      <w:szCs w:val="21"/>
                    </w:rPr>
                    <w:t xml:space="preserve">标准 </w:t>
                  </w:r>
                  <w:r>
                    <w:rPr>
                      <w:rFonts w:hint="eastAsia"/>
                      <w:color w:val="auto"/>
                      <w:szCs w:val="21"/>
                      <w:lang w:eastAsia="zh-CN"/>
                    </w:rPr>
                    <w:t>（</w:t>
                  </w:r>
                  <w:r>
                    <w:rPr>
                      <w:rFonts w:hint="eastAsia"/>
                      <w:color w:val="auto"/>
                      <w:szCs w:val="21"/>
                    </w:rPr>
                    <w:t>其中总氮&lt;10mg/L，</w:t>
                  </w:r>
                  <w:r>
                    <w:rPr>
                      <w:rFonts w:hint="eastAsia"/>
                      <w:color w:val="auto"/>
                      <w:szCs w:val="21"/>
                      <w:lang w:eastAsia="zh-CN"/>
                    </w:rPr>
                    <w:t>粪大肠菌群</w:t>
                  </w:r>
                  <w:r>
                    <w:rPr>
                      <w:rFonts w:hint="eastAsia"/>
                      <w:color w:val="auto"/>
                      <w:szCs w:val="21"/>
                    </w:rPr>
                    <w:t>&lt;1000个/L</w:t>
                  </w:r>
                  <w:r>
                    <w:rPr>
                      <w:rFonts w:hint="eastAsia"/>
                      <w:color w:val="auto"/>
                      <w:szCs w:val="21"/>
                      <w:lang w:eastAsia="zh-CN"/>
                    </w:rPr>
                    <w:t>）</w:t>
                  </w:r>
                  <w:r>
                    <w:rPr>
                      <w:rFonts w:hint="eastAsia"/>
                      <w:color w:val="auto"/>
                      <w:szCs w:val="21"/>
                    </w:rPr>
                    <w:t>。陆良县、宣威市根据水生态环境质量变化趋势适时推进执行《地表水环境质量标准》</w:t>
                  </w:r>
                  <w:r>
                    <w:rPr>
                      <w:rFonts w:hint="eastAsia"/>
                      <w:color w:val="auto"/>
                      <w:szCs w:val="21"/>
                      <w:lang w:eastAsia="zh-CN"/>
                    </w:rPr>
                    <w:t>Ⅳ类</w:t>
                  </w:r>
                  <w:r>
                    <w:rPr>
                      <w:rFonts w:hint="eastAsia"/>
                      <w:color w:val="auto"/>
                      <w:szCs w:val="21"/>
                    </w:rPr>
                    <w:t>标准</w:t>
                  </w:r>
                  <w:r>
                    <w:rPr>
                      <w:rFonts w:hint="eastAsia"/>
                      <w:color w:val="auto"/>
                      <w:szCs w:val="21"/>
                      <w:lang w:eastAsia="zh-CN"/>
                    </w:rPr>
                    <w:t>（</w:t>
                  </w:r>
                  <w:r>
                    <w:rPr>
                      <w:rFonts w:hint="eastAsia"/>
                      <w:color w:val="auto"/>
                      <w:szCs w:val="21"/>
                    </w:rPr>
                    <w:t>其中总氮&lt;10mg/L，</w:t>
                  </w:r>
                  <w:r>
                    <w:rPr>
                      <w:rFonts w:hint="eastAsia"/>
                      <w:color w:val="auto"/>
                      <w:szCs w:val="21"/>
                      <w:lang w:eastAsia="zh-CN"/>
                    </w:rPr>
                    <w:t>粪大肠菌群</w:t>
                  </w:r>
                  <w:r>
                    <w:rPr>
                      <w:rFonts w:hint="eastAsia"/>
                      <w:color w:val="auto"/>
                      <w:szCs w:val="21"/>
                    </w:rPr>
                    <w:t>&lt;1000个/L</w:t>
                  </w:r>
                  <w:r>
                    <w:rPr>
                      <w:rFonts w:hint="eastAsia"/>
                      <w:color w:val="auto"/>
                      <w:szCs w:val="21"/>
                      <w:lang w:eastAsia="zh-CN"/>
                    </w:rPr>
                    <w:t>）</w:t>
                  </w:r>
                  <w:r>
                    <w:rPr>
                      <w:rFonts w:hint="eastAsia"/>
                      <w:color w:val="auto"/>
                      <w:szCs w:val="21"/>
                    </w:rPr>
                    <w:t>。其他</w:t>
                  </w:r>
                  <w:r>
                    <w:rPr>
                      <w:rFonts w:hint="eastAsia"/>
                      <w:color w:val="auto"/>
                      <w:szCs w:val="21"/>
                      <w:lang w:eastAsia="zh-CN"/>
                    </w:rPr>
                    <w:t>县(市、区)</w:t>
                  </w:r>
                  <w:r>
                    <w:rPr>
                      <w:rFonts w:hint="eastAsia"/>
                      <w:color w:val="auto"/>
                      <w:szCs w:val="21"/>
                    </w:rPr>
                    <w:t>执行《城镇污水处理厂污染物排放标准》一级标准 A 标准。7.加快推进污泥无害化处理处置工程建设，鼓励采用资源化利用方式处理处置污泥，经处理后的污泥达到《农用污泥污染物控制标准》（GB4282—2018）要求的用于还田利用。8.加快生活垃圾处理设施建设，推进实施生活垃圾焚烧发电，全面提升城镇生活垃圾分类收转运能力和厨余垃圾处理能力。</w:t>
                  </w:r>
                </w:p>
                <w:p w14:paraId="708A8E87">
                  <w:pPr>
                    <w:overflowPunct w:val="0"/>
                    <w:topLinePunct/>
                    <w:autoSpaceDE w:val="0"/>
                    <w:autoSpaceDN w:val="0"/>
                    <w:adjustRightInd w:val="0"/>
                    <w:snapToGrid w:val="0"/>
                    <w:spacing w:line="240" w:lineRule="auto"/>
                    <w:jc w:val="center"/>
                    <w:textAlignment w:val="center"/>
                    <w:rPr>
                      <w:b/>
                      <w:bCs/>
                      <w:color w:val="auto"/>
                      <w:kern w:val="0"/>
                      <w:szCs w:val="21"/>
                      <w:lang w:bidi="ar"/>
                    </w:rPr>
                  </w:pPr>
                  <w:r>
                    <w:rPr>
                      <w:rFonts w:hint="eastAsia"/>
                      <w:color w:val="auto"/>
                      <w:szCs w:val="21"/>
                    </w:rPr>
                    <w:t>9.到2025年，中心城区、县城中心城市建成区基本实现污水全收集、全处理，建制镇污水收集处理能力明显提升，中心城市、县城平均污泥无害化处理率达到90%以上，力争实现全市生活垃圾焚烧处理实现全覆盖，餐厨垃圾实现零填埋无害化处理。10.到2025年，全市农村生活污水治理率达到40%以上，城乡生活垃圾焚烧处理比重达90%以上，全市农村卫生户厕覆盖率达到70%以上，农膜回收率达到90%以上，秸秆综合利用率稳定在90%以上，畜禽粪污综合利用率达到95%以上</w:t>
                  </w:r>
                  <w:r>
                    <w:rPr>
                      <w:rFonts w:hint="eastAsia"/>
                      <w:color w:val="auto"/>
                      <w:szCs w:val="21"/>
                      <w:lang w:eastAsia="zh-CN"/>
                    </w:rPr>
                    <w:t>；</w:t>
                  </w:r>
                  <w:r>
                    <w:rPr>
                      <w:rFonts w:hint="eastAsia"/>
                      <w:color w:val="auto"/>
                      <w:szCs w:val="21"/>
                    </w:rPr>
                    <w:t>基本实现化肥农药施用量减少3%以上。11.严把新建、改扩建涉重金属重点行业建设项目审批关，切实降低区域重金属排放总量。会泽县新、改、扩建涉重金属重点行业建设项目重点重金属污染物排放遵循“减量替代”原则，替代比例不低于1.2:1</w:t>
                  </w:r>
                  <w:r>
                    <w:rPr>
                      <w:rFonts w:hint="eastAsia"/>
                      <w:color w:val="auto"/>
                      <w:szCs w:val="21"/>
                      <w:lang w:eastAsia="zh-CN"/>
                    </w:rPr>
                    <w:t>；</w:t>
                  </w:r>
                  <w:r>
                    <w:rPr>
                      <w:rFonts w:hint="eastAsia"/>
                      <w:color w:val="auto"/>
                      <w:szCs w:val="21"/>
                    </w:rPr>
                    <w:t>其他</w:t>
                  </w:r>
                  <w:r>
                    <w:rPr>
                      <w:rFonts w:hint="eastAsia"/>
                      <w:color w:val="auto"/>
                      <w:szCs w:val="21"/>
                      <w:lang w:eastAsia="zh-CN"/>
                    </w:rPr>
                    <w:t>县（市、区）</w:t>
                  </w:r>
                  <w:r>
                    <w:rPr>
                      <w:rFonts w:hint="eastAsia"/>
                      <w:color w:val="auto"/>
                      <w:szCs w:val="21"/>
                    </w:rPr>
                    <w:t>遵循“等量替代”原则。12.到2025年，曲靖市重点行业重点重金属污染物排放量比2020年下降6%。13.到2025年，全市化学需氧量、氨氮、氮氧化物、挥发性有机物排放总量等重点工程减排量分别达到7984吨、496吨、3611吨、1181吨。</w:t>
                  </w:r>
                </w:p>
              </w:tc>
              <w:tc>
                <w:tcPr>
                  <w:tcW w:w="1306" w:type="pct"/>
                  <w:noWrap w:val="0"/>
                  <w:vAlign w:val="center"/>
                </w:tcPr>
                <w:p w14:paraId="6184E7B1">
                  <w:pPr>
                    <w:overflowPunct w:val="0"/>
                    <w:topLinePunct/>
                    <w:autoSpaceDE w:val="0"/>
                    <w:autoSpaceDN w:val="0"/>
                    <w:adjustRightInd w:val="0"/>
                    <w:snapToGrid w:val="0"/>
                    <w:spacing w:line="240" w:lineRule="auto"/>
                    <w:jc w:val="center"/>
                    <w:textAlignment w:val="center"/>
                    <w:rPr>
                      <w:color w:val="auto"/>
                      <w:kern w:val="0"/>
                      <w:szCs w:val="21"/>
                      <w:lang w:bidi="ar"/>
                    </w:rPr>
                  </w:pPr>
                  <w:r>
                    <w:rPr>
                      <w:rFonts w:hint="default" w:ascii="Times New Roman" w:hAnsi="Times New Roman" w:eastAsia="宋体" w:cs="Times New Roman"/>
                      <w:snapToGrid w:val="0"/>
                      <w:color w:val="auto"/>
                      <w:sz w:val="21"/>
                      <w:szCs w:val="21"/>
                      <w:highlight w:val="none"/>
                      <w:lang w:val="en-US" w:eastAsia="zh-CN"/>
                    </w:rPr>
                    <w:t>1、本项目为</w:t>
                  </w:r>
                  <w:r>
                    <w:rPr>
                      <w:rFonts w:hint="default" w:ascii="Times New Roman" w:hAnsi="Times New Roman" w:cs="Times New Roman"/>
                      <w:snapToGrid w:val="0"/>
                      <w:color w:val="auto"/>
                      <w:sz w:val="21"/>
                      <w:szCs w:val="21"/>
                      <w:highlight w:val="none"/>
                      <w:lang w:val="en-US" w:eastAsia="zh-CN"/>
                    </w:rPr>
                    <w:t>输变电</w:t>
                  </w:r>
                  <w:r>
                    <w:rPr>
                      <w:rFonts w:hint="default" w:ascii="Times New Roman" w:hAnsi="Times New Roman" w:eastAsia="宋体" w:cs="Times New Roman"/>
                      <w:snapToGrid w:val="0"/>
                      <w:color w:val="auto"/>
                      <w:sz w:val="21"/>
                      <w:szCs w:val="21"/>
                      <w:highlight w:val="none"/>
                      <w:lang w:val="en-US" w:eastAsia="zh-CN"/>
                    </w:rPr>
                    <w:t>项目，不涉及条例中所述行业；2</w:t>
                  </w:r>
                  <w:r>
                    <w:rPr>
                      <w:rFonts w:hint="eastAsia" w:ascii="Times New Roman" w:hAnsi="Times New Roman" w:cs="Times New Roman"/>
                      <w:snapToGrid w:val="0"/>
                      <w:color w:val="auto"/>
                      <w:sz w:val="21"/>
                      <w:szCs w:val="21"/>
                      <w:highlight w:val="none"/>
                      <w:lang w:val="en-US" w:eastAsia="zh-CN"/>
                    </w:rPr>
                    <w:t>、本</w:t>
                  </w:r>
                  <w:r>
                    <w:rPr>
                      <w:rFonts w:hint="default" w:ascii="Times New Roman" w:hAnsi="Times New Roman" w:eastAsia="宋体" w:cs="Times New Roman"/>
                      <w:snapToGrid w:val="0"/>
                      <w:color w:val="auto"/>
                      <w:sz w:val="21"/>
                      <w:szCs w:val="21"/>
                      <w:highlight w:val="none"/>
                      <w:lang w:val="en-US" w:eastAsia="zh-CN"/>
                    </w:rPr>
                    <w:t>项目为输变电项目，运营过</w:t>
                  </w:r>
                  <w:r>
                    <w:rPr>
                      <w:rFonts w:hint="eastAsia" w:ascii="Times New Roman" w:hAnsi="Times New Roman" w:eastAsia="宋体" w:cs="Times New Roman"/>
                      <w:snapToGrid w:val="0"/>
                      <w:color w:val="auto"/>
                      <w:sz w:val="21"/>
                      <w:szCs w:val="21"/>
                      <w:highlight w:val="none"/>
                      <w:lang w:val="en-US" w:eastAsia="zh-CN"/>
                    </w:rPr>
                    <w:t>程中</w:t>
                  </w:r>
                  <w:r>
                    <w:rPr>
                      <w:rFonts w:hint="default" w:ascii="Times New Roman" w:hAnsi="Times New Roman" w:eastAsia="宋体" w:cs="Times New Roman"/>
                      <w:snapToGrid w:val="0"/>
                      <w:color w:val="auto"/>
                      <w:sz w:val="21"/>
                      <w:szCs w:val="21"/>
                      <w:highlight w:val="none"/>
                      <w:lang w:val="en-US" w:eastAsia="zh-CN"/>
                    </w:rPr>
                    <w:t>不产生工业废气；3、本项目未处于南盘江龚家坝、北盘江旧营桥断面汇水区等水污染严重地区，且本项目不属于重点行业；4、本项目不在牛栏江流域；5、</w:t>
                  </w:r>
                  <w:r>
                    <w:rPr>
                      <w:rFonts w:hint="eastAsia" w:ascii="Times New Roman" w:hAnsi="Times New Roman" w:cs="Times New Roman"/>
                      <w:color w:val="auto"/>
                      <w:kern w:val="0"/>
                      <w:sz w:val="21"/>
                      <w:szCs w:val="21"/>
                      <w:highlight w:val="none"/>
                      <w:lang w:val="en-US" w:eastAsia="zh-CN"/>
                    </w:rPr>
                    <w:t>根据</w:t>
                  </w:r>
                  <w:r>
                    <w:rPr>
                      <w:rFonts w:hint="default" w:ascii="Times New Roman" w:hAnsi="Times New Roman" w:eastAsia="宋体" w:cs="Times New Roman"/>
                      <w:color w:val="auto"/>
                      <w:kern w:val="0"/>
                      <w:sz w:val="21"/>
                      <w:szCs w:val="21"/>
                      <w:highlight w:val="none"/>
                      <w:lang w:val="en-US" w:eastAsia="zh-CN"/>
                    </w:rPr>
                    <w:t>曲靖市生态环境局会泽分局关于</w:t>
                  </w:r>
                  <w:r>
                    <w:rPr>
                      <w:rFonts w:hint="eastAsia" w:ascii="Times New Roman" w:hAnsi="Times New Roman" w:eastAsia="宋体" w:cs="Times New Roman"/>
                      <w:color w:val="auto"/>
                      <w:kern w:val="0"/>
                      <w:sz w:val="21"/>
                      <w:szCs w:val="21"/>
                      <w:highlight w:val="none"/>
                      <w:lang w:val="en-US" w:eastAsia="zh-CN"/>
                    </w:rPr>
                    <w:t>大草房至六合一110</w:t>
                  </w:r>
                  <w:r>
                    <w:rPr>
                      <w:rFonts w:hint="default" w:ascii="Times New Roman" w:hAnsi="Times New Roman" w:eastAsia="宋体" w:cs="Times New Roman"/>
                      <w:color w:val="auto"/>
                      <w:kern w:val="0"/>
                      <w:sz w:val="21"/>
                      <w:szCs w:val="21"/>
                      <w:highlight w:val="none"/>
                      <w:lang w:val="en-US" w:eastAsia="zh-CN"/>
                    </w:rPr>
                    <w:t>kV</w:t>
                  </w:r>
                  <w:r>
                    <w:rPr>
                      <w:rFonts w:hint="eastAsia" w:ascii="Times New Roman" w:hAnsi="Times New Roman" w:eastAsia="宋体" w:cs="Times New Roman"/>
                      <w:color w:val="auto"/>
                      <w:kern w:val="0"/>
                      <w:sz w:val="21"/>
                      <w:szCs w:val="21"/>
                      <w:highlight w:val="none"/>
                      <w:lang w:val="en-US" w:eastAsia="zh-CN"/>
                    </w:rPr>
                    <w:t>联络</w:t>
                  </w:r>
                  <w:r>
                    <w:rPr>
                      <w:rFonts w:hint="default" w:ascii="Times New Roman" w:hAnsi="Times New Roman" w:eastAsia="宋体" w:cs="Times New Roman"/>
                      <w:color w:val="auto"/>
                      <w:kern w:val="0"/>
                      <w:sz w:val="21"/>
                      <w:szCs w:val="21"/>
                      <w:highlight w:val="none"/>
                      <w:lang w:val="en-US" w:eastAsia="zh-CN"/>
                    </w:rPr>
                    <w:t>线路工程项目（饮用水源地部分）查询情况说明，项目选址点位不涉及</w:t>
                  </w:r>
                  <w:r>
                    <w:rPr>
                      <w:rFonts w:hint="default" w:ascii="Times New Roman" w:hAnsi="Times New Roman" w:cs="Times New Roman"/>
                      <w:color w:val="auto"/>
                      <w:kern w:val="0"/>
                      <w:sz w:val="21"/>
                      <w:szCs w:val="21"/>
                      <w:highlight w:val="none"/>
                      <w:lang w:val="en-US" w:eastAsia="zh-CN"/>
                    </w:rPr>
                    <w:t>会泽县</w:t>
                  </w:r>
                  <w:r>
                    <w:rPr>
                      <w:rFonts w:hint="default" w:ascii="Times New Roman" w:hAnsi="Times New Roman" w:eastAsia="宋体" w:cs="Times New Roman"/>
                      <w:color w:val="auto"/>
                      <w:kern w:val="0"/>
                      <w:sz w:val="21"/>
                      <w:szCs w:val="21"/>
                      <w:highlight w:val="none"/>
                      <w:lang w:val="en-US" w:eastAsia="zh-CN"/>
                    </w:rPr>
                    <w:t>已批复集中式</w:t>
                  </w:r>
                  <w:r>
                    <w:rPr>
                      <w:rFonts w:hint="eastAsia" w:ascii="Times New Roman" w:hAnsi="Times New Roman" w:eastAsia="宋体" w:cs="Times New Roman"/>
                      <w:color w:val="auto"/>
                      <w:kern w:val="0"/>
                      <w:sz w:val="21"/>
                      <w:szCs w:val="21"/>
                      <w:highlight w:val="none"/>
                      <w:lang w:val="en-US" w:eastAsia="zh-CN"/>
                    </w:rPr>
                    <w:t>饮用水水源保护区</w:t>
                  </w:r>
                  <w:r>
                    <w:rPr>
                      <w:rFonts w:hint="default" w:ascii="Times New Roman" w:hAnsi="Times New Roman" w:eastAsia="宋体" w:cs="Times New Roman"/>
                      <w:color w:val="auto"/>
                      <w:kern w:val="0"/>
                      <w:sz w:val="21"/>
                      <w:szCs w:val="21"/>
                      <w:highlight w:val="none"/>
                      <w:lang w:val="en-US" w:eastAsia="zh-CN"/>
                    </w:rPr>
                    <w:t>。项目选址不涉及</w:t>
                  </w:r>
                  <w:r>
                    <w:rPr>
                      <w:rFonts w:hint="default" w:ascii="Times New Roman" w:hAnsi="Times New Roman" w:cs="Times New Roman"/>
                      <w:color w:val="auto"/>
                      <w:kern w:val="0"/>
                      <w:sz w:val="21"/>
                      <w:szCs w:val="21"/>
                      <w:highlight w:val="none"/>
                      <w:lang w:val="en-US" w:eastAsia="zh-CN"/>
                    </w:rPr>
                    <w:t>会泽县</w:t>
                  </w:r>
                  <w:r>
                    <w:rPr>
                      <w:rFonts w:hint="default" w:ascii="Times New Roman" w:hAnsi="Times New Roman" w:eastAsia="宋体" w:cs="Times New Roman"/>
                      <w:color w:val="auto"/>
                      <w:kern w:val="0"/>
                      <w:sz w:val="21"/>
                      <w:szCs w:val="21"/>
                      <w:highlight w:val="none"/>
                      <w:lang w:val="en-US" w:eastAsia="zh-CN"/>
                    </w:rPr>
                    <w:t>饮用水水源保护区范围</w:t>
                  </w:r>
                  <w:r>
                    <w:rPr>
                      <w:rFonts w:hint="default" w:ascii="Times New Roman" w:hAnsi="Times New Roman" w:eastAsia="宋体" w:cs="Times New Roman"/>
                      <w:snapToGrid w:val="0"/>
                      <w:color w:val="auto"/>
                      <w:sz w:val="21"/>
                      <w:szCs w:val="21"/>
                      <w:highlight w:val="none"/>
                      <w:lang w:val="en-US" w:eastAsia="zh-CN"/>
                    </w:rPr>
                    <w:t>；6、本项目运营期无废水产生</w:t>
                  </w:r>
                  <w:r>
                    <w:rPr>
                      <w:rFonts w:hint="default" w:ascii="Times New Roman" w:hAnsi="Times New Roman" w:cs="Times New Roman"/>
                      <w:snapToGrid w:val="0"/>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废水</w:t>
                  </w:r>
                  <w:r>
                    <w:rPr>
                      <w:rFonts w:hint="default" w:ascii="Times New Roman" w:hAnsi="Times New Roman" w:eastAsia="宋体" w:cs="Times New Roman"/>
                      <w:color w:val="auto"/>
                      <w:sz w:val="21"/>
                      <w:szCs w:val="21"/>
                      <w:highlight w:val="none"/>
                      <w:lang w:val="en-US" w:eastAsia="zh-CN"/>
                    </w:rPr>
                    <w:t>不外排</w:t>
                  </w:r>
                  <w:r>
                    <w:rPr>
                      <w:rFonts w:hint="default" w:ascii="Times New Roman" w:hAnsi="Times New Roman" w:eastAsia="宋体" w:cs="Times New Roman"/>
                      <w:snapToGrid w:val="0"/>
                      <w:color w:val="auto"/>
                      <w:sz w:val="21"/>
                      <w:szCs w:val="21"/>
                      <w:highlight w:val="none"/>
                      <w:lang w:val="en-US" w:eastAsia="zh-CN"/>
                    </w:rPr>
                    <w:t>；7、项目不涉及污泥产生；8、项目</w:t>
                  </w:r>
                  <w:r>
                    <w:rPr>
                      <w:rFonts w:hint="default" w:ascii="Times New Roman" w:hAnsi="Times New Roman" w:cs="Times New Roman"/>
                      <w:snapToGrid w:val="0"/>
                      <w:color w:val="auto"/>
                      <w:sz w:val="21"/>
                      <w:szCs w:val="21"/>
                      <w:highlight w:val="none"/>
                      <w:lang w:val="en-US" w:eastAsia="zh-CN"/>
                    </w:rPr>
                    <w:t>无工作人员</w:t>
                  </w:r>
                  <w:r>
                    <w:rPr>
                      <w:rFonts w:hint="default" w:ascii="Times New Roman" w:hAnsi="Times New Roman" w:eastAsia="宋体" w:cs="Times New Roman"/>
                      <w:snapToGrid w:val="0"/>
                      <w:color w:val="auto"/>
                      <w:sz w:val="21"/>
                      <w:szCs w:val="21"/>
                      <w:highlight w:val="none"/>
                      <w:lang w:val="en-US" w:eastAsia="zh-CN"/>
                    </w:rPr>
                    <w:t>，无生活垃圾产生；9、项目位于山区、农村地区，不涉及</w:t>
                  </w:r>
                  <w:r>
                    <w:rPr>
                      <w:rFonts w:hint="default" w:ascii="Times New Roman" w:hAnsi="Times New Roman" w:eastAsia="宋体" w:cs="Times New Roman"/>
                      <w:color w:val="auto"/>
                      <w:kern w:val="0"/>
                      <w:sz w:val="21"/>
                      <w:szCs w:val="21"/>
                      <w:highlight w:val="none"/>
                      <w:lang w:val="en-US" w:eastAsia="zh-CN"/>
                    </w:rPr>
                    <w:t>中心城区、县城中心城市建成区</w:t>
                  </w:r>
                  <w:r>
                    <w:rPr>
                      <w:rFonts w:hint="default" w:ascii="Times New Roman" w:hAnsi="Times New Roman" w:eastAsia="宋体" w:cs="Times New Roman"/>
                      <w:snapToGrid w:val="0"/>
                      <w:color w:val="auto"/>
                      <w:sz w:val="21"/>
                      <w:szCs w:val="21"/>
                      <w:highlight w:val="none"/>
                      <w:lang w:val="en-US" w:eastAsia="zh-CN"/>
                    </w:rPr>
                    <w:t>；10、</w:t>
                  </w:r>
                  <w:r>
                    <w:rPr>
                      <w:rFonts w:hint="default" w:ascii="Times New Roman" w:hAnsi="Times New Roman" w:cs="Times New Roman"/>
                      <w:snapToGrid w:val="0"/>
                      <w:color w:val="auto"/>
                      <w:sz w:val="21"/>
                      <w:szCs w:val="21"/>
                      <w:highlight w:val="none"/>
                      <w:lang w:val="en-US" w:eastAsia="zh-CN"/>
                    </w:rPr>
                    <w:t>无工作人员</w:t>
                  </w:r>
                  <w:r>
                    <w:rPr>
                      <w:rFonts w:hint="default" w:ascii="Times New Roman" w:hAnsi="Times New Roman" w:eastAsia="宋体" w:cs="Times New Roman"/>
                      <w:snapToGrid w:val="0"/>
                      <w:color w:val="auto"/>
                      <w:sz w:val="21"/>
                      <w:szCs w:val="21"/>
                      <w:highlight w:val="none"/>
                      <w:lang w:val="en-US" w:eastAsia="zh-CN"/>
                    </w:rPr>
                    <w:t>，无生活废水、生活垃圾产生；11、本项目位于</w:t>
                  </w:r>
                  <w:r>
                    <w:rPr>
                      <w:rFonts w:hint="default" w:ascii="Times New Roman" w:hAnsi="Times New Roman" w:cs="Times New Roman"/>
                      <w:snapToGrid w:val="0"/>
                      <w:color w:val="auto"/>
                      <w:sz w:val="21"/>
                      <w:szCs w:val="21"/>
                      <w:highlight w:val="none"/>
                      <w:lang w:val="en-US" w:eastAsia="zh-CN"/>
                    </w:rPr>
                    <w:t>会泽县</w:t>
                  </w:r>
                  <w:r>
                    <w:rPr>
                      <w:rFonts w:hint="default" w:ascii="Times New Roman" w:hAnsi="Times New Roman" w:eastAsia="宋体" w:cs="Times New Roman"/>
                      <w:snapToGrid w:val="0"/>
                      <w:color w:val="auto"/>
                      <w:sz w:val="21"/>
                      <w:szCs w:val="21"/>
                      <w:highlight w:val="none"/>
                      <w:lang w:val="en-US" w:eastAsia="zh-CN"/>
                    </w:rPr>
                    <w:t>且不涉及重金属污染物；12、本项目不涉及重金属污染物；13、本项目运营期无生活废水产生</w:t>
                  </w:r>
                  <w:r>
                    <w:rPr>
                      <w:rFonts w:hint="default" w:ascii="Times New Roman" w:hAnsi="Times New Roman" w:eastAsia="宋体" w:cs="Times New Roman"/>
                      <w:color w:val="auto"/>
                      <w:sz w:val="21"/>
                      <w:szCs w:val="21"/>
                      <w:highlight w:val="none"/>
                      <w:lang w:val="en-US" w:eastAsia="zh-CN"/>
                    </w:rPr>
                    <w:t>。</w:t>
                  </w:r>
                </w:p>
              </w:tc>
              <w:tc>
                <w:tcPr>
                  <w:tcW w:w="459" w:type="pct"/>
                  <w:noWrap w:val="0"/>
                  <w:vAlign w:val="center"/>
                </w:tcPr>
                <w:p w14:paraId="33862419">
                  <w:pPr>
                    <w:overflowPunct w:val="0"/>
                    <w:topLinePunct/>
                    <w:autoSpaceDE w:val="0"/>
                    <w:autoSpaceDN w:val="0"/>
                    <w:adjustRightInd w:val="0"/>
                    <w:snapToGrid w:val="0"/>
                    <w:spacing w:line="240" w:lineRule="auto"/>
                    <w:jc w:val="center"/>
                    <w:textAlignment w:val="center"/>
                    <w:rPr>
                      <w:rFonts w:hint="eastAsia"/>
                      <w:color w:val="auto"/>
                      <w:kern w:val="0"/>
                      <w:szCs w:val="21"/>
                      <w:lang w:bidi="ar"/>
                    </w:rPr>
                  </w:pPr>
                  <w:r>
                    <w:rPr>
                      <w:rFonts w:hint="eastAsia"/>
                      <w:color w:val="auto"/>
                      <w:kern w:val="0"/>
                      <w:szCs w:val="21"/>
                      <w:lang w:bidi="ar"/>
                    </w:rPr>
                    <w:t>符合</w:t>
                  </w:r>
                </w:p>
              </w:tc>
            </w:tr>
            <w:tr w14:paraId="7486CD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9" w:type="pct"/>
                  <w:vMerge w:val="continue"/>
                  <w:noWrap w:val="0"/>
                  <w:vAlign w:val="center"/>
                </w:tcPr>
                <w:p w14:paraId="0BE92086">
                  <w:pPr>
                    <w:overflowPunct w:val="0"/>
                    <w:topLinePunct/>
                    <w:autoSpaceDE w:val="0"/>
                    <w:autoSpaceDN w:val="0"/>
                    <w:adjustRightInd w:val="0"/>
                    <w:snapToGrid w:val="0"/>
                    <w:spacing w:line="240" w:lineRule="auto"/>
                    <w:jc w:val="center"/>
                    <w:textAlignment w:val="center"/>
                    <w:rPr>
                      <w:color w:val="auto"/>
                      <w:kern w:val="0"/>
                      <w:szCs w:val="21"/>
                      <w:lang w:bidi="ar"/>
                    </w:rPr>
                  </w:pPr>
                </w:p>
              </w:tc>
              <w:tc>
                <w:tcPr>
                  <w:tcW w:w="379" w:type="pct"/>
                  <w:noWrap w:val="0"/>
                  <w:vAlign w:val="center"/>
                </w:tcPr>
                <w:p w14:paraId="2B18261F">
                  <w:pPr>
                    <w:overflowPunct w:val="0"/>
                    <w:topLinePunct/>
                    <w:autoSpaceDE w:val="0"/>
                    <w:autoSpaceDN w:val="0"/>
                    <w:adjustRightInd w:val="0"/>
                    <w:snapToGrid w:val="0"/>
                    <w:spacing w:line="240" w:lineRule="auto"/>
                    <w:jc w:val="center"/>
                    <w:textAlignment w:val="center"/>
                    <w:rPr>
                      <w:color w:val="auto"/>
                      <w:kern w:val="0"/>
                      <w:szCs w:val="21"/>
                      <w:lang w:bidi="ar"/>
                    </w:rPr>
                  </w:pPr>
                  <w:r>
                    <w:rPr>
                      <w:color w:val="auto"/>
                      <w:kern w:val="0"/>
                      <w:szCs w:val="21"/>
                      <w:lang w:bidi="ar"/>
                    </w:rPr>
                    <w:t>环境风险防控</w:t>
                  </w:r>
                </w:p>
              </w:tc>
              <w:tc>
                <w:tcPr>
                  <w:tcW w:w="2355" w:type="pct"/>
                  <w:noWrap w:val="0"/>
                  <w:vAlign w:val="center"/>
                </w:tcPr>
                <w:p w14:paraId="39F325BA">
                  <w:pPr>
                    <w:overflowPunct w:val="0"/>
                    <w:topLinePunct/>
                    <w:autoSpaceDE w:val="0"/>
                    <w:autoSpaceDN w:val="0"/>
                    <w:adjustRightInd w:val="0"/>
                    <w:snapToGrid w:val="0"/>
                    <w:spacing w:line="240" w:lineRule="auto"/>
                    <w:jc w:val="center"/>
                    <w:textAlignment w:val="center"/>
                    <w:rPr>
                      <w:b/>
                      <w:bCs/>
                      <w:color w:val="auto"/>
                      <w:kern w:val="0"/>
                      <w:szCs w:val="21"/>
                      <w:lang w:bidi="ar"/>
                    </w:rPr>
                  </w:pPr>
                  <w:r>
                    <w:rPr>
                      <w:rFonts w:hint="eastAsia"/>
                      <w:color w:val="auto"/>
                      <w:szCs w:val="21"/>
                    </w:rPr>
                    <w:t>1.以南盘江、北盘江、牛栏江流域为重点，定期开展流域工业企业、工业集聚区环境风险评估，落实防控措施。2.开展麒沾马区域大气污染联防联控，逐步推行区域统一规划，统一监测，实行协同的环境准入、落后产能淘汰、机动车环境管理政策和考核评估制度。3.强化与</w:t>
                  </w:r>
                  <w:r>
                    <w:rPr>
                      <w:rFonts w:hint="eastAsia"/>
                      <w:color w:val="auto"/>
                      <w:szCs w:val="21"/>
                      <w:lang w:eastAsia="zh-CN"/>
                    </w:rPr>
                    <w:t>昆明市</w:t>
                  </w:r>
                  <w:r>
                    <w:rPr>
                      <w:rFonts w:hint="eastAsia"/>
                      <w:color w:val="auto"/>
                      <w:szCs w:val="21"/>
                    </w:rPr>
                    <w:t>跨流域上下游突发水污染事件联防联控，与贵州省六盘水珠江流域生态环境执法与应急联防联动。4.强化大气污染分区分时分类差异化精细化协同管控，加强监测预警应急能力建设，及时采取差异化管控措施。5.逐步建成全市土壤环境质量监测网络，推进各县（市、区）土壤环境质量监测点位全覆盖；有色金属矿采选、有色金属冶炼、石油加工、化工、农药、焦化、电镀、制革、印染、危险废物处置等行业企业拆除生产设施设备、构筑物和污染治理设施，要事先制定残留污染物清理和安全处置方案。6.加强环境风险防控和应急管理，制定和完善突发环境事件和饮用水水源地突发环境事件应急预案，加强风险防控和突发环境事件应急处理处置能力。7.严格管控类农用地，重金属超标区域严禁种植食用农产品；涉重金属、持久性有机物等有毒有害污染物工业企业退出用地，须经评估符合建设用地、农用地土壤环境质量相关要求后，方可用于居住或农业用地。</w:t>
                  </w:r>
                </w:p>
              </w:tc>
              <w:tc>
                <w:tcPr>
                  <w:tcW w:w="1306" w:type="pct"/>
                  <w:noWrap w:val="0"/>
                  <w:vAlign w:val="center"/>
                </w:tcPr>
                <w:p w14:paraId="1149178C">
                  <w:pPr>
                    <w:keepNext w:val="0"/>
                    <w:keepLines w:val="0"/>
                    <w:pageBreakBefore w:val="0"/>
                    <w:widowControl/>
                    <w:numPr>
                      <w:ilvl w:val="0"/>
                      <w:numId w:val="0"/>
                    </w:numPr>
                    <w:kinsoku/>
                    <w:wordWrap/>
                    <w:overflowPunct/>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1、本项目有</w:t>
                  </w:r>
                  <w:r>
                    <w:rPr>
                      <w:rFonts w:hint="eastAsia" w:ascii="Times New Roman" w:hAnsi="Times New Roman" w:cs="Times New Roman"/>
                      <w:color w:val="auto"/>
                      <w:kern w:val="0"/>
                      <w:sz w:val="21"/>
                      <w:szCs w:val="21"/>
                      <w:lang w:val="en-US" w:eastAsia="zh-CN"/>
                    </w:rPr>
                    <w:t>完善</w:t>
                  </w:r>
                  <w:r>
                    <w:rPr>
                      <w:rFonts w:hint="default" w:ascii="Times New Roman" w:hAnsi="Times New Roman" w:eastAsia="宋体" w:cs="Times New Roman"/>
                      <w:color w:val="auto"/>
                      <w:kern w:val="0"/>
                      <w:sz w:val="21"/>
                      <w:szCs w:val="21"/>
                      <w:lang w:val="en-US" w:eastAsia="zh-CN"/>
                    </w:rPr>
                    <w:t>的污染防治机制（制度、设施等），后续将按要求编制突发环境事件应急预案，并报当地生态环境部门备案；2、项目位于</w:t>
                  </w:r>
                  <w:r>
                    <w:rPr>
                      <w:rFonts w:hint="default" w:ascii="Times New Roman" w:hAnsi="Times New Roman" w:cs="Times New Roman"/>
                      <w:color w:val="auto"/>
                      <w:kern w:val="0"/>
                      <w:sz w:val="21"/>
                      <w:szCs w:val="21"/>
                      <w:lang w:val="en-US" w:eastAsia="zh-CN"/>
                    </w:rPr>
                    <w:t>会泽县</w:t>
                  </w:r>
                  <w:r>
                    <w:rPr>
                      <w:rFonts w:hint="default" w:ascii="Times New Roman" w:hAnsi="Times New Roman" w:eastAsia="宋体" w:cs="Times New Roman"/>
                      <w:color w:val="auto"/>
                      <w:kern w:val="0"/>
                      <w:sz w:val="21"/>
                      <w:szCs w:val="21"/>
                      <w:lang w:val="en-US" w:eastAsia="zh-CN"/>
                    </w:rPr>
                    <w:t>，不属于条例中所述麒沾马区域；3、本项目不涉及；4、本项目不涉及且项目运营过</w:t>
                  </w:r>
                  <w:r>
                    <w:rPr>
                      <w:rFonts w:hint="eastAsia" w:ascii="Times New Roman" w:hAnsi="Times New Roman" w:cs="Times New Roman"/>
                      <w:color w:val="auto"/>
                      <w:kern w:val="0"/>
                      <w:sz w:val="21"/>
                      <w:szCs w:val="21"/>
                      <w:lang w:val="en-US" w:eastAsia="zh-CN"/>
                    </w:rPr>
                    <w:t>程中</w:t>
                  </w:r>
                  <w:r>
                    <w:rPr>
                      <w:rFonts w:hint="default" w:ascii="Times New Roman" w:hAnsi="Times New Roman" w:eastAsia="宋体" w:cs="Times New Roman"/>
                      <w:color w:val="auto"/>
                      <w:kern w:val="0"/>
                      <w:sz w:val="21"/>
                      <w:szCs w:val="21"/>
                      <w:lang w:val="en-US" w:eastAsia="zh-CN"/>
                    </w:rPr>
                    <w:t>不产生工业废气；5、本项目为</w:t>
                  </w:r>
                  <w:r>
                    <w:rPr>
                      <w:rFonts w:hint="default" w:ascii="Times New Roman" w:hAnsi="Times New Roman" w:cs="Times New Roman"/>
                      <w:color w:val="auto"/>
                      <w:kern w:val="0"/>
                      <w:sz w:val="21"/>
                      <w:szCs w:val="21"/>
                      <w:lang w:val="en-US" w:eastAsia="zh-CN"/>
                    </w:rPr>
                    <w:t>输变电</w:t>
                  </w:r>
                  <w:r>
                    <w:rPr>
                      <w:rFonts w:hint="default" w:ascii="Times New Roman" w:hAnsi="Times New Roman" w:eastAsia="宋体" w:cs="Times New Roman"/>
                      <w:color w:val="auto"/>
                      <w:kern w:val="0"/>
                      <w:sz w:val="21"/>
                      <w:szCs w:val="21"/>
                      <w:lang w:val="en-US" w:eastAsia="zh-CN"/>
                    </w:rPr>
                    <w:t>项目，不属于条例中所述有色金属矿采选、有色金属冶炼、石油加工、化工、农药、焦化、电镀、制革、印染、危险废物处置等行业；6、项目有</w:t>
                  </w:r>
                  <w:r>
                    <w:rPr>
                      <w:rFonts w:hint="eastAsia" w:ascii="Times New Roman" w:hAnsi="Times New Roman" w:cs="Times New Roman"/>
                      <w:color w:val="auto"/>
                      <w:kern w:val="0"/>
                      <w:sz w:val="21"/>
                      <w:szCs w:val="21"/>
                      <w:lang w:val="en-US" w:eastAsia="zh-CN"/>
                    </w:rPr>
                    <w:t>完善</w:t>
                  </w:r>
                  <w:r>
                    <w:rPr>
                      <w:rFonts w:hint="default" w:ascii="Times New Roman" w:hAnsi="Times New Roman" w:eastAsia="宋体" w:cs="Times New Roman"/>
                      <w:color w:val="auto"/>
                      <w:kern w:val="0"/>
                      <w:sz w:val="21"/>
                      <w:szCs w:val="21"/>
                      <w:lang w:val="en-US" w:eastAsia="zh-CN"/>
                    </w:rPr>
                    <w:t>的污染防治机制（制度、设施等），后续将按要求编制突发环境事件应急预案，并报当地生态环境部门备案；</w:t>
                  </w:r>
                </w:p>
                <w:p w14:paraId="1229A8F2">
                  <w:pPr>
                    <w:overflowPunct w:val="0"/>
                    <w:topLinePunct/>
                    <w:autoSpaceDE w:val="0"/>
                    <w:autoSpaceDN w:val="0"/>
                    <w:adjustRightInd w:val="0"/>
                    <w:snapToGrid w:val="0"/>
                    <w:spacing w:line="240" w:lineRule="auto"/>
                    <w:jc w:val="center"/>
                    <w:textAlignment w:val="center"/>
                    <w:rPr>
                      <w:b/>
                      <w:bCs/>
                      <w:color w:val="auto"/>
                      <w:kern w:val="0"/>
                      <w:szCs w:val="21"/>
                      <w:lang w:bidi="ar"/>
                    </w:rPr>
                  </w:pPr>
                  <w:r>
                    <w:rPr>
                      <w:rFonts w:hint="default" w:ascii="Times New Roman" w:hAnsi="Times New Roman" w:eastAsia="宋体" w:cs="Times New Roman"/>
                      <w:color w:val="auto"/>
                      <w:kern w:val="0"/>
                      <w:sz w:val="21"/>
                      <w:szCs w:val="21"/>
                      <w:lang w:val="en-US" w:eastAsia="zh-CN"/>
                    </w:rPr>
                    <w:t>7、本项目不涉及；</w:t>
                  </w:r>
                </w:p>
              </w:tc>
              <w:tc>
                <w:tcPr>
                  <w:tcW w:w="459" w:type="pct"/>
                  <w:noWrap w:val="0"/>
                  <w:vAlign w:val="center"/>
                </w:tcPr>
                <w:p w14:paraId="34771CEA">
                  <w:pPr>
                    <w:overflowPunct w:val="0"/>
                    <w:topLinePunct/>
                    <w:autoSpaceDE w:val="0"/>
                    <w:autoSpaceDN w:val="0"/>
                    <w:adjustRightInd w:val="0"/>
                    <w:snapToGrid w:val="0"/>
                    <w:spacing w:line="240" w:lineRule="auto"/>
                    <w:jc w:val="center"/>
                    <w:textAlignment w:val="center"/>
                    <w:rPr>
                      <w:rFonts w:hint="eastAsia"/>
                      <w:b/>
                      <w:bCs/>
                      <w:color w:val="auto"/>
                      <w:kern w:val="0"/>
                      <w:szCs w:val="21"/>
                      <w:lang w:bidi="ar"/>
                    </w:rPr>
                  </w:pPr>
                  <w:r>
                    <w:rPr>
                      <w:rFonts w:hint="eastAsia"/>
                      <w:color w:val="auto"/>
                      <w:kern w:val="0"/>
                      <w:szCs w:val="21"/>
                      <w:lang w:bidi="ar"/>
                    </w:rPr>
                    <w:t>符合</w:t>
                  </w:r>
                </w:p>
              </w:tc>
            </w:tr>
            <w:tr w14:paraId="44F28B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9" w:type="pct"/>
                  <w:vMerge w:val="continue"/>
                  <w:noWrap w:val="0"/>
                  <w:vAlign w:val="center"/>
                </w:tcPr>
                <w:p w14:paraId="74EAEBB5">
                  <w:pPr>
                    <w:overflowPunct w:val="0"/>
                    <w:topLinePunct/>
                    <w:autoSpaceDE w:val="0"/>
                    <w:autoSpaceDN w:val="0"/>
                    <w:adjustRightInd w:val="0"/>
                    <w:snapToGrid w:val="0"/>
                    <w:spacing w:line="240" w:lineRule="auto"/>
                    <w:jc w:val="center"/>
                    <w:textAlignment w:val="center"/>
                    <w:rPr>
                      <w:color w:val="auto"/>
                      <w:kern w:val="0"/>
                      <w:szCs w:val="21"/>
                      <w:lang w:bidi="ar"/>
                    </w:rPr>
                  </w:pPr>
                </w:p>
              </w:tc>
              <w:tc>
                <w:tcPr>
                  <w:tcW w:w="379" w:type="pct"/>
                  <w:noWrap w:val="0"/>
                  <w:vAlign w:val="center"/>
                </w:tcPr>
                <w:p w14:paraId="20C6A3F6">
                  <w:pPr>
                    <w:overflowPunct w:val="0"/>
                    <w:topLinePunct/>
                    <w:autoSpaceDE w:val="0"/>
                    <w:autoSpaceDN w:val="0"/>
                    <w:adjustRightInd w:val="0"/>
                    <w:snapToGrid w:val="0"/>
                    <w:spacing w:line="240" w:lineRule="auto"/>
                    <w:jc w:val="center"/>
                    <w:textAlignment w:val="center"/>
                    <w:rPr>
                      <w:color w:val="auto"/>
                      <w:kern w:val="0"/>
                      <w:szCs w:val="21"/>
                      <w:lang w:bidi="ar"/>
                    </w:rPr>
                  </w:pPr>
                  <w:r>
                    <w:rPr>
                      <w:color w:val="auto"/>
                      <w:kern w:val="0"/>
                      <w:szCs w:val="21"/>
                      <w:lang w:bidi="ar"/>
                    </w:rPr>
                    <w:t>资源开发效率要求</w:t>
                  </w:r>
                </w:p>
              </w:tc>
              <w:tc>
                <w:tcPr>
                  <w:tcW w:w="2355" w:type="pct"/>
                  <w:noWrap w:val="0"/>
                  <w:vAlign w:val="center"/>
                </w:tcPr>
                <w:p w14:paraId="4FF4543C">
                  <w:pPr>
                    <w:overflowPunct w:val="0"/>
                    <w:topLinePunct/>
                    <w:autoSpaceDE w:val="0"/>
                    <w:autoSpaceDN w:val="0"/>
                    <w:adjustRightInd w:val="0"/>
                    <w:snapToGrid w:val="0"/>
                    <w:spacing w:line="240" w:lineRule="auto"/>
                    <w:jc w:val="center"/>
                    <w:textAlignment w:val="center"/>
                    <w:rPr>
                      <w:b/>
                      <w:bCs/>
                      <w:color w:val="auto"/>
                      <w:kern w:val="0"/>
                      <w:szCs w:val="21"/>
                      <w:lang w:bidi="ar"/>
                    </w:rPr>
                  </w:pPr>
                  <w:r>
                    <w:rPr>
                      <w:rFonts w:hint="eastAsia"/>
                      <w:color w:val="auto"/>
                      <w:szCs w:val="21"/>
                    </w:rPr>
                    <w:t>1.坚持以水而定、量水而行，统筹生活、生产和生态用水，科学合理配置水资源，保障河湖基本生态用水。确定河流生态需水量，确保河流生态系统功能。通过电站引水闸的调节，使最低下泄流量不小于河道所需的最小生态径流，以维持下游生物的最小生态需水，以维持坝下游最小生态需水。2.加强南盘江、北盘江、牛栏江等生态流量保障工程建设，合理安排闸坝下泄水量和泄洪时段，维护河湖基本生态用水需求，重点保障、生态敏感区生态流量。3.加快建设麒麟区、沾益区、马龙区水系连通工程，形成独木水库—水城水库—潇湘水库—潇湘江等6条生态流量通道，生态流量月保障程度达到90%以上，加强牛栏江流域水资源配置和调度管理，保障公锁、土格樟、黄梨树、黑山河流控制断面和苏斗河水库、金乐水库、长海子水库3个水库控制断面生态基流，确保生态流量泄放，确保德泽水库下泄流量在丰水期和枯水期分别达到16立方米/秒和5.4立方米/秒。4.建立水资源刚性约束制度，实行水资源消耗总量和强度双控，严格实施取水许可和水资源有偿使用制度，强化用水全过程管理，深入抓好工业、城镇、农业等方面用水量控制，严格规范取水许可审批管理。5.大力推进各县（市、区）农业、工业、城镇节水，扩大曲靖市县域节水型社会比例。强化农业节水，优化农业种植结构，加大农业节水力度，加快实施规模化高效节水灌溉行动。推广和普及田间节水技术，开辟抗旱水源，科学调度抗旱用水。6.到2025年，曲靖市用水总量控制在18.68亿立方米以内，万元GDP用水量、万元工业增加值用水量比2020年分别不低于20%和16%，</w:t>
                  </w:r>
                  <w:r>
                    <w:rPr>
                      <w:rFonts w:hint="eastAsia"/>
                      <w:color w:val="auto"/>
                      <w:szCs w:val="21"/>
                      <w:lang w:eastAsia="zh-CN"/>
                    </w:rPr>
                    <w:t>农田灌溉水有效利用系数</w:t>
                  </w:r>
                  <w:r>
                    <w:rPr>
                      <w:rFonts w:hint="eastAsia"/>
                      <w:color w:val="auto"/>
                      <w:szCs w:val="21"/>
                    </w:rPr>
                    <w:t>不低于0.545。7.坚持最严格的耕地保护制度，坚决制止耕地“非农化”防止耕地“非粮化”。坚持节约用地，严格执行耕地占补平衡等制度，提高土地投资强度和单位面积产出水平。8.矿产能源发展区应在符合国家产业政策的前提下，依法依规办理用地手续，在符合矿产资源总体规划的前提下合理开采，促进土地集约节约利用，保护区域生态环境，避免造成地质灾害。9.到2025年，全市规模化以上工业单位增加值能耗下降16%，万元工业增加值用水量下降16%，重点耗能行业能效达到标杆水平的比例超过30%。10.加强南盘江、牛栏江等岸线保护，强化九龙河（麒麟段、罗平段、陆良段、富源段）、牛栏江（会泽段、沾益段、宣威段）、清水江（罗平段、师宗段），宣威市窑上海子、北盘江、可渡河、拖长江、西泽河、以那河，马龙区马龙河，师宗县甸溪河、篆长河，富源县、小黄泥河，会泽县以礼河、硝厂河、小江等河湖岸线保护与管控。11.在禁燃区内，禁止销售、燃用高污染燃料；禁止新建、扩建燃用高污染燃料的设施，已建成的，应当在政府规定的期限内改用天然气、液化石油气、电或者其他清洁能源。</w:t>
                  </w:r>
                </w:p>
              </w:tc>
              <w:tc>
                <w:tcPr>
                  <w:tcW w:w="1306" w:type="pct"/>
                  <w:noWrap w:val="0"/>
                  <w:vAlign w:val="center"/>
                </w:tcPr>
                <w:p w14:paraId="07CDCFB2">
                  <w:pPr>
                    <w:keepNext w:val="0"/>
                    <w:keepLines w:val="0"/>
                    <w:pageBreakBefore w:val="0"/>
                    <w:widowControl/>
                    <w:numPr>
                      <w:ilvl w:val="0"/>
                      <w:numId w:val="0"/>
                    </w:numPr>
                    <w:kinsoku/>
                    <w:wordWrap/>
                    <w:overflowPunct/>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1、项目不涉及；2、项目不涉及；3、项目不涉及；4、本项目运营期无生活废水产生；5、项目不涉及；6、项目不涉及；</w:t>
                  </w:r>
                </w:p>
                <w:p w14:paraId="51BCC18B">
                  <w:pPr>
                    <w:overflowPunct w:val="0"/>
                    <w:topLinePunct/>
                    <w:autoSpaceDE w:val="0"/>
                    <w:autoSpaceDN w:val="0"/>
                    <w:adjustRightInd w:val="0"/>
                    <w:snapToGrid w:val="0"/>
                    <w:spacing w:line="240" w:lineRule="auto"/>
                    <w:jc w:val="center"/>
                    <w:textAlignment w:val="center"/>
                    <w:rPr>
                      <w:b/>
                      <w:bCs/>
                      <w:color w:val="auto"/>
                      <w:kern w:val="0"/>
                      <w:szCs w:val="21"/>
                      <w:lang w:bidi="ar"/>
                    </w:rPr>
                  </w:pPr>
                  <w:r>
                    <w:rPr>
                      <w:rFonts w:hint="default" w:ascii="Times New Roman" w:hAnsi="Times New Roman" w:eastAsia="宋体" w:cs="Times New Roman"/>
                      <w:color w:val="auto"/>
                      <w:kern w:val="0"/>
                      <w:sz w:val="21"/>
                      <w:szCs w:val="21"/>
                      <w:lang w:val="en-US" w:eastAsia="zh-CN"/>
                    </w:rPr>
                    <w:t>7、</w:t>
                  </w:r>
                  <w:r>
                    <w:rPr>
                      <w:rFonts w:hint="default" w:ascii="Times New Roman" w:hAnsi="Times New Roman" w:eastAsia="宋体" w:cs="Times New Roman"/>
                      <w:color w:val="auto"/>
                      <w:kern w:val="0"/>
                      <w:sz w:val="21"/>
                      <w:szCs w:val="21"/>
                      <w:highlight w:val="none"/>
                      <w:lang w:val="en-US" w:eastAsia="zh-CN"/>
                    </w:rPr>
                    <w:t>项目用地总面积</w:t>
                  </w:r>
                  <w:r>
                    <w:rPr>
                      <w:rFonts w:hint="eastAsia" w:ascii="Times New Roman" w:hAnsi="Times New Roman" w:cs="Times New Roman"/>
                      <w:color w:val="auto"/>
                      <w:kern w:val="0"/>
                      <w:sz w:val="21"/>
                      <w:szCs w:val="21"/>
                      <w:highlight w:val="none"/>
                      <w:lang w:val="en-US" w:eastAsia="zh-CN"/>
                    </w:rPr>
                    <w:t>0.60895hm</w:t>
                  </w:r>
                  <w:r>
                    <w:rPr>
                      <w:rFonts w:hint="eastAsia" w:ascii="Times New Roman" w:hAnsi="Times New Roman" w:cs="Times New Roman"/>
                      <w:color w:val="auto"/>
                      <w:kern w:val="0"/>
                      <w:sz w:val="21"/>
                      <w:szCs w:val="21"/>
                      <w:highlight w:val="none"/>
                      <w:vertAlign w:val="superscript"/>
                      <w:lang w:val="en-US" w:eastAsia="zh-CN"/>
                    </w:rPr>
                    <w:t>2</w:t>
                  </w:r>
                  <w:r>
                    <w:rPr>
                      <w:rFonts w:hint="default" w:ascii="Times New Roman" w:hAnsi="Times New Roman" w:eastAsia="宋体" w:cs="Times New Roman"/>
                      <w:color w:val="auto"/>
                      <w:kern w:val="0"/>
                      <w:sz w:val="21"/>
                      <w:szCs w:val="21"/>
                      <w:highlight w:val="none"/>
                      <w:lang w:val="en-US" w:eastAsia="zh-CN"/>
                    </w:rPr>
                    <w:t>，范围内涉及</w:t>
                  </w:r>
                  <w:r>
                    <w:rPr>
                      <w:rFonts w:hint="default" w:ascii="Times New Roman" w:hAnsi="Times New Roman" w:cs="Times New Roman"/>
                      <w:color w:val="auto"/>
                      <w:kern w:val="0"/>
                      <w:sz w:val="21"/>
                      <w:szCs w:val="21"/>
                      <w:highlight w:val="none"/>
                      <w:lang w:val="en-US" w:eastAsia="zh-CN"/>
                    </w:rPr>
                    <w:t>会泽县林地、</w:t>
                  </w:r>
                  <w:r>
                    <w:rPr>
                      <w:rFonts w:hint="eastAsia" w:ascii="Times New Roman" w:hAnsi="Times New Roman" w:cs="Times New Roman"/>
                      <w:color w:val="auto"/>
                      <w:kern w:val="0"/>
                      <w:sz w:val="21"/>
                      <w:szCs w:val="21"/>
                      <w:highlight w:val="none"/>
                      <w:lang w:val="en-US" w:eastAsia="zh-CN"/>
                    </w:rPr>
                    <w:t>耕地及草地</w:t>
                  </w:r>
                  <w:r>
                    <w:rPr>
                      <w:rFonts w:hint="default" w:ascii="Times New Roman" w:hAnsi="Times New Roman" w:eastAsia="宋体"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lang w:val="en-US" w:eastAsia="zh-CN"/>
                    </w:rPr>
                    <w:t>项目拟用地不涉及基本草原、草原公园以及《中华人民共和国草原法》第四十二条规定的不得占用的草原类型。根据</w:t>
                  </w:r>
                  <w:r>
                    <w:rPr>
                      <w:rFonts w:hint="default" w:ascii="Times New Roman" w:hAnsi="Times New Roman" w:cs="Times New Roman"/>
                      <w:color w:val="auto"/>
                      <w:kern w:val="0"/>
                      <w:sz w:val="21"/>
                      <w:szCs w:val="21"/>
                      <w:lang w:val="en-US" w:eastAsia="zh-CN"/>
                    </w:rPr>
                    <w:t>会泽县</w:t>
                  </w:r>
                  <w:r>
                    <w:rPr>
                      <w:rFonts w:hint="default" w:ascii="Times New Roman" w:hAnsi="Times New Roman" w:eastAsia="宋体" w:cs="Times New Roman"/>
                      <w:color w:val="auto"/>
                      <w:kern w:val="0"/>
                      <w:sz w:val="21"/>
                      <w:szCs w:val="21"/>
                      <w:lang w:val="en-US" w:eastAsia="zh-CN"/>
                    </w:rPr>
                    <w:t>各局的核查文件、项目选址踏勘及</w:t>
                  </w:r>
                  <w:r>
                    <w:rPr>
                      <w:rFonts w:hint="default" w:ascii="Times New Roman" w:hAnsi="Times New Roman" w:cs="Times New Roman"/>
                      <w:color w:val="auto"/>
                      <w:kern w:val="0"/>
                      <w:sz w:val="21"/>
                      <w:szCs w:val="21"/>
                      <w:lang w:val="en-US" w:eastAsia="zh-CN"/>
                    </w:rPr>
                    <w:t>会泽县</w:t>
                  </w:r>
                  <w:r>
                    <w:rPr>
                      <w:rFonts w:hint="default" w:ascii="Times New Roman" w:hAnsi="Times New Roman" w:eastAsia="宋体" w:cs="Times New Roman"/>
                      <w:color w:val="auto"/>
                      <w:kern w:val="0"/>
                      <w:sz w:val="21"/>
                      <w:szCs w:val="21"/>
                      <w:lang w:val="en-US" w:eastAsia="zh-CN"/>
                    </w:rPr>
                    <w:t>相关敏感区资料核对，本项目不涉及各类自然保护区、森林公园等生态敏感区，不涉及禁止建设、限制建设区域；8、本项目不涉及矿产能源发展区；9、本项目不涉及；</w:t>
                  </w:r>
                  <w:r>
                    <w:rPr>
                      <w:rFonts w:hint="default" w:ascii="Times New Roman" w:hAnsi="Times New Roman" w:eastAsia="宋体" w:cs="Times New Roman"/>
                      <w:color w:val="auto"/>
                      <w:kern w:val="0"/>
                      <w:sz w:val="21"/>
                      <w:szCs w:val="21"/>
                      <w:highlight w:val="none"/>
                      <w:lang w:val="en-US" w:eastAsia="zh-CN"/>
                    </w:rPr>
                    <w:t>10、</w:t>
                  </w:r>
                  <w:r>
                    <w:rPr>
                      <w:rFonts w:hint="eastAsia" w:ascii="Times New Roman" w:hAnsi="Times New Roman" w:cs="Times New Roman"/>
                      <w:color w:val="auto"/>
                      <w:kern w:val="0"/>
                      <w:sz w:val="21"/>
                      <w:szCs w:val="21"/>
                      <w:highlight w:val="none"/>
                      <w:lang w:val="en-US" w:eastAsia="zh-CN"/>
                    </w:rPr>
                    <w:t>根据</w:t>
                  </w:r>
                  <w:r>
                    <w:rPr>
                      <w:rFonts w:hint="default" w:ascii="Times New Roman" w:hAnsi="Times New Roman" w:eastAsia="宋体" w:cs="Times New Roman"/>
                      <w:color w:val="auto"/>
                      <w:kern w:val="0"/>
                      <w:sz w:val="21"/>
                      <w:szCs w:val="21"/>
                      <w:highlight w:val="none"/>
                      <w:lang w:val="en-US" w:eastAsia="zh-CN"/>
                    </w:rPr>
                    <w:t>曲靖市生态环境局会泽分局关于</w:t>
                  </w:r>
                  <w:r>
                    <w:rPr>
                      <w:rFonts w:hint="eastAsia" w:ascii="Times New Roman" w:hAnsi="Times New Roman" w:eastAsia="宋体" w:cs="Times New Roman"/>
                      <w:color w:val="auto"/>
                      <w:kern w:val="0"/>
                      <w:sz w:val="21"/>
                      <w:szCs w:val="21"/>
                      <w:highlight w:val="none"/>
                      <w:lang w:val="en-US" w:eastAsia="zh-CN"/>
                    </w:rPr>
                    <w:t>大草房至六合一110</w:t>
                  </w:r>
                  <w:r>
                    <w:rPr>
                      <w:rFonts w:hint="default" w:ascii="Times New Roman" w:hAnsi="Times New Roman" w:eastAsia="宋体" w:cs="Times New Roman"/>
                      <w:color w:val="auto"/>
                      <w:kern w:val="0"/>
                      <w:sz w:val="21"/>
                      <w:szCs w:val="21"/>
                      <w:highlight w:val="none"/>
                      <w:lang w:val="en-US" w:eastAsia="zh-CN"/>
                    </w:rPr>
                    <w:t>kV</w:t>
                  </w:r>
                  <w:r>
                    <w:rPr>
                      <w:rFonts w:hint="eastAsia" w:ascii="Times New Roman" w:hAnsi="Times New Roman" w:eastAsia="宋体" w:cs="Times New Roman"/>
                      <w:color w:val="auto"/>
                      <w:kern w:val="0"/>
                      <w:sz w:val="21"/>
                      <w:szCs w:val="21"/>
                      <w:highlight w:val="none"/>
                      <w:lang w:val="en-US" w:eastAsia="zh-CN"/>
                    </w:rPr>
                    <w:t>联络</w:t>
                  </w:r>
                  <w:r>
                    <w:rPr>
                      <w:rFonts w:hint="default" w:ascii="Times New Roman" w:hAnsi="Times New Roman" w:eastAsia="宋体" w:cs="Times New Roman"/>
                      <w:color w:val="auto"/>
                      <w:kern w:val="0"/>
                      <w:sz w:val="21"/>
                      <w:szCs w:val="21"/>
                      <w:highlight w:val="none"/>
                      <w:lang w:val="en-US" w:eastAsia="zh-CN"/>
                    </w:rPr>
                    <w:t>线路工程项目（饮用水源地部分）查询情况说明，项目选址点位不涉及</w:t>
                  </w:r>
                  <w:r>
                    <w:rPr>
                      <w:rFonts w:hint="default" w:ascii="Times New Roman" w:hAnsi="Times New Roman" w:cs="Times New Roman"/>
                      <w:color w:val="auto"/>
                      <w:kern w:val="0"/>
                      <w:sz w:val="21"/>
                      <w:szCs w:val="21"/>
                      <w:highlight w:val="none"/>
                      <w:lang w:val="en-US" w:eastAsia="zh-CN"/>
                    </w:rPr>
                    <w:t>会泽县</w:t>
                  </w:r>
                  <w:r>
                    <w:rPr>
                      <w:rFonts w:hint="default" w:ascii="Times New Roman" w:hAnsi="Times New Roman" w:eastAsia="宋体" w:cs="Times New Roman"/>
                      <w:color w:val="auto"/>
                      <w:kern w:val="0"/>
                      <w:sz w:val="21"/>
                      <w:szCs w:val="21"/>
                      <w:highlight w:val="none"/>
                      <w:lang w:val="en-US" w:eastAsia="zh-CN"/>
                    </w:rPr>
                    <w:t>已批复集中式</w:t>
                  </w:r>
                  <w:r>
                    <w:rPr>
                      <w:rFonts w:hint="eastAsia" w:ascii="Times New Roman" w:hAnsi="Times New Roman" w:eastAsia="宋体" w:cs="Times New Roman"/>
                      <w:color w:val="auto"/>
                      <w:kern w:val="0"/>
                      <w:sz w:val="21"/>
                      <w:szCs w:val="21"/>
                      <w:highlight w:val="none"/>
                      <w:lang w:val="en-US" w:eastAsia="zh-CN"/>
                    </w:rPr>
                    <w:t>饮用水水源保护区</w:t>
                  </w:r>
                  <w:r>
                    <w:rPr>
                      <w:rFonts w:hint="default" w:ascii="Times New Roman" w:hAnsi="Times New Roman"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rPr>
                    <w:t>项目选址不涉及</w:t>
                  </w:r>
                  <w:r>
                    <w:rPr>
                      <w:rFonts w:hint="default" w:ascii="Times New Roman" w:hAnsi="Times New Roman" w:cs="Times New Roman"/>
                      <w:color w:val="auto"/>
                      <w:kern w:val="0"/>
                      <w:sz w:val="21"/>
                      <w:szCs w:val="21"/>
                      <w:highlight w:val="none"/>
                      <w:lang w:val="en-US" w:eastAsia="zh-CN"/>
                    </w:rPr>
                    <w:t>会泽县</w:t>
                  </w:r>
                  <w:r>
                    <w:rPr>
                      <w:rFonts w:hint="default" w:ascii="Times New Roman" w:hAnsi="Times New Roman" w:eastAsia="宋体" w:cs="Times New Roman"/>
                      <w:color w:val="auto"/>
                      <w:kern w:val="0"/>
                      <w:sz w:val="21"/>
                      <w:szCs w:val="21"/>
                      <w:highlight w:val="none"/>
                      <w:lang w:val="en-US" w:eastAsia="zh-CN"/>
                    </w:rPr>
                    <w:t>境内黄泥河、九龙河、南盘江、清水江和规模以下河流（渠道）管理范围。</w:t>
                  </w:r>
                  <w:r>
                    <w:rPr>
                      <w:rFonts w:hint="default" w:ascii="Times New Roman" w:hAnsi="Times New Roman" w:eastAsia="宋体" w:cs="Times New Roman"/>
                      <w:color w:val="auto"/>
                      <w:sz w:val="21"/>
                      <w:szCs w:val="21"/>
                      <w:lang w:val="en-US" w:eastAsia="zh-CN"/>
                    </w:rPr>
                    <w:t>对区域地表水环境影响可接受</w:t>
                  </w:r>
                  <w:r>
                    <w:rPr>
                      <w:rFonts w:hint="default" w:ascii="Times New Roman" w:hAnsi="Times New Roman" w:eastAsia="宋体" w:cs="Times New Roman"/>
                      <w:color w:val="auto"/>
                      <w:kern w:val="0"/>
                      <w:sz w:val="21"/>
                      <w:szCs w:val="21"/>
                      <w:lang w:val="en-US" w:eastAsia="zh-CN"/>
                    </w:rPr>
                    <w:t>；11、本项目不使用高污染燃料，项目为</w:t>
                  </w:r>
                  <w:r>
                    <w:rPr>
                      <w:rFonts w:hint="default" w:ascii="Times New Roman" w:hAnsi="Times New Roman" w:cs="Times New Roman"/>
                      <w:color w:val="auto"/>
                      <w:kern w:val="0"/>
                      <w:sz w:val="21"/>
                      <w:szCs w:val="21"/>
                      <w:lang w:val="en-US" w:eastAsia="zh-CN"/>
                    </w:rPr>
                    <w:t>输变电</w:t>
                  </w:r>
                  <w:r>
                    <w:rPr>
                      <w:rFonts w:hint="default" w:ascii="Times New Roman" w:hAnsi="Times New Roman" w:eastAsia="宋体" w:cs="Times New Roman"/>
                      <w:color w:val="auto"/>
                      <w:kern w:val="0"/>
                      <w:sz w:val="21"/>
                      <w:szCs w:val="21"/>
                      <w:lang w:val="en-US" w:eastAsia="zh-CN"/>
                    </w:rPr>
                    <w:t>项目，电作为能源。</w:t>
                  </w:r>
                </w:p>
              </w:tc>
              <w:tc>
                <w:tcPr>
                  <w:tcW w:w="459" w:type="pct"/>
                  <w:noWrap w:val="0"/>
                  <w:vAlign w:val="center"/>
                </w:tcPr>
                <w:p w14:paraId="4DCD2317">
                  <w:pPr>
                    <w:overflowPunct w:val="0"/>
                    <w:topLinePunct/>
                    <w:autoSpaceDE w:val="0"/>
                    <w:autoSpaceDN w:val="0"/>
                    <w:adjustRightInd w:val="0"/>
                    <w:snapToGrid w:val="0"/>
                    <w:spacing w:line="240" w:lineRule="auto"/>
                    <w:jc w:val="center"/>
                    <w:textAlignment w:val="center"/>
                    <w:rPr>
                      <w:rFonts w:hint="eastAsia"/>
                      <w:b/>
                      <w:bCs/>
                      <w:color w:val="auto"/>
                      <w:kern w:val="0"/>
                      <w:szCs w:val="21"/>
                      <w:lang w:bidi="ar"/>
                    </w:rPr>
                  </w:pPr>
                  <w:r>
                    <w:rPr>
                      <w:rFonts w:hint="eastAsia"/>
                      <w:color w:val="auto"/>
                      <w:kern w:val="0"/>
                      <w:szCs w:val="21"/>
                      <w:lang w:bidi="ar"/>
                    </w:rPr>
                    <w:t>符合</w:t>
                  </w:r>
                </w:p>
              </w:tc>
            </w:tr>
            <w:tr w14:paraId="095C1E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9" w:type="pct"/>
                  <w:noWrap w:val="0"/>
                  <w:vAlign w:val="center"/>
                </w:tcPr>
                <w:p w14:paraId="226032F7">
                  <w:pPr>
                    <w:overflowPunct w:val="0"/>
                    <w:topLinePunct/>
                    <w:autoSpaceDE w:val="0"/>
                    <w:autoSpaceDN w:val="0"/>
                    <w:adjustRightInd w:val="0"/>
                    <w:snapToGrid w:val="0"/>
                    <w:spacing w:line="240" w:lineRule="auto"/>
                    <w:jc w:val="center"/>
                    <w:textAlignment w:val="center"/>
                    <w:rPr>
                      <w:color w:val="auto"/>
                      <w:kern w:val="0"/>
                      <w:szCs w:val="21"/>
                      <w:lang w:bidi="ar"/>
                    </w:rPr>
                  </w:pPr>
                  <w:r>
                    <w:rPr>
                      <w:rFonts w:hint="eastAsia"/>
                      <w:color w:val="auto"/>
                      <w:kern w:val="0"/>
                      <w:szCs w:val="21"/>
                      <w:lang w:bidi="ar"/>
                    </w:rPr>
                    <w:t>会泽县生态保护红线优先保护单元</w:t>
                  </w:r>
                </w:p>
              </w:tc>
              <w:tc>
                <w:tcPr>
                  <w:tcW w:w="379" w:type="pct"/>
                  <w:noWrap w:val="0"/>
                  <w:vAlign w:val="center"/>
                </w:tcPr>
                <w:p w14:paraId="680361CA">
                  <w:pPr>
                    <w:overflowPunct w:val="0"/>
                    <w:topLinePunct/>
                    <w:autoSpaceDE w:val="0"/>
                    <w:autoSpaceDN w:val="0"/>
                    <w:adjustRightInd w:val="0"/>
                    <w:snapToGrid w:val="0"/>
                    <w:spacing w:line="240" w:lineRule="auto"/>
                    <w:jc w:val="center"/>
                    <w:textAlignment w:val="center"/>
                    <w:rPr>
                      <w:color w:val="auto"/>
                      <w:kern w:val="0"/>
                      <w:szCs w:val="21"/>
                      <w:lang w:bidi="ar"/>
                    </w:rPr>
                  </w:pPr>
                  <w:r>
                    <w:rPr>
                      <w:color w:val="auto"/>
                      <w:kern w:val="0"/>
                      <w:szCs w:val="21"/>
                      <w:lang w:bidi="ar"/>
                    </w:rPr>
                    <w:t>空间布局约束</w:t>
                  </w:r>
                </w:p>
              </w:tc>
              <w:tc>
                <w:tcPr>
                  <w:tcW w:w="2355" w:type="pct"/>
                  <w:noWrap w:val="0"/>
                  <w:vAlign w:val="center"/>
                </w:tcPr>
                <w:p w14:paraId="1BCCB934">
                  <w:pPr>
                    <w:overflowPunct w:val="0"/>
                    <w:topLinePunct/>
                    <w:autoSpaceDE w:val="0"/>
                    <w:autoSpaceDN w:val="0"/>
                    <w:adjustRightInd w:val="0"/>
                    <w:snapToGrid w:val="0"/>
                    <w:spacing w:line="240" w:lineRule="auto"/>
                    <w:jc w:val="center"/>
                    <w:textAlignment w:val="center"/>
                    <w:rPr>
                      <w:color w:val="auto"/>
                      <w:kern w:val="0"/>
                      <w:szCs w:val="21"/>
                      <w:lang w:bidi="ar"/>
                    </w:rPr>
                  </w:pPr>
                  <w:r>
                    <w:rPr>
                      <w:rFonts w:hint="eastAsia"/>
                      <w:color w:val="auto"/>
                      <w:szCs w:val="21"/>
                    </w:rPr>
                    <w:t>按《自然资源部 生态环境部 国家林业和草原局关于加强生态保护红线管理的通知（试行）》（自然资发〔2022〕142号）和《云南省自然资源厅 云南省生态环境厅 云南省林业和草原局关于加强生态保护红线管理工作的通知》（云自然资﹝2023﹞98号）执行。后续若国家和省生态保护红线相关管控政策发生调整，按调整后的管控办法执行。自然保护地优化整合成果获批前，按现行有效法律法规管理。</w:t>
                  </w:r>
                </w:p>
              </w:tc>
              <w:tc>
                <w:tcPr>
                  <w:tcW w:w="1306" w:type="pct"/>
                  <w:noWrap w:val="0"/>
                  <w:vAlign w:val="center"/>
                </w:tcPr>
                <w:p w14:paraId="64D1A714">
                  <w:pPr>
                    <w:overflowPunct w:val="0"/>
                    <w:topLinePunct/>
                    <w:autoSpaceDE w:val="0"/>
                    <w:autoSpaceDN w:val="0"/>
                    <w:adjustRightInd w:val="0"/>
                    <w:snapToGrid w:val="0"/>
                    <w:spacing w:line="240" w:lineRule="auto"/>
                    <w:jc w:val="center"/>
                    <w:textAlignment w:val="center"/>
                    <w:rPr>
                      <w:rFonts w:hint="default" w:eastAsia="宋体"/>
                      <w:color w:val="auto"/>
                      <w:kern w:val="0"/>
                      <w:szCs w:val="21"/>
                      <w:lang w:val="en-US" w:eastAsia="zh-CN" w:bidi="ar"/>
                    </w:rPr>
                  </w:pPr>
                  <w:r>
                    <w:rPr>
                      <w:rFonts w:hint="default" w:ascii="Times New Roman" w:hAnsi="Times New Roman" w:eastAsia="宋体" w:cs="Times New Roman"/>
                      <w:color w:val="auto"/>
                      <w:kern w:val="0"/>
                      <w:sz w:val="21"/>
                      <w:szCs w:val="21"/>
                      <w:lang w:val="en-US" w:eastAsia="zh-CN"/>
                    </w:rPr>
                    <w:t>对照《有限人为活动准入目录》中准入类别及准入目录，“输电线塔基、通讯基站等小面积零星分散建设项目用地”属于准入目录</w:t>
                  </w:r>
                  <w:r>
                    <w:rPr>
                      <w:rFonts w:hint="eastAsia" w:ascii="Times New Roman" w:hAnsi="Times New Roman"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工程属于输变电线路线性基础设施建设项目</w:t>
                  </w:r>
                </w:p>
              </w:tc>
              <w:tc>
                <w:tcPr>
                  <w:tcW w:w="459" w:type="pct"/>
                  <w:noWrap w:val="0"/>
                  <w:vAlign w:val="center"/>
                </w:tcPr>
                <w:p w14:paraId="5A015318">
                  <w:pPr>
                    <w:overflowPunct w:val="0"/>
                    <w:topLinePunct/>
                    <w:autoSpaceDE w:val="0"/>
                    <w:autoSpaceDN w:val="0"/>
                    <w:adjustRightInd w:val="0"/>
                    <w:snapToGrid w:val="0"/>
                    <w:spacing w:line="240" w:lineRule="auto"/>
                    <w:jc w:val="center"/>
                    <w:textAlignment w:val="center"/>
                    <w:rPr>
                      <w:color w:val="auto"/>
                      <w:kern w:val="0"/>
                      <w:szCs w:val="21"/>
                      <w:lang w:bidi="ar"/>
                    </w:rPr>
                  </w:pPr>
                  <w:r>
                    <w:rPr>
                      <w:color w:val="auto"/>
                      <w:kern w:val="0"/>
                      <w:szCs w:val="21"/>
                      <w:lang w:bidi="ar"/>
                    </w:rPr>
                    <w:t>符合</w:t>
                  </w:r>
                </w:p>
              </w:tc>
            </w:tr>
            <w:tr w14:paraId="03C8E0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9" w:type="pct"/>
                  <w:noWrap w:val="0"/>
                  <w:vAlign w:val="center"/>
                </w:tcPr>
                <w:p w14:paraId="123A44A0">
                  <w:pPr>
                    <w:overflowPunct w:val="0"/>
                    <w:topLinePunct/>
                    <w:autoSpaceDE w:val="0"/>
                    <w:autoSpaceDN w:val="0"/>
                    <w:adjustRightInd w:val="0"/>
                    <w:snapToGrid w:val="0"/>
                    <w:spacing w:line="240" w:lineRule="auto"/>
                    <w:jc w:val="center"/>
                    <w:textAlignment w:val="center"/>
                    <w:rPr>
                      <w:color w:val="auto"/>
                      <w:kern w:val="0"/>
                      <w:szCs w:val="21"/>
                      <w:lang w:bidi="ar"/>
                    </w:rPr>
                  </w:pPr>
                  <w:r>
                    <w:rPr>
                      <w:rFonts w:hint="eastAsia"/>
                      <w:color w:val="auto"/>
                      <w:szCs w:val="21"/>
                    </w:rPr>
                    <w:t>会泽县一般生态空间优先保护单元</w:t>
                  </w:r>
                </w:p>
              </w:tc>
              <w:tc>
                <w:tcPr>
                  <w:tcW w:w="379" w:type="pct"/>
                  <w:noWrap w:val="0"/>
                  <w:vAlign w:val="center"/>
                </w:tcPr>
                <w:p w14:paraId="47FD5C7A">
                  <w:pPr>
                    <w:overflowPunct w:val="0"/>
                    <w:topLinePunct/>
                    <w:autoSpaceDE w:val="0"/>
                    <w:autoSpaceDN w:val="0"/>
                    <w:adjustRightInd w:val="0"/>
                    <w:snapToGrid w:val="0"/>
                    <w:spacing w:line="240" w:lineRule="auto"/>
                    <w:jc w:val="center"/>
                    <w:textAlignment w:val="center"/>
                    <w:rPr>
                      <w:color w:val="auto"/>
                      <w:kern w:val="0"/>
                      <w:szCs w:val="21"/>
                      <w:lang w:bidi="ar"/>
                    </w:rPr>
                  </w:pPr>
                  <w:r>
                    <w:rPr>
                      <w:color w:val="auto"/>
                      <w:kern w:val="0"/>
                      <w:szCs w:val="21"/>
                      <w:lang w:bidi="ar"/>
                    </w:rPr>
                    <w:t>空间布局约束</w:t>
                  </w:r>
                </w:p>
              </w:tc>
              <w:tc>
                <w:tcPr>
                  <w:tcW w:w="2355" w:type="pct"/>
                  <w:noWrap w:val="0"/>
                  <w:vAlign w:val="center"/>
                </w:tcPr>
                <w:p w14:paraId="09381ADF">
                  <w:pPr>
                    <w:overflowPunct w:val="0"/>
                    <w:topLinePunct/>
                    <w:autoSpaceDE w:val="0"/>
                    <w:autoSpaceDN w:val="0"/>
                    <w:adjustRightInd w:val="0"/>
                    <w:snapToGrid w:val="0"/>
                    <w:spacing w:line="240" w:lineRule="auto"/>
                    <w:jc w:val="center"/>
                    <w:textAlignment w:val="center"/>
                    <w:rPr>
                      <w:rFonts w:hint="eastAsia"/>
                      <w:color w:val="auto"/>
                      <w:szCs w:val="21"/>
                    </w:rPr>
                  </w:pPr>
                  <w:r>
                    <w:rPr>
                      <w:rFonts w:hint="eastAsia"/>
                      <w:color w:val="auto"/>
                      <w:szCs w:val="21"/>
                    </w:rPr>
                    <w:t>1.一般生态空间优先保护单元以保护和修复生态环境、提供生态产品为首要任务，参照主体功能区中重点生态功能区的开发和管制原则进行管控，加强资源环境承载力控制，防止过度垦殖、放牧、采伐、取水、渔猎、旅游等对生态功能造成损害，确保自然生态系统稳定。涉及占用一般生态空间的开发活动应符合相关法律法规规定，没有明确规定的，加强论证和管理。</w:t>
                  </w:r>
                </w:p>
                <w:p w14:paraId="3A1A0498">
                  <w:pPr>
                    <w:overflowPunct w:val="0"/>
                    <w:topLinePunct/>
                    <w:autoSpaceDE w:val="0"/>
                    <w:autoSpaceDN w:val="0"/>
                    <w:adjustRightInd w:val="0"/>
                    <w:snapToGrid w:val="0"/>
                    <w:spacing w:line="240" w:lineRule="auto"/>
                    <w:jc w:val="center"/>
                    <w:textAlignment w:val="center"/>
                    <w:rPr>
                      <w:color w:val="auto"/>
                      <w:kern w:val="0"/>
                      <w:szCs w:val="21"/>
                      <w:lang w:bidi="ar"/>
                    </w:rPr>
                  </w:pPr>
                  <w:r>
                    <w:rPr>
                      <w:rFonts w:hint="eastAsia"/>
                      <w:color w:val="auto"/>
                      <w:szCs w:val="21"/>
                    </w:rPr>
                    <w:t>2.暂未纳入生态保护红线的自然保护地按照相关保护地法律法规进行管理；自然保护地优化整合成果获批前，按现行有效法律法规管理。重要湿地依据《湿地保护管理规定》《云南省湿地保护条例》《云南省人民政府关于加强湿地保护工作的意见》等进行管理；生态公益林依据《国家级公益林管理办法》《云南省地方公益林管理办法》进行管理；天然林依据《</w:t>
                  </w:r>
                  <w:r>
                    <w:rPr>
                      <w:rFonts w:hint="eastAsia"/>
                      <w:color w:val="auto"/>
                      <w:szCs w:val="21"/>
                      <w:lang w:eastAsia="zh-CN"/>
                    </w:rPr>
                    <w:t>国家林业和草原局</w:t>
                  </w:r>
                  <w:r>
                    <w:rPr>
                      <w:rFonts w:hint="eastAsia"/>
                      <w:color w:val="auto"/>
                      <w:szCs w:val="21"/>
                    </w:rPr>
                    <w:t>关于严格保护天然林的通知》（林资发〔2015〕181号）、《中共中央办公厅 国务院办公厅关于印发〈天然林保护修复制度方案〉的通知》（厅字〔2019〕39号）等进行管理。</w:t>
                  </w:r>
                </w:p>
              </w:tc>
              <w:tc>
                <w:tcPr>
                  <w:tcW w:w="1306" w:type="pct"/>
                  <w:noWrap w:val="0"/>
                  <w:vAlign w:val="center"/>
                </w:tcPr>
                <w:p w14:paraId="47EAEA9C">
                  <w:pPr>
                    <w:overflowPunct w:val="0"/>
                    <w:topLinePunct/>
                    <w:autoSpaceDE w:val="0"/>
                    <w:autoSpaceDN w:val="0"/>
                    <w:adjustRightInd w:val="0"/>
                    <w:snapToGrid w:val="0"/>
                    <w:spacing w:line="240" w:lineRule="auto"/>
                    <w:jc w:val="center"/>
                    <w:textAlignment w:val="center"/>
                    <w:rPr>
                      <w:color w:val="auto"/>
                      <w:kern w:val="0"/>
                      <w:szCs w:val="21"/>
                      <w:lang w:bidi="ar"/>
                    </w:rPr>
                  </w:pPr>
                  <w:r>
                    <w:rPr>
                      <w:rFonts w:hint="default" w:ascii="Times New Roman" w:hAnsi="Times New Roman" w:eastAsia="宋体" w:cs="Times New Roman"/>
                      <w:color w:val="auto"/>
                      <w:highlight w:val="none"/>
                      <w:lang w:val="en-US" w:eastAsia="zh-CN"/>
                    </w:rPr>
                    <w:t>1、本项目不涉及垦殖、放牧、采伐、渔猎、旅游等活动</w:t>
                  </w:r>
                  <w:r>
                    <w:rPr>
                      <w:rFonts w:hint="default" w:ascii="Times New Roman" w:hAnsi="Times New Roman" w:eastAsia="宋体" w:cs="Times New Roman"/>
                      <w:color w:val="auto"/>
                      <w:kern w:val="2"/>
                      <w:sz w:val="21"/>
                      <w:szCs w:val="24"/>
                      <w:highlight w:val="none"/>
                      <w:lang w:val="en-US" w:eastAsia="zh-CN" w:bidi="ar-SA"/>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kern w:val="2"/>
                      <w:sz w:val="21"/>
                      <w:szCs w:val="24"/>
                      <w:highlight w:val="none"/>
                      <w:lang w:val="en-US" w:eastAsia="zh-CN" w:bidi="ar-SA"/>
                    </w:rPr>
                    <w:t>、</w:t>
                  </w:r>
                  <w:r>
                    <w:rPr>
                      <w:rFonts w:hint="default" w:ascii="Times New Roman" w:hAnsi="Times New Roman" w:eastAsia="宋体" w:cs="Times New Roman"/>
                      <w:color w:val="auto"/>
                      <w:kern w:val="0"/>
                      <w:szCs w:val="21"/>
                      <w:highlight w:val="none"/>
                    </w:rPr>
                    <w:t>项目也不涉及未划入生态保护红线的自然保护地、饮用水水源保护区、重要</w:t>
                  </w:r>
                  <w:r>
                    <w:rPr>
                      <w:rFonts w:hint="default" w:ascii="Times New Roman" w:hAnsi="Times New Roman" w:eastAsia="宋体" w:cs="Times New Roman"/>
                      <w:color w:val="auto"/>
                      <w:kern w:val="0"/>
                      <w:sz w:val="21"/>
                      <w:szCs w:val="21"/>
                      <w:highlight w:val="none"/>
                    </w:rPr>
                    <w:t>湿地</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项目已</w:t>
                  </w:r>
                  <w:r>
                    <w:rPr>
                      <w:rFonts w:hint="default" w:ascii="Times New Roman" w:hAnsi="Times New Roman" w:eastAsia="宋体" w:cs="Times New Roman"/>
                      <w:color w:val="auto"/>
                      <w:kern w:val="0"/>
                      <w:sz w:val="21"/>
                      <w:szCs w:val="21"/>
                      <w:highlight w:val="none"/>
                      <w:lang w:val="zh-CN" w:eastAsia="zh-CN"/>
                    </w:rPr>
                    <w:t>避开长势较好的自然植被（</w:t>
                  </w:r>
                  <w:r>
                    <w:rPr>
                      <w:rFonts w:hint="default" w:ascii="Times New Roman" w:hAnsi="Times New Roman" w:eastAsia="宋体" w:cs="Times New Roman"/>
                      <w:color w:val="auto"/>
                      <w:kern w:val="0"/>
                      <w:sz w:val="21"/>
                      <w:szCs w:val="21"/>
                      <w:highlight w:val="none"/>
                      <w:lang w:val="en-US" w:eastAsia="zh-CN"/>
                    </w:rPr>
                    <w:t>天然乔木林、天然林及公益林</w:t>
                  </w:r>
                  <w:r>
                    <w:rPr>
                      <w:rFonts w:hint="default" w:ascii="Times New Roman" w:hAnsi="Times New Roman" w:eastAsia="宋体" w:cs="Times New Roman"/>
                      <w:color w:val="auto"/>
                      <w:kern w:val="0"/>
                      <w:sz w:val="21"/>
                      <w:szCs w:val="21"/>
                      <w:highlight w:val="none"/>
                      <w:lang w:val="zh-CN" w:eastAsia="zh-CN"/>
                    </w:rPr>
                    <w:t>），尽量选择荒草地</w:t>
                  </w:r>
                  <w:r>
                    <w:rPr>
                      <w:rFonts w:hint="default" w:ascii="Times New Roman" w:hAnsi="Times New Roman" w:cs="Times New Roman"/>
                      <w:color w:val="auto"/>
                      <w:kern w:val="0"/>
                      <w:sz w:val="21"/>
                      <w:szCs w:val="21"/>
                      <w:highlight w:val="none"/>
                      <w:lang w:val="en-US" w:eastAsia="zh-CN"/>
                    </w:rPr>
                    <w:t>和其他林地</w:t>
                  </w:r>
                  <w:r>
                    <w:rPr>
                      <w:rFonts w:hint="default" w:ascii="Times New Roman" w:hAnsi="Times New Roman" w:eastAsia="宋体" w:cs="Times New Roman"/>
                      <w:color w:val="auto"/>
                      <w:kern w:val="0"/>
                      <w:sz w:val="21"/>
                      <w:szCs w:val="21"/>
                      <w:highlight w:val="none"/>
                      <w:lang w:val="zh-CN" w:eastAsia="zh-CN"/>
                    </w:rPr>
                    <w:t>。</w:t>
                  </w:r>
                  <w:r>
                    <w:rPr>
                      <w:rFonts w:hint="default" w:ascii="Times New Roman" w:hAnsi="Times New Roman" w:eastAsia="宋体" w:cs="Times New Roman"/>
                      <w:color w:val="auto"/>
                      <w:kern w:val="0"/>
                      <w:sz w:val="21"/>
                      <w:szCs w:val="21"/>
                      <w:highlight w:val="none"/>
                      <w:lang w:val="en-US" w:eastAsia="zh-CN"/>
                    </w:rPr>
                    <w:t>项目涉及的</w:t>
                  </w:r>
                  <w:r>
                    <w:rPr>
                      <w:rFonts w:hint="default" w:ascii="Times New Roman" w:hAnsi="Times New Roman" w:cs="Times New Roman"/>
                      <w:color w:val="auto"/>
                      <w:kern w:val="0"/>
                      <w:sz w:val="21"/>
                      <w:szCs w:val="21"/>
                      <w:highlight w:val="none"/>
                      <w:lang w:val="en-US" w:eastAsia="zh-CN"/>
                    </w:rPr>
                    <w:t>会泽县</w:t>
                  </w:r>
                  <w:r>
                    <w:rPr>
                      <w:rFonts w:hint="default" w:ascii="Times New Roman" w:hAnsi="Times New Roman" w:eastAsia="宋体" w:cs="Times New Roman"/>
                      <w:color w:val="auto"/>
                      <w:kern w:val="0"/>
                      <w:sz w:val="21"/>
                      <w:szCs w:val="21"/>
                      <w:highlight w:val="none"/>
                      <w:lang w:val="en-US" w:eastAsia="zh-CN"/>
                    </w:rPr>
                    <w:t>一般生态空间优先保护单元</w:t>
                  </w:r>
                  <w:r>
                    <w:rPr>
                      <w:rFonts w:hint="eastAsia" w:ascii="Times New Roman" w:hAnsi="Times New Roman" w:cs="Times New Roman"/>
                      <w:color w:val="auto"/>
                      <w:kern w:val="0"/>
                      <w:sz w:val="21"/>
                      <w:szCs w:val="21"/>
                      <w:highlight w:val="none"/>
                      <w:lang w:val="en-US" w:eastAsia="zh-CN"/>
                    </w:rPr>
                    <w:t>，</w:t>
                  </w:r>
                  <w:r>
                    <w:rPr>
                      <w:rFonts w:hint="default" w:ascii="Times New Roman" w:hAnsi="Times New Roman" w:eastAsia="宋体" w:cs="Times New Roman"/>
                      <w:color w:val="auto"/>
                      <w:kern w:val="2"/>
                      <w:sz w:val="21"/>
                      <w:szCs w:val="24"/>
                      <w:highlight w:val="none"/>
                      <w:lang w:val="en-US" w:eastAsia="zh-CN" w:bidi="ar-SA"/>
                    </w:rPr>
                    <w:t>依据《中华人民共和国草原法</w:t>
                  </w:r>
                  <w:r>
                    <w:rPr>
                      <w:rFonts w:hint="eastAsia" w:ascii="Times New Roman" w:hAnsi="Times New Roman" w:eastAsia="宋体" w:cs="Times New Roman"/>
                      <w:color w:val="auto"/>
                      <w:kern w:val="2"/>
                      <w:sz w:val="21"/>
                      <w:szCs w:val="24"/>
                      <w:highlight w:val="none"/>
                      <w:lang w:val="en-US" w:eastAsia="zh-CN" w:bidi="ar-SA"/>
                    </w:rPr>
                    <w:t>》《</w:t>
                  </w:r>
                  <w:r>
                    <w:rPr>
                      <w:rFonts w:hint="default" w:ascii="Times New Roman" w:hAnsi="Times New Roman" w:eastAsia="宋体" w:cs="Times New Roman"/>
                      <w:color w:val="auto"/>
                      <w:kern w:val="2"/>
                      <w:sz w:val="21"/>
                      <w:szCs w:val="24"/>
                      <w:highlight w:val="none"/>
                      <w:lang w:val="en-US" w:eastAsia="zh-CN" w:bidi="ar-SA"/>
                    </w:rPr>
                    <w:t>国家级公益林管理办法</w:t>
                  </w:r>
                  <w:r>
                    <w:rPr>
                      <w:rFonts w:hint="eastAsia" w:ascii="Times New Roman" w:hAnsi="Times New Roman" w:eastAsia="宋体" w:cs="Times New Roman"/>
                      <w:color w:val="auto"/>
                      <w:kern w:val="2"/>
                      <w:sz w:val="21"/>
                      <w:szCs w:val="24"/>
                      <w:highlight w:val="none"/>
                      <w:lang w:val="en-US" w:eastAsia="zh-CN" w:bidi="ar-SA"/>
                    </w:rPr>
                    <w:t>》《</w:t>
                  </w:r>
                  <w:r>
                    <w:rPr>
                      <w:rFonts w:hint="default" w:ascii="Times New Roman" w:hAnsi="Times New Roman" w:eastAsia="宋体" w:cs="Times New Roman"/>
                      <w:color w:val="auto"/>
                      <w:kern w:val="2"/>
                      <w:sz w:val="21"/>
                      <w:szCs w:val="24"/>
                      <w:lang w:val="en-US" w:eastAsia="zh-CN" w:bidi="ar-SA"/>
                    </w:rPr>
                    <w:t>云南省地方公益林管理办法》及《</w:t>
                  </w:r>
                  <w:r>
                    <w:rPr>
                      <w:rFonts w:hint="eastAsia" w:ascii="Times New Roman" w:hAnsi="Times New Roman" w:eastAsia="宋体" w:cs="Times New Roman"/>
                      <w:color w:val="auto"/>
                      <w:kern w:val="2"/>
                      <w:sz w:val="21"/>
                      <w:szCs w:val="24"/>
                      <w:lang w:val="en-US" w:eastAsia="zh-CN" w:bidi="ar-SA"/>
                    </w:rPr>
                    <w:t>国家林业和草原局</w:t>
                  </w:r>
                  <w:r>
                    <w:rPr>
                      <w:rFonts w:hint="default" w:ascii="Times New Roman" w:hAnsi="Times New Roman" w:eastAsia="宋体" w:cs="Times New Roman"/>
                      <w:color w:val="auto"/>
                      <w:kern w:val="2"/>
                      <w:sz w:val="21"/>
                      <w:szCs w:val="24"/>
                      <w:lang w:val="en-US" w:eastAsia="zh-CN" w:bidi="ar-SA"/>
                    </w:rPr>
                    <w:t>关于严格保护天然林的通知》（林资发〔2015〕181号）、</w:t>
                  </w:r>
                  <w:r>
                    <w:rPr>
                      <w:rFonts w:hint="default" w:ascii="Times New Roman" w:hAnsi="Times New Roman" w:eastAsia="宋体" w:cs="Times New Roman"/>
                      <w:color w:val="auto"/>
                      <w:lang w:val="en-US" w:eastAsia="zh-CN"/>
                    </w:rPr>
                    <w:t>《中共中央办公厅 国务院办公厅关于印发〈天然林保护修复制度方案〉的通知》（厅字〔2019〕39号）</w:t>
                  </w:r>
                  <w:r>
                    <w:rPr>
                      <w:rFonts w:hint="default" w:ascii="Times New Roman" w:hAnsi="Times New Roman" w:eastAsia="宋体" w:cs="Times New Roman"/>
                      <w:color w:val="auto"/>
                      <w:kern w:val="2"/>
                      <w:sz w:val="21"/>
                      <w:szCs w:val="24"/>
                      <w:lang w:val="en-US" w:eastAsia="zh-CN" w:bidi="ar-SA"/>
                    </w:rPr>
                    <w:t>等进行管理。</w:t>
                  </w:r>
                </w:p>
              </w:tc>
              <w:tc>
                <w:tcPr>
                  <w:tcW w:w="459" w:type="pct"/>
                  <w:noWrap w:val="0"/>
                  <w:vAlign w:val="center"/>
                </w:tcPr>
                <w:p w14:paraId="0A240F9C">
                  <w:pPr>
                    <w:overflowPunct w:val="0"/>
                    <w:topLinePunct/>
                    <w:autoSpaceDE w:val="0"/>
                    <w:autoSpaceDN w:val="0"/>
                    <w:adjustRightInd w:val="0"/>
                    <w:snapToGrid w:val="0"/>
                    <w:spacing w:line="240" w:lineRule="auto"/>
                    <w:jc w:val="center"/>
                    <w:textAlignment w:val="center"/>
                    <w:rPr>
                      <w:color w:val="auto"/>
                      <w:kern w:val="0"/>
                      <w:szCs w:val="21"/>
                      <w:lang w:bidi="ar"/>
                    </w:rPr>
                  </w:pPr>
                  <w:r>
                    <w:rPr>
                      <w:color w:val="auto"/>
                      <w:kern w:val="0"/>
                      <w:szCs w:val="21"/>
                      <w:lang w:bidi="ar"/>
                    </w:rPr>
                    <w:t>符合</w:t>
                  </w:r>
                </w:p>
              </w:tc>
            </w:tr>
            <w:tr w14:paraId="196B04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9" w:type="pct"/>
                  <w:vMerge w:val="restart"/>
                  <w:noWrap w:val="0"/>
                  <w:vAlign w:val="center"/>
                </w:tcPr>
                <w:p w14:paraId="642AD95B">
                  <w:pPr>
                    <w:overflowPunct w:val="0"/>
                    <w:topLinePunct/>
                    <w:autoSpaceDE w:val="0"/>
                    <w:autoSpaceDN w:val="0"/>
                    <w:adjustRightInd w:val="0"/>
                    <w:snapToGrid w:val="0"/>
                    <w:spacing w:line="240" w:lineRule="auto"/>
                    <w:jc w:val="center"/>
                    <w:textAlignment w:val="center"/>
                    <w:rPr>
                      <w:color w:val="auto"/>
                      <w:kern w:val="0"/>
                      <w:szCs w:val="21"/>
                      <w:lang w:bidi="ar"/>
                    </w:rPr>
                  </w:pPr>
                  <w:r>
                    <w:rPr>
                      <w:rFonts w:hint="eastAsia"/>
                      <w:color w:val="auto"/>
                      <w:szCs w:val="21"/>
                    </w:rPr>
                    <w:t>会泽县一般管控单元</w:t>
                  </w:r>
                </w:p>
              </w:tc>
              <w:tc>
                <w:tcPr>
                  <w:tcW w:w="379" w:type="pct"/>
                  <w:noWrap w:val="0"/>
                  <w:vAlign w:val="center"/>
                </w:tcPr>
                <w:p w14:paraId="16D2A189">
                  <w:pPr>
                    <w:overflowPunct w:val="0"/>
                    <w:topLinePunct/>
                    <w:autoSpaceDE w:val="0"/>
                    <w:autoSpaceDN w:val="0"/>
                    <w:adjustRightInd w:val="0"/>
                    <w:snapToGrid w:val="0"/>
                    <w:spacing w:line="240" w:lineRule="auto"/>
                    <w:jc w:val="center"/>
                    <w:textAlignment w:val="center"/>
                    <w:rPr>
                      <w:color w:val="auto"/>
                      <w:kern w:val="0"/>
                      <w:szCs w:val="21"/>
                      <w:lang w:bidi="ar"/>
                    </w:rPr>
                  </w:pPr>
                  <w:r>
                    <w:rPr>
                      <w:color w:val="auto"/>
                      <w:kern w:val="0"/>
                      <w:szCs w:val="21"/>
                      <w:lang w:bidi="ar"/>
                    </w:rPr>
                    <w:t>空间布局约束</w:t>
                  </w:r>
                </w:p>
              </w:tc>
              <w:tc>
                <w:tcPr>
                  <w:tcW w:w="2355" w:type="pct"/>
                  <w:noWrap w:val="0"/>
                  <w:vAlign w:val="center"/>
                </w:tcPr>
                <w:p w14:paraId="13E7A84B">
                  <w:pPr>
                    <w:overflowPunct w:val="0"/>
                    <w:topLinePunct/>
                    <w:autoSpaceDE w:val="0"/>
                    <w:autoSpaceDN w:val="0"/>
                    <w:adjustRightInd w:val="0"/>
                    <w:snapToGrid w:val="0"/>
                    <w:spacing w:line="240" w:lineRule="auto"/>
                    <w:jc w:val="center"/>
                    <w:textAlignment w:val="center"/>
                    <w:rPr>
                      <w:color w:val="auto"/>
                      <w:kern w:val="0"/>
                      <w:szCs w:val="21"/>
                      <w:lang w:bidi="ar"/>
                    </w:rPr>
                  </w:pPr>
                  <w:r>
                    <w:rPr>
                      <w:rFonts w:hint="eastAsia"/>
                      <w:color w:val="auto"/>
                      <w:szCs w:val="21"/>
                    </w:rPr>
                    <w:t>1.加强耕地和永久基本农田保护，坚决制止耕地“非农化”、防止耕地“非粮化”。2.禁止新建、改扩建中小水电项目，现有中小水电站应按照环评批复（环评批复未明确生态流量的根据来水量科学确定生态流量），确保连续稳定下泄生态流量。</w:t>
                  </w:r>
                </w:p>
              </w:tc>
              <w:tc>
                <w:tcPr>
                  <w:tcW w:w="1306" w:type="pct"/>
                  <w:noWrap w:val="0"/>
                  <w:vAlign w:val="center"/>
                </w:tcPr>
                <w:p w14:paraId="42E4FF02">
                  <w:pPr>
                    <w:overflowPunct w:val="0"/>
                    <w:topLinePunct/>
                    <w:autoSpaceDE w:val="0"/>
                    <w:autoSpaceDN w:val="0"/>
                    <w:adjustRightInd w:val="0"/>
                    <w:snapToGrid w:val="0"/>
                    <w:spacing w:line="240" w:lineRule="auto"/>
                    <w:jc w:val="center"/>
                    <w:textAlignment w:val="center"/>
                    <w:rPr>
                      <w:color w:val="auto"/>
                      <w:kern w:val="0"/>
                      <w:szCs w:val="21"/>
                      <w:lang w:bidi="ar"/>
                    </w:rPr>
                  </w:pPr>
                  <w:r>
                    <w:rPr>
                      <w:rFonts w:hint="default" w:ascii="Times New Roman" w:hAnsi="Times New Roman" w:eastAsia="宋体" w:cs="Times New Roman"/>
                      <w:color w:val="auto"/>
                      <w:kern w:val="0"/>
                      <w:szCs w:val="21"/>
                      <w:highlight w:val="none"/>
                      <w:lang w:val="en-US" w:eastAsia="zh-CN"/>
                    </w:rPr>
                    <w:t>1、</w:t>
                  </w:r>
                  <w:r>
                    <w:rPr>
                      <w:rFonts w:hint="default" w:ascii="Times New Roman" w:hAnsi="Times New Roman" w:eastAsia="宋体" w:cs="Times New Roman"/>
                      <w:color w:val="auto"/>
                      <w:kern w:val="0"/>
                      <w:szCs w:val="21"/>
                      <w:highlight w:val="none"/>
                    </w:rPr>
                    <w:t>根</w:t>
                  </w:r>
                  <w:r>
                    <w:rPr>
                      <w:rFonts w:hint="default" w:ascii="Times New Roman" w:hAnsi="Times New Roman" w:eastAsia="宋体" w:cs="Times New Roman"/>
                      <w:color w:val="auto"/>
                      <w:kern w:val="0"/>
                      <w:sz w:val="21"/>
                      <w:szCs w:val="21"/>
                      <w:highlight w:val="none"/>
                    </w:rPr>
                    <w:t>据</w:t>
                  </w:r>
                  <w:r>
                    <w:rPr>
                      <w:rFonts w:hint="default" w:ascii="Times New Roman" w:hAnsi="Times New Roman" w:cs="Times New Roman"/>
                      <w:color w:val="auto"/>
                      <w:kern w:val="0"/>
                      <w:sz w:val="21"/>
                      <w:szCs w:val="21"/>
                      <w:highlight w:val="none"/>
                      <w:lang w:eastAsia="zh-CN"/>
                    </w:rPr>
                    <w:t>会泽县</w:t>
                  </w:r>
                  <w:r>
                    <w:rPr>
                      <w:rFonts w:hint="default" w:ascii="Times New Roman" w:hAnsi="Times New Roman" w:eastAsia="宋体" w:cs="Times New Roman"/>
                      <w:color w:val="auto"/>
                      <w:kern w:val="0"/>
                      <w:sz w:val="21"/>
                      <w:szCs w:val="21"/>
                      <w:highlight w:val="none"/>
                      <w:lang w:eastAsia="zh-CN"/>
                    </w:rPr>
                    <w:t>自然资源局的</w:t>
                  </w:r>
                  <w:r>
                    <w:rPr>
                      <w:rFonts w:hint="default" w:ascii="Times New Roman" w:hAnsi="Times New Roman" w:eastAsia="宋体" w:cs="Times New Roman"/>
                      <w:color w:val="auto"/>
                      <w:kern w:val="0"/>
                      <w:sz w:val="21"/>
                      <w:szCs w:val="21"/>
                      <w:highlight w:val="none"/>
                      <w:lang w:val="en-US" w:eastAsia="zh-CN"/>
                    </w:rPr>
                    <w:t>选址</w:t>
                  </w:r>
                  <w:r>
                    <w:rPr>
                      <w:rFonts w:hint="default" w:ascii="Times New Roman" w:hAnsi="Times New Roman" w:eastAsia="宋体" w:cs="Times New Roman"/>
                      <w:color w:val="auto"/>
                      <w:kern w:val="0"/>
                      <w:sz w:val="21"/>
                      <w:szCs w:val="21"/>
                      <w:highlight w:val="none"/>
                      <w:lang w:eastAsia="zh-CN"/>
                    </w:rPr>
                    <w:t>意见：</w:t>
                  </w:r>
                  <w:r>
                    <w:rPr>
                      <w:rFonts w:hint="default" w:ascii="Times New Roman" w:hAnsi="Times New Roman" w:eastAsia="宋体" w:cs="Times New Roman"/>
                      <w:color w:val="auto"/>
                      <w:kern w:val="0"/>
                      <w:sz w:val="21"/>
                      <w:szCs w:val="21"/>
                      <w:highlight w:val="none"/>
                    </w:rPr>
                    <w:t>项目用地范围不</w:t>
                  </w:r>
                  <w:r>
                    <w:rPr>
                      <w:rFonts w:hint="default" w:ascii="Times New Roman" w:hAnsi="Times New Roman" w:cs="Times New Roman"/>
                      <w:color w:val="auto"/>
                      <w:kern w:val="0"/>
                      <w:sz w:val="21"/>
                      <w:szCs w:val="21"/>
                      <w:highlight w:val="none"/>
                      <w:lang w:val="en-US" w:eastAsia="zh-CN"/>
                    </w:rPr>
                    <w:t>涉及</w:t>
                  </w:r>
                  <w:r>
                    <w:rPr>
                      <w:rFonts w:hint="default" w:ascii="Times New Roman" w:hAnsi="Times New Roman" w:eastAsia="宋体" w:cs="Times New Roman"/>
                      <w:color w:val="auto"/>
                      <w:kern w:val="0"/>
                      <w:sz w:val="21"/>
                      <w:szCs w:val="21"/>
                      <w:highlight w:val="none"/>
                    </w:rPr>
                    <w:t>城镇开发边界</w:t>
                  </w:r>
                  <w:r>
                    <w:rPr>
                      <w:rFonts w:hint="default" w:ascii="Times New Roman" w:hAnsi="Times New Roman" w:cs="Times New Roman"/>
                      <w:color w:val="auto"/>
                      <w:kern w:val="0"/>
                      <w:sz w:val="21"/>
                      <w:szCs w:val="21"/>
                      <w:highlight w:val="none"/>
                      <w:lang w:val="en-US" w:eastAsia="zh-CN"/>
                    </w:rPr>
                    <w:t>和村庄边界</w:t>
                  </w:r>
                  <w:r>
                    <w:rPr>
                      <w:rFonts w:hint="default" w:ascii="Times New Roman" w:hAnsi="Times New Roman" w:eastAsia="宋体" w:cs="Times New Roman"/>
                      <w:color w:val="auto"/>
                      <w:kern w:val="0"/>
                      <w:sz w:val="21"/>
                      <w:szCs w:val="21"/>
                      <w:highlight w:val="none"/>
                    </w:rPr>
                    <w:t>，不涉及生态保护红线和永久基本农田保护红线</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2、本项目为</w:t>
                  </w:r>
                  <w:r>
                    <w:rPr>
                      <w:rFonts w:hint="default" w:ascii="Times New Roman" w:hAnsi="Times New Roman" w:cs="Times New Roman"/>
                      <w:color w:val="auto"/>
                      <w:kern w:val="0"/>
                      <w:szCs w:val="21"/>
                      <w:highlight w:val="none"/>
                      <w:lang w:val="en-US" w:eastAsia="zh-CN"/>
                    </w:rPr>
                    <w:t>输变电</w:t>
                  </w:r>
                  <w:r>
                    <w:rPr>
                      <w:rFonts w:hint="default" w:ascii="Times New Roman" w:hAnsi="Times New Roman" w:eastAsia="宋体" w:cs="Times New Roman"/>
                      <w:color w:val="auto"/>
                      <w:kern w:val="0"/>
                      <w:szCs w:val="21"/>
                      <w:highlight w:val="none"/>
                      <w:lang w:val="en-US" w:eastAsia="zh-CN"/>
                    </w:rPr>
                    <w:t>项目，不属于</w:t>
                  </w:r>
                  <w:r>
                    <w:rPr>
                      <w:rFonts w:hint="default" w:ascii="Times New Roman" w:hAnsi="Times New Roman" w:eastAsia="宋体" w:cs="Times New Roman"/>
                      <w:color w:val="auto"/>
                      <w:kern w:val="0"/>
                      <w:szCs w:val="21"/>
                      <w:highlight w:val="none"/>
                    </w:rPr>
                    <w:t>中小水电项目</w:t>
                  </w:r>
                  <w:r>
                    <w:rPr>
                      <w:rFonts w:hint="default" w:ascii="Times New Roman" w:hAnsi="Times New Roman" w:eastAsia="宋体" w:cs="Times New Roman"/>
                      <w:color w:val="auto"/>
                      <w:kern w:val="0"/>
                      <w:szCs w:val="21"/>
                      <w:highlight w:val="none"/>
                      <w:lang w:eastAsia="zh-CN"/>
                    </w:rPr>
                    <w:t>。</w:t>
                  </w:r>
                </w:p>
              </w:tc>
              <w:tc>
                <w:tcPr>
                  <w:tcW w:w="459" w:type="pct"/>
                  <w:noWrap w:val="0"/>
                  <w:vAlign w:val="center"/>
                </w:tcPr>
                <w:p w14:paraId="26354140">
                  <w:pPr>
                    <w:overflowPunct w:val="0"/>
                    <w:topLinePunct/>
                    <w:autoSpaceDE w:val="0"/>
                    <w:autoSpaceDN w:val="0"/>
                    <w:adjustRightInd w:val="0"/>
                    <w:snapToGrid w:val="0"/>
                    <w:spacing w:line="240" w:lineRule="auto"/>
                    <w:jc w:val="center"/>
                    <w:textAlignment w:val="center"/>
                    <w:rPr>
                      <w:color w:val="auto"/>
                      <w:kern w:val="0"/>
                      <w:szCs w:val="21"/>
                      <w:lang w:bidi="ar"/>
                    </w:rPr>
                  </w:pPr>
                  <w:r>
                    <w:rPr>
                      <w:color w:val="auto"/>
                      <w:kern w:val="0"/>
                      <w:szCs w:val="21"/>
                      <w:lang w:bidi="ar"/>
                    </w:rPr>
                    <w:t>符合</w:t>
                  </w:r>
                </w:p>
              </w:tc>
            </w:tr>
            <w:tr w14:paraId="7F043A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9" w:type="pct"/>
                  <w:vMerge w:val="continue"/>
                  <w:noWrap w:val="0"/>
                  <w:vAlign w:val="center"/>
                </w:tcPr>
                <w:p w14:paraId="47CA5C09">
                  <w:pPr>
                    <w:overflowPunct w:val="0"/>
                    <w:topLinePunct/>
                    <w:autoSpaceDE w:val="0"/>
                    <w:autoSpaceDN w:val="0"/>
                    <w:adjustRightInd w:val="0"/>
                    <w:snapToGrid w:val="0"/>
                    <w:spacing w:line="240" w:lineRule="auto"/>
                    <w:jc w:val="center"/>
                    <w:textAlignment w:val="center"/>
                    <w:rPr>
                      <w:b/>
                      <w:bCs/>
                      <w:color w:val="auto"/>
                      <w:szCs w:val="21"/>
                    </w:rPr>
                  </w:pPr>
                </w:p>
              </w:tc>
              <w:tc>
                <w:tcPr>
                  <w:tcW w:w="379" w:type="pct"/>
                  <w:noWrap w:val="0"/>
                  <w:vAlign w:val="center"/>
                </w:tcPr>
                <w:p w14:paraId="3E31E163">
                  <w:pPr>
                    <w:overflowPunct w:val="0"/>
                    <w:topLinePunct/>
                    <w:autoSpaceDE w:val="0"/>
                    <w:autoSpaceDN w:val="0"/>
                    <w:adjustRightInd w:val="0"/>
                    <w:snapToGrid w:val="0"/>
                    <w:spacing w:line="240" w:lineRule="auto"/>
                    <w:jc w:val="center"/>
                    <w:textAlignment w:val="center"/>
                    <w:rPr>
                      <w:color w:val="auto"/>
                      <w:szCs w:val="21"/>
                    </w:rPr>
                  </w:pPr>
                  <w:r>
                    <w:rPr>
                      <w:color w:val="auto"/>
                      <w:kern w:val="0"/>
                      <w:szCs w:val="21"/>
                      <w:lang w:bidi="ar"/>
                    </w:rPr>
                    <w:t>污染物排放管控</w:t>
                  </w:r>
                </w:p>
              </w:tc>
              <w:tc>
                <w:tcPr>
                  <w:tcW w:w="2355" w:type="pct"/>
                  <w:noWrap w:val="0"/>
                  <w:vAlign w:val="center"/>
                </w:tcPr>
                <w:p w14:paraId="605A0F3B">
                  <w:pPr>
                    <w:overflowPunct w:val="0"/>
                    <w:topLinePunct/>
                    <w:autoSpaceDE w:val="0"/>
                    <w:autoSpaceDN w:val="0"/>
                    <w:adjustRightInd w:val="0"/>
                    <w:snapToGrid w:val="0"/>
                    <w:spacing w:line="240" w:lineRule="auto"/>
                    <w:jc w:val="center"/>
                    <w:textAlignment w:val="center"/>
                    <w:rPr>
                      <w:color w:val="auto"/>
                      <w:szCs w:val="21"/>
                    </w:rPr>
                  </w:pPr>
                  <w:r>
                    <w:rPr>
                      <w:rFonts w:hint="eastAsia"/>
                      <w:color w:val="auto"/>
                      <w:szCs w:val="21"/>
                    </w:rPr>
                    <w:t>1.严禁污水灌溉，灌溉用水应满足《农田灌溉水质标准》。2.现有工业企业应达标排放，逐步提升清洁生产水平，减少污染物排放量。3.加强农业面源污染治理，严格控制化肥农药施用量，合理布局水产养殖，控制水产养殖污染，逐步削减农业面源污染物排放量</w:t>
                  </w:r>
                  <w:r>
                    <w:rPr>
                      <w:color w:val="auto"/>
                      <w:szCs w:val="21"/>
                    </w:rPr>
                    <w:t>。</w:t>
                  </w:r>
                </w:p>
              </w:tc>
              <w:tc>
                <w:tcPr>
                  <w:tcW w:w="1835" w:type="dxa"/>
                  <w:noWrap w:val="0"/>
                  <w:vAlign w:val="center"/>
                </w:tcPr>
                <w:p w14:paraId="594B95B2">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jc w:val="center"/>
                    <w:textAlignment w:val="auto"/>
                    <w:rPr>
                      <w:color w:val="auto"/>
                    </w:rPr>
                  </w:pPr>
                  <w:r>
                    <w:rPr>
                      <w:rFonts w:hint="default" w:ascii="Times New Roman" w:hAnsi="Times New Roman" w:eastAsia="宋体" w:cs="Times New Roman"/>
                      <w:color w:val="auto"/>
                      <w:lang w:val="en-US" w:eastAsia="zh-CN"/>
                    </w:rPr>
                    <w:t>1、本项目</w:t>
                  </w:r>
                  <w:r>
                    <w:rPr>
                      <w:rFonts w:hint="default" w:ascii="Times New Roman" w:hAnsi="Times New Roman" w:cs="Times New Roman"/>
                      <w:color w:val="auto"/>
                      <w:lang w:val="en-US" w:eastAsia="zh-CN"/>
                    </w:rPr>
                    <w:t>无废水产生</w:t>
                  </w:r>
                  <w:r>
                    <w:rPr>
                      <w:rFonts w:hint="default" w:ascii="Times New Roman" w:hAnsi="Times New Roman" w:eastAsia="宋体" w:cs="Times New Roman"/>
                      <w:color w:val="auto"/>
                      <w:kern w:val="2"/>
                      <w:sz w:val="21"/>
                      <w:szCs w:val="24"/>
                      <w:lang w:val="en-US" w:eastAsia="zh-CN" w:bidi="ar-SA"/>
                    </w:rPr>
                    <w:t>。</w:t>
                  </w:r>
                  <w:r>
                    <w:rPr>
                      <w:rFonts w:hint="default" w:ascii="Times New Roman" w:hAnsi="Times New Roman" w:eastAsia="宋体" w:cs="Times New Roman"/>
                      <w:color w:val="auto"/>
                      <w:lang w:val="en-US" w:eastAsia="zh-CN"/>
                    </w:rPr>
                    <w:t>2</w:t>
                  </w:r>
                  <w:r>
                    <w:rPr>
                      <w:rFonts w:hint="default" w:ascii="Times New Roman" w:hAnsi="Times New Roman" w:eastAsia="宋体" w:cs="Times New Roman"/>
                      <w:color w:val="auto"/>
                      <w:kern w:val="2"/>
                      <w:sz w:val="21"/>
                      <w:szCs w:val="24"/>
                      <w:lang w:val="en-US" w:eastAsia="zh-CN" w:bidi="ar-SA"/>
                    </w:rPr>
                    <w:t>、</w:t>
                  </w:r>
                  <w:r>
                    <w:rPr>
                      <w:rFonts w:hint="default" w:ascii="Times New Roman" w:hAnsi="Times New Roman" w:eastAsia="宋体" w:cs="Times New Roman"/>
                      <w:color w:val="auto"/>
                      <w:lang w:val="en-US" w:eastAsia="zh-CN"/>
                    </w:rPr>
                    <w:t>项目运营期无废水外排，无废气产生，产噪设备较少，固体废物得到妥善处置，项目建设运营对区域环境影响较小，不会改变区域环境质量。3、本项目</w:t>
                  </w:r>
                  <w:r>
                    <w:rPr>
                      <w:rFonts w:hint="default" w:ascii="Times New Roman" w:hAnsi="Times New Roman" w:cs="Times New Roman"/>
                      <w:color w:val="auto"/>
                      <w:lang w:val="en-US" w:eastAsia="zh-CN"/>
                    </w:rPr>
                    <w:t>无农业面源污染治理</w:t>
                  </w:r>
                  <w:r>
                    <w:rPr>
                      <w:rFonts w:hint="default" w:ascii="Times New Roman" w:hAnsi="Times New Roman" w:eastAsia="宋体" w:cs="Times New Roman"/>
                      <w:color w:val="auto"/>
                      <w:lang w:val="en-US" w:eastAsia="zh-CN"/>
                    </w:rPr>
                    <w:t>。</w:t>
                  </w:r>
                </w:p>
              </w:tc>
              <w:tc>
                <w:tcPr>
                  <w:tcW w:w="459" w:type="pct"/>
                  <w:noWrap w:val="0"/>
                  <w:vAlign w:val="center"/>
                </w:tcPr>
                <w:p w14:paraId="1213425C">
                  <w:pPr>
                    <w:overflowPunct w:val="0"/>
                    <w:topLinePunct/>
                    <w:autoSpaceDE w:val="0"/>
                    <w:autoSpaceDN w:val="0"/>
                    <w:adjustRightInd w:val="0"/>
                    <w:snapToGrid w:val="0"/>
                    <w:spacing w:line="240" w:lineRule="auto"/>
                    <w:jc w:val="center"/>
                    <w:textAlignment w:val="center"/>
                    <w:rPr>
                      <w:color w:val="auto"/>
                      <w:kern w:val="0"/>
                      <w:szCs w:val="21"/>
                      <w:lang w:bidi="ar"/>
                    </w:rPr>
                  </w:pPr>
                  <w:r>
                    <w:rPr>
                      <w:color w:val="auto"/>
                      <w:kern w:val="0"/>
                      <w:szCs w:val="21"/>
                      <w:lang w:bidi="ar"/>
                    </w:rPr>
                    <w:t>符合</w:t>
                  </w:r>
                </w:p>
              </w:tc>
            </w:tr>
            <w:tr w14:paraId="50546F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9" w:type="pct"/>
                  <w:vMerge w:val="continue"/>
                  <w:noWrap w:val="0"/>
                  <w:vAlign w:val="center"/>
                </w:tcPr>
                <w:p w14:paraId="52B97427">
                  <w:pPr>
                    <w:overflowPunct w:val="0"/>
                    <w:topLinePunct/>
                    <w:autoSpaceDE w:val="0"/>
                    <w:autoSpaceDN w:val="0"/>
                    <w:adjustRightInd w:val="0"/>
                    <w:snapToGrid w:val="0"/>
                    <w:spacing w:line="240" w:lineRule="auto"/>
                    <w:jc w:val="center"/>
                    <w:textAlignment w:val="center"/>
                    <w:rPr>
                      <w:b/>
                      <w:bCs/>
                      <w:color w:val="auto"/>
                      <w:szCs w:val="21"/>
                    </w:rPr>
                  </w:pPr>
                </w:p>
              </w:tc>
              <w:tc>
                <w:tcPr>
                  <w:tcW w:w="379" w:type="pct"/>
                  <w:noWrap w:val="0"/>
                  <w:vAlign w:val="center"/>
                </w:tcPr>
                <w:p w14:paraId="2A02CC19">
                  <w:pPr>
                    <w:overflowPunct w:val="0"/>
                    <w:topLinePunct/>
                    <w:autoSpaceDE w:val="0"/>
                    <w:autoSpaceDN w:val="0"/>
                    <w:adjustRightInd w:val="0"/>
                    <w:snapToGrid w:val="0"/>
                    <w:spacing w:line="240" w:lineRule="auto"/>
                    <w:jc w:val="center"/>
                    <w:textAlignment w:val="center"/>
                    <w:rPr>
                      <w:color w:val="auto"/>
                      <w:szCs w:val="21"/>
                    </w:rPr>
                  </w:pPr>
                  <w:r>
                    <w:rPr>
                      <w:color w:val="auto"/>
                      <w:kern w:val="0"/>
                      <w:szCs w:val="21"/>
                      <w:lang w:bidi="ar"/>
                    </w:rPr>
                    <w:t>环境风险防控</w:t>
                  </w:r>
                </w:p>
              </w:tc>
              <w:tc>
                <w:tcPr>
                  <w:tcW w:w="2355" w:type="pct"/>
                  <w:noWrap w:val="0"/>
                  <w:vAlign w:val="center"/>
                </w:tcPr>
                <w:p w14:paraId="3E6658F0">
                  <w:pPr>
                    <w:overflowPunct w:val="0"/>
                    <w:topLinePunct/>
                    <w:autoSpaceDE w:val="0"/>
                    <w:autoSpaceDN w:val="0"/>
                    <w:adjustRightInd w:val="0"/>
                    <w:snapToGrid w:val="0"/>
                    <w:spacing w:line="240" w:lineRule="auto"/>
                    <w:jc w:val="center"/>
                    <w:textAlignment w:val="center"/>
                    <w:rPr>
                      <w:rFonts w:hint="eastAsia"/>
                      <w:color w:val="auto"/>
                      <w:szCs w:val="21"/>
                    </w:rPr>
                  </w:pPr>
                  <w:r>
                    <w:rPr>
                      <w:rFonts w:hint="eastAsia"/>
                      <w:color w:val="auto"/>
                      <w:szCs w:val="21"/>
                    </w:rPr>
                    <w:t>1.禁止使用国家规定的禁限用农药名录中的农药。</w:t>
                  </w:r>
                </w:p>
                <w:p w14:paraId="5D9FF439">
                  <w:pPr>
                    <w:overflowPunct w:val="0"/>
                    <w:topLinePunct/>
                    <w:autoSpaceDE w:val="0"/>
                    <w:autoSpaceDN w:val="0"/>
                    <w:adjustRightInd w:val="0"/>
                    <w:snapToGrid w:val="0"/>
                    <w:spacing w:line="240" w:lineRule="auto"/>
                    <w:jc w:val="center"/>
                    <w:textAlignment w:val="center"/>
                    <w:rPr>
                      <w:color w:val="auto"/>
                      <w:szCs w:val="21"/>
                    </w:rPr>
                  </w:pPr>
                  <w:r>
                    <w:rPr>
                      <w:rFonts w:hint="eastAsia"/>
                      <w:color w:val="auto"/>
                      <w:szCs w:val="21"/>
                    </w:rPr>
                    <w:t>2.加强环境风险防范应急体系建设，加强环境应急预案管理，定期开展应急演练，持续开展环境安全隐患排查整治，提升应急监测能力，加强应急物资管理。</w:t>
                  </w:r>
                </w:p>
              </w:tc>
              <w:tc>
                <w:tcPr>
                  <w:tcW w:w="1835" w:type="dxa"/>
                  <w:noWrap w:val="0"/>
                  <w:vAlign w:val="center"/>
                </w:tcPr>
                <w:p w14:paraId="252334E0">
                  <w:pPr>
                    <w:keepNext w:val="0"/>
                    <w:keepLines w:val="0"/>
                    <w:pageBreakBefore w:val="0"/>
                    <w:kinsoku/>
                    <w:wordWrap/>
                    <w:overflowPunct/>
                    <w:topLinePunct/>
                    <w:autoSpaceDE/>
                    <w:autoSpaceDN/>
                    <w:bidi w:val="0"/>
                    <w:adjustRightInd w:val="0"/>
                    <w:snapToGrid w:val="0"/>
                    <w:spacing w:line="240" w:lineRule="auto"/>
                    <w:ind w:left="0" w:leftChars="0" w:right="0" w:rightChars="0"/>
                    <w:jc w:val="center"/>
                    <w:textAlignment w:val="auto"/>
                    <w:rPr>
                      <w:color w:val="auto"/>
                      <w:kern w:val="0"/>
                      <w:szCs w:val="21"/>
                      <w:lang w:bidi="ar"/>
                    </w:rPr>
                  </w:pPr>
                  <w:r>
                    <w:rPr>
                      <w:rFonts w:hint="default" w:ascii="Times New Roman" w:hAnsi="Times New Roman" w:eastAsia="宋体" w:cs="Times New Roman"/>
                      <w:color w:val="auto"/>
                      <w:lang w:val="en-US" w:eastAsia="zh-CN"/>
                    </w:rPr>
                    <w:t>1、本项目禁止使用国家规定的禁限用农药名录中的农药。2、本项</w:t>
                  </w:r>
                  <w:r>
                    <w:rPr>
                      <w:rFonts w:hint="eastAsia" w:ascii="Times New Roman" w:hAnsi="Times New Roman" w:cs="Times New Roman"/>
                      <w:color w:val="auto"/>
                      <w:lang w:val="en-US" w:eastAsia="zh-CN"/>
                    </w:rPr>
                    <w:t>目具</w:t>
                  </w:r>
                  <w:r>
                    <w:rPr>
                      <w:rFonts w:hint="default" w:ascii="Times New Roman" w:hAnsi="Times New Roman" w:eastAsia="宋体" w:cs="Times New Roman"/>
                      <w:color w:val="auto"/>
                      <w:lang w:val="en-US" w:eastAsia="zh-CN"/>
                    </w:rPr>
                    <w:t>有</w:t>
                  </w:r>
                  <w:r>
                    <w:rPr>
                      <w:rFonts w:hint="eastAsia" w:ascii="Times New Roman" w:hAnsi="Times New Roman" w:cs="Times New Roman"/>
                      <w:color w:val="auto"/>
                      <w:lang w:val="en-US" w:eastAsia="zh-CN"/>
                    </w:rPr>
                    <w:t>完善</w:t>
                  </w:r>
                  <w:r>
                    <w:rPr>
                      <w:rFonts w:hint="default" w:ascii="Times New Roman" w:hAnsi="Times New Roman" w:eastAsia="宋体" w:cs="Times New Roman"/>
                      <w:color w:val="auto"/>
                      <w:lang w:val="en-US" w:eastAsia="zh-CN"/>
                    </w:rPr>
                    <w:t>的污染防治机制（制度、设施等），后续将按要求编制处理环境污染事故的应急预案</w:t>
                  </w:r>
                </w:p>
              </w:tc>
              <w:tc>
                <w:tcPr>
                  <w:tcW w:w="459" w:type="pct"/>
                  <w:noWrap w:val="0"/>
                  <w:vAlign w:val="center"/>
                </w:tcPr>
                <w:p w14:paraId="65CA5BF4">
                  <w:pPr>
                    <w:overflowPunct w:val="0"/>
                    <w:topLinePunct/>
                    <w:autoSpaceDE w:val="0"/>
                    <w:autoSpaceDN w:val="0"/>
                    <w:adjustRightInd w:val="0"/>
                    <w:snapToGrid w:val="0"/>
                    <w:spacing w:line="240" w:lineRule="auto"/>
                    <w:jc w:val="center"/>
                    <w:textAlignment w:val="center"/>
                    <w:rPr>
                      <w:color w:val="auto"/>
                      <w:kern w:val="0"/>
                      <w:szCs w:val="21"/>
                      <w:lang w:bidi="ar"/>
                    </w:rPr>
                  </w:pPr>
                  <w:r>
                    <w:rPr>
                      <w:color w:val="auto"/>
                      <w:kern w:val="0"/>
                      <w:szCs w:val="21"/>
                      <w:lang w:bidi="ar"/>
                    </w:rPr>
                    <w:t>符合</w:t>
                  </w:r>
                </w:p>
              </w:tc>
            </w:tr>
            <w:tr w14:paraId="270C35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99" w:type="pct"/>
                  <w:vMerge w:val="continue"/>
                  <w:noWrap w:val="0"/>
                  <w:vAlign w:val="center"/>
                </w:tcPr>
                <w:p w14:paraId="6BDE1EFB">
                  <w:pPr>
                    <w:overflowPunct w:val="0"/>
                    <w:topLinePunct/>
                    <w:autoSpaceDE w:val="0"/>
                    <w:autoSpaceDN w:val="0"/>
                    <w:adjustRightInd w:val="0"/>
                    <w:snapToGrid w:val="0"/>
                    <w:spacing w:line="240" w:lineRule="auto"/>
                    <w:jc w:val="center"/>
                    <w:textAlignment w:val="center"/>
                    <w:rPr>
                      <w:b/>
                      <w:bCs/>
                      <w:color w:val="auto"/>
                      <w:szCs w:val="21"/>
                    </w:rPr>
                  </w:pPr>
                </w:p>
              </w:tc>
              <w:tc>
                <w:tcPr>
                  <w:tcW w:w="379" w:type="pct"/>
                  <w:noWrap w:val="0"/>
                  <w:vAlign w:val="center"/>
                </w:tcPr>
                <w:p w14:paraId="24E4AEC1">
                  <w:pPr>
                    <w:overflowPunct w:val="0"/>
                    <w:topLinePunct/>
                    <w:autoSpaceDE w:val="0"/>
                    <w:autoSpaceDN w:val="0"/>
                    <w:adjustRightInd w:val="0"/>
                    <w:snapToGrid w:val="0"/>
                    <w:spacing w:line="240" w:lineRule="auto"/>
                    <w:jc w:val="center"/>
                    <w:textAlignment w:val="center"/>
                    <w:rPr>
                      <w:color w:val="auto"/>
                      <w:kern w:val="0"/>
                      <w:szCs w:val="21"/>
                      <w:lang w:bidi="ar"/>
                    </w:rPr>
                  </w:pPr>
                  <w:r>
                    <w:rPr>
                      <w:color w:val="auto"/>
                      <w:kern w:val="0"/>
                      <w:szCs w:val="21"/>
                      <w:lang w:bidi="ar"/>
                    </w:rPr>
                    <w:t>资源开发效率要求</w:t>
                  </w:r>
                </w:p>
              </w:tc>
              <w:tc>
                <w:tcPr>
                  <w:tcW w:w="2355" w:type="pct"/>
                  <w:noWrap w:val="0"/>
                  <w:vAlign w:val="center"/>
                </w:tcPr>
                <w:p w14:paraId="23A16452">
                  <w:pPr>
                    <w:overflowPunct w:val="0"/>
                    <w:topLinePunct/>
                    <w:autoSpaceDE w:val="0"/>
                    <w:autoSpaceDN w:val="0"/>
                    <w:adjustRightInd w:val="0"/>
                    <w:snapToGrid w:val="0"/>
                    <w:spacing w:line="240" w:lineRule="auto"/>
                    <w:jc w:val="center"/>
                    <w:textAlignment w:val="center"/>
                    <w:rPr>
                      <w:rFonts w:hint="eastAsia"/>
                      <w:color w:val="auto"/>
                      <w:szCs w:val="21"/>
                    </w:rPr>
                  </w:pPr>
                  <w:r>
                    <w:rPr>
                      <w:rFonts w:hint="eastAsia"/>
                      <w:color w:val="auto"/>
                      <w:szCs w:val="21"/>
                    </w:rPr>
                    <w:t>1.优化能源结构，加强能源清洁利用。</w:t>
                  </w:r>
                </w:p>
                <w:p w14:paraId="41973420">
                  <w:pPr>
                    <w:overflowPunct w:val="0"/>
                    <w:topLinePunct/>
                    <w:autoSpaceDE w:val="0"/>
                    <w:autoSpaceDN w:val="0"/>
                    <w:adjustRightInd w:val="0"/>
                    <w:snapToGrid w:val="0"/>
                    <w:spacing w:line="240" w:lineRule="auto"/>
                    <w:jc w:val="center"/>
                    <w:textAlignment w:val="center"/>
                    <w:rPr>
                      <w:color w:val="auto"/>
                      <w:kern w:val="0"/>
                      <w:szCs w:val="21"/>
                      <w:lang w:bidi="ar"/>
                    </w:rPr>
                  </w:pPr>
                  <w:r>
                    <w:rPr>
                      <w:rFonts w:hint="eastAsia"/>
                      <w:color w:val="auto"/>
                      <w:szCs w:val="21"/>
                    </w:rPr>
                    <w:t>2.提高土地利用效率，节约集约利用土地资源。</w:t>
                  </w:r>
                </w:p>
              </w:tc>
              <w:tc>
                <w:tcPr>
                  <w:tcW w:w="1835" w:type="dxa"/>
                  <w:noWrap w:val="0"/>
                  <w:vAlign w:val="center"/>
                </w:tcPr>
                <w:p w14:paraId="52DDBD49">
                  <w:pPr>
                    <w:keepNext w:val="0"/>
                    <w:keepLines w:val="0"/>
                    <w:pageBreakBefore w:val="0"/>
                    <w:kinsoku/>
                    <w:wordWrap/>
                    <w:overflowPunct/>
                    <w:topLinePunct/>
                    <w:autoSpaceDE/>
                    <w:autoSpaceDN/>
                    <w:bidi w:val="0"/>
                    <w:adjustRightInd w:val="0"/>
                    <w:snapToGrid w:val="0"/>
                    <w:spacing w:line="240" w:lineRule="auto"/>
                    <w:ind w:left="0" w:leftChars="0" w:right="0" w:rightChars="0"/>
                    <w:jc w:val="center"/>
                    <w:textAlignment w:val="auto"/>
                    <w:rPr>
                      <w:color w:val="auto"/>
                      <w:kern w:val="0"/>
                      <w:szCs w:val="21"/>
                      <w:lang w:bidi="ar"/>
                    </w:rPr>
                  </w:pPr>
                  <w:r>
                    <w:rPr>
                      <w:rFonts w:hint="default" w:ascii="Times New Roman" w:hAnsi="Times New Roman" w:eastAsia="宋体" w:cs="Times New Roman"/>
                      <w:color w:val="auto"/>
                      <w:lang w:val="en-US" w:eastAsia="zh-CN"/>
                    </w:rPr>
                    <w:t>1、本项目属于清洁能源项目；2、本项目</w:t>
                  </w:r>
                  <w:r>
                    <w:rPr>
                      <w:rFonts w:hint="default" w:ascii="Times New Roman" w:hAnsi="Times New Roman" w:cs="Times New Roman"/>
                      <w:color w:val="auto"/>
                      <w:lang w:val="en-US" w:eastAsia="zh-CN"/>
                    </w:rPr>
                    <w:t>优化占地，提高土地利用率，节约土地资源</w:t>
                  </w:r>
                  <w:r>
                    <w:rPr>
                      <w:rFonts w:hint="default" w:ascii="Times New Roman" w:hAnsi="Times New Roman" w:eastAsia="宋体" w:cs="Times New Roman"/>
                      <w:color w:val="auto"/>
                      <w:lang w:val="en-US" w:eastAsia="zh-CN"/>
                    </w:rPr>
                    <w:t>。</w:t>
                  </w:r>
                </w:p>
              </w:tc>
              <w:tc>
                <w:tcPr>
                  <w:tcW w:w="459" w:type="pct"/>
                  <w:noWrap w:val="0"/>
                  <w:vAlign w:val="center"/>
                </w:tcPr>
                <w:p w14:paraId="02904FCC">
                  <w:pPr>
                    <w:overflowPunct w:val="0"/>
                    <w:topLinePunct/>
                    <w:autoSpaceDE w:val="0"/>
                    <w:autoSpaceDN w:val="0"/>
                    <w:adjustRightInd w:val="0"/>
                    <w:snapToGrid w:val="0"/>
                    <w:spacing w:line="240" w:lineRule="auto"/>
                    <w:jc w:val="center"/>
                    <w:textAlignment w:val="center"/>
                    <w:rPr>
                      <w:color w:val="auto"/>
                      <w:kern w:val="0"/>
                      <w:szCs w:val="21"/>
                      <w:lang w:bidi="ar"/>
                    </w:rPr>
                  </w:pPr>
                  <w:r>
                    <w:rPr>
                      <w:color w:val="auto"/>
                      <w:kern w:val="0"/>
                      <w:szCs w:val="21"/>
                      <w:lang w:bidi="ar"/>
                    </w:rPr>
                    <w:t>符合</w:t>
                  </w:r>
                </w:p>
              </w:tc>
            </w:tr>
          </w:tbl>
          <w:p w14:paraId="2DD453C4">
            <w:pPr>
              <w:keepNext w:val="0"/>
              <w:keepLines w:val="0"/>
              <w:pageBreakBefore w:val="0"/>
              <w:widowControl w:val="0"/>
              <w:kinsoku/>
              <w:wordWrap/>
              <w:overflowPunct/>
              <w:topLinePunct w:val="0"/>
              <w:autoSpaceDE w:val="0"/>
              <w:autoSpaceDN w:val="0"/>
              <w:bidi w:val="0"/>
              <w:adjustRightInd w:val="0"/>
              <w:snapToGrid w:val="0"/>
              <w:spacing w:line="440" w:lineRule="exact"/>
              <w:ind w:left="0" w:right="0"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受自然条件等因素限制，线路不可避让跨越生态保护红线，对照《有限人为活动准入目录》，属于准入类别，“输电线塔基、通讯基站等小面积零星分散建设项目用地”属于准入目录，属于“必须且无法避让、符合县级以上国土空间规划的线性基础设施”</w:t>
            </w:r>
            <w:r>
              <w:rPr>
                <w:rFonts w:hint="eastAsia" w:ascii="Times New Roman" w:hAnsi="Times New Roman" w:cs="Times New Roman"/>
                <w:color w:val="auto"/>
                <w:sz w:val="24"/>
                <w:lang w:val="en-US" w:eastAsia="zh-CN"/>
              </w:rPr>
              <w:t>。</w:t>
            </w:r>
          </w:p>
          <w:p w14:paraId="5CB91B02">
            <w:pPr>
              <w:keepNext w:val="0"/>
              <w:keepLines w:val="0"/>
              <w:pageBreakBefore w:val="0"/>
              <w:widowControl w:val="0"/>
              <w:kinsoku/>
              <w:wordWrap/>
              <w:overflowPunct/>
              <w:topLinePunct w:val="0"/>
              <w:autoSpaceDE w:val="0"/>
              <w:autoSpaceDN w:val="0"/>
              <w:bidi w:val="0"/>
              <w:adjustRightInd w:val="0"/>
              <w:snapToGrid w:val="0"/>
              <w:spacing w:line="440" w:lineRule="exact"/>
              <w:ind w:left="0" w:right="0"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本工程属于输变电线路线性基础设施建设项目，</w:t>
            </w:r>
            <w:r>
              <w:rPr>
                <w:rFonts w:hint="eastAsia" w:ascii="Times New Roman" w:hAnsi="Times New Roman" w:cs="Times New Roman"/>
                <w:color w:val="auto"/>
                <w:sz w:val="24"/>
                <w:lang w:val="en-US" w:eastAsia="zh-CN"/>
              </w:rPr>
              <w:t>属于</w:t>
            </w:r>
            <w:r>
              <w:rPr>
                <w:rFonts w:hint="default" w:ascii="Times New Roman" w:hAnsi="Times New Roman" w:eastAsia="宋体" w:cs="Times New Roman"/>
                <w:color w:val="auto"/>
                <w:sz w:val="24"/>
                <w:lang w:val="en-US" w:eastAsia="zh-CN"/>
              </w:rPr>
              <w:t>准入目录</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rPr>
              <w:t>本环评还提出针对生态保护红线的保护措施与要求，本项目占地范围内不涉及占用生态保护红线，不会对生态功能造成破坏，不影响整体森林生态系统功能发挥。</w:t>
            </w:r>
          </w:p>
          <w:p w14:paraId="2DAC025A">
            <w:pPr>
              <w:keepNext w:val="0"/>
              <w:keepLines w:val="0"/>
              <w:pageBreakBefore w:val="0"/>
              <w:widowControl w:val="0"/>
              <w:kinsoku/>
              <w:wordWrap/>
              <w:overflowPunct/>
              <w:topLinePunct w:val="0"/>
              <w:autoSpaceDE w:val="0"/>
              <w:autoSpaceDN w:val="0"/>
              <w:bidi w:val="0"/>
              <w:adjustRightInd w:val="0"/>
              <w:snapToGrid w:val="0"/>
              <w:spacing w:line="440" w:lineRule="exact"/>
              <w:ind w:left="0" w:right="0"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因此，本项目的建设符合现行生态保护红线管理要求</w:t>
            </w: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项目</w:t>
            </w:r>
            <w:r>
              <w:rPr>
                <w:rFonts w:hint="default" w:ascii="Times New Roman" w:hAnsi="Times New Roman" w:eastAsia="宋体" w:cs="Times New Roman"/>
                <w:color w:val="auto"/>
                <w:sz w:val="24"/>
              </w:rPr>
              <w:t>建设符合</w:t>
            </w:r>
            <w:r>
              <w:rPr>
                <w:rFonts w:hint="default" w:ascii="Times New Roman" w:hAnsi="Times New Roman" w:eastAsia="宋体" w:cs="Times New Roman"/>
                <w:color w:val="auto"/>
                <w:sz w:val="24"/>
                <w:lang w:val="en-US" w:eastAsia="zh-CN"/>
              </w:rPr>
              <w:t>《曲靖市生态环境分区管控动态更新方案（2023年）》</w:t>
            </w:r>
            <w:r>
              <w:rPr>
                <w:rFonts w:hint="default" w:ascii="Times New Roman" w:hAnsi="Times New Roman" w:eastAsia="宋体" w:cs="Times New Roman"/>
                <w:color w:val="auto"/>
                <w:sz w:val="24"/>
              </w:rPr>
              <w:t>的相关要求。</w:t>
            </w:r>
          </w:p>
          <w:p w14:paraId="38941894">
            <w:pPr>
              <w:numPr>
                <w:ilvl w:val="0"/>
                <w:numId w:val="0"/>
              </w:numPr>
              <w:adjustRightInd w:val="0"/>
              <w:snapToGrid w:val="0"/>
              <w:spacing w:line="440" w:lineRule="exact"/>
              <w:ind w:firstLine="482" w:firstLineChars="200"/>
              <w:rPr>
                <w:b/>
                <w:bCs/>
                <w:color w:val="auto"/>
                <w:kern w:val="2"/>
                <w:sz w:val="24"/>
                <w:szCs w:val="24"/>
                <w:lang w:val="en-US" w:eastAsia="zh-CN" w:bidi="ar-SA"/>
              </w:rPr>
            </w:pPr>
            <w:r>
              <w:rPr>
                <w:rFonts w:hint="eastAsia"/>
                <w:b/>
                <w:bCs/>
                <w:color w:val="auto"/>
                <w:kern w:val="2"/>
                <w:sz w:val="24"/>
                <w:szCs w:val="24"/>
                <w:lang w:val="en-US" w:eastAsia="zh-CN" w:bidi="ar-SA"/>
              </w:rPr>
              <w:t>4</w:t>
            </w:r>
            <w:r>
              <w:rPr>
                <w:b/>
                <w:bCs/>
                <w:color w:val="auto"/>
                <w:kern w:val="2"/>
                <w:sz w:val="24"/>
                <w:szCs w:val="24"/>
                <w:lang w:val="en-US" w:eastAsia="zh-CN" w:bidi="ar-SA"/>
              </w:rPr>
              <w:t>、与《中国生物多样性保护战略与行动计划（2023-2030年）》符合性分析</w:t>
            </w:r>
          </w:p>
          <w:p w14:paraId="0E7C80FE">
            <w:pPr>
              <w:autoSpaceDE w:val="0"/>
              <w:autoSpaceDN w:val="0"/>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根据《中国生物多样性保护战略与行动计划（2023-2030年）》及《中国生物多样性保护优先区域范围》（环境保护部公告</w:t>
            </w:r>
            <w:r>
              <w:rPr>
                <w:rFonts w:hint="eastAsia" w:ascii="Times New Roman" w:hAnsi="Times New Roman"/>
                <w:color w:val="auto"/>
                <w:sz w:val="24"/>
              </w:rPr>
              <w:t xml:space="preserve"> </w:t>
            </w:r>
            <w:r>
              <w:rPr>
                <w:rFonts w:ascii="Times New Roman" w:hAnsi="Times New Roman"/>
                <w:color w:val="auto"/>
                <w:sz w:val="24"/>
              </w:rPr>
              <w:t>2015年第94号），本项目输电线路不涉及中国生物多样性保护优先区域，根据叠图，项目位于横断山南段生物多样性保护优先区域</w:t>
            </w:r>
            <w:r>
              <w:rPr>
                <w:rFonts w:hint="eastAsia" w:ascii="Times New Roman" w:hAnsi="Times New Roman"/>
                <w:color w:val="auto"/>
                <w:sz w:val="24"/>
              </w:rPr>
              <w:t>东南</w:t>
            </w:r>
            <w:r>
              <w:rPr>
                <w:rFonts w:ascii="Times New Roman" w:hAnsi="Times New Roman"/>
                <w:color w:val="auto"/>
                <w:sz w:val="24"/>
              </w:rPr>
              <w:t>侧，项目建设区域不涉及中国生物多样性保护优先区域。</w:t>
            </w:r>
          </w:p>
          <w:p w14:paraId="244E525B">
            <w:pPr>
              <w:adjustRightInd w:val="0"/>
              <w:snapToGrid w:val="0"/>
              <w:spacing w:line="240" w:lineRule="auto"/>
              <w:jc w:val="center"/>
              <w:rPr>
                <w:color w:val="auto"/>
              </w:rPr>
            </w:pPr>
            <w:r>
              <w:rPr>
                <w:color w:val="auto"/>
              </w:rPr>
              <mc:AlternateContent>
                <mc:Choice Requires="wps">
                  <w:drawing>
                    <wp:anchor distT="0" distB="0" distL="114300" distR="114300" simplePos="0" relativeHeight="251670528" behindDoc="0" locked="0" layoutInCell="1" allowOverlap="1">
                      <wp:simplePos x="0" y="0"/>
                      <wp:positionH relativeFrom="column">
                        <wp:posOffset>675005</wp:posOffset>
                      </wp:positionH>
                      <wp:positionV relativeFrom="paragraph">
                        <wp:posOffset>1495425</wp:posOffset>
                      </wp:positionV>
                      <wp:extent cx="880110" cy="280670"/>
                      <wp:effectExtent l="4445" t="4445" r="1991995" b="133985"/>
                      <wp:wrapNone/>
                      <wp:docPr id="103" name="矩形标注 8"/>
                      <wp:cNvGraphicFramePr/>
                      <a:graphic xmlns:a="http://schemas.openxmlformats.org/drawingml/2006/main">
                        <a:graphicData uri="http://schemas.microsoft.com/office/word/2010/wordprocessingShape">
                          <wps:wsp>
                            <wps:cNvSpPr/>
                            <wps:spPr>
                              <a:xfrm flipH="1">
                                <a:off x="0" y="0"/>
                                <a:ext cx="880110" cy="280670"/>
                              </a:xfrm>
                              <a:prstGeom prst="wedgeRectCallout">
                                <a:avLst>
                                  <a:gd name="adj1" fmla="val -270346"/>
                                  <a:gd name="adj2" fmla="val 90950"/>
                                </a:avLst>
                              </a:prstGeom>
                              <a:noFill/>
                              <a:ln w="9525" cap="flat" cmpd="sng">
                                <a:solidFill>
                                  <a:srgbClr val="00B0F0"/>
                                </a:solidFill>
                                <a:prstDash val="solid"/>
                                <a:miter/>
                                <a:headEnd type="none" w="med" len="med"/>
                                <a:tailEnd type="none" w="med" len="med"/>
                              </a:ln>
                              <a:effectLst/>
                            </wps:spPr>
                            <wps:txbx>
                              <w:txbxContent>
                                <w:p w14:paraId="578F812A">
                                  <w:pPr>
                                    <w:rPr>
                                      <w:b/>
                                      <w:bCs/>
                                      <w:color w:val="FF0000"/>
                                    </w:rPr>
                                  </w:pPr>
                                  <w:r>
                                    <w:rPr>
                                      <w:rFonts w:hint="eastAsia"/>
                                      <w:b/>
                                      <w:bCs/>
                                      <w:color w:val="FF0000"/>
                                    </w:rPr>
                                    <w:t>项目区位置</w:t>
                                  </w:r>
                                </w:p>
                              </w:txbxContent>
                            </wps:txbx>
                            <wps:bodyPr wrap="square" upright="1"/>
                          </wps:wsp>
                        </a:graphicData>
                      </a:graphic>
                    </wp:anchor>
                  </w:drawing>
                </mc:Choice>
                <mc:Fallback>
                  <w:pict>
                    <v:shape id="矩形标注 8" o:spid="_x0000_s1026" o:spt="61" type="#_x0000_t61" style="position:absolute;left:0pt;flip:x;margin-left:53.15pt;margin-top:117.75pt;height:22.1pt;width:69.3pt;z-index:251670528;mso-width-relative:page;mso-height-relative:page;" filled="f" stroked="t" coordsize="21600,21600" o:gfxdata="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CCcsuPaAAAACwEAAA8A&#10;AAAAAAAAAQAgAAAAIgAAAGRycy9kb3ducmV2LnhtbFBLAQIUABQAAAAIAIdO4kCQj4VJTgIAAIwE&#10;AAAOAAAAAAAAAAEAIAAAACkBAABkcnMvZTJvRG9jLnhtbFBLBQYAAAAABgAGAFkBAADpBQAAAAA=&#10;" adj="-47595,30445">
                      <v:fill on="f" focussize="0,0"/>
                      <v:stroke color="#00B0F0" joinstyle="miter"/>
                      <v:imagedata o:title=""/>
                      <o:lock v:ext="edit" aspectratio="f"/>
                      <v:textbox>
                        <w:txbxContent>
                          <w:p w14:paraId="578F812A">
                            <w:pPr>
                              <w:rPr>
                                <w:b/>
                                <w:bCs/>
                                <w:color w:val="FF0000"/>
                              </w:rPr>
                            </w:pPr>
                            <w:r>
                              <w:rPr>
                                <w:rFonts w:hint="eastAsia"/>
                                <w:b/>
                                <w:bCs/>
                                <w:color w:val="FF0000"/>
                              </w:rPr>
                              <w:t>项目区位置</w:t>
                            </w:r>
                          </w:p>
                        </w:txbxContent>
                      </v:textbox>
                    </v:shape>
                  </w:pict>
                </mc:Fallback>
              </mc:AlternateContent>
            </w:r>
            <w:r>
              <w:rPr>
                <w:color w:val="auto"/>
              </w:rPr>
              <mc:AlternateContent>
                <mc:Choice Requires="wps">
                  <w:drawing>
                    <wp:anchor distT="0" distB="0" distL="114300" distR="114300" simplePos="0" relativeHeight="251671552" behindDoc="0" locked="0" layoutInCell="1" allowOverlap="1">
                      <wp:simplePos x="0" y="0"/>
                      <wp:positionH relativeFrom="column">
                        <wp:posOffset>3440430</wp:posOffset>
                      </wp:positionH>
                      <wp:positionV relativeFrom="paragraph">
                        <wp:posOffset>1884680</wp:posOffset>
                      </wp:positionV>
                      <wp:extent cx="186690" cy="29210"/>
                      <wp:effectExtent l="4445" t="0" r="23495" b="3810"/>
                      <wp:wrapNone/>
                      <wp:docPr id="104" name="曲线连接符 10"/>
                      <wp:cNvGraphicFramePr/>
                      <a:graphic xmlns:a="http://schemas.openxmlformats.org/drawingml/2006/main">
                        <a:graphicData uri="http://schemas.microsoft.com/office/word/2010/wordprocessingShape">
                          <wps:wsp>
                            <wps:cNvCnPr/>
                            <wps:spPr>
                              <a:xfrm rot="5400000">
                                <a:off x="0" y="0"/>
                                <a:ext cx="186690" cy="29210"/>
                              </a:xfrm>
                              <a:prstGeom prst="curvedConnector3">
                                <a:avLst>
                                  <a:gd name="adj1" fmla="val 50340"/>
                                </a:avLst>
                              </a:prstGeom>
                              <a:ln w="9525" cap="flat" cmpd="sng">
                                <a:solidFill>
                                  <a:srgbClr val="FF0000"/>
                                </a:solidFill>
                                <a:prstDash val="solid"/>
                                <a:headEnd type="none" w="med" len="med"/>
                                <a:tailEnd type="none" w="med" len="med"/>
                              </a:ln>
                              <a:effectLst/>
                            </wps:spPr>
                            <wps:bodyPr/>
                          </wps:wsp>
                        </a:graphicData>
                      </a:graphic>
                    </wp:anchor>
                  </w:drawing>
                </mc:Choice>
                <mc:Fallback>
                  <w:pict>
                    <v:shape id="曲线连接符 10" o:spid="_x0000_s1026" o:spt="38" type="#_x0000_t38" style="position:absolute;left:0pt;margin-left:270.9pt;margin-top:148.4pt;height:2.3pt;width:14.7pt;rotation:5898240f;z-index:251671552;mso-width-relative:page;mso-height-relative:page;" filled="f" stroked="t" coordsize="21600,21600" o:gfxdata="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9&#10;frhh1wAAAAsBAAAPAAAAAAAAAAEAIAAAACIAAABkcnMvZG93bnJldi54bWxQSwECFAAUAAAACACH&#10;TuJAGSaeGCUCAAAzBAAADgAAAAAAAAABACAAAAAmAQAAZHJzL2Uyb0RvYy54bWxQSwUGAAAAAAYA&#10;BgBZAQAAvQUAAAAA&#10;" adj="10873">
                      <v:fill on="f" focussize="0,0"/>
                      <v:stroke color="#FF0000" joinstyle="round"/>
                      <v:imagedata o:title=""/>
                      <o:lock v:ext="edit" aspectratio="f"/>
                    </v:shape>
                  </w:pict>
                </mc:Fallback>
              </mc:AlternateContent>
            </w:r>
            <w:r>
              <w:rPr>
                <w:color w:val="auto"/>
                <w:sz w:val="24"/>
              </w:rPr>
              <w:drawing>
                <wp:inline distT="0" distB="0" distL="114300" distR="114300">
                  <wp:extent cx="4600575" cy="2696845"/>
                  <wp:effectExtent l="0" t="0" r="9525" b="8255"/>
                  <wp:docPr id="111" name="图片 110" descr="18.横断山南段生物多样性保护优先区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0" descr="18.横断山南段生物多样性保护优先区域"/>
                          <pic:cNvPicPr>
                            <a:picLocks noChangeAspect="1"/>
                          </pic:cNvPicPr>
                        </pic:nvPicPr>
                        <pic:blipFill>
                          <a:blip r:embed="rId21"/>
                          <a:stretch>
                            <a:fillRect/>
                          </a:stretch>
                        </pic:blipFill>
                        <pic:spPr>
                          <a:xfrm>
                            <a:off x="0" y="0"/>
                            <a:ext cx="4600575" cy="2696845"/>
                          </a:xfrm>
                          <a:prstGeom prst="rect">
                            <a:avLst/>
                          </a:prstGeom>
                          <a:noFill/>
                          <a:ln>
                            <a:noFill/>
                          </a:ln>
                        </pic:spPr>
                      </pic:pic>
                    </a:graphicData>
                  </a:graphic>
                </wp:inline>
              </w:drawing>
            </w:r>
          </w:p>
          <w:p w14:paraId="359C3919">
            <w:pPr>
              <w:adjustRightInd w:val="0"/>
              <w:snapToGrid w:val="0"/>
              <w:spacing w:line="240" w:lineRule="auto"/>
              <w:jc w:val="center"/>
              <w:rPr>
                <w:rFonts w:ascii="Times New Roman" w:hAnsi="Times New Roman"/>
                <w:b/>
                <w:bCs/>
                <w:color w:val="auto"/>
                <w:sz w:val="24"/>
              </w:rPr>
            </w:pPr>
            <w:r>
              <w:rPr>
                <w:rFonts w:ascii="Times New Roman" w:hAnsi="Times New Roman"/>
                <w:b/>
                <w:bCs/>
                <w:color w:val="auto"/>
                <w:sz w:val="24"/>
              </w:rPr>
              <w:t>图1-</w:t>
            </w:r>
            <w:r>
              <w:rPr>
                <w:rFonts w:hint="eastAsia" w:ascii="Times New Roman" w:hAnsi="Times New Roman"/>
                <w:b/>
                <w:bCs/>
                <w:color w:val="auto"/>
                <w:sz w:val="24"/>
              </w:rPr>
              <w:t>5</w:t>
            </w:r>
            <w:r>
              <w:rPr>
                <w:rFonts w:ascii="Times New Roman" w:hAnsi="Times New Roman"/>
                <w:b/>
                <w:bCs/>
                <w:color w:val="auto"/>
                <w:sz w:val="24"/>
              </w:rPr>
              <w:t xml:space="preserve">  项目与中国生物多样性保护优先区域位置关系图</w:t>
            </w:r>
          </w:p>
          <w:p w14:paraId="3B3A3E89">
            <w:pPr>
              <w:adjustRightInd w:val="0"/>
              <w:snapToGrid w:val="0"/>
              <w:spacing w:line="440" w:lineRule="exact"/>
              <w:ind w:firstLine="480" w:firstLineChars="200"/>
              <w:rPr>
                <w:rFonts w:ascii="Times New Roman" w:hAnsi="Times New Roman"/>
                <w:color w:val="auto"/>
                <w:sz w:val="24"/>
              </w:rPr>
            </w:pPr>
            <w:r>
              <w:rPr>
                <w:rFonts w:hint="eastAsia" w:ascii="Times New Roman" w:hAnsi="Times New Roman"/>
                <w:color w:val="auto"/>
                <w:sz w:val="24"/>
              </w:rPr>
              <w:t>《中国生物多样性保护战略与行动计划（2023-2030年）》提出：战略定位——生物多样性协同治理的行动表率，加大生物多样性保护优先区域及空缺区域的保护力度，加强典型性、代表性自然生态系统、珍稀物种和遗传资源保护，实施针对性的保护和监管措施，有效应对生物多样性丧失，协同推进降碳、减污、扩绿、增长，推进生态优先、节约集约、绿色低碳发展，打造生物多样性协同治理的中国方案。</w:t>
            </w:r>
          </w:p>
          <w:p w14:paraId="250F33F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color w:val="auto"/>
                <w:sz w:val="24"/>
              </w:rPr>
            </w:pPr>
            <w:r>
              <w:rPr>
                <w:rFonts w:hint="eastAsia" w:ascii="Times New Roman" w:hAnsi="Times New Roman"/>
                <w:color w:val="auto"/>
                <w:sz w:val="24"/>
              </w:rPr>
              <w:t>战略任务——完善生物多样性保护空间网络。推进以国家公园为主体的自然保护地体系建设，严守生态保护红线。完善国家重点生态功能区、生物多样性保护优先区域保护指引，遏制资源过度开发和生产生活对生物多样性的不利影响。优化建设各级各类抢救性迁地保护设施。加快建设生态廊道，填补重要区域和重要物种保护空缺。</w:t>
            </w:r>
          </w:p>
          <w:p w14:paraId="3FE52FD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b/>
                <w:bCs/>
                <w:color w:val="auto"/>
                <w:sz w:val="24"/>
              </w:rPr>
            </w:pPr>
            <w:r>
              <w:rPr>
                <w:rFonts w:hint="eastAsia" w:ascii="Times New Roman" w:hAnsi="Times New Roman" w:eastAsia="宋体" w:cs="Times New Roman"/>
                <w:color w:val="auto"/>
                <w:sz w:val="24"/>
              </w:rPr>
              <w:t>本项目为基础设施建设项目，不属于资源开发、生产生活类型项目。本项目新建</w:t>
            </w:r>
            <w:r>
              <w:rPr>
                <w:rFonts w:hint="eastAsia" w:ascii="Times New Roman" w:hAnsi="Times New Roman" w:eastAsia="宋体" w:cs="Times New Roman"/>
                <w:color w:val="auto"/>
                <w:sz w:val="24"/>
                <w:lang w:val="en-US" w:eastAsia="zh-CN"/>
              </w:rPr>
              <w:t>11</w:t>
            </w:r>
            <w:r>
              <w:rPr>
                <w:rFonts w:hint="eastAsia" w:ascii="Times New Roman" w:hAnsi="Times New Roman" w:eastAsia="宋体" w:cs="Times New Roman"/>
                <w:color w:val="auto"/>
                <w:sz w:val="24"/>
              </w:rPr>
              <w:t>0kV输电线路穿越生态保护红线，符合生态保护红线相关法规要求；采取避让、减缓、恢复和补偿以及管理、监测措施后，对生物多样性的不利影响很小，与《中国生物多样性保护战略与行动计划（2023</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2030年）》相关要求不冲突。</w:t>
            </w:r>
          </w:p>
          <w:p w14:paraId="5D07675B">
            <w:pPr>
              <w:numPr>
                <w:ilvl w:val="0"/>
                <w:numId w:val="0"/>
              </w:numPr>
              <w:adjustRightInd w:val="0"/>
              <w:snapToGrid w:val="0"/>
              <w:spacing w:line="440" w:lineRule="exact"/>
              <w:ind w:firstLine="482" w:firstLineChars="200"/>
              <w:rPr>
                <w:b/>
                <w:bCs/>
                <w:color w:val="auto"/>
                <w:sz w:val="24"/>
              </w:rPr>
            </w:pPr>
            <w:r>
              <w:rPr>
                <w:rFonts w:hint="eastAsia"/>
                <w:b/>
                <w:bCs/>
                <w:color w:val="auto"/>
                <w:sz w:val="24"/>
                <w:lang w:val="en-US" w:eastAsia="zh-CN"/>
              </w:rPr>
              <w:t>5、</w:t>
            </w:r>
            <w:r>
              <w:rPr>
                <w:b/>
                <w:bCs/>
                <w:color w:val="auto"/>
                <w:sz w:val="24"/>
              </w:rPr>
              <w:t>与《云南省生物多样性保护战略与行动计划（2024—2030年）》相符性分析</w:t>
            </w:r>
          </w:p>
          <w:p w14:paraId="2C65A498">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根据《云南省生物多样性保护战略与行动计划（2012</w:t>
            </w:r>
            <w:r>
              <w:rPr>
                <w:rFonts w:hint="eastAsia"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2030年）》，将云南的滇西北高山峡谷针叶林区域、云南南部边缘热带雨林区域、滇东南喀斯特东南季风阔叶林区域、滇东北乌蒙山湿润常绿阔叶林区域、澜沧江中游一哀牢山中山湿性常绿阔叶林区域、云南高原湿地区域等6个区域划分为一级生物多样性保护优先区域。在综合考量生态系统类型的代表性，生态系统的特有性及其特殊生态功能，物种的特有性、丰富度、珍稀濒危程度、区域代表性、科学研究价值和分布数据的可获得性等基础上，进一步划定了18个二级生物多样性保护优先区，涉及16个州市101个县（区），总面积9.5万km</w:t>
            </w:r>
            <w:r>
              <w:rPr>
                <w:rFonts w:hint="default" w:ascii="Times New Roman" w:hAnsi="Times New Roman" w:eastAsia="宋体" w:cs="Times New Roman"/>
                <w:b w:val="0"/>
                <w:bCs w:val="0"/>
                <w:color w:val="auto"/>
                <w:sz w:val="24"/>
                <w:szCs w:val="24"/>
                <w:highlight w:val="none"/>
                <w:vertAlign w:val="superscript"/>
                <w:lang w:val="en-US" w:eastAsia="zh-CN"/>
              </w:rPr>
              <w:t>2</w:t>
            </w:r>
            <w:r>
              <w:rPr>
                <w:rFonts w:hint="default" w:ascii="Times New Roman" w:hAnsi="Times New Roman" w:eastAsia="宋体" w:cs="Times New Roman"/>
                <w:b w:val="0"/>
                <w:bCs w:val="0"/>
                <w:color w:val="auto"/>
                <w:sz w:val="24"/>
                <w:szCs w:val="24"/>
                <w:highlight w:val="none"/>
                <w:lang w:val="en-US" w:eastAsia="zh-CN"/>
              </w:rPr>
              <w:t>，占云南国土面积的23.86%，并针对6个优先区域提出了9大保护优先领域和34项行动。</w:t>
            </w:r>
          </w:p>
          <w:p w14:paraId="2B2B5002">
            <w:pPr>
              <w:autoSpaceDE w:val="0"/>
              <w:autoSpaceDN w:val="0"/>
              <w:adjustRightInd w:val="0"/>
              <w:snapToGrid w:val="0"/>
              <w:spacing w:line="240" w:lineRule="auto"/>
              <w:ind w:firstLine="482" w:firstLineChars="200"/>
              <w:jc w:val="center"/>
              <w:rPr>
                <w:rFonts w:hint="default" w:ascii="Times New Roman" w:hAnsi="Times New Roman" w:eastAsia="宋体" w:cs="Times New Roman"/>
                <w:b/>
                <w:bCs/>
                <w:color w:val="auto"/>
                <w:kern w:val="0"/>
                <w:sz w:val="24"/>
                <w:szCs w:val="24"/>
                <w:lang w:val="en-US" w:eastAsia="zh-CN" w:bidi="ar"/>
              </w:rPr>
            </w:pPr>
            <w:r>
              <w:rPr>
                <w:rFonts w:hint="default" w:ascii="Times New Roman" w:hAnsi="Times New Roman" w:eastAsia="宋体" w:cs="Times New Roman"/>
                <w:b/>
                <w:bCs/>
                <w:color w:val="auto"/>
                <w:kern w:val="0"/>
                <w:sz w:val="24"/>
                <w:szCs w:val="24"/>
                <w:lang w:val="en-US" w:eastAsia="zh-CN" w:bidi="ar"/>
              </w:rPr>
              <w:t>表1-</w:t>
            </w:r>
            <w:r>
              <w:rPr>
                <w:rFonts w:hint="default" w:ascii="Times New Roman" w:hAnsi="Times New Roman" w:cs="Times New Roman"/>
                <w:b/>
                <w:bCs/>
                <w:color w:val="auto"/>
                <w:kern w:val="0"/>
                <w:sz w:val="24"/>
                <w:szCs w:val="24"/>
                <w:lang w:val="en-US" w:eastAsia="zh-CN" w:bidi="ar"/>
              </w:rPr>
              <w:t>5</w:t>
            </w:r>
            <w:r>
              <w:rPr>
                <w:rFonts w:hint="default" w:ascii="Times New Roman" w:hAnsi="Times New Roman" w:eastAsia="宋体" w:cs="Times New Roman"/>
                <w:b/>
                <w:bCs/>
                <w:color w:val="auto"/>
                <w:kern w:val="0"/>
                <w:sz w:val="24"/>
                <w:szCs w:val="24"/>
                <w:lang w:val="en-US" w:eastAsia="zh-CN" w:bidi="ar"/>
              </w:rPr>
              <w:t xml:space="preserve">  6个一级优先区域和18个二级优先区域一览表</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8"/>
              <w:gridCol w:w="2694"/>
              <w:gridCol w:w="3560"/>
            </w:tblGrid>
            <w:tr w14:paraId="78E7A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tcBorders>
                    <w:tl2br w:val="nil"/>
                    <w:tr2bl w:val="nil"/>
                  </w:tcBorders>
                  <w:noWrap w:val="0"/>
                  <w:vAlign w:val="center"/>
                </w:tcPr>
                <w:p w14:paraId="2F7E4E0F">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序号</w:t>
                  </w:r>
                </w:p>
              </w:tc>
              <w:tc>
                <w:tcPr>
                  <w:tcW w:w="1968" w:type="pct"/>
                  <w:tcBorders>
                    <w:tl2br w:val="nil"/>
                    <w:tr2bl w:val="nil"/>
                  </w:tcBorders>
                  <w:noWrap w:val="0"/>
                  <w:vAlign w:val="center"/>
                </w:tcPr>
                <w:p w14:paraId="5FE9EED1">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一级优先区域</w:t>
                  </w:r>
                </w:p>
              </w:tc>
              <w:tc>
                <w:tcPr>
                  <w:tcW w:w="2600" w:type="pct"/>
                  <w:tcBorders>
                    <w:tl2br w:val="nil"/>
                    <w:tr2bl w:val="nil"/>
                  </w:tcBorders>
                  <w:noWrap w:val="0"/>
                  <w:vAlign w:val="center"/>
                </w:tcPr>
                <w:p w14:paraId="540BF845">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二级优先区域</w:t>
                  </w:r>
                </w:p>
              </w:tc>
            </w:tr>
            <w:tr w14:paraId="0085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restart"/>
                  <w:tcBorders>
                    <w:tl2br w:val="nil"/>
                    <w:tr2bl w:val="nil"/>
                  </w:tcBorders>
                  <w:noWrap w:val="0"/>
                  <w:vAlign w:val="center"/>
                </w:tcPr>
                <w:p w14:paraId="6B441C62">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1</w:t>
                  </w:r>
                </w:p>
              </w:tc>
              <w:tc>
                <w:tcPr>
                  <w:tcW w:w="1968" w:type="pct"/>
                  <w:vMerge w:val="restart"/>
                  <w:tcBorders>
                    <w:tl2br w:val="nil"/>
                    <w:tr2bl w:val="nil"/>
                  </w:tcBorders>
                  <w:noWrap w:val="0"/>
                  <w:vAlign w:val="center"/>
                </w:tcPr>
                <w:p w14:paraId="57081CEB">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滇西北高山峡谷针叶林区域</w:t>
                  </w:r>
                </w:p>
              </w:tc>
              <w:tc>
                <w:tcPr>
                  <w:tcW w:w="2600" w:type="pct"/>
                  <w:tcBorders>
                    <w:tl2br w:val="nil"/>
                    <w:tr2bl w:val="nil"/>
                  </w:tcBorders>
                  <w:noWrap w:val="0"/>
                  <w:vAlign w:val="center"/>
                </w:tcPr>
                <w:p w14:paraId="5262212C">
                  <w:pPr>
                    <w:autoSpaceDE w:val="0"/>
                    <w:autoSpaceDN w:val="0"/>
                    <w:adjustRightInd w:val="0"/>
                    <w:snapToGrid w:val="0"/>
                    <w:spacing w:line="240" w:lineRule="auto"/>
                    <w:jc w:val="left"/>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①高黎贡山北段温凉性针叶林区</w:t>
                  </w:r>
                </w:p>
              </w:tc>
            </w:tr>
            <w:tr w14:paraId="5C3F3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noWrap w:val="0"/>
                  <w:vAlign w:val="center"/>
                </w:tcPr>
                <w:p w14:paraId="559D0B63">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1968" w:type="pct"/>
                  <w:vMerge w:val="continue"/>
                  <w:tcBorders>
                    <w:tl2br w:val="nil"/>
                    <w:tr2bl w:val="nil"/>
                  </w:tcBorders>
                  <w:noWrap w:val="0"/>
                  <w:vAlign w:val="center"/>
                </w:tcPr>
                <w:p w14:paraId="17271CCE">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2600" w:type="pct"/>
                  <w:tcBorders>
                    <w:tl2br w:val="nil"/>
                    <w:tr2bl w:val="nil"/>
                  </w:tcBorders>
                  <w:noWrap w:val="0"/>
                  <w:vAlign w:val="center"/>
                </w:tcPr>
                <w:p w14:paraId="4468DC9D">
                  <w:pPr>
                    <w:autoSpaceDE w:val="0"/>
                    <w:autoSpaceDN w:val="0"/>
                    <w:adjustRightInd w:val="0"/>
                    <w:snapToGrid w:val="0"/>
                    <w:spacing w:line="240" w:lineRule="auto"/>
                    <w:jc w:val="left"/>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②梅里雪山－碧罗雪山寒温性针叶林区</w:t>
                  </w:r>
                </w:p>
              </w:tc>
            </w:tr>
            <w:tr w14:paraId="7858F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noWrap w:val="0"/>
                  <w:vAlign w:val="center"/>
                </w:tcPr>
                <w:p w14:paraId="7F191EA0">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1968" w:type="pct"/>
                  <w:vMerge w:val="continue"/>
                  <w:tcBorders>
                    <w:tl2br w:val="nil"/>
                    <w:tr2bl w:val="nil"/>
                  </w:tcBorders>
                  <w:noWrap w:val="0"/>
                  <w:vAlign w:val="center"/>
                </w:tcPr>
                <w:p w14:paraId="429623A0">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2600" w:type="pct"/>
                  <w:tcBorders>
                    <w:tl2br w:val="nil"/>
                    <w:tr2bl w:val="nil"/>
                  </w:tcBorders>
                  <w:noWrap w:val="0"/>
                  <w:vAlign w:val="center"/>
                </w:tcPr>
                <w:p w14:paraId="26957C8E">
                  <w:pPr>
                    <w:autoSpaceDE w:val="0"/>
                    <w:autoSpaceDN w:val="0"/>
                    <w:adjustRightInd w:val="0"/>
                    <w:snapToGrid w:val="0"/>
                    <w:spacing w:line="240" w:lineRule="auto"/>
                    <w:jc w:val="left"/>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③云岭山脉寒温性－暖温性针叶林区</w:t>
                  </w:r>
                </w:p>
              </w:tc>
            </w:tr>
            <w:tr w14:paraId="4EF06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noWrap w:val="0"/>
                  <w:vAlign w:val="center"/>
                </w:tcPr>
                <w:p w14:paraId="3DB240B8">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1968" w:type="pct"/>
                  <w:vMerge w:val="continue"/>
                  <w:tcBorders>
                    <w:tl2br w:val="nil"/>
                    <w:tr2bl w:val="nil"/>
                  </w:tcBorders>
                  <w:noWrap w:val="0"/>
                  <w:vAlign w:val="center"/>
                </w:tcPr>
                <w:p w14:paraId="23CC3509">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2600" w:type="pct"/>
                  <w:tcBorders>
                    <w:tl2br w:val="nil"/>
                    <w:tr2bl w:val="nil"/>
                  </w:tcBorders>
                  <w:noWrap w:val="0"/>
                  <w:vAlign w:val="center"/>
                </w:tcPr>
                <w:p w14:paraId="4AC85DFE">
                  <w:pPr>
                    <w:autoSpaceDE w:val="0"/>
                    <w:autoSpaceDN w:val="0"/>
                    <w:adjustRightInd w:val="0"/>
                    <w:snapToGrid w:val="0"/>
                    <w:spacing w:line="240" w:lineRule="auto"/>
                    <w:jc w:val="left"/>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④香格里拉山原寒温性针叶林区</w:t>
                  </w:r>
                </w:p>
              </w:tc>
            </w:tr>
            <w:tr w14:paraId="7EED7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restart"/>
                  <w:tcBorders>
                    <w:tl2br w:val="nil"/>
                    <w:tr2bl w:val="nil"/>
                  </w:tcBorders>
                  <w:noWrap w:val="0"/>
                  <w:vAlign w:val="center"/>
                </w:tcPr>
                <w:p w14:paraId="1D74EEC2">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2</w:t>
                  </w:r>
                </w:p>
              </w:tc>
              <w:tc>
                <w:tcPr>
                  <w:tcW w:w="1968" w:type="pct"/>
                  <w:vMerge w:val="restart"/>
                  <w:tcBorders>
                    <w:tl2br w:val="nil"/>
                    <w:tr2bl w:val="nil"/>
                  </w:tcBorders>
                  <w:noWrap w:val="0"/>
                  <w:vAlign w:val="center"/>
                </w:tcPr>
                <w:p w14:paraId="1C61569A">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云南南部边缘热带雨林区域</w:t>
                  </w:r>
                </w:p>
              </w:tc>
              <w:tc>
                <w:tcPr>
                  <w:tcW w:w="2600" w:type="pct"/>
                  <w:tcBorders>
                    <w:tl2br w:val="nil"/>
                    <w:tr2bl w:val="nil"/>
                  </w:tcBorders>
                  <w:noWrap w:val="0"/>
                  <w:vAlign w:val="center"/>
                </w:tcPr>
                <w:p w14:paraId="256958F9">
                  <w:pPr>
                    <w:autoSpaceDE w:val="0"/>
                    <w:autoSpaceDN w:val="0"/>
                    <w:adjustRightInd w:val="0"/>
                    <w:snapToGrid w:val="0"/>
                    <w:spacing w:line="240" w:lineRule="auto"/>
                    <w:jc w:val="left"/>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①高黎贡山南段中山湿性常绿阔叶林区</w:t>
                  </w:r>
                </w:p>
              </w:tc>
            </w:tr>
            <w:tr w14:paraId="3E341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noWrap w:val="0"/>
                  <w:vAlign w:val="center"/>
                </w:tcPr>
                <w:p w14:paraId="40333AE7">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1968" w:type="pct"/>
                  <w:vMerge w:val="continue"/>
                  <w:tcBorders>
                    <w:tl2br w:val="nil"/>
                    <w:tr2bl w:val="nil"/>
                  </w:tcBorders>
                  <w:noWrap w:val="0"/>
                  <w:vAlign w:val="center"/>
                </w:tcPr>
                <w:p w14:paraId="4338D92A">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2600" w:type="pct"/>
                  <w:tcBorders>
                    <w:tl2br w:val="nil"/>
                    <w:tr2bl w:val="nil"/>
                  </w:tcBorders>
                  <w:noWrap w:val="0"/>
                  <w:vAlign w:val="center"/>
                </w:tcPr>
                <w:p w14:paraId="102D2B84">
                  <w:pPr>
                    <w:autoSpaceDE w:val="0"/>
                    <w:autoSpaceDN w:val="0"/>
                    <w:adjustRightInd w:val="0"/>
                    <w:snapToGrid w:val="0"/>
                    <w:spacing w:line="240" w:lineRule="auto"/>
                    <w:jc w:val="left"/>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②铜壁关热带雨林区</w:t>
                  </w:r>
                </w:p>
              </w:tc>
            </w:tr>
            <w:tr w14:paraId="317C9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noWrap w:val="0"/>
                  <w:vAlign w:val="center"/>
                </w:tcPr>
                <w:p w14:paraId="2DD8083B">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1968" w:type="pct"/>
                  <w:vMerge w:val="continue"/>
                  <w:tcBorders>
                    <w:tl2br w:val="nil"/>
                    <w:tr2bl w:val="nil"/>
                  </w:tcBorders>
                  <w:noWrap w:val="0"/>
                  <w:vAlign w:val="center"/>
                </w:tcPr>
                <w:p w14:paraId="5A936619">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2600" w:type="pct"/>
                  <w:tcBorders>
                    <w:tl2br w:val="nil"/>
                    <w:tr2bl w:val="nil"/>
                  </w:tcBorders>
                  <w:noWrap w:val="0"/>
                  <w:vAlign w:val="center"/>
                </w:tcPr>
                <w:p w14:paraId="27F86E6A">
                  <w:pPr>
                    <w:autoSpaceDE w:val="0"/>
                    <w:autoSpaceDN w:val="0"/>
                    <w:adjustRightInd w:val="0"/>
                    <w:snapToGrid w:val="0"/>
                    <w:spacing w:line="240" w:lineRule="auto"/>
                    <w:jc w:val="left"/>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③南汀河热带雨林区</w:t>
                  </w:r>
                </w:p>
              </w:tc>
            </w:tr>
            <w:tr w14:paraId="16108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noWrap w:val="0"/>
                  <w:vAlign w:val="center"/>
                </w:tcPr>
                <w:p w14:paraId="20F4D4AB">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1968" w:type="pct"/>
                  <w:vMerge w:val="continue"/>
                  <w:tcBorders>
                    <w:tl2br w:val="nil"/>
                    <w:tr2bl w:val="nil"/>
                  </w:tcBorders>
                  <w:noWrap w:val="0"/>
                  <w:vAlign w:val="center"/>
                </w:tcPr>
                <w:p w14:paraId="7E795E83">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2600" w:type="pct"/>
                  <w:tcBorders>
                    <w:tl2br w:val="nil"/>
                    <w:tr2bl w:val="nil"/>
                  </w:tcBorders>
                  <w:noWrap w:val="0"/>
                  <w:vAlign w:val="center"/>
                </w:tcPr>
                <w:p w14:paraId="0BA0FB63">
                  <w:pPr>
                    <w:autoSpaceDE w:val="0"/>
                    <w:autoSpaceDN w:val="0"/>
                    <w:adjustRightInd w:val="0"/>
                    <w:snapToGrid w:val="0"/>
                    <w:spacing w:line="240" w:lineRule="auto"/>
                    <w:jc w:val="left"/>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④西双版纳热带雨林区</w:t>
                  </w:r>
                </w:p>
              </w:tc>
            </w:tr>
            <w:tr w14:paraId="607DE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noWrap w:val="0"/>
                  <w:vAlign w:val="center"/>
                </w:tcPr>
                <w:p w14:paraId="207B720C">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1968" w:type="pct"/>
                  <w:vMerge w:val="continue"/>
                  <w:tcBorders>
                    <w:tl2br w:val="nil"/>
                    <w:tr2bl w:val="nil"/>
                  </w:tcBorders>
                  <w:noWrap w:val="0"/>
                  <w:vAlign w:val="center"/>
                </w:tcPr>
                <w:p w14:paraId="16F8FFF9">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2600" w:type="pct"/>
                  <w:tcBorders>
                    <w:tl2br w:val="nil"/>
                    <w:tr2bl w:val="nil"/>
                  </w:tcBorders>
                  <w:noWrap w:val="0"/>
                  <w:vAlign w:val="center"/>
                </w:tcPr>
                <w:p w14:paraId="440E04F1">
                  <w:pPr>
                    <w:autoSpaceDE w:val="0"/>
                    <w:autoSpaceDN w:val="0"/>
                    <w:adjustRightInd w:val="0"/>
                    <w:snapToGrid w:val="0"/>
                    <w:spacing w:line="240" w:lineRule="auto"/>
                    <w:jc w:val="left"/>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⑤红河湿润雨林区</w:t>
                  </w:r>
                </w:p>
              </w:tc>
            </w:tr>
            <w:tr w14:paraId="6EA6E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tcBorders>
                    <w:tl2br w:val="nil"/>
                    <w:tr2bl w:val="nil"/>
                  </w:tcBorders>
                  <w:noWrap w:val="0"/>
                  <w:vAlign w:val="center"/>
                </w:tcPr>
                <w:p w14:paraId="177F0550">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3</w:t>
                  </w:r>
                </w:p>
              </w:tc>
              <w:tc>
                <w:tcPr>
                  <w:tcW w:w="1968" w:type="pct"/>
                  <w:tcBorders>
                    <w:tl2br w:val="nil"/>
                    <w:tr2bl w:val="nil"/>
                  </w:tcBorders>
                  <w:noWrap w:val="0"/>
                  <w:vAlign w:val="center"/>
                </w:tcPr>
                <w:p w14:paraId="76DBEFD0">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滇东南喀斯特东南季风阔叶林区域</w:t>
                  </w:r>
                </w:p>
              </w:tc>
              <w:tc>
                <w:tcPr>
                  <w:tcW w:w="2600" w:type="pct"/>
                  <w:tcBorders>
                    <w:tl2br w:val="nil"/>
                    <w:tr2bl w:val="nil"/>
                  </w:tcBorders>
                  <w:noWrap w:val="0"/>
                  <w:vAlign w:val="center"/>
                </w:tcPr>
                <w:p w14:paraId="7BEEFA19">
                  <w:pPr>
                    <w:autoSpaceDE w:val="0"/>
                    <w:autoSpaceDN w:val="0"/>
                    <w:adjustRightInd w:val="0"/>
                    <w:snapToGrid w:val="0"/>
                    <w:spacing w:line="240" w:lineRule="auto"/>
                    <w:jc w:val="left"/>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①滇东南喀斯特东南季风阔叶林区域</w:t>
                  </w:r>
                </w:p>
              </w:tc>
            </w:tr>
            <w:tr w14:paraId="2D2A6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restart"/>
                  <w:tcBorders>
                    <w:tl2br w:val="nil"/>
                    <w:tr2bl w:val="nil"/>
                  </w:tcBorders>
                  <w:noWrap w:val="0"/>
                  <w:vAlign w:val="center"/>
                </w:tcPr>
                <w:p w14:paraId="646CB45A">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4</w:t>
                  </w:r>
                </w:p>
              </w:tc>
              <w:tc>
                <w:tcPr>
                  <w:tcW w:w="1968" w:type="pct"/>
                  <w:vMerge w:val="restart"/>
                  <w:tcBorders>
                    <w:tl2br w:val="nil"/>
                    <w:tr2bl w:val="nil"/>
                  </w:tcBorders>
                  <w:noWrap w:val="0"/>
                  <w:vAlign w:val="center"/>
                </w:tcPr>
                <w:p w14:paraId="7AD1D32A">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滇东北乌蒙山湿润常绿阔叶林区域</w:t>
                  </w:r>
                </w:p>
              </w:tc>
              <w:tc>
                <w:tcPr>
                  <w:tcW w:w="2600" w:type="pct"/>
                  <w:tcBorders>
                    <w:tl2br w:val="nil"/>
                    <w:tr2bl w:val="nil"/>
                  </w:tcBorders>
                  <w:noWrap w:val="0"/>
                  <w:vAlign w:val="center"/>
                </w:tcPr>
                <w:p w14:paraId="4BEAFD40">
                  <w:pPr>
                    <w:autoSpaceDE w:val="0"/>
                    <w:autoSpaceDN w:val="0"/>
                    <w:adjustRightInd w:val="0"/>
                    <w:snapToGrid w:val="0"/>
                    <w:spacing w:line="240" w:lineRule="auto"/>
                    <w:jc w:val="left"/>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①乌蒙山湿润常绿阔叶林区</w:t>
                  </w:r>
                </w:p>
              </w:tc>
            </w:tr>
            <w:tr w14:paraId="6EBE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noWrap w:val="0"/>
                  <w:vAlign w:val="center"/>
                </w:tcPr>
                <w:p w14:paraId="1DA41ED8">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1968" w:type="pct"/>
                  <w:vMerge w:val="continue"/>
                  <w:tcBorders>
                    <w:tl2br w:val="nil"/>
                    <w:tr2bl w:val="nil"/>
                  </w:tcBorders>
                  <w:noWrap w:val="0"/>
                  <w:vAlign w:val="center"/>
                </w:tcPr>
                <w:p w14:paraId="4C530ED7">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2600" w:type="pct"/>
                  <w:tcBorders>
                    <w:tl2br w:val="nil"/>
                    <w:tr2bl w:val="nil"/>
                  </w:tcBorders>
                  <w:noWrap w:val="0"/>
                  <w:vAlign w:val="center"/>
                </w:tcPr>
                <w:p w14:paraId="558299D8">
                  <w:pPr>
                    <w:autoSpaceDE w:val="0"/>
                    <w:autoSpaceDN w:val="0"/>
                    <w:adjustRightInd w:val="0"/>
                    <w:snapToGrid w:val="0"/>
                    <w:spacing w:line="240" w:lineRule="auto"/>
                    <w:jc w:val="left"/>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②金沙江下游干热、干暖河谷区</w:t>
                  </w:r>
                </w:p>
              </w:tc>
            </w:tr>
            <w:tr w14:paraId="4CF41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restart"/>
                  <w:tcBorders>
                    <w:tl2br w:val="nil"/>
                    <w:tr2bl w:val="nil"/>
                  </w:tcBorders>
                  <w:noWrap w:val="0"/>
                  <w:vAlign w:val="center"/>
                </w:tcPr>
                <w:p w14:paraId="24671A5F">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5</w:t>
                  </w:r>
                </w:p>
              </w:tc>
              <w:tc>
                <w:tcPr>
                  <w:tcW w:w="1968" w:type="pct"/>
                  <w:vMerge w:val="restart"/>
                  <w:tcBorders>
                    <w:tl2br w:val="nil"/>
                    <w:tr2bl w:val="nil"/>
                  </w:tcBorders>
                  <w:noWrap w:val="0"/>
                  <w:vAlign w:val="center"/>
                </w:tcPr>
                <w:p w14:paraId="6DE4A255">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澜沧江中游－哀牢山中山湿性常绿阔叶林区域</w:t>
                  </w:r>
                </w:p>
              </w:tc>
              <w:tc>
                <w:tcPr>
                  <w:tcW w:w="2600" w:type="pct"/>
                  <w:tcBorders>
                    <w:tl2br w:val="nil"/>
                    <w:tr2bl w:val="nil"/>
                  </w:tcBorders>
                  <w:noWrap w:val="0"/>
                  <w:vAlign w:val="center"/>
                </w:tcPr>
                <w:p w14:paraId="719D621B">
                  <w:pPr>
                    <w:autoSpaceDE w:val="0"/>
                    <w:autoSpaceDN w:val="0"/>
                    <w:adjustRightInd w:val="0"/>
                    <w:snapToGrid w:val="0"/>
                    <w:spacing w:line="240" w:lineRule="auto"/>
                    <w:jc w:val="left"/>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①澜沧江中山宽谷常绿阔叶林区</w:t>
                  </w:r>
                </w:p>
              </w:tc>
            </w:tr>
            <w:tr w14:paraId="3E598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noWrap w:val="0"/>
                  <w:vAlign w:val="center"/>
                </w:tcPr>
                <w:p w14:paraId="4228CB44">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1968" w:type="pct"/>
                  <w:vMerge w:val="continue"/>
                  <w:tcBorders>
                    <w:tl2br w:val="nil"/>
                    <w:tr2bl w:val="nil"/>
                  </w:tcBorders>
                  <w:noWrap w:val="0"/>
                  <w:vAlign w:val="center"/>
                </w:tcPr>
                <w:p w14:paraId="629E6EE7">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2600" w:type="pct"/>
                  <w:tcBorders>
                    <w:tl2br w:val="nil"/>
                    <w:tr2bl w:val="nil"/>
                  </w:tcBorders>
                  <w:noWrap w:val="0"/>
                  <w:vAlign w:val="center"/>
                </w:tcPr>
                <w:p w14:paraId="68AEDD6F">
                  <w:pPr>
                    <w:autoSpaceDE w:val="0"/>
                    <w:autoSpaceDN w:val="0"/>
                    <w:adjustRightInd w:val="0"/>
                    <w:snapToGrid w:val="0"/>
                    <w:spacing w:line="240" w:lineRule="auto"/>
                    <w:jc w:val="left"/>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②无量山中山湿性常绿阔叶林区</w:t>
                  </w:r>
                </w:p>
              </w:tc>
            </w:tr>
            <w:tr w14:paraId="7110E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noWrap w:val="0"/>
                  <w:vAlign w:val="center"/>
                </w:tcPr>
                <w:p w14:paraId="314F411E">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1968" w:type="pct"/>
                  <w:vMerge w:val="continue"/>
                  <w:tcBorders>
                    <w:tl2br w:val="nil"/>
                    <w:tr2bl w:val="nil"/>
                  </w:tcBorders>
                  <w:noWrap w:val="0"/>
                  <w:vAlign w:val="center"/>
                </w:tcPr>
                <w:p w14:paraId="6E77ECAD">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2600" w:type="pct"/>
                  <w:tcBorders>
                    <w:tl2br w:val="nil"/>
                    <w:tr2bl w:val="nil"/>
                  </w:tcBorders>
                  <w:noWrap w:val="0"/>
                  <w:vAlign w:val="center"/>
                </w:tcPr>
                <w:p w14:paraId="000DC0A5">
                  <w:pPr>
                    <w:autoSpaceDE w:val="0"/>
                    <w:autoSpaceDN w:val="0"/>
                    <w:adjustRightInd w:val="0"/>
                    <w:snapToGrid w:val="0"/>
                    <w:spacing w:line="240" w:lineRule="auto"/>
                    <w:jc w:val="left"/>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③哀牢山中山湿性常绿阔叶林区</w:t>
                  </w:r>
                </w:p>
              </w:tc>
            </w:tr>
            <w:tr w14:paraId="6CA79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restart"/>
                  <w:tcBorders>
                    <w:tl2br w:val="nil"/>
                    <w:tr2bl w:val="nil"/>
                  </w:tcBorders>
                  <w:noWrap w:val="0"/>
                  <w:vAlign w:val="center"/>
                </w:tcPr>
                <w:p w14:paraId="29408784">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6</w:t>
                  </w:r>
                </w:p>
              </w:tc>
              <w:tc>
                <w:tcPr>
                  <w:tcW w:w="1968" w:type="pct"/>
                  <w:vMerge w:val="restart"/>
                  <w:tcBorders>
                    <w:tl2br w:val="nil"/>
                    <w:tr2bl w:val="nil"/>
                  </w:tcBorders>
                  <w:noWrap w:val="0"/>
                  <w:vAlign w:val="center"/>
                </w:tcPr>
                <w:p w14:paraId="25DC7948">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云南高原湿地区域</w:t>
                  </w:r>
                </w:p>
              </w:tc>
              <w:tc>
                <w:tcPr>
                  <w:tcW w:w="2600" w:type="pct"/>
                  <w:tcBorders>
                    <w:tl2br w:val="nil"/>
                    <w:tr2bl w:val="nil"/>
                  </w:tcBorders>
                  <w:noWrap w:val="0"/>
                  <w:vAlign w:val="center"/>
                </w:tcPr>
                <w:p w14:paraId="67A899E8">
                  <w:pPr>
                    <w:autoSpaceDE w:val="0"/>
                    <w:autoSpaceDN w:val="0"/>
                    <w:adjustRightInd w:val="0"/>
                    <w:snapToGrid w:val="0"/>
                    <w:spacing w:line="240" w:lineRule="auto"/>
                    <w:jc w:val="left"/>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①滇中高原湖泊区</w:t>
                  </w:r>
                </w:p>
              </w:tc>
            </w:tr>
            <w:tr w14:paraId="29FEF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noWrap w:val="0"/>
                  <w:vAlign w:val="center"/>
                </w:tcPr>
                <w:p w14:paraId="01F4ABB8">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1968" w:type="pct"/>
                  <w:vMerge w:val="continue"/>
                  <w:tcBorders>
                    <w:tl2br w:val="nil"/>
                    <w:tr2bl w:val="nil"/>
                  </w:tcBorders>
                  <w:noWrap w:val="0"/>
                  <w:vAlign w:val="center"/>
                </w:tcPr>
                <w:p w14:paraId="692A4587">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2600" w:type="pct"/>
                  <w:tcBorders>
                    <w:tl2br w:val="nil"/>
                    <w:tr2bl w:val="nil"/>
                  </w:tcBorders>
                  <w:noWrap w:val="0"/>
                  <w:vAlign w:val="center"/>
                </w:tcPr>
                <w:p w14:paraId="7191E170">
                  <w:pPr>
                    <w:autoSpaceDE w:val="0"/>
                    <w:autoSpaceDN w:val="0"/>
                    <w:adjustRightInd w:val="0"/>
                    <w:snapToGrid w:val="0"/>
                    <w:spacing w:line="240" w:lineRule="auto"/>
                    <w:jc w:val="left"/>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②滇西北高原湖泊区</w:t>
                  </w:r>
                </w:p>
              </w:tc>
            </w:tr>
            <w:tr w14:paraId="2BF5D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vMerge w:val="continue"/>
                  <w:tcBorders>
                    <w:tl2br w:val="nil"/>
                    <w:tr2bl w:val="nil"/>
                  </w:tcBorders>
                  <w:noWrap w:val="0"/>
                  <w:vAlign w:val="center"/>
                </w:tcPr>
                <w:p w14:paraId="7236E1A2">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1968" w:type="pct"/>
                  <w:vMerge w:val="continue"/>
                  <w:tcBorders>
                    <w:tl2br w:val="nil"/>
                    <w:tr2bl w:val="nil"/>
                  </w:tcBorders>
                  <w:noWrap w:val="0"/>
                  <w:vAlign w:val="center"/>
                </w:tcPr>
                <w:p w14:paraId="3E917110">
                  <w:pPr>
                    <w:autoSpaceDE w:val="0"/>
                    <w:autoSpaceDN w:val="0"/>
                    <w:adjustRightInd w:val="0"/>
                    <w:snapToGrid w:val="0"/>
                    <w:spacing w:line="240" w:lineRule="auto"/>
                    <w:jc w:val="center"/>
                    <w:rPr>
                      <w:rFonts w:hint="default" w:ascii="Times New Roman" w:hAnsi="Times New Roman" w:eastAsia="宋体" w:cs="Times New Roman"/>
                      <w:color w:val="auto"/>
                      <w:kern w:val="0"/>
                      <w:sz w:val="21"/>
                      <w:szCs w:val="21"/>
                      <w:vertAlign w:val="baseline"/>
                      <w:lang w:val="en-US" w:eastAsia="zh-CN" w:bidi="ar"/>
                    </w:rPr>
                  </w:pPr>
                </w:p>
              </w:tc>
              <w:tc>
                <w:tcPr>
                  <w:tcW w:w="2600" w:type="pct"/>
                  <w:tcBorders>
                    <w:tl2br w:val="nil"/>
                    <w:tr2bl w:val="nil"/>
                  </w:tcBorders>
                  <w:noWrap w:val="0"/>
                  <w:vAlign w:val="center"/>
                </w:tcPr>
                <w:p w14:paraId="3F18441E">
                  <w:pPr>
                    <w:autoSpaceDE w:val="0"/>
                    <w:autoSpaceDN w:val="0"/>
                    <w:adjustRightInd w:val="0"/>
                    <w:snapToGrid w:val="0"/>
                    <w:spacing w:line="240" w:lineRule="auto"/>
                    <w:jc w:val="left"/>
                    <w:rPr>
                      <w:rFonts w:hint="default" w:ascii="Times New Roman" w:hAnsi="Times New Roman" w:eastAsia="宋体" w:cs="Times New Roman"/>
                      <w:color w:val="auto"/>
                      <w:kern w:val="0"/>
                      <w:sz w:val="21"/>
                      <w:szCs w:val="21"/>
                      <w:vertAlign w:val="baseline"/>
                      <w:lang w:val="en-US" w:eastAsia="zh-CN" w:bidi="ar"/>
                    </w:rPr>
                  </w:pPr>
                  <w:r>
                    <w:rPr>
                      <w:rFonts w:hint="default" w:ascii="Times New Roman" w:hAnsi="Times New Roman" w:eastAsia="宋体" w:cs="Times New Roman"/>
                      <w:color w:val="auto"/>
                      <w:kern w:val="0"/>
                      <w:sz w:val="21"/>
                      <w:szCs w:val="21"/>
                      <w:vertAlign w:val="baseline"/>
                      <w:lang w:val="en-US" w:eastAsia="zh-CN" w:bidi="ar"/>
                    </w:rPr>
                    <w:t>③滇东北高山沼泽化草甸区</w:t>
                  </w:r>
                </w:p>
              </w:tc>
            </w:tr>
          </w:tbl>
          <w:p w14:paraId="6248BC59">
            <w:pPr>
              <w:adjustRightInd w:val="0"/>
              <w:snapToGrid w:val="0"/>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项目位于</w:t>
            </w:r>
            <w:r>
              <w:rPr>
                <w:rFonts w:hint="eastAsia" w:ascii="Times New Roman" w:hAnsi="Times New Roman" w:cs="Times New Roman"/>
                <w:color w:val="auto"/>
                <w:sz w:val="24"/>
                <w:szCs w:val="24"/>
                <w:lang w:eastAsia="zh-CN"/>
              </w:rPr>
              <w:t>会泽县宝云街道、乐业镇、五星乡境内</w:t>
            </w:r>
            <w:r>
              <w:rPr>
                <w:rFonts w:hint="default" w:ascii="Times New Roman" w:hAnsi="Times New Roman" w:eastAsia="宋体" w:cs="Times New Roman"/>
                <w:color w:val="auto"/>
                <w:sz w:val="24"/>
                <w:szCs w:val="24"/>
              </w:rPr>
              <w:t>，经</w:t>
            </w:r>
            <w:r>
              <w:rPr>
                <w:rFonts w:hint="default" w:ascii="Times New Roman" w:hAnsi="Times New Roman" w:cs="Times New Roman"/>
                <w:color w:val="auto"/>
                <w:sz w:val="24"/>
                <w:szCs w:val="24"/>
                <w:lang w:val="en-US" w:eastAsia="zh-CN"/>
              </w:rPr>
              <w:t>核实</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项目</w:t>
            </w:r>
            <w:r>
              <w:rPr>
                <w:rFonts w:hint="default" w:ascii="Times New Roman" w:hAnsi="Times New Roman" w:cs="Times New Roman"/>
                <w:color w:val="auto"/>
                <w:sz w:val="24"/>
                <w:szCs w:val="24"/>
                <w:lang w:val="en-US" w:eastAsia="zh-CN"/>
              </w:rPr>
              <w:t>区</w:t>
            </w:r>
            <w:r>
              <w:rPr>
                <w:rFonts w:hint="default" w:ascii="Times New Roman" w:hAnsi="Times New Roman" w:eastAsia="宋体" w:cs="Times New Roman"/>
                <w:color w:val="auto"/>
                <w:sz w:val="24"/>
                <w:szCs w:val="24"/>
              </w:rPr>
              <w:t>不</w:t>
            </w:r>
            <w:r>
              <w:rPr>
                <w:rFonts w:hint="default" w:ascii="Times New Roman" w:hAnsi="Times New Roman" w:cs="Times New Roman"/>
                <w:color w:val="auto"/>
                <w:sz w:val="24"/>
                <w:szCs w:val="24"/>
                <w:lang w:val="en-US" w:eastAsia="zh-CN"/>
              </w:rPr>
              <w:t>在</w:t>
            </w:r>
            <w:r>
              <w:rPr>
                <w:rFonts w:hint="default" w:ascii="Times New Roman" w:hAnsi="Times New Roman" w:eastAsia="宋体" w:cs="Times New Roman"/>
                <w:color w:val="auto"/>
                <w:sz w:val="24"/>
                <w:szCs w:val="24"/>
              </w:rPr>
              <w:t>划定的全省生物多样性保护优先区域范围</w:t>
            </w:r>
            <w:r>
              <w:rPr>
                <w:rFonts w:hint="default" w:ascii="Times New Roman" w:hAnsi="Times New Roman" w:eastAsia="宋体" w:cs="Times New Roman"/>
                <w:snapToGrid w:val="0"/>
                <w:color w:val="auto"/>
                <w:sz w:val="24"/>
                <w:szCs w:val="24"/>
              </w:rPr>
              <w:t>。</w:t>
            </w:r>
            <w:r>
              <w:rPr>
                <w:rFonts w:hint="default" w:ascii="Times New Roman" w:hAnsi="Times New Roman" w:eastAsia="宋体" w:cs="Times New Roman"/>
                <w:color w:val="auto"/>
                <w:sz w:val="24"/>
                <w:szCs w:val="24"/>
              </w:rPr>
              <w:t>项目在最大程度保护项目场址及周边生态环境的基础上，与《云南省生物多样性保护战略与行动计划</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2012</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2030年</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》不冲突。</w:t>
            </w:r>
          </w:p>
          <w:p w14:paraId="1CBC05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lang w:eastAsia="zh-CN"/>
              </w:rPr>
            </w:pPr>
            <w:r>
              <w:rPr>
                <w:rFonts w:hint="eastAsia" w:eastAsia="宋体"/>
                <w:color w:val="auto"/>
                <w:lang w:eastAsia="zh-CN"/>
              </w:rPr>
              <w:drawing>
                <wp:inline distT="0" distB="0" distL="114300" distR="114300">
                  <wp:extent cx="4624070" cy="3185160"/>
                  <wp:effectExtent l="0" t="0" r="5080" b="15240"/>
                  <wp:docPr id="112" name="图片 2" descr="附图9本项目与云南生物多样性保护优先区域位置关系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2" descr="附图9本项目与云南生物多样性保护优先区域位置关系图"/>
                          <pic:cNvPicPr>
                            <a:picLocks noChangeAspect="1"/>
                          </pic:cNvPicPr>
                        </pic:nvPicPr>
                        <pic:blipFill>
                          <a:blip r:embed="rId22"/>
                          <a:srcRect t="5777"/>
                          <a:stretch>
                            <a:fillRect/>
                          </a:stretch>
                        </pic:blipFill>
                        <pic:spPr>
                          <a:xfrm>
                            <a:off x="0" y="0"/>
                            <a:ext cx="4624070" cy="3185160"/>
                          </a:xfrm>
                          <a:prstGeom prst="rect">
                            <a:avLst/>
                          </a:prstGeom>
                          <a:noFill/>
                          <a:ln>
                            <a:noFill/>
                          </a:ln>
                        </pic:spPr>
                      </pic:pic>
                    </a:graphicData>
                  </a:graphic>
                </wp:inline>
              </w:drawing>
            </w:r>
          </w:p>
          <w:p w14:paraId="77B075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kern w:val="0"/>
                <w:sz w:val="21"/>
                <w:szCs w:val="21"/>
                <w:lang w:val="en-US" w:eastAsia="zh-CN"/>
              </w:rPr>
            </w:pPr>
            <w:r>
              <w:rPr>
                <w:rFonts w:hint="default" w:ascii="Times New Roman" w:hAnsi="Times New Roman" w:cs="Times New Roman"/>
                <w:b/>
                <w:bCs/>
                <w:color w:val="auto"/>
                <w:kern w:val="0"/>
                <w:sz w:val="21"/>
                <w:szCs w:val="21"/>
              </w:rPr>
              <w:t>图1-</w:t>
            </w:r>
            <w:r>
              <w:rPr>
                <w:rFonts w:hint="eastAsia" w:ascii="Times New Roman" w:hAnsi="Times New Roman" w:cs="Times New Roman"/>
                <w:b/>
                <w:bCs/>
                <w:color w:val="auto"/>
                <w:kern w:val="0"/>
                <w:sz w:val="21"/>
                <w:szCs w:val="21"/>
                <w:lang w:val="en-US" w:eastAsia="zh-CN"/>
              </w:rPr>
              <w:t>6</w:t>
            </w:r>
            <w:r>
              <w:rPr>
                <w:rFonts w:hint="default" w:ascii="Times New Roman" w:hAnsi="Times New Roman" w:cs="Times New Roman"/>
                <w:b/>
                <w:bCs/>
                <w:color w:val="auto"/>
                <w:kern w:val="0"/>
                <w:sz w:val="21"/>
                <w:szCs w:val="21"/>
              </w:rPr>
              <w:t xml:space="preserve">  </w:t>
            </w:r>
            <w:r>
              <w:rPr>
                <w:rFonts w:hint="default" w:ascii="Times New Roman" w:hAnsi="Times New Roman" w:cs="Times New Roman"/>
                <w:b/>
                <w:bCs/>
                <w:color w:val="auto"/>
                <w:kern w:val="0"/>
                <w:sz w:val="21"/>
                <w:szCs w:val="21"/>
                <w:lang w:val="en-US" w:eastAsia="zh-CN"/>
              </w:rPr>
              <w:t>项目与</w:t>
            </w:r>
            <w:r>
              <w:rPr>
                <w:rFonts w:hint="default" w:ascii="Times New Roman" w:hAnsi="Times New Roman" w:cs="Times New Roman"/>
                <w:b/>
                <w:bCs/>
                <w:color w:val="auto"/>
                <w:kern w:val="0"/>
                <w:sz w:val="21"/>
                <w:szCs w:val="21"/>
              </w:rPr>
              <w:t>《云南省生物多样性保护战略与行动计划（2012</w:t>
            </w:r>
            <w:r>
              <w:rPr>
                <w:rFonts w:hint="eastAsia" w:ascii="Times New Roman" w:hAnsi="Times New Roman" w:cs="Times New Roman"/>
                <w:b/>
                <w:bCs/>
                <w:color w:val="auto"/>
                <w:kern w:val="0"/>
                <w:sz w:val="21"/>
                <w:szCs w:val="21"/>
                <w:lang w:eastAsia="zh-CN"/>
              </w:rPr>
              <w:t>—</w:t>
            </w:r>
            <w:r>
              <w:rPr>
                <w:rFonts w:hint="default" w:ascii="Times New Roman" w:hAnsi="Times New Roman" w:cs="Times New Roman"/>
                <w:b/>
                <w:bCs/>
                <w:color w:val="auto"/>
                <w:kern w:val="0"/>
                <w:sz w:val="21"/>
                <w:szCs w:val="21"/>
              </w:rPr>
              <w:t>2030年</w:t>
            </w:r>
            <w:r>
              <w:rPr>
                <w:rFonts w:hint="default" w:ascii="Times New Roman" w:hAnsi="Times New Roman" w:cs="Times New Roman"/>
                <w:b/>
                <w:bCs/>
                <w:color w:val="auto"/>
                <w:kern w:val="0"/>
                <w:sz w:val="21"/>
                <w:szCs w:val="21"/>
                <w:lang w:eastAsia="zh-CN"/>
              </w:rPr>
              <w:t>）</w:t>
            </w:r>
            <w:r>
              <w:rPr>
                <w:rFonts w:hint="default" w:ascii="Times New Roman" w:hAnsi="Times New Roman" w:cs="Times New Roman"/>
                <w:b/>
                <w:bCs/>
                <w:color w:val="auto"/>
                <w:kern w:val="0"/>
                <w:sz w:val="21"/>
                <w:szCs w:val="21"/>
              </w:rPr>
              <w:t>》</w:t>
            </w:r>
            <w:r>
              <w:rPr>
                <w:rFonts w:hint="default" w:ascii="Times New Roman" w:hAnsi="Times New Roman" w:cs="Times New Roman"/>
                <w:b/>
                <w:bCs/>
                <w:color w:val="auto"/>
                <w:kern w:val="0"/>
                <w:sz w:val="21"/>
                <w:szCs w:val="21"/>
                <w:lang w:val="en-US" w:eastAsia="zh-CN"/>
              </w:rPr>
              <w:t>位置关系</w:t>
            </w:r>
          </w:p>
          <w:p w14:paraId="3FA9202F">
            <w:pPr>
              <w:keepNext w:val="0"/>
              <w:keepLines w:val="0"/>
              <w:pageBreakBefore w:val="0"/>
              <w:widowControl w:val="0"/>
              <w:kinsoku/>
              <w:wordWrap/>
              <w:overflowPunct/>
              <w:topLinePunct w:val="0"/>
              <w:autoSpaceDE w:val="0"/>
              <w:autoSpaceDN w:val="0"/>
              <w:bidi w:val="0"/>
              <w:adjustRightInd w:val="0"/>
              <w:snapToGrid w:val="0"/>
              <w:spacing w:line="440" w:lineRule="exact"/>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同时，2024年5月20日云南省生态环境厅、云南省发展和改革委员会等11部门关于印发《云南省生物多样性保护战略与行动计划（2024—2030年）》的通知，根据《云南省生物多样性保护战略与行动计划（2024—2030年）》，本项目不涉及</w:t>
            </w:r>
            <w:r>
              <w:rPr>
                <w:rFonts w:hint="eastAsia" w:ascii="Times New Roman" w:hAnsi="Times New Roman" w:cs="Times New Roman"/>
                <w:color w:val="auto"/>
                <w:sz w:val="24"/>
                <w:highlight w:val="none"/>
                <w:lang w:val="en-US" w:eastAsia="zh-CN"/>
              </w:rPr>
              <w:t>生物多样性</w:t>
            </w:r>
            <w:r>
              <w:rPr>
                <w:rFonts w:hint="default" w:ascii="Times New Roman" w:hAnsi="Times New Roman" w:eastAsia="宋体" w:cs="Times New Roman"/>
                <w:color w:val="auto"/>
                <w:sz w:val="24"/>
                <w:highlight w:val="none"/>
              </w:rPr>
              <w:t>优先保护单元，不涉及九大高原湖泊流域生态空间格局；本项目运营期无</w:t>
            </w:r>
            <w:r>
              <w:rPr>
                <w:rFonts w:hint="default" w:ascii="Times New Roman" w:hAnsi="Times New Roman" w:eastAsia="宋体" w:cs="Times New Roman"/>
                <w:color w:val="auto"/>
                <w:sz w:val="24"/>
                <w:highlight w:val="none"/>
                <w:lang w:val="en-US" w:eastAsia="zh-CN"/>
              </w:rPr>
              <w:t>生产</w:t>
            </w:r>
            <w:r>
              <w:rPr>
                <w:rFonts w:hint="default" w:ascii="Times New Roman" w:hAnsi="Times New Roman" w:eastAsia="宋体" w:cs="Times New Roman"/>
                <w:color w:val="auto"/>
                <w:sz w:val="24"/>
                <w:highlight w:val="none"/>
              </w:rPr>
              <w:t>废气产生，</w:t>
            </w:r>
            <w:r>
              <w:rPr>
                <w:rFonts w:hint="default" w:ascii="Times New Roman" w:hAnsi="Times New Roman" w:eastAsia="宋体" w:cs="Times New Roman"/>
                <w:color w:val="auto"/>
                <w:sz w:val="24"/>
                <w:highlight w:val="none"/>
                <w:lang w:val="en-US" w:eastAsia="zh-CN"/>
              </w:rPr>
              <w:t>无生活</w:t>
            </w:r>
            <w:r>
              <w:rPr>
                <w:rFonts w:hint="default" w:ascii="Times New Roman" w:hAnsi="Times New Roman" w:eastAsia="宋体" w:cs="Times New Roman"/>
                <w:color w:val="auto"/>
                <w:sz w:val="24"/>
                <w:highlight w:val="none"/>
              </w:rPr>
              <w:t>废水</w:t>
            </w:r>
            <w:r>
              <w:rPr>
                <w:rFonts w:hint="default" w:ascii="Times New Roman" w:hAnsi="Times New Roman" w:eastAsia="宋体" w:cs="Times New Roman"/>
                <w:color w:val="auto"/>
                <w:sz w:val="24"/>
                <w:highlight w:val="none"/>
                <w:lang w:val="en-US" w:eastAsia="zh-CN"/>
              </w:rPr>
              <w:t>产生</w:t>
            </w:r>
            <w:r>
              <w:rPr>
                <w:rFonts w:hint="default"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固废处置率可达100%；项目运营期</w:t>
            </w:r>
            <w:r>
              <w:rPr>
                <w:rFonts w:hint="default" w:ascii="Times New Roman" w:hAnsi="Times New Roman" w:eastAsia="宋体" w:cs="Times New Roman"/>
                <w:color w:val="auto"/>
                <w:sz w:val="24"/>
                <w:highlight w:val="none"/>
              </w:rPr>
              <w:t>采取措施后对环境影响较小，项目在最大程度保护项目场址及周边生态环境的基础上，与《云南省生物多样性保护战略与行动计划（2024</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2030年）》不冲突。</w:t>
            </w:r>
          </w:p>
          <w:p w14:paraId="0FF50CB2">
            <w:pPr>
              <w:adjustRightInd w:val="0"/>
              <w:snapToGrid w:val="0"/>
              <w:spacing w:line="440" w:lineRule="exact"/>
              <w:ind w:firstLine="482" w:firstLineChars="200"/>
              <w:rPr>
                <w:b/>
                <w:bCs/>
                <w:color w:val="auto"/>
                <w:sz w:val="24"/>
              </w:rPr>
            </w:pPr>
            <w:r>
              <w:rPr>
                <w:rFonts w:hint="eastAsia"/>
                <w:b/>
                <w:bCs/>
                <w:color w:val="auto"/>
                <w:sz w:val="24"/>
                <w:lang w:val="en-US" w:eastAsia="zh-CN"/>
              </w:rPr>
              <w:t>6、</w:t>
            </w:r>
            <w:r>
              <w:rPr>
                <w:b/>
                <w:bCs/>
                <w:color w:val="auto"/>
                <w:sz w:val="24"/>
              </w:rPr>
              <w:t>与《输变电建设项目环境保护技术要求》符合性分析</w:t>
            </w:r>
          </w:p>
          <w:p w14:paraId="06F86A26">
            <w:pPr>
              <w:adjustRightInd w:val="0"/>
              <w:snapToGrid w:val="0"/>
              <w:spacing w:line="440" w:lineRule="exact"/>
              <w:ind w:firstLine="480" w:firstLineChars="200"/>
              <w:rPr>
                <w:color w:val="auto"/>
                <w:sz w:val="24"/>
              </w:rPr>
            </w:pPr>
            <w:r>
              <w:rPr>
                <w:color w:val="auto"/>
                <w:sz w:val="24"/>
              </w:rPr>
              <w:t>《输变电建设项目环境保护技术要求》（HJ1113-2020）规定了输变电建设项目环境保护的选址选线、设计、施工、运行各阶段电磁、声、生态、水、大气等要素的环境保护要求。本工程与《输变电建设项目环境保护技术要求》（HJ1113-2020）中基本规定、选址选线及设计等主要技术要求符合性分析见表1-</w:t>
            </w:r>
            <w:r>
              <w:rPr>
                <w:rFonts w:hint="eastAsia"/>
                <w:color w:val="auto"/>
                <w:sz w:val="24"/>
                <w:lang w:val="en-US" w:eastAsia="zh-CN"/>
              </w:rPr>
              <w:t>6</w:t>
            </w:r>
            <w:r>
              <w:rPr>
                <w:color w:val="auto"/>
                <w:sz w:val="24"/>
              </w:rPr>
              <w:t>。</w:t>
            </w:r>
          </w:p>
          <w:p w14:paraId="202165E3">
            <w:pPr>
              <w:adjustRightInd w:val="0"/>
              <w:snapToGrid w:val="0"/>
              <w:spacing w:line="240" w:lineRule="auto"/>
              <w:jc w:val="center"/>
              <w:rPr>
                <w:b/>
                <w:bCs/>
                <w:color w:val="auto"/>
                <w:sz w:val="24"/>
              </w:rPr>
            </w:pPr>
            <w:r>
              <w:rPr>
                <w:b/>
                <w:bCs/>
                <w:color w:val="auto"/>
                <w:sz w:val="24"/>
              </w:rPr>
              <w:t>表1-</w:t>
            </w:r>
            <w:r>
              <w:rPr>
                <w:rFonts w:hint="eastAsia"/>
                <w:b/>
                <w:bCs/>
                <w:color w:val="auto"/>
                <w:sz w:val="24"/>
                <w:lang w:val="en-US" w:eastAsia="zh-CN"/>
              </w:rPr>
              <w:t>6</w:t>
            </w:r>
            <w:r>
              <w:rPr>
                <w:b/>
                <w:bCs/>
                <w:color w:val="auto"/>
                <w:sz w:val="24"/>
              </w:rPr>
              <w:t xml:space="preserve">  与《输变电建设项目环境保护技术要求》的符合性分析</w:t>
            </w:r>
          </w:p>
          <w:tbl>
            <w:tblPr>
              <w:tblStyle w:val="30"/>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10"/>
              <w:gridCol w:w="3483"/>
              <w:gridCol w:w="2191"/>
              <w:gridCol w:w="768"/>
            </w:tblGrid>
            <w:tr w14:paraId="033C78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41" w:type="pct"/>
                  <w:gridSpan w:val="2"/>
                  <w:noWrap w:val="0"/>
                  <w:vAlign w:val="center"/>
                </w:tcPr>
                <w:p w14:paraId="1A6AD5EB">
                  <w:pPr>
                    <w:pStyle w:val="85"/>
                    <w:adjustRightInd/>
                    <w:snapToGrid/>
                    <w:spacing w:line="240" w:lineRule="auto"/>
                    <w:ind w:firstLine="0" w:firstLineChars="0"/>
                    <w:jc w:val="center"/>
                    <w:rPr>
                      <w:b/>
                      <w:bCs/>
                      <w:color w:val="auto"/>
                      <w:spacing w:val="-11"/>
                      <w:sz w:val="21"/>
                      <w:szCs w:val="21"/>
                    </w:rPr>
                  </w:pPr>
                  <w:r>
                    <w:rPr>
                      <w:b/>
                      <w:bCs/>
                      <w:color w:val="auto"/>
                      <w:spacing w:val="-11"/>
                      <w:sz w:val="21"/>
                      <w:szCs w:val="21"/>
                    </w:rPr>
                    <w:t>要求</w:t>
                  </w:r>
                </w:p>
              </w:tc>
              <w:tc>
                <w:tcPr>
                  <w:tcW w:w="1598" w:type="pct"/>
                  <w:noWrap w:val="0"/>
                  <w:vAlign w:val="center"/>
                </w:tcPr>
                <w:p w14:paraId="6EC7A0CB">
                  <w:pPr>
                    <w:pStyle w:val="85"/>
                    <w:adjustRightInd/>
                    <w:snapToGrid/>
                    <w:spacing w:line="240" w:lineRule="auto"/>
                    <w:ind w:firstLine="0" w:firstLineChars="0"/>
                    <w:jc w:val="center"/>
                    <w:rPr>
                      <w:b/>
                      <w:bCs/>
                      <w:color w:val="auto"/>
                      <w:spacing w:val="-11"/>
                      <w:sz w:val="21"/>
                      <w:szCs w:val="21"/>
                    </w:rPr>
                  </w:pPr>
                  <w:r>
                    <w:rPr>
                      <w:b/>
                      <w:bCs/>
                      <w:color w:val="auto"/>
                      <w:spacing w:val="-11"/>
                      <w:sz w:val="21"/>
                      <w:szCs w:val="21"/>
                    </w:rPr>
                    <w:t>项目情况</w:t>
                  </w:r>
                </w:p>
              </w:tc>
              <w:tc>
                <w:tcPr>
                  <w:tcW w:w="560" w:type="pct"/>
                  <w:noWrap w:val="0"/>
                  <w:vAlign w:val="center"/>
                </w:tcPr>
                <w:p w14:paraId="2A6F5905">
                  <w:pPr>
                    <w:pStyle w:val="85"/>
                    <w:adjustRightInd/>
                    <w:snapToGrid/>
                    <w:spacing w:line="240" w:lineRule="auto"/>
                    <w:ind w:firstLine="0" w:firstLineChars="0"/>
                    <w:jc w:val="center"/>
                    <w:rPr>
                      <w:b/>
                      <w:bCs/>
                      <w:color w:val="auto"/>
                      <w:spacing w:val="-11"/>
                      <w:sz w:val="21"/>
                      <w:szCs w:val="21"/>
                    </w:rPr>
                  </w:pPr>
                  <w:r>
                    <w:rPr>
                      <w:b/>
                      <w:bCs/>
                      <w:color w:val="auto"/>
                      <w:spacing w:val="-11"/>
                      <w:sz w:val="21"/>
                      <w:szCs w:val="21"/>
                    </w:rPr>
                    <w:t>符合性</w:t>
                  </w:r>
                </w:p>
              </w:tc>
            </w:tr>
            <w:tr w14:paraId="6A381C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 w:type="pct"/>
                  <w:vMerge w:val="restart"/>
                  <w:noWrap w:val="0"/>
                  <w:vAlign w:val="center"/>
                </w:tcPr>
                <w:p w14:paraId="2890E4D7">
                  <w:pPr>
                    <w:pStyle w:val="85"/>
                    <w:adjustRightInd/>
                    <w:snapToGrid/>
                    <w:spacing w:line="240" w:lineRule="auto"/>
                    <w:ind w:firstLine="0" w:firstLineChars="0"/>
                    <w:jc w:val="center"/>
                    <w:rPr>
                      <w:b/>
                      <w:bCs/>
                      <w:color w:val="auto"/>
                      <w:spacing w:val="-11"/>
                      <w:sz w:val="21"/>
                      <w:szCs w:val="21"/>
                    </w:rPr>
                  </w:pPr>
                  <w:r>
                    <w:rPr>
                      <w:color w:val="auto"/>
                      <w:spacing w:val="-11"/>
                      <w:sz w:val="21"/>
                      <w:szCs w:val="21"/>
                    </w:rPr>
                    <w:t>基本规定</w:t>
                  </w:r>
                </w:p>
              </w:tc>
              <w:tc>
                <w:tcPr>
                  <w:tcW w:w="2542" w:type="pct"/>
                  <w:noWrap w:val="0"/>
                  <w:vAlign w:val="center"/>
                </w:tcPr>
                <w:p w14:paraId="36AED46D">
                  <w:pPr>
                    <w:pStyle w:val="85"/>
                    <w:adjustRightInd/>
                    <w:snapToGrid/>
                    <w:spacing w:line="240" w:lineRule="auto"/>
                    <w:ind w:firstLine="0" w:firstLineChars="0"/>
                    <w:jc w:val="center"/>
                    <w:rPr>
                      <w:b/>
                      <w:bCs/>
                      <w:color w:val="auto"/>
                      <w:spacing w:val="-11"/>
                      <w:sz w:val="21"/>
                      <w:szCs w:val="21"/>
                    </w:rPr>
                  </w:pPr>
                  <w:r>
                    <w:rPr>
                      <w:color w:val="auto"/>
                      <w:spacing w:val="-6"/>
                      <w:sz w:val="21"/>
                      <w:szCs w:val="21"/>
                    </w:rPr>
                    <w:t>输变电建设项目环境保护应坚持保护优先、预防为主、综合治理、公众参与、损害担责的原则，对可能产生的电磁、声、生态、水、大气等不利环境影响和环境风险进行防治，在确保满足各项环境标准的基础上持续不断改善环境质量</w:t>
                  </w:r>
                  <w:r>
                    <w:rPr>
                      <w:color w:val="auto"/>
                      <w:sz w:val="21"/>
                      <w:szCs w:val="21"/>
                    </w:rPr>
                    <w:t>。</w:t>
                  </w:r>
                </w:p>
              </w:tc>
              <w:tc>
                <w:tcPr>
                  <w:tcW w:w="1598" w:type="pct"/>
                  <w:noWrap w:val="0"/>
                  <w:vAlign w:val="center"/>
                </w:tcPr>
                <w:p w14:paraId="2EA34C73">
                  <w:pPr>
                    <w:pStyle w:val="87"/>
                    <w:autoSpaceDE/>
                    <w:autoSpaceDN/>
                    <w:adjustRightInd/>
                    <w:snapToGrid/>
                    <w:jc w:val="center"/>
                    <w:rPr>
                      <w:rFonts w:cs="Times New Roman"/>
                      <w:b/>
                      <w:bCs/>
                      <w:color w:val="auto"/>
                      <w:spacing w:val="-11"/>
                    </w:rPr>
                  </w:pPr>
                  <w:r>
                    <w:rPr>
                      <w:rFonts w:cs="Times New Roman"/>
                      <w:color w:val="auto"/>
                      <w:spacing w:val="0"/>
                    </w:rPr>
                    <w:t>本工程正在开展环境影响评价，审批阶段将依法依</w:t>
                  </w:r>
                  <w:r>
                    <w:rPr>
                      <w:rFonts w:hint="eastAsia" w:cs="Times New Roman"/>
                      <w:color w:val="auto"/>
                      <w:spacing w:val="0"/>
                      <w:lang w:eastAsia="zh-CN"/>
                    </w:rPr>
                    <w:t>规</w:t>
                  </w:r>
                  <w:r>
                    <w:rPr>
                      <w:rFonts w:cs="Times New Roman"/>
                      <w:color w:val="auto"/>
                      <w:spacing w:val="0"/>
                    </w:rPr>
                    <w:t>进行信息公开。落实本报告表提出的措施，对可能产生的电磁、声、生态、水、大气等不利环境影响和环境风险能起到防治作用。</w:t>
                  </w:r>
                </w:p>
              </w:tc>
              <w:tc>
                <w:tcPr>
                  <w:tcW w:w="560" w:type="pct"/>
                  <w:noWrap w:val="0"/>
                  <w:vAlign w:val="center"/>
                </w:tcPr>
                <w:p w14:paraId="535931A0">
                  <w:pPr>
                    <w:pStyle w:val="85"/>
                    <w:adjustRightInd/>
                    <w:snapToGrid/>
                    <w:spacing w:line="240" w:lineRule="auto"/>
                    <w:ind w:firstLine="0" w:firstLineChars="0"/>
                    <w:jc w:val="center"/>
                    <w:rPr>
                      <w:b/>
                      <w:bCs/>
                      <w:color w:val="auto"/>
                      <w:spacing w:val="-11"/>
                      <w:sz w:val="21"/>
                      <w:szCs w:val="21"/>
                    </w:rPr>
                  </w:pPr>
                  <w:r>
                    <w:rPr>
                      <w:color w:val="auto"/>
                      <w:sz w:val="21"/>
                      <w:szCs w:val="21"/>
                    </w:rPr>
                    <w:t>符合</w:t>
                  </w:r>
                </w:p>
              </w:tc>
            </w:tr>
            <w:tr w14:paraId="300A89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 w:type="pct"/>
                  <w:vMerge w:val="continue"/>
                  <w:noWrap w:val="0"/>
                  <w:vAlign w:val="center"/>
                </w:tcPr>
                <w:p w14:paraId="14A90D7B">
                  <w:pPr>
                    <w:pStyle w:val="85"/>
                    <w:adjustRightInd/>
                    <w:snapToGrid/>
                    <w:spacing w:line="240" w:lineRule="auto"/>
                    <w:ind w:firstLine="0" w:firstLineChars="0"/>
                    <w:jc w:val="center"/>
                    <w:rPr>
                      <w:b/>
                      <w:bCs/>
                      <w:color w:val="auto"/>
                      <w:spacing w:val="-11"/>
                      <w:sz w:val="21"/>
                      <w:szCs w:val="21"/>
                    </w:rPr>
                  </w:pPr>
                </w:p>
              </w:tc>
              <w:tc>
                <w:tcPr>
                  <w:tcW w:w="2542" w:type="pct"/>
                  <w:noWrap w:val="0"/>
                  <w:vAlign w:val="center"/>
                </w:tcPr>
                <w:p w14:paraId="377B25C4">
                  <w:pPr>
                    <w:spacing w:line="240" w:lineRule="auto"/>
                    <w:jc w:val="center"/>
                    <w:rPr>
                      <w:b/>
                      <w:bCs/>
                      <w:color w:val="auto"/>
                      <w:spacing w:val="-11"/>
                      <w:szCs w:val="21"/>
                    </w:rPr>
                  </w:pPr>
                  <w:r>
                    <w:rPr>
                      <w:color w:val="auto"/>
                    </w:rPr>
                    <w:t>输变电建设项目在开工建设前应依法依规进行建设项目环境影响评价。</w:t>
                  </w:r>
                </w:p>
              </w:tc>
              <w:tc>
                <w:tcPr>
                  <w:tcW w:w="1598" w:type="pct"/>
                  <w:noWrap w:val="0"/>
                  <w:vAlign w:val="center"/>
                </w:tcPr>
                <w:p w14:paraId="2CB57CA2">
                  <w:pPr>
                    <w:pStyle w:val="87"/>
                    <w:autoSpaceDE/>
                    <w:autoSpaceDN/>
                    <w:adjustRightInd/>
                    <w:snapToGrid/>
                    <w:jc w:val="center"/>
                    <w:rPr>
                      <w:rFonts w:cs="Times New Roman"/>
                      <w:b/>
                      <w:bCs/>
                      <w:color w:val="auto"/>
                      <w:spacing w:val="-11"/>
                    </w:rPr>
                  </w:pPr>
                  <w:r>
                    <w:rPr>
                      <w:rFonts w:cs="Times New Roman"/>
                      <w:color w:val="auto"/>
                      <w:spacing w:val="0"/>
                    </w:rPr>
                    <w:t>项目正在开展环境影响评价。</w:t>
                  </w:r>
                </w:p>
              </w:tc>
              <w:tc>
                <w:tcPr>
                  <w:tcW w:w="560" w:type="pct"/>
                  <w:noWrap w:val="0"/>
                  <w:vAlign w:val="center"/>
                </w:tcPr>
                <w:p w14:paraId="6456ED70">
                  <w:pPr>
                    <w:pStyle w:val="85"/>
                    <w:adjustRightInd/>
                    <w:snapToGrid/>
                    <w:spacing w:line="240" w:lineRule="auto"/>
                    <w:ind w:firstLine="0" w:firstLineChars="0"/>
                    <w:jc w:val="center"/>
                    <w:rPr>
                      <w:b/>
                      <w:bCs/>
                      <w:color w:val="auto"/>
                      <w:spacing w:val="-11"/>
                      <w:sz w:val="21"/>
                      <w:szCs w:val="21"/>
                    </w:rPr>
                  </w:pPr>
                  <w:r>
                    <w:rPr>
                      <w:color w:val="auto"/>
                      <w:sz w:val="21"/>
                      <w:szCs w:val="21"/>
                    </w:rPr>
                    <w:t>符合</w:t>
                  </w:r>
                </w:p>
              </w:tc>
            </w:tr>
            <w:tr w14:paraId="3325AB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 w:type="pct"/>
                  <w:vMerge w:val="continue"/>
                  <w:noWrap w:val="0"/>
                  <w:vAlign w:val="center"/>
                </w:tcPr>
                <w:p w14:paraId="45C01FC0">
                  <w:pPr>
                    <w:pStyle w:val="85"/>
                    <w:adjustRightInd/>
                    <w:snapToGrid/>
                    <w:spacing w:line="240" w:lineRule="auto"/>
                    <w:ind w:firstLine="0" w:firstLineChars="0"/>
                    <w:jc w:val="center"/>
                    <w:rPr>
                      <w:b/>
                      <w:bCs/>
                      <w:color w:val="auto"/>
                      <w:spacing w:val="-11"/>
                      <w:sz w:val="21"/>
                      <w:szCs w:val="21"/>
                    </w:rPr>
                  </w:pPr>
                </w:p>
              </w:tc>
              <w:tc>
                <w:tcPr>
                  <w:tcW w:w="2542" w:type="pct"/>
                  <w:noWrap w:val="0"/>
                  <w:vAlign w:val="center"/>
                </w:tcPr>
                <w:p w14:paraId="7151A778">
                  <w:pPr>
                    <w:spacing w:line="240" w:lineRule="auto"/>
                    <w:jc w:val="center"/>
                    <w:rPr>
                      <w:b/>
                      <w:bCs/>
                      <w:color w:val="auto"/>
                      <w:spacing w:val="-11"/>
                      <w:szCs w:val="21"/>
                    </w:rPr>
                  </w:pPr>
                  <w:r>
                    <w:rPr>
                      <w:color w:val="auto"/>
                    </w:rPr>
                    <w:t>加强建设项目及其环境保护工作的公开、透明，依法依规进行信息公开。</w:t>
                  </w:r>
                </w:p>
              </w:tc>
              <w:tc>
                <w:tcPr>
                  <w:tcW w:w="1598" w:type="pct"/>
                  <w:noWrap w:val="0"/>
                  <w:vAlign w:val="center"/>
                </w:tcPr>
                <w:p w14:paraId="490E5284">
                  <w:pPr>
                    <w:pStyle w:val="87"/>
                    <w:autoSpaceDE/>
                    <w:autoSpaceDN/>
                    <w:adjustRightInd/>
                    <w:snapToGrid/>
                    <w:jc w:val="center"/>
                    <w:rPr>
                      <w:rFonts w:cs="Times New Roman"/>
                      <w:b/>
                      <w:bCs/>
                      <w:color w:val="auto"/>
                      <w:spacing w:val="-11"/>
                    </w:rPr>
                  </w:pPr>
                  <w:r>
                    <w:rPr>
                      <w:rFonts w:cs="Times New Roman"/>
                      <w:color w:val="auto"/>
                      <w:spacing w:val="0"/>
                    </w:rPr>
                    <w:t>审批阶段将依法依规进行信息公开。</w:t>
                  </w:r>
                </w:p>
              </w:tc>
              <w:tc>
                <w:tcPr>
                  <w:tcW w:w="560" w:type="pct"/>
                  <w:noWrap w:val="0"/>
                  <w:vAlign w:val="center"/>
                </w:tcPr>
                <w:p w14:paraId="6B4396CB">
                  <w:pPr>
                    <w:pStyle w:val="85"/>
                    <w:adjustRightInd/>
                    <w:snapToGrid/>
                    <w:spacing w:line="240" w:lineRule="auto"/>
                    <w:ind w:firstLine="0" w:firstLineChars="0"/>
                    <w:jc w:val="center"/>
                    <w:rPr>
                      <w:b/>
                      <w:bCs/>
                      <w:color w:val="auto"/>
                      <w:spacing w:val="-11"/>
                      <w:sz w:val="21"/>
                      <w:szCs w:val="21"/>
                    </w:rPr>
                  </w:pPr>
                  <w:r>
                    <w:rPr>
                      <w:color w:val="auto"/>
                      <w:sz w:val="21"/>
                      <w:szCs w:val="21"/>
                    </w:rPr>
                    <w:t>符合</w:t>
                  </w:r>
                </w:p>
              </w:tc>
            </w:tr>
            <w:tr w14:paraId="3918B5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 w:type="pct"/>
                  <w:vMerge w:val="restart"/>
                  <w:noWrap w:val="0"/>
                  <w:vAlign w:val="center"/>
                </w:tcPr>
                <w:p w14:paraId="0B10D124">
                  <w:pPr>
                    <w:pStyle w:val="85"/>
                    <w:adjustRightInd/>
                    <w:snapToGrid/>
                    <w:spacing w:line="240" w:lineRule="auto"/>
                    <w:ind w:firstLine="0" w:firstLineChars="0"/>
                    <w:jc w:val="center"/>
                    <w:rPr>
                      <w:color w:val="auto"/>
                      <w:sz w:val="21"/>
                      <w:szCs w:val="21"/>
                    </w:rPr>
                  </w:pPr>
                  <w:r>
                    <w:rPr>
                      <w:color w:val="auto"/>
                      <w:sz w:val="21"/>
                      <w:szCs w:val="21"/>
                    </w:rPr>
                    <w:t>选址选线</w:t>
                  </w:r>
                </w:p>
              </w:tc>
              <w:tc>
                <w:tcPr>
                  <w:tcW w:w="2542" w:type="pct"/>
                  <w:noWrap w:val="0"/>
                  <w:vAlign w:val="center"/>
                </w:tcPr>
                <w:p w14:paraId="6159CD79">
                  <w:pPr>
                    <w:pStyle w:val="85"/>
                    <w:adjustRightInd/>
                    <w:snapToGrid/>
                    <w:spacing w:line="240" w:lineRule="auto"/>
                    <w:ind w:firstLine="0" w:firstLineChars="0"/>
                    <w:jc w:val="center"/>
                    <w:rPr>
                      <w:color w:val="auto"/>
                      <w:sz w:val="21"/>
                      <w:szCs w:val="21"/>
                    </w:rPr>
                  </w:pPr>
                  <w:r>
                    <w:rPr>
                      <w:color w:val="auto"/>
                      <w:sz w:val="21"/>
                      <w:szCs w:val="21"/>
                    </w:rPr>
                    <w:t>工程选址选线应符合规划环境影响评价文件的要求。</w:t>
                  </w:r>
                </w:p>
              </w:tc>
              <w:tc>
                <w:tcPr>
                  <w:tcW w:w="1598" w:type="pct"/>
                  <w:noWrap w:val="0"/>
                  <w:vAlign w:val="center"/>
                </w:tcPr>
                <w:p w14:paraId="05CA1812">
                  <w:pPr>
                    <w:pStyle w:val="87"/>
                    <w:autoSpaceDE/>
                    <w:autoSpaceDN/>
                    <w:adjustRightInd/>
                    <w:snapToGrid/>
                    <w:jc w:val="center"/>
                    <w:rPr>
                      <w:rFonts w:cs="Times New Roman"/>
                      <w:color w:val="auto"/>
                      <w:spacing w:val="0"/>
                      <w:sz w:val="21"/>
                      <w:szCs w:val="21"/>
                    </w:rPr>
                  </w:pPr>
                  <w:r>
                    <w:rPr>
                      <w:rFonts w:cs="Times New Roman"/>
                      <w:color w:val="auto"/>
                      <w:spacing w:val="0"/>
                      <w:sz w:val="21"/>
                      <w:szCs w:val="21"/>
                    </w:rPr>
                    <w:t>本项目选址选线符合</w:t>
                  </w:r>
                  <w:r>
                    <w:rPr>
                      <w:rFonts w:hint="default" w:ascii="Times New Roman" w:hAnsi="Times New Roman" w:cs="Times New Roman"/>
                      <w:color w:val="auto"/>
                      <w:sz w:val="21"/>
                      <w:szCs w:val="21"/>
                      <w:lang w:val="en-US" w:eastAsia="zh-CN"/>
                    </w:rPr>
                    <w:t>会泽县</w:t>
                  </w:r>
                  <w:r>
                    <w:rPr>
                      <w:rFonts w:hint="default" w:ascii="Times New Roman" w:hAnsi="Times New Roman" w:cs="Times New Roman"/>
                      <w:color w:val="auto"/>
                      <w:sz w:val="21"/>
                      <w:szCs w:val="21"/>
                    </w:rPr>
                    <w:t>电网规划</w:t>
                  </w:r>
                  <w:r>
                    <w:rPr>
                      <w:rFonts w:hint="eastAsia" w:ascii="Times New Roman" w:hAnsi="Times New Roman" w:cs="Times New Roman"/>
                      <w:color w:val="auto"/>
                      <w:sz w:val="21"/>
                      <w:szCs w:val="21"/>
                      <w:lang w:eastAsia="zh-CN"/>
                    </w:rPr>
                    <w:t>相关</w:t>
                  </w:r>
                  <w:r>
                    <w:rPr>
                      <w:rFonts w:hint="default" w:ascii="Times New Roman" w:hAnsi="Times New Roman" w:cs="Times New Roman"/>
                      <w:color w:val="auto"/>
                      <w:sz w:val="21"/>
                      <w:szCs w:val="21"/>
                    </w:rPr>
                    <w:t>要求</w:t>
                  </w:r>
                  <w:r>
                    <w:rPr>
                      <w:rFonts w:cs="Times New Roman"/>
                      <w:color w:val="auto"/>
                      <w:spacing w:val="0"/>
                      <w:sz w:val="21"/>
                      <w:szCs w:val="21"/>
                    </w:rPr>
                    <w:t>。</w:t>
                  </w:r>
                </w:p>
              </w:tc>
              <w:tc>
                <w:tcPr>
                  <w:tcW w:w="560" w:type="pct"/>
                  <w:noWrap w:val="0"/>
                  <w:vAlign w:val="center"/>
                </w:tcPr>
                <w:p w14:paraId="1BCF8750">
                  <w:pPr>
                    <w:pStyle w:val="85"/>
                    <w:adjustRightInd/>
                    <w:snapToGrid/>
                    <w:spacing w:line="240" w:lineRule="auto"/>
                    <w:ind w:firstLine="0" w:firstLineChars="0"/>
                    <w:jc w:val="center"/>
                    <w:rPr>
                      <w:color w:val="auto"/>
                      <w:sz w:val="21"/>
                      <w:szCs w:val="21"/>
                    </w:rPr>
                  </w:pPr>
                  <w:r>
                    <w:rPr>
                      <w:color w:val="auto"/>
                      <w:sz w:val="21"/>
                      <w:szCs w:val="21"/>
                    </w:rPr>
                    <w:t>符合</w:t>
                  </w:r>
                </w:p>
              </w:tc>
            </w:tr>
            <w:tr w14:paraId="2D21C1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 w:type="pct"/>
                  <w:vMerge w:val="continue"/>
                  <w:noWrap w:val="0"/>
                  <w:vAlign w:val="center"/>
                </w:tcPr>
                <w:p w14:paraId="722D7CE3">
                  <w:pPr>
                    <w:pStyle w:val="85"/>
                    <w:adjustRightInd/>
                    <w:snapToGrid/>
                    <w:spacing w:line="240" w:lineRule="auto"/>
                    <w:ind w:firstLine="0" w:firstLineChars="0"/>
                    <w:jc w:val="center"/>
                    <w:rPr>
                      <w:color w:val="auto"/>
                      <w:sz w:val="21"/>
                      <w:szCs w:val="21"/>
                    </w:rPr>
                  </w:pPr>
                </w:p>
              </w:tc>
              <w:tc>
                <w:tcPr>
                  <w:tcW w:w="2542" w:type="pct"/>
                  <w:noWrap w:val="0"/>
                  <w:vAlign w:val="center"/>
                </w:tcPr>
                <w:p w14:paraId="378B4FD5">
                  <w:pPr>
                    <w:pStyle w:val="85"/>
                    <w:adjustRightInd/>
                    <w:snapToGrid/>
                    <w:spacing w:line="240" w:lineRule="auto"/>
                    <w:ind w:firstLine="0" w:firstLineChars="0"/>
                    <w:jc w:val="center"/>
                    <w:rPr>
                      <w:color w:val="auto"/>
                      <w:sz w:val="21"/>
                      <w:szCs w:val="21"/>
                    </w:rPr>
                  </w:pPr>
                  <w:r>
                    <w:rPr>
                      <w:color w:val="auto"/>
                      <w:sz w:val="21"/>
                      <w:szCs w:val="21"/>
                    </w:rPr>
                    <w:t>输变电建设项目选址选线应符合生态保护红线管控要求，避让自然保护区、饮用水水源保护区等环境敏感区。确实因自然条件等因素限制无法避让自然保护区实验区、饮用水水源二级保护区等环境敏感区的输电线路，应在满足相关法律法规及管理要求的前提下对线路方案进行唯一性论证，并采取无害化方式通过。</w:t>
                  </w:r>
                </w:p>
              </w:tc>
              <w:tc>
                <w:tcPr>
                  <w:tcW w:w="1598" w:type="pct"/>
                  <w:noWrap w:val="0"/>
                  <w:vAlign w:val="center"/>
                </w:tcPr>
                <w:p w14:paraId="35C92980">
                  <w:pPr>
                    <w:pStyle w:val="85"/>
                    <w:adjustRightInd/>
                    <w:snapToGrid/>
                    <w:spacing w:line="240" w:lineRule="auto"/>
                    <w:ind w:firstLine="0" w:firstLineChars="0"/>
                    <w:jc w:val="center"/>
                    <w:rPr>
                      <w:color w:val="auto"/>
                      <w:sz w:val="21"/>
                      <w:szCs w:val="21"/>
                    </w:rPr>
                  </w:pPr>
                  <w:r>
                    <w:rPr>
                      <w:rFonts w:hint="default" w:ascii="Times New Roman" w:hAnsi="Times New Roman" w:cs="Times New Roman"/>
                      <w:color w:val="auto"/>
                      <w:sz w:val="21"/>
                      <w:szCs w:val="21"/>
                    </w:rPr>
                    <w:t>本项目不涉及</w:t>
                  </w:r>
                  <w:r>
                    <w:rPr>
                      <w:rFonts w:hint="default" w:ascii="Times New Roman" w:hAnsi="Times New Roman" w:cs="Times New Roman"/>
                      <w:color w:val="auto"/>
                      <w:sz w:val="21"/>
                      <w:szCs w:val="21"/>
                      <w:lang w:val="en-US" w:eastAsia="zh-CN"/>
                    </w:rPr>
                    <w:t>占用</w:t>
                  </w:r>
                  <w:r>
                    <w:rPr>
                      <w:rFonts w:hint="default" w:ascii="Times New Roman" w:hAnsi="Times New Roman" w:cs="Times New Roman"/>
                      <w:color w:val="auto"/>
                      <w:sz w:val="21"/>
                      <w:szCs w:val="21"/>
                    </w:rPr>
                    <w:t>自然保护区、饮用水水源保护区等环境敏感区。</w:t>
                  </w:r>
                </w:p>
              </w:tc>
              <w:tc>
                <w:tcPr>
                  <w:tcW w:w="560" w:type="pct"/>
                  <w:noWrap w:val="0"/>
                  <w:vAlign w:val="center"/>
                </w:tcPr>
                <w:p w14:paraId="0FE9087B">
                  <w:pPr>
                    <w:pStyle w:val="85"/>
                    <w:adjustRightInd/>
                    <w:snapToGrid/>
                    <w:spacing w:line="240" w:lineRule="auto"/>
                    <w:ind w:firstLine="0" w:firstLineChars="0"/>
                    <w:jc w:val="center"/>
                    <w:rPr>
                      <w:color w:val="auto"/>
                      <w:sz w:val="21"/>
                      <w:szCs w:val="21"/>
                    </w:rPr>
                  </w:pPr>
                  <w:r>
                    <w:rPr>
                      <w:color w:val="auto"/>
                      <w:sz w:val="21"/>
                      <w:szCs w:val="21"/>
                    </w:rPr>
                    <w:t>符合</w:t>
                  </w:r>
                </w:p>
              </w:tc>
            </w:tr>
            <w:tr w14:paraId="4D3579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 w:type="pct"/>
                  <w:vMerge w:val="continue"/>
                  <w:noWrap w:val="0"/>
                  <w:vAlign w:val="center"/>
                </w:tcPr>
                <w:p w14:paraId="253B9A20">
                  <w:pPr>
                    <w:pStyle w:val="85"/>
                    <w:adjustRightInd/>
                    <w:snapToGrid/>
                    <w:spacing w:line="240" w:lineRule="auto"/>
                    <w:ind w:firstLine="0" w:firstLineChars="0"/>
                    <w:jc w:val="center"/>
                    <w:rPr>
                      <w:color w:val="auto"/>
                      <w:sz w:val="21"/>
                      <w:szCs w:val="21"/>
                    </w:rPr>
                  </w:pPr>
                </w:p>
              </w:tc>
              <w:tc>
                <w:tcPr>
                  <w:tcW w:w="2542" w:type="pct"/>
                  <w:noWrap w:val="0"/>
                  <w:vAlign w:val="center"/>
                </w:tcPr>
                <w:p w14:paraId="6A438F8C">
                  <w:pPr>
                    <w:pStyle w:val="85"/>
                    <w:adjustRightInd/>
                    <w:snapToGrid/>
                    <w:spacing w:line="240" w:lineRule="auto"/>
                    <w:ind w:firstLine="0" w:firstLineChars="0"/>
                    <w:jc w:val="center"/>
                    <w:rPr>
                      <w:color w:val="auto"/>
                      <w:sz w:val="21"/>
                      <w:szCs w:val="21"/>
                    </w:rPr>
                  </w:pPr>
                  <w:r>
                    <w:rPr>
                      <w:color w:val="auto"/>
                      <w:sz w:val="21"/>
                      <w:szCs w:val="21"/>
                    </w:rPr>
                    <w:t>变电工程在选址时应按终期规模综合考虑进出线走廊规划，避免进出线进入自然保护区、饮用水水源保护区等环境敏感区。</w:t>
                  </w:r>
                </w:p>
              </w:tc>
              <w:tc>
                <w:tcPr>
                  <w:tcW w:w="1598" w:type="pct"/>
                  <w:noWrap w:val="0"/>
                  <w:vAlign w:val="center"/>
                </w:tcPr>
                <w:p w14:paraId="6E4D884D">
                  <w:pPr>
                    <w:pStyle w:val="87"/>
                    <w:autoSpaceDE/>
                    <w:autoSpaceDN/>
                    <w:adjustRightInd/>
                    <w:snapToGrid/>
                    <w:jc w:val="center"/>
                    <w:rPr>
                      <w:rFonts w:hint="eastAsia" w:cs="Times New Roman"/>
                      <w:color w:val="auto"/>
                      <w:spacing w:val="0"/>
                    </w:rPr>
                  </w:pPr>
                  <w:r>
                    <w:rPr>
                      <w:rFonts w:cs="Times New Roman"/>
                      <w:color w:val="auto"/>
                      <w:spacing w:val="0"/>
                    </w:rPr>
                    <w:t>项目为输电线路工程，项目建设</w:t>
                  </w:r>
                  <w:r>
                    <w:rPr>
                      <w:rFonts w:hint="eastAsia" w:cs="Times New Roman"/>
                      <w:color w:val="auto"/>
                      <w:spacing w:val="0"/>
                    </w:rPr>
                    <w:t>进一步优化</w:t>
                  </w:r>
                  <w:r>
                    <w:rPr>
                      <w:rFonts w:hint="eastAsia" w:cs="Times New Roman"/>
                      <w:color w:val="auto"/>
                      <w:spacing w:val="0"/>
                      <w:lang w:val="en-US" w:eastAsia="zh-CN"/>
                    </w:rPr>
                    <w:t>曲靖市、会泽县</w:t>
                  </w:r>
                  <w:r>
                    <w:rPr>
                      <w:rFonts w:hint="eastAsia" w:cs="Times New Roman"/>
                      <w:color w:val="auto"/>
                      <w:spacing w:val="0"/>
                    </w:rPr>
                    <w:t>主网网架结构，提升电网运行的灵活性和可靠性，且</w:t>
                  </w:r>
                  <w:r>
                    <w:rPr>
                      <w:rFonts w:cs="Times New Roman"/>
                      <w:color w:val="auto"/>
                      <w:spacing w:val="0"/>
                    </w:rPr>
                    <w:t>项目</w:t>
                  </w:r>
                  <w:r>
                    <w:rPr>
                      <w:rFonts w:hint="eastAsia" w:cs="Times New Roman"/>
                      <w:color w:val="auto"/>
                      <w:spacing w:val="0"/>
                    </w:rPr>
                    <w:t>不涉及新建</w:t>
                  </w:r>
                  <w:r>
                    <w:rPr>
                      <w:rFonts w:hint="eastAsia" w:cs="Times New Roman"/>
                      <w:color w:val="auto"/>
                      <w:spacing w:val="0"/>
                      <w:lang w:eastAsia="zh-CN"/>
                    </w:rPr>
                    <w:t>升压站</w:t>
                  </w:r>
                  <w:r>
                    <w:rPr>
                      <w:rFonts w:hint="eastAsia" w:cs="Times New Roman"/>
                      <w:color w:val="auto"/>
                      <w:spacing w:val="0"/>
                    </w:rPr>
                    <w:t>。</w:t>
                  </w:r>
                </w:p>
              </w:tc>
              <w:tc>
                <w:tcPr>
                  <w:tcW w:w="560" w:type="pct"/>
                  <w:noWrap w:val="0"/>
                  <w:vAlign w:val="center"/>
                </w:tcPr>
                <w:p w14:paraId="76CA5AB7">
                  <w:pPr>
                    <w:pStyle w:val="85"/>
                    <w:adjustRightInd/>
                    <w:snapToGrid/>
                    <w:spacing w:line="240" w:lineRule="auto"/>
                    <w:ind w:firstLine="0" w:firstLineChars="0"/>
                    <w:jc w:val="center"/>
                    <w:rPr>
                      <w:color w:val="auto"/>
                      <w:sz w:val="21"/>
                      <w:szCs w:val="21"/>
                    </w:rPr>
                  </w:pPr>
                  <w:r>
                    <w:rPr>
                      <w:color w:val="auto"/>
                      <w:sz w:val="21"/>
                      <w:szCs w:val="21"/>
                    </w:rPr>
                    <w:t>符合</w:t>
                  </w:r>
                </w:p>
              </w:tc>
            </w:tr>
            <w:tr w14:paraId="06E2AA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 w:type="pct"/>
                  <w:vMerge w:val="continue"/>
                  <w:noWrap w:val="0"/>
                  <w:vAlign w:val="center"/>
                </w:tcPr>
                <w:p w14:paraId="5DE68C2A">
                  <w:pPr>
                    <w:pStyle w:val="85"/>
                    <w:adjustRightInd/>
                    <w:snapToGrid/>
                    <w:spacing w:line="240" w:lineRule="auto"/>
                    <w:ind w:firstLine="0" w:firstLineChars="0"/>
                    <w:jc w:val="center"/>
                    <w:rPr>
                      <w:color w:val="auto"/>
                      <w:sz w:val="21"/>
                      <w:szCs w:val="21"/>
                    </w:rPr>
                  </w:pPr>
                </w:p>
              </w:tc>
              <w:tc>
                <w:tcPr>
                  <w:tcW w:w="2542" w:type="pct"/>
                  <w:noWrap w:val="0"/>
                  <w:vAlign w:val="center"/>
                </w:tcPr>
                <w:p w14:paraId="2E6FEDE6">
                  <w:pPr>
                    <w:pStyle w:val="85"/>
                    <w:adjustRightInd/>
                    <w:snapToGrid/>
                    <w:spacing w:line="240" w:lineRule="auto"/>
                    <w:ind w:firstLine="0" w:firstLineChars="0"/>
                    <w:jc w:val="center"/>
                    <w:rPr>
                      <w:color w:val="auto"/>
                      <w:sz w:val="21"/>
                      <w:szCs w:val="21"/>
                    </w:rPr>
                  </w:pPr>
                  <w:r>
                    <w:rPr>
                      <w:color w:val="auto"/>
                      <w:sz w:val="21"/>
                      <w:szCs w:val="21"/>
                    </w:rPr>
                    <w:t>原则上避免在0类声环境功能区建设变电工程。</w:t>
                  </w:r>
                </w:p>
              </w:tc>
              <w:tc>
                <w:tcPr>
                  <w:tcW w:w="1598" w:type="pct"/>
                  <w:noWrap w:val="0"/>
                  <w:vAlign w:val="center"/>
                </w:tcPr>
                <w:p w14:paraId="6386C2B1">
                  <w:pPr>
                    <w:pStyle w:val="87"/>
                    <w:autoSpaceDE/>
                    <w:autoSpaceDN/>
                    <w:adjustRightInd/>
                    <w:snapToGrid/>
                    <w:jc w:val="center"/>
                    <w:rPr>
                      <w:rFonts w:cs="Times New Roman"/>
                      <w:color w:val="auto"/>
                      <w:spacing w:val="0"/>
                    </w:rPr>
                  </w:pPr>
                  <w:r>
                    <w:rPr>
                      <w:rFonts w:cs="Times New Roman"/>
                      <w:color w:val="auto"/>
                      <w:spacing w:val="0"/>
                    </w:rPr>
                    <w:t>输电线路经过区域为1类声功能区。</w:t>
                  </w:r>
                  <w:r>
                    <w:rPr>
                      <w:rFonts w:hint="default" w:ascii="Times New Roman" w:hAnsi="Times New Roman" w:cs="Times New Roman"/>
                      <w:color w:val="auto"/>
                      <w:szCs w:val="21"/>
                    </w:rPr>
                    <w:t>本项目不位于0类区域。</w:t>
                  </w:r>
                  <w:r>
                    <w:rPr>
                      <w:rFonts w:hint="eastAsia" w:cs="Times New Roman"/>
                      <w:color w:val="auto"/>
                      <w:spacing w:val="0"/>
                    </w:rPr>
                    <w:t>项目不涉及新建</w:t>
                  </w:r>
                  <w:r>
                    <w:rPr>
                      <w:rFonts w:hint="eastAsia" w:cs="Times New Roman"/>
                      <w:color w:val="auto"/>
                      <w:spacing w:val="0"/>
                      <w:lang w:eastAsia="zh-CN"/>
                    </w:rPr>
                    <w:t>升压站</w:t>
                  </w:r>
                  <w:r>
                    <w:rPr>
                      <w:rFonts w:hint="eastAsia" w:cs="Times New Roman"/>
                      <w:color w:val="auto"/>
                      <w:spacing w:val="0"/>
                    </w:rPr>
                    <w:t>。</w:t>
                  </w:r>
                </w:p>
              </w:tc>
              <w:tc>
                <w:tcPr>
                  <w:tcW w:w="560" w:type="pct"/>
                  <w:noWrap w:val="0"/>
                  <w:vAlign w:val="center"/>
                </w:tcPr>
                <w:p w14:paraId="19246A06">
                  <w:pPr>
                    <w:pStyle w:val="85"/>
                    <w:adjustRightInd/>
                    <w:snapToGrid/>
                    <w:spacing w:line="240" w:lineRule="auto"/>
                    <w:ind w:firstLine="0" w:firstLineChars="0"/>
                    <w:jc w:val="center"/>
                    <w:rPr>
                      <w:color w:val="auto"/>
                      <w:sz w:val="21"/>
                      <w:szCs w:val="21"/>
                    </w:rPr>
                  </w:pPr>
                  <w:r>
                    <w:rPr>
                      <w:color w:val="auto"/>
                      <w:sz w:val="21"/>
                      <w:szCs w:val="21"/>
                    </w:rPr>
                    <w:t>符合</w:t>
                  </w:r>
                </w:p>
              </w:tc>
            </w:tr>
            <w:tr w14:paraId="30FBDB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 w:type="pct"/>
                  <w:vMerge w:val="continue"/>
                  <w:noWrap w:val="0"/>
                  <w:vAlign w:val="center"/>
                </w:tcPr>
                <w:p w14:paraId="74E7915B">
                  <w:pPr>
                    <w:pStyle w:val="85"/>
                    <w:adjustRightInd/>
                    <w:snapToGrid/>
                    <w:spacing w:line="240" w:lineRule="auto"/>
                    <w:ind w:firstLine="0" w:firstLineChars="0"/>
                    <w:jc w:val="center"/>
                    <w:rPr>
                      <w:color w:val="auto"/>
                      <w:sz w:val="21"/>
                      <w:szCs w:val="21"/>
                    </w:rPr>
                  </w:pPr>
                </w:p>
              </w:tc>
              <w:tc>
                <w:tcPr>
                  <w:tcW w:w="2542" w:type="pct"/>
                  <w:noWrap w:val="0"/>
                  <w:vAlign w:val="center"/>
                </w:tcPr>
                <w:p w14:paraId="19869895">
                  <w:pPr>
                    <w:pStyle w:val="85"/>
                    <w:adjustRightInd/>
                    <w:snapToGrid/>
                    <w:spacing w:line="240" w:lineRule="auto"/>
                    <w:ind w:firstLine="0" w:firstLineChars="0"/>
                    <w:jc w:val="center"/>
                    <w:rPr>
                      <w:color w:val="auto"/>
                      <w:sz w:val="21"/>
                      <w:szCs w:val="21"/>
                    </w:rPr>
                  </w:pPr>
                  <w:r>
                    <w:rPr>
                      <w:color w:val="auto"/>
                      <w:sz w:val="21"/>
                      <w:szCs w:val="21"/>
                    </w:rPr>
                    <w:t>进入自然保护区的输电线路，应按照HJ19的要求开展生态现状调查，避让保护对象的集中分布区。</w:t>
                  </w:r>
                </w:p>
              </w:tc>
              <w:tc>
                <w:tcPr>
                  <w:tcW w:w="1598" w:type="pct"/>
                  <w:noWrap w:val="0"/>
                  <w:vAlign w:val="center"/>
                </w:tcPr>
                <w:p w14:paraId="78C9B1D7">
                  <w:pPr>
                    <w:pStyle w:val="85"/>
                    <w:adjustRightInd/>
                    <w:snapToGrid/>
                    <w:spacing w:line="240" w:lineRule="auto"/>
                    <w:ind w:firstLine="0" w:firstLineChars="0"/>
                    <w:jc w:val="center"/>
                    <w:rPr>
                      <w:color w:val="auto"/>
                      <w:sz w:val="21"/>
                      <w:szCs w:val="21"/>
                    </w:rPr>
                  </w:pPr>
                  <w:r>
                    <w:rPr>
                      <w:color w:val="auto"/>
                      <w:sz w:val="21"/>
                      <w:szCs w:val="21"/>
                    </w:rPr>
                    <w:t>项目不涉及</w:t>
                  </w:r>
                  <w:r>
                    <w:rPr>
                      <w:rFonts w:hint="eastAsia"/>
                      <w:color w:val="auto"/>
                      <w:sz w:val="21"/>
                      <w:szCs w:val="21"/>
                    </w:rPr>
                    <w:t>占用</w:t>
                  </w:r>
                  <w:r>
                    <w:rPr>
                      <w:color w:val="auto"/>
                      <w:sz w:val="21"/>
                      <w:szCs w:val="21"/>
                    </w:rPr>
                    <w:t>自然保护区。</w:t>
                  </w:r>
                </w:p>
              </w:tc>
              <w:tc>
                <w:tcPr>
                  <w:tcW w:w="560" w:type="pct"/>
                  <w:noWrap w:val="0"/>
                  <w:vAlign w:val="center"/>
                </w:tcPr>
                <w:p w14:paraId="020834A8">
                  <w:pPr>
                    <w:pStyle w:val="85"/>
                    <w:adjustRightInd/>
                    <w:snapToGrid/>
                    <w:spacing w:line="240" w:lineRule="auto"/>
                    <w:ind w:firstLine="0" w:firstLineChars="0"/>
                    <w:jc w:val="center"/>
                    <w:rPr>
                      <w:color w:val="auto"/>
                      <w:sz w:val="21"/>
                      <w:szCs w:val="21"/>
                    </w:rPr>
                  </w:pPr>
                  <w:r>
                    <w:rPr>
                      <w:color w:val="auto"/>
                      <w:sz w:val="21"/>
                      <w:szCs w:val="21"/>
                    </w:rPr>
                    <w:t>符合</w:t>
                  </w:r>
                </w:p>
              </w:tc>
            </w:tr>
            <w:tr w14:paraId="4EEDFB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 w:type="pct"/>
                  <w:vMerge w:val="restart"/>
                  <w:noWrap w:val="0"/>
                  <w:vAlign w:val="center"/>
                </w:tcPr>
                <w:p w14:paraId="20BCA2AD">
                  <w:pPr>
                    <w:pStyle w:val="85"/>
                    <w:adjustRightInd/>
                    <w:snapToGrid/>
                    <w:spacing w:line="240" w:lineRule="auto"/>
                    <w:ind w:firstLine="0" w:firstLineChars="0"/>
                    <w:jc w:val="center"/>
                    <w:rPr>
                      <w:color w:val="auto"/>
                      <w:sz w:val="21"/>
                      <w:szCs w:val="21"/>
                    </w:rPr>
                  </w:pPr>
                  <w:r>
                    <w:rPr>
                      <w:color w:val="auto"/>
                      <w:sz w:val="21"/>
                      <w:szCs w:val="21"/>
                    </w:rPr>
                    <w:t>电磁环境保护要求</w:t>
                  </w:r>
                </w:p>
              </w:tc>
              <w:tc>
                <w:tcPr>
                  <w:tcW w:w="2542" w:type="pct"/>
                  <w:noWrap w:val="0"/>
                  <w:vAlign w:val="center"/>
                </w:tcPr>
                <w:p w14:paraId="533F1B1F">
                  <w:pPr>
                    <w:pStyle w:val="85"/>
                    <w:adjustRightInd/>
                    <w:snapToGrid/>
                    <w:spacing w:line="240" w:lineRule="auto"/>
                    <w:ind w:firstLine="0" w:firstLineChars="0"/>
                    <w:jc w:val="center"/>
                    <w:rPr>
                      <w:color w:val="auto"/>
                      <w:sz w:val="21"/>
                      <w:szCs w:val="21"/>
                    </w:rPr>
                  </w:pPr>
                  <w:r>
                    <w:rPr>
                      <w:color w:val="auto"/>
                      <w:sz w:val="21"/>
                      <w:szCs w:val="21"/>
                    </w:rPr>
                    <w:t>工程设计应对产生的工频电场、工频磁场、直流合成电场等电磁环境影响因子进行验算，采取相应防护措施，确保电磁环境影响满足国家标准要求。</w:t>
                  </w:r>
                </w:p>
              </w:tc>
              <w:tc>
                <w:tcPr>
                  <w:tcW w:w="1598" w:type="pct"/>
                  <w:noWrap w:val="0"/>
                  <w:vAlign w:val="center"/>
                </w:tcPr>
                <w:p w14:paraId="206E1D53">
                  <w:pPr>
                    <w:pStyle w:val="85"/>
                    <w:adjustRightInd/>
                    <w:snapToGrid/>
                    <w:spacing w:line="240" w:lineRule="auto"/>
                    <w:ind w:firstLine="0" w:firstLineChars="0"/>
                    <w:jc w:val="center"/>
                    <w:rPr>
                      <w:color w:val="auto"/>
                      <w:sz w:val="21"/>
                      <w:szCs w:val="21"/>
                    </w:rPr>
                  </w:pPr>
                  <w:r>
                    <w:rPr>
                      <w:color w:val="auto"/>
                      <w:sz w:val="21"/>
                      <w:szCs w:val="21"/>
                    </w:rPr>
                    <w:t>本项目设计时已进行电磁环境影响因子分析，按照较小的方式进行设计，确保电磁环境影响满足国家标准要求。</w:t>
                  </w:r>
                </w:p>
              </w:tc>
              <w:tc>
                <w:tcPr>
                  <w:tcW w:w="560" w:type="pct"/>
                  <w:noWrap w:val="0"/>
                  <w:vAlign w:val="center"/>
                </w:tcPr>
                <w:p w14:paraId="5C2552CC">
                  <w:pPr>
                    <w:pStyle w:val="85"/>
                    <w:adjustRightInd/>
                    <w:snapToGrid/>
                    <w:spacing w:line="240" w:lineRule="auto"/>
                    <w:ind w:firstLine="0" w:firstLineChars="0"/>
                    <w:jc w:val="center"/>
                    <w:rPr>
                      <w:color w:val="auto"/>
                      <w:sz w:val="21"/>
                      <w:szCs w:val="21"/>
                    </w:rPr>
                  </w:pPr>
                  <w:r>
                    <w:rPr>
                      <w:color w:val="auto"/>
                      <w:sz w:val="21"/>
                      <w:szCs w:val="21"/>
                    </w:rPr>
                    <w:t>符合</w:t>
                  </w:r>
                </w:p>
              </w:tc>
            </w:tr>
            <w:tr w14:paraId="4D95D3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 w:type="pct"/>
                  <w:vMerge w:val="continue"/>
                  <w:noWrap w:val="0"/>
                  <w:vAlign w:val="center"/>
                </w:tcPr>
                <w:p w14:paraId="42D7080C">
                  <w:pPr>
                    <w:pStyle w:val="85"/>
                    <w:adjustRightInd/>
                    <w:snapToGrid/>
                    <w:spacing w:line="240" w:lineRule="auto"/>
                    <w:ind w:firstLine="0" w:firstLineChars="0"/>
                    <w:jc w:val="center"/>
                    <w:rPr>
                      <w:color w:val="auto"/>
                      <w:sz w:val="21"/>
                      <w:szCs w:val="21"/>
                    </w:rPr>
                  </w:pPr>
                </w:p>
              </w:tc>
              <w:tc>
                <w:tcPr>
                  <w:tcW w:w="2542" w:type="pct"/>
                  <w:noWrap w:val="0"/>
                  <w:vAlign w:val="center"/>
                </w:tcPr>
                <w:p w14:paraId="7F248324">
                  <w:pPr>
                    <w:pStyle w:val="85"/>
                    <w:adjustRightInd/>
                    <w:snapToGrid/>
                    <w:spacing w:line="240" w:lineRule="auto"/>
                    <w:ind w:firstLine="0" w:firstLineChars="0"/>
                    <w:jc w:val="center"/>
                    <w:rPr>
                      <w:color w:val="auto"/>
                      <w:sz w:val="21"/>
                      <w:szCs w:val="21"/>
                    </w:rPr>
                  </w:pPr>
                  <w:r>
                    <w:rPr>
                      <w:color w:val="auto"/>
                      <w:sz w:val="21"/>
                      <w:szCs w:val="21"/>
                    </w:rPr>
                    <w:t>输电线路设计应因地制宜选择线路型式、架设高度、杆塔塔型、导线参数、相序布置等，减少电磁环境影响。</w:t>
                  </w:r>
                </w:p>
              </w:tc>
              <w:tc>
                <w:tcPr>
                  <w:tcW w:w="1598" w:type="pct"/>
                  <w:noWrap w:val="0"/>
                  <w:vAlign w:val="center"/>
                </w:tcPr>
                <w:p w14:paraId="11B703B5">
                  <w:pPr>
                    <w:pStyle w:val="85"/>
                    <w:adjustRightInd/>
                    <w:snapToGrid/>
                    <w:spacing w:line="240" w:lineRule="auto"/>
                    <w:ind w:firstLine="0" w:firstLineChars="0"/>
                    <w:jc w:val="center"/>
                    <w:rPr>
                      <w:color w:val="auto"/>
                      <w:sz w:val="21"/>
                      <w:szCs w:val="21"/>
                    </w:rPr>
                  </w:pPr>
                  <w:r>
                    <w:rPr>
                      <w:color w:val="auto"/>
                      <w:sz w:val="21"/>
                      <w:szCs w:val="21"/>
                    </w:rPr>
                    <w:t>线路设计时选择了合适的线路型式、架设高度、杆塔塔型、导线参数、相序布置等，有效减少了电磁环境影响。</w:t>
                  </w:r>
                </w:p>
              </w:tc>
              <w:tc>
                <w:tcPr>
                  <w:tcW w:w="560" w:type="pct"/>
                  <w:noWrap w:val="0"/>
                  <w:vAlign w:val="center"/>
                </w:tcPr>
                <w:p w14:paraId="73406032">
                  <w:pPr>
                    <w:pStyle w:val="85"/>
                    <w:adjustRightInd/>
                    <w:snapToGrid/>
                    <w:spacing w:line="240" w:lineRule="auto"/>
                    <w:ind w:firstLine="0" w:firstLineChars="0"/>
                    <w:jc w:val="center"/>
                    <w:rPr>
                      <w:color w:val="auto"/>
                      <w:sz w:val="21"/>
                      <w:szCs w:val="21"/>
                    </w:rPr>
                  </w:pPr>
                  <w:r>
                    <w:rPr>
                      <w:color w:val="auto"/>
                      <w:sz w:val="21"/>
                      <w:szCs w:val="21"/>
                    </w:rPr>
                    <w:t>符合</w:t>
                  </w:r>
                </w:p>
              </w:tc>
            </w:tr>
            <w:tr w14:paraId="68AF8C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 w:type="pct"/>
                  <w:vMerge w:val="continue"/>
                  <w:noWrap w:val="0"/>
                  <w:vAlign w:val="center"/>
                </w:tcPr>
                <w:p w14:paraId="015A981A">
                  <w:pPr>
                    <w:pStyle w:val="85"/>
                    <w:adjustRightInd/>
                    <w:snapToGrid/>
                    <w:spacing w:line="240" w:lineRule="auto"/>
                    <w:ind w:firstLine="0" w:firstLineChars="0"/>
                    <w:jc w:val="center"/>
                    <w:rPr>
                      <w:color w:val="auto"/>
                      <w:sz w:val="21"/>
                      <w:szCs w:val="21"/>
                    </w:rPr>
                  </w:pPr>
                </w:p>
              </w:tc>
              <w:tc>
                <w:tcPr>
                  <w:tcW w:w="2542" w:type="pct"/>
                  <w:noWrap w:val="0"/>
                  <w:vAlign w:val="center"/>
                </w:tcPr>
                <w:p w14:paraId="6C1B3391">
                  <w:pPr>
                    <w:pStyle w:val="85"/>
                    <w:adjustRightInd/>
                    <w:snapToGrid/>
                    <w:spacing w:line="240" w:lineRule="auto"/>
                    <w:ind w:firstLine="0" w:firstLineChars="0"/>
                    <w:jc w:val="center"/>
                    <w:rPr>
                      <w:color w:val="auto"/>
                      <w:sz w:val="21"/>
                      <w:szCs w:val="21"/>
                    </w:rPr>
                  </w:pPr>
                  <w:r>
                    <w:rPr>
                      <w:color w:val="auto"/>
                      <w:sz w:val="21"/>
                      <w:szCs w:val="21"/>
                    </w:rPr>
                    <w:t>新建城市电力线路在市中心地区、高层建筑群区、市区主干路、人口密集区、繁华街道等区域应采用地下电缆，减少电磁环境影响。</w:t>
                  </w:r>
                </w:p>
              </w:tc>
              <w:tc>
                <w:tcPr>
                  <w:tcW w:w="1598" w:type="pct"/>
                  <w:noWrap w:val="0"/>
                  <w:vAlign w:val="center"/>
                </w:tcPr>
                <w:p w14:paraId="7A03C3E9">
                  <w:pPr>
                    <w:pStyle w:val="85"/>
                    <w:adjustRightInd/>
                    <w:snapToGrid/>
                    <w:spacing w:line="240" w:lineRule="auto"/>
                    <w:ind w:firstLine="0" w:firstLineChars="0"/>
                    <w:jc w:val="center"/>
                    <w:rPr>
                      <w:color w:val="auto"/>
                      <w:sz w:val="21"/>
                      <w:szCs w:val="21"/>
                    </w:rPr>
                  </w:pPr>
                  <w:r>
                    <w:rPr>
                      <w:color w:val="auto"/>
                      <w:sz w:val="21"/>
                      <w:szCs w:val="21"/>
                    </w:rPr>
                    <w:t>本项目不属于新建城市电力线路。</w:t>
                  </w:r>
                </w:p>
              </w:tc>
              <w:tc>
                <w:tcPr>
                  <w:tcW w:w="560" w:type="pct"/>
                  <w:noWrap w:val="0"/>
                  <w:vAlign w:val="center"/>
                </w:tcPr>
                <w:p w14:paraId="6DEA002D">
                  <w:pPr>
                    <w:pStyle w:val="85"/>
                    <w:adjustRightInd/>
                    <w:snapToGrid/>
                    <w:spacing w:line="240" w:lineRule="auto"/>
                    <w:ind w:firstLine="0" w:firstLineChars="0"/>
                    <w:jc w:val="center"/>
                    <w:rPr>
                      <w:color w:val="auto"/>
                      <w:sz w:val="21"/>
                      <w:szCs w:val="21"/>
                    </w:rPr>
                  </w:pPr>
                  <w:r>
                    <w:rPr>
                      <w:color w:val="auto"/>
                      <w:sz w:val="21"/>
                      <w:szCs w:val="21"/>
                    </w:rPr>
                    <w:t>符合</w:t>
                  </w:r>
                </w:p>
              </w:tc>
            </w:tr>
            <w:tr w14:paraId="20B11A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 w:type="pct"/>
                  <w:vMerge w:val="continue"/>
                  <w:noWrap w:val="0"/>
                  <w:vAlign w:val="center"/>
                </w:tcPr>
                <w:p w14:paraId="1C572EFB">
                  <w:pPr>
                    <w:pStyle w:val="85"/>
                    <w:adjustRightInd/>
                    <w:snapToGrid/>
                    <w:spacing w:line="240" w:lineRule="auto"/>
                    <w:ind w:firstLine="0" w:firstLineChars="0"/>
                    <w:jc w:val="center"/>
                    <w:rPr>
                      <w:color w:val="auto"/>
                      <w:sz w:val="21"/>
                      <w:szCs w:val="21"/>
                    </w:rPr>
                  </w:pPr>
                </w:p>
              </w:tc>
              <w:tc>
                <w:tcPr>
                  <w:tcW w:w="2542" w:type="pct"/>
                  <w:noWrap w:val="0"/>
                  <w:vAlign w:val="center"/>
                </w:tcPr>
                <w:p w14:paraId="0ABE79EA">
                  <w:pPr>
                    <w:pStyle w:val="85"/>
                    <w:adjustRightInd/>
                    <w:snapToGrid/>
                    <w:spacing w:line="240" w:lineRule="auto"/>
                    <w:ind w:firstLine="0" w:firstLineChars="0"/>
                    <w:jc w:val="center"/>
                    <w:rPr>
                      <w:color w:val="auto"/>
                      <w:sz w:val="21"/>
                      <w:szCs w:val="21"/>
                    </w:rPr>
                  </w:pPr>
                  <w:r>
                    <w:rPr>
                      <w:color w:val="auto"/>
                      <w:sz w:val="21"/>
                      <w:szCs w:val="21"/>
                    </w:rPr>
                    <w:t>变电工程的布置设计应考虑进出线对周围电磁环境的影响。</w:t>
                  </w:r>
                </w:p>
              </w:tc>
              <w:tc>
                <w:tcPr>
                  <w:tcW w:w="1598" w:type="pct"/>
                  <w:noWrap w:val="0"/>
                  <w:vAlign w:val="center"/>
                </w:tcPr>
                <w:p w14:paraId="5922886F">
                  <w:pPr>
                    <w:pStyle w:val="85"/>
                    <w:adjustRightInd/>
                    <w:snapToGrid/>
                    <w:spacing w:line="240" w:lineRule="auto"/>
                    <w:ind w:firstLine="0" w:firstLineChars="0"/>
                    <w:jc w:val="center"/>
                    <w:rPr>
                      <w:color w:val="auto"/>
                      <w:sz w:val="21"/>
                      <w:szCs w:val="21"/>
                    </w:rPr>
                  </w:pPr>
                  <w:r>
                    <w:rPr>
                      <w:color w:val="auto"/>
                      <w:sz w:val="21"/>
                      <w:szCs w:val="21"/>
                    </w:rPr>
                    <w:t>设计阶段已考虑进出线对周围电磁环境的影响。</w:t>
                  </w:r>
                </w:p>
              </w:tc>
              <w:tc>
                <w:tcPr>
                  <w:tcW w:w="560" w:type="pct"/>
                  <w:noWrap w:val="0"/>
                  <w:vAlign w:val="center"/>
                </w:tcPr>
                <w:p w14:paraId="3A8AB7CE">
                  <w:pPr>
                    <w:pStyle w:val="85"/>
                    <w:adjustRightInd/>
                    <w:snapToGrid/>
                    <w:spacing w:line="240" w:lineRule="auto"/>
                    <w:ind w:firstLine="0" w:firstLineChars="0"/>
                    <w:jc w:val="center"/>
                    <w:rPr>
                      <w:color w:val="auto"/>
                      <w:sz w:val="21"/>
                      <w:szCs w:val="21"/>
                    </w:rPr>
                  </w:pPr>
                  <w:r>
                    <w:rPr>
                      <w:color w:val="auto"/>
                      <w:sz w:val="21"/>
                      <w:szCs w:val="21"/>
                    </w:rPr>
                    <w:t>符合</w:t>
                  </w:r>
                </w:p>
              </w:tc>
            </w:tr>
            <w:tr w14:paraId="561536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 w:type="pct"/>
                  <w:vMerge w:val="restart"/>
                  <w:noWrap w:val="0"/>
                  <w:vAlign w:val="center"/>
                </w:tcPr>
                <w:p w14:paraId="4FF2FC43">
                  <w:pPr>
                    <w:pStyle w:val="85"/>
                    <w:adjustRightInd/>
                    <w:snapToGrid/>
                    <w:spacing w:line="240" w:lineRule="auto"/>
                    <w:ind w:firstLine="0" w:firstLineChars="0"/>
                    <w:jc w:val="center"/>
                    <w:rPr>
                      <w:color w:val="auto"/>
                      <w:sz w:val="21"/>
                      <w:szCs w:val="21"/>
                    </w:rPr>
                  </w:pPr>
                  <w:r>
                    <w:rPr>
                      <w:color w:val="auto"/>
                      <w:sz w:val="21"/>
                      <w:szCs w:val="21"/>
                    </w:rPr>
                    <w:t>声环境保护</w:t>
                  </w:r>
                </w:p>
              </w:tc>
              <w:tc>
                <w:tcPr>
                  <w:tcW w:w="2542" w:type="pct"/>
                  <w:noWrap w:val="0"/>
                  <w:vAlign w:val="center"/>
                </w:tcPr>
                <w:p w14:paraId="779F22B9">
                  <w:pPr>
                    <w:spacing w:line="240" w:lineRule="auto"/>
                    <w:jc w:val="center"/>
                    <w:rPr>
                      <w:color w:val="auto"/>
                      <w:szCs w:val="21"/>
                    </w:rPr>
                  </w:pPr>
                  <w:r>
                    <w:rPr>
                      <w:color w:val="auto"/>
                    </w:rPr>
                    <w:t>变电工程噪声控制设计应首先从噪声源强上进行控制，选择低噪声设备；对于声源上无法根治的噪声，应采用隔声、吸声、消声、防震、减振等降噪措施，确保厂界排放噪声和周围声环境敏感目标分别满足GB12348和GB3096要求。</w:t>
                  </w:r>
                </w:p>
              </w:tc>
              <w:tc>
                <w:tcPr>
                  <w:tcW w:w="1598" w:type="pct"/>
                  <w:vMerge w:val="restart"/>
                  <w:noWrap w:val="0"/>
                  <w:vAlign w:val="center"/>
                </w:tcPr>
                <w:p w14:paraId="4B53360E">
                  <w:pPr>
                    <w:pStyle w:val="85"/>
                    <w:adjustRightInd/>
                    <w:snapToGrid/>
                    <w:spacing w:line="240" w:lineRule="auto"/>
                    <w:ind w:firstLine="0" w:firstLineChars="0"/>
                    <w:jc w:val="center"/>
                    <w:rPr>
                      <w:color w:val="auto"/>
                      <w:sz w:val="21"/>
                      <w:szCs w:val="21"/>
                    </w:rPr>
                  </w:pPr>
                  <w:r>
                    <w:rPr>
                      <w:iCs w:val="0"/>
                      <w:color w:val="auto"/>
                      <w:sz w:val="21"/>
                    </w:rPr>
                    <w:t>项目仅为输电线路工程，不涉及</w:t>
                  </w:r>
                  <w:r>
                    <w:rPr>
                      <w:rFonts w:hint="eastAsia"/>
                      <w:iCs w:val="0"/>
                      <w:color w:val="auto"/>
                      <w:sz w:val="21"/>
                      <w:lang w:eastAsia="zh-CN"/>
                    </w:rPr>
                    <w:t>升压站</w:t>
                  </w:r>
                  <w:r>
                    <w:rPr>
                      <w:iCs w:val="0"/>
                      <w:color w:val="auto"/>
                      <w:sz w:val="21"/>
                    </w:rPr>
                    <w:t>的建设。经预测项目运营后线路两侧区域可满足《工业企业厂界环境噪声排放标准》（GB12348-2008）相应标准限值要求。</w:t>
                  </w:r>
                </w:p>
              </w:tc>
              <w:tc>
                <w:tcPr>
                  <w:tcW w:w="560" w:type="pct"/>
                  <w:noWrap w:val="0"/>
                  <w:vAlign w:val="center"/>
                </w:tcPr>
                <w:p w14:paraId="0DA3EAF5">
                  <w:pPr>
                    <w:pStyle w:val="85"/>
                    <w:adjustRightInd/>
                    <w:snapToGrid/>
                    <w:spacing w:line="240" w:lineRule="auto"/>
                    <w:ind w:firstLine="0" w:firstLineChars="0"/>
                    <w:jc w:val="center"/>
                    <w:rPr>
                      <w:color w:val="auto"/>
                      <w:sz w:val="21"/>
                      <w:szCs w:val="21"/>
                    </w:rPr>
                  </w:pPr>
                  <w:r>
                    <w:rPr>
                      <w:color w:val="auto"/>
                      <w:sz w:val="21"/>
                      <w:szCs w:val="21"/>
                    </w:rPr>
                    <w:t>符合</w:t>
                  </w:r>
                </w:p>
              </w:tc>
            </w:tr>
            <w:tr w14:paraId="4FE3B2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 w:type="pct"/>
                  <w:vMerge w:val="continue"/>
                  <w:noWrap w:val="0"/>
                  <w:vAlign w:val="center"/>
                </w:tcPr>
                <w:p w14:paraId="53ACD890">
                  <w:pPr>
                    <w:pStyle w:val="85"/>
                    <w:adjustRightInd/>
                    <w:snapToGrid/>
                    <w:spacing w:line="240" w:lineRule="auto"/>
                    <w:ind w:firstLine="0" w:firstLineChars="0"/>
                    <w:jc w:val="center"/>
                    <w:rPr>
                      <w:color w:val="auto"/>
                      <w:sz w:val="21"/>
                      <w:szCs w:val="21"/>
                    </w:rPr>
                  </w:pPr>
                </w:p>
              </w:tc>
              <w:tc>
                <w:tcPr>
                  <w:tcW w:w="2542" w:type="pct"/>
                  <w:noWrap w:val="0"/>
                  <w:vAlign w:val="center"/>
                </w:tcPr>
                <w:p w14:paraId="2377AD76">
                  <w:pPr>
                    <w:spacing w:line="240" w:lineRule="auto"/>
                    <w:jc w:val="center"/>
                    <w:rPr>
                      <w:color w:val="auto"/>
                      <w:szCs w:val="21"/>
                    </w:rPr>
                  </w:pPr>
                  <w:r>
                    <w:rPr>
                      <w:color w:val="auto"/>
                    </w:rPr>
                    <w:t>户外变电工程总体布置应综合考虑声环境影响因素，合理规划，利用建筑物、地形等阻挡噪声传播，减少对声环境敏感目标的影响。</w:t>
                  </w:r>
                </w:p>
              </w:tc>
              <w:tc>
                <w:tcPr>
                  <w:tcW w:w="1598" w:type="pct"/>
                  <w:vMerge w:val="continue"/>
                  <w:noWrap w:val="0"/>
                  <w:vAlign w:val="center"/>
                </w:tcPr>
                <w:p w14:paraId="1791421D">
                  <w:pPr>
                    <w:pStyle w:val="85"/>
                    <w:adjustRightInd/>
                    <w:snapToGrid/>
                    <w:spacing w:line="240" w:lineRule="auto"/>
                    <w:ind w:firstLine="0" w:firstLineChars="0"/>
                    <w:jc w:val="center"/>
                    <w:rPr>
                      <w:color w:val="auto"/>
                      <w:sz w:val="21"/>
                      <w:szCs w:val="21"/>
                    </w:rPr>
                  </w:pPr>
                </w:p>
              </w:tc>
              <w:tc>
                <w:tcPr>
                  <w:tcW w:w="560" w:type="pct"/>
                  <w:noWrap w:val="0"/>
                  <w:vAlign w:val="center"/>
                </w:tcPr>
                <w:p w14:paraId="518C428C">
                  <w:pPr>
                    <w:pStyle w:val="85"/>
                    <w:adjustRightInd/>
                    <w:snapToGrid/>
                    <w:spacing w:line="240" w:lineRule="auto"/>
                    <w:ind w:firstLine="0" w:firstLineChars="0"/>
                    <w:jc w:val="center"/>
                    <w:rPr>
                      <w:color w:val="auto"/>
                      <w:sz w:val="21"/>
                      <w:szCs w:val="21"/>
                    </w:rPr>
                  </w:pPr>
                  <w:r>
                    <w:rPr>
                      <w:color w:val="auto"/>
                      <w:sz w:val="21"/>
                      <w:szCs w:val="21"/>
                    </w:rPr>
                    <w:t>符合</w:t>
                  </w:r>
                </w:p>
              </w:tc>
            </w:tr>
            <w:tr w14:paraId="2FC1F1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 w:type="pct"/>
                  <w:noWrap w:val="0"/>
                  <w:vAlign w:val="center"/>
                </w:tcPr>
                <w:p w14:paraId="72E1E558">
                  <w:pPr>
                    <w:pStyle w:val="85"/>
                    <w:adjustRightInd/>
                    <w:snapToGrid/>
                    <w:spacing w:line="240" w:lineRule="auto"/>
                    <w:ind w:firstLine="0" w:firstLineChars="0"/>
                    <w:jc w:val="center"/>
                    <w:rPr>
                      <w:color w:val="auto"/>
                      <w:sz w:val="21"/>
                      <w:szCs w:val="21"/>
                    </w:rPr>
                  </w:pPr>
                  <w:r>
                    <w:rPr>
                      <w:color w:val="auto"/>
                      <w:spacing w:val="-11"/>
                      <w:sz w:val="21"/>
                      <w:szCs w:val="21"/>
                    </w:rPr>
                    <w:t>生态环境保护要求</w:t>
                  </w:r>
                </w:p>
              </w:tc>
              <w:tc>
                <w:tcPr>
                  <w:tcW w:w="2542" w:type="pct"/>
                  <w:noWrap w:val="0"/>
                  <w:vAlign w:val="center"/>
                </w:tcPr>
                <w:p w14:paraId="3B78B698">
                  <w:pPr>
                    <w:pStyle w:val="85"/>
                    <w:adjustRightInd/>
                    <w:snapToGrid/>
                    <w:spacing w:line="240" w:lineRule="auto"/>
                    <w:ind w:firstLine="0" w:firstLineChars="0"/>
                    <w:jc w:val="center"/>
                    <w:rPr>
                      <w:color w:val="auto"/>
                      <w:sz w:val="21"/>
                      <w:szCs w:val="21"/>
                    </w:rPr>
                  </w:pPr>
                  <w:r>
                    <w:rPr>
                      <w:color w:val="auto"/>
                      <w:sz w:val="21"/>
                      <w:szCs w:val="21"/>
                    </w:rPr>
                    <w:t>1.输变电建设项目在设计过程中应按照避让、减缓、恢复的次序提出生态影响防护与恢复的措施。2.输电线路应因地制宜合理选择塔基基础，在山丘区应采用全方位长短腿与不等高基础设计，以减少土石方开挖。输电线路无法避让集中林区时，应采取控制导线高度设计，以减少林木砍伐，保护生态环境。3.输变电建设项目临时占地，应因地制宜进行土地功能恢复设计。</w:t>
                  </w:r>
                </w:p>
              </w:tc>
              <w:tc>
                <w:tcPr>
                  <w:tcW w:w="1598" w:type="pct"/>
                  <w:noWrap w:val="0"/>
                  <w:vAlign w:val="center"/>
                </w:tcPr>
                <w:p w14:paraId="129987B7">
                  <w:pPr>
                    <w:pStyle w:val="85"/>
                    <w:adjustRightInd/>
                    <w:snapToGrid/>
                    <w:spacing w:line="240" w:lineRule="auto"/>
                    <w:ind w:firstLine="0" w:firstLineChars="0"/>
                    <w:jc w:val="center"/>
                    <w:rPr>
                      <w:color w:val="auto"/>
                      <w:sz w:val="21"/>
                      <w:szCs w:val="21"/>
                      <w:highlight w:val="yellow"/>
                    </w:rPr>
                  </w:pPr>
                  <w:r>
                    <w:rPr>
                      <w:color w:val="auto"/>
                      <w:sz w:val="21"/>
                      <w:szCs w:val="21"/>
                    </w:rPr>
                    <w:t>项目位于</w:t>
                  </w:r>
                  <w:r>
                    <w:rPr>
                      <w:rFonts w:hint="eastAsia"/>
                      <w:color w:val="auto"/>
                      <w:sz w:val="21"/>
                      <w:szCs w:val="21"/>
                      <w:lang w:val="en-US" w:eastAsia="zh-CN"/>
                    </w:rPr>
                    <w:t>曲靖市会泽县宝云街道、乐业镇、五星乡</w:t>
                  </w:r>
                  <w:r>
                    <w:rPr>
                      <w:color w:val="auto"/>
                      <w:sz w:val="21"/>
                      <w:szCs w:val="21"/>
                    </w:rPr>
                    <w:t>，项目在设计过程中已按照避让、减缓、恢复的次序提出生态影响防护与恢复的措施，在山丘区采用全方位长短腿与不等高基础设计，减少土石方开挖，输电线路无法避让集中林区时，采取控制导线高度设计，以减少林木砍伐，保护生态环境。另外，项目已制定临时占地土地及生态功能恢复计划。项目建设对区域生态环境影响较小。</w:t>
                  </w:r>
                </w:p>
              </w:tc>
              <w:tc>
                <w:tcPr>
                  <w:tcW w:w="560" w:type="pct"/>
                  <w:noWrap w:val="0"/>
                  <w:vAlign w:val="center"/>
                </w:tcPr>
                <w:p w14:paraId="27D00598">
                  <w:pPr>
                    <w:pStyle w:val="85"/>
                    <w:adjustRightInd/>
                    <w:snapToGrid/>
                    <w:spacing w:line="240" w:lineRule="auto"/>
                    <w:ind w:firstLine="0" w:firstLineChars="0"/>
                    <w:jc w:val="center"/>
                    <w:rPr>
                      <w:color w:val="auto"/>
                      <w:sz w:val="21"/>
                      <w:szCs w:val="21"/>
                    </w:rPr>
                  </w:pPr>
                  <w:r>
                    <w:rPr>
                      <w:color w:val="auto"/>
                      <w:sz w:val="21"/>
                      <w:szCs w:val="21"/>
                    </w:rPr>
                    <w:t>符合</w:t>
                  </w:r>
                </w:p>
              </w:tc>
            </w:tr>
            <w:tr w14:paraId="384241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 w:type="pct"/>
                  <w:noWrap w:val="0"/>
                  <w:vAlign w:val="center"/>
                </w:tcPr>
                <w:p w14:paraId="62C02806">
                  <w:pPr>
                    <w:pStyle w:val="85"/>
                    <w:adjustRightInd/>
                    <w:snapToGrid/>
                    <w:spacing w:line="240" w:lineRule="auto"/>
                    <w:ind w:firstLine="0" w:firstLineChars="0"/>
                    <w:jc w:val="center"/>
                    <w:rPr>
                      <w:color w:val="auto"/>
                      <w:sz w:val="21"/>
                      <w:szCs w:val="21"/>
                    </w:rPr>
                  </w:pPr>
                  <w:r>
                    <w:rPr>
                      <w:color w:val="auto"/>
                      <w:sz w:val="21"/>
                      <w:szCs w:val="21"/>
                    </w:rPr>
                    <w:t>运行</w:t>
                  </w:r>
                </w:p>
              </w:tc>
              <w:tc>
                <w:tcPr>
                  <w:tcW w:w="2542" w:type="pct"/>
                  <w:noWrap w:val="0"/>
                  <w:vAlign w:val="center"/>
                </w:tcPr>
                <w:p w14:paraId="10395ABE">
                  <w:pPr>
                    <w:pStyle w:val="85"/>
                    <w:adjustRightInd/>
                    <w:snapToGrid/>
                    <w:spacing w:line="240" w:lineRule="auto"/>
                    <w:ind w:firstLine="0" w:firstLineChars="0"/>
                    <w:jc w:val="center"/>
                    <w:rPr>
                      <w:color w:val="auto"/>
                      <w:sz w:val="21"/>
                      <w:szCs w:val="21"/>
                    </w:rPr>
                  </w:pPr>
                  <w:r>
                    <w:rPr>
                      <w:color w:val="auto"/>
                      <w:sz w:val="21"/>
                      <w:szCs w:val="21"/>
                    </w:rPr>
                    <w:t>运行期做好环境保护设施的维护和运行管理，加强巡查和检查，保障发挥环境保护作用。定期开展环境监测，确保电磁、噪声、废水排放符合GB8702、GB12348、GB8978等国家标准要求，并及时解决公众合理的环境保护诉求。</w:t>
                  </w:r>
                </w:p>
              </w:tc>
              <w:tc>
                <w:tcPr>
                  <w:tcW w:w="1598" w:type="pct"/>
                  <w:noWrap w:val="0"/>
                  <w:vAlign w:val="center"/>
                </w:tcPr>
                <w:p w14:paraId="78D557DF">
                  <w:pPr>
                    <w:pStyle w:val="85"/>
                    <w:adjustRightInd/>
                    <w:snapToGrid/>
                    <w:spacing w:line="240" w:lineRule="auto"/>
                    <w:ind w:firstLine="0" w:firstLineChars="0"/>
                    <w:jc w:val="center"/>
                    <w:rPr>
                      <w:color w:val="auto"/>
                      <w:sz w:val="21"/>
                      <w:szCs w:val="21"/>
                    </w:rPr>
                  </w:pPr>
                  <w:r>
                    <w:rPr>
                      <w:color w:val="auto"/>
                      <w:sz w:val="21"/>
                      <w:szCs w:val="21"/>
                    </w:rPr>
                    <w:t>建设单位在项目运行期将定期开展环境监测，确保电磁、噪声达标排放，并及时解决公众合理的环境保护诉求。</w:t>
                  </w:r>
                </w:p>
              </w:tc>
              <w:tc>
                <w:tcPr>
                  <w:tcW w:w="560" w:type="pct"/>
                  <w:noWrap w:val="0"/>
                  <w:vAlign w:val="center"/>
                </w:tcPr>
                <w:p w14:paraId="0B7362EE">
                  <w:pPr>
                    <w:pStyle w:val="85"/>
                    <w:adjustRightInd/>
                    <w:snapToGrid/>
                    <w:spacing w:line="240" w:lineRule="auto"/>
                    <w:ind w:firstLine="0" w:firstLineChars="0"/>
                    <w:jc w:val="center"/>
                    <w:rPr>
                      <w:color w:val="auto"/>
                      <w:sz w:val="21"/>
                      <w:szCs w:val="21"/>
                    </w:rPr>
                  </w:pPr>
                  <w:r>
                    <w:rPr>
                      <w:color w:val="auto"/>
                      <w:sz w:val="21"/>
                      <w:szCs w:val="21"/>
                    </w:rPr>
                    <w:t>符合</w:t>
                  </w:r>
                </w:p>
              </w:tc>
            </w:tr>
          </w:tbl>
          <w:p w14:paraId="0E86BB4A">
            <w:pPr>
              <w:adjustRightInd w:val="0"/>
              <w:snapToGrid w:val="0"/>
              <w:spacing w:line="440" w:lineRule="exact"/>
              <w:rPr>
                <w:b/>
                <w:color w:val="auto"/>
                <w:sz w:val="24"/>
              </w:rPr>
            </w:pPr>
            <w:r>
              <w:rPr>
                <w:rFonts w:hint="eastAsia"/>
                <w:b/>
                <w:bCs/>
                <w:color w:val="auto"/>
                <w:sz w:val="24"/>
                <w:lang w:val="en-US" w:eastAsia="zh-CN"/>
              </w:rPr>
              <w:t>7</w:t>
            </w:r>
            <w:r>
              <w:rPr>
                <w:rFonts w:hint="eastAsia"/>
                <w:b/>
                <w:bCs/>
                <w:color w:val="auto"/>
                <w:sz w:val="24"/>
              </w:rPr>
              <w:t>、</w:t>
            </w:r>
            <w:r>
              <w:rPr>
                <w:b/>
                <w:color w:val="auto"/>
                <w:sz w:val="24"/>
              </w:rPr>
              <w:t>与《关于加强生态保护红线管理的通知（试行）》（</w:t>
            </w:r>
            <w:r>
              <w:rPr>
                <w:b/>
                <w:color w:val="auto"/>
                <w:sz w:val="24"/>
                <w:lang w:val="zh-CN"/>
              </w:rPr>
              <w:t>自然资发〔2022〕142号</w:t>
            </w:r>
            <w:r>
              <w:rPr>
                <w:b/>
                <w:color w:val="auto"/>
                <w:sz w:val="24"/>
              </w:rPr>
              <w:t>）符合性</w:t>
            </w:r>
          </w:p>
          <w:p w14:paraId="7DE95AA8">
            <w:pPr>
              <w:adjustRightInd w:val="0"/>
              <w:snapToGrid w:val="0"/>
              <w:spacing w:line="440" w:lineRule="exact"/>
              <w:ind w:firstLine="480" w:firstLineChars="200"/>
              <w:rPr>
                <w:color w:val="auto"/>
                <w:sz w:val="24"/>
              </w:rPr>
            </w:pPr>
            <w:r>
              <w:rPr>
                <w:color w:val="auto"/>
                <w:sz w:val="24"/>
              </w:rPr>
              <w:t>2022年8月16日自然资源部</w:t>
            </w:r>
            <w:r>
              <w:rPr>
                <w:rFonts w:hint="eastAsia"/>
                <w:color w:val="auto"/>
                <w:sz w:val="24"/>
              </w:rPr>
              <w:t xml:space="preserve"> </w:t>
            </w:r>
            <w:r>
              <w:rPr>
                <w:color w:val="auto"/>
                <w:sz w:val="24"/>
              </w:rPr>
              <w:t>生态环境部 国家林业和草原局发布《关于加强生态保护红线管理的通知（试行）》（</w:t>
            </w:r>
            <w:r>
              <w:rPr>
                <w:color w:val="auto"/>
                <w:sz w:val="24"/>
                <w:lang w:val="zh-CN"/>
              </w:rPr>
              <w:t>自然资发〔2022〕142号</w:t>
            </w:r>
            <w:r>
              <w:rPr>
                <w:color w:val="auto"/>
                <w:sz w:val="24"/>
              </w:rPr>
              <w:t>），为贯彻落实《中共中央 国务院关于建立国土空间规划体系并监督实施的若干意见》《中共中央办公厅 国务院办公厅关于建立以国家公园为主体的自然保护地体系的指导意见》《中共中央办公厅 国务院办公厅关于在国土空间规划中统筹划定落实三条控制线的指导意见》，加强生态保护红线管理，严守自然生态安全边界，依据相关法律法规，就有关事项通知</w:t>
            </w:r>
            <w:r>
              <w:rPr>
                <w:rFonts w:hint="eastAsia"/>
                <w:color w:val="auto"/>
                <w:sz w:val="24"/>
              </w:rPr>
              <w:t>如下表。</w:t>
            </w:r>
          </w:p>
          <w:p w14:paraId="063B0D99">
            <w:pPr>
              <w:spacing w:line="240" w:lineRule="auto"/>
              <w:jc w:val="center"/>
              <w:rPr>
                <w:rFonts w:hint="eastAsia"/>
                <w:b/>
                <w:bCs/>
                <w:color w:val="auto"/>
                <w:spacing w:val="-4"/>
                <w:sz w:val="24"/>
              </w:rPr>
            </w:pPr>
            <w:r>
              <w:rPr>
                <w:rFonts w:hint="eastAsia"/>
                <w:b/>
                <w:bCs/>
                <w:color w:val="auto"/>
                <w:spacing w:val="-4"/>
                <w:sz w:val="24"/>
              </w:rPr>
              <w:t>表1-</w:t>
            </w:r>
            <w:r>
              <w:rPr>
                <w:rFonts w:hint="eastAsia"/>
                <w:b/>
                <w:bCs/>
                <w:color w:val="auto"/>
                <w:spacing w:val="-4"/>
                <w:sz w:val="24"/>
                <w:lang w:val="en-US" w:eastAsia="zh-CN"/>
              </w:rPr>
              <w:t>7</w:t>
            </w:r>
            <w:r>
              <w:rPr>
                <w:rFonts w:hint="eastAsia"/>
                <w:b/>
                <w:bCs/>
                <w:color w:val="auto"/>
                <w:spacing w:val="-4"/>
                <w:sz w:val="24"/>
              </w:rPr>
              <w:t xml:space="preserve">  项目与</w:t>
            </w:r>
            <w:r>
              <w:rPr>
                <w:b/>
                <w:bCs/>
                <w:color w:val="auto"/>
                <w:sz w:val="24"/>
              </w:rPr>
              <w:t>（</w:t>
            </w:r>
            <w:r>
              <w:rPr>
                <w:b/>
                <w:bCs/>
                <w:color w:val="auto"/>
                <w:sz w:val="24"/>
                <w:lang w:val="zh-CN"/>
              </w:rPr>
              <w:t>自然资发〔2022〕142号</w:t>
            </w:r>
            <w:r>
              <w:rPr>
                <w:b/>
                <w:bCs/>
                <w:color w:val="auto"/>
                <w:sz w:val="24"/>
              </w:rPr>
              <w:t>）符合性</w:t>
            </w:r>
            <w:r>
              <w:rPr>
                <w:rFonts w:hint="eastAsia"/>
                <w:b/>
                <w:bCs/>
                <w:color w:val="auto"/>
                <w:sz w:val="24"/>
              </w:rPr>
              <w:t>分析</w:t>
            </w:r>
          </w:p>
          <w:tbl>
            <w:tblPr>
              <w:tblStyle w:val="30"/>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73"/>
              <w:gridCol w:w="3735"/>
              <w:gridCol w:w="2119"/>
              <w:gridCol w:w="622"/>
            </w:tblGrid>
            <w:tr w14:paraId="7217EA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98" w:type="pct"/>
                  <w:gridSpan w:val="2"/>
                  <w:noWrap w:val="0"/>
                  <w:vAlign w:val="center"/>
                </w:tcPr>
                <w:p w14:paraId="45D9120A">
                  <w:pPr>
                    <w:adjustRightInd w:val="0"/>
                    <w:snapToGrid w:val="0"/>
                    <w:spacing w:line="240" w:lineRule="auto"/>
                    <w:jc w:val="center"/>
                    <w:rPr>
                      <w:color w:val="auto"/>
                      <w:spacing w:val="-4"/>
                      <w:szCs w:val="21"/>
                    </w:rPr>
                  </w:pPr>
                  <w:r>
                    <w:rPr>
                      <w:color w:val="auto"/>
                      <w:spacing w:val="-4"/>
                      <w:szCs w:val="21"/>
                    </w:rPr>
                    <w:t>管控要求</w:t>
                  </w:r>
                </w:p>
              </w:tc>
              <w:tc>
                <w:tcPr>
                  <w:tcW w:w="1547" w:type="pct"/>
                  <w:noWrap w:val="0"/>
                  <w:vAlign w:val="center"/>
                </w:tcPr>
                <w:p w14:paraId="4A2F2E23">
                  <w:pPr>
                    <w:adjustRightInd w:val="0"/>
                    <w:snapToGrid w:val="0"/>
                    <w:spacing w:line="240" w:lineRule="auto"/>
                    <w:jc w:val="center"/>
                    <w:rPr>
                      <w:color w:val="auto"/>
                      <w:spacing w:val="-4"/>
                      <w:szCs w:val="21"/>
                    </w:rPr>
                  </w:pPr>
                  <w:r>
                    <w:rPr>
                      <w:color w:val="auto"/>
                      <w:spacing w:val="-4"/>
                      <w:szCs w:val="21"/>
                    </w:rPr>
                    <w:t>本项目情况</w:t>
                  </w:r>
                </w:p>
              </w:tc>
              <w:tc>
                <w:tcPr>
                  <w:tcW w:w="454" w:type="pct"/>
                  <w:noWrap w:val="0"/>
                  <w:vAlign w:val="center"/>
                </w:tcPr>
                <w:p w14:paraId="4EA88826">
                  <w:pPr>
                    <w:adjustRightInd w:val="0"/>
                    <w:snapToGrid w:val="0"/>
                    <w:spacing w:line="240" w:lineRule="auto"/>
                    <w:jc w:val="center"/>
                    <w:rPr>
                      <w:color w:val="auto"/>
                      <w:spacing w:val="-4"/>
                      <w:szCs w:val="21"/>
                    </w:rPr>
                  </w:pPr>
                  <w:r>
                    <w:rPr>
                      <w:color w:val="auto"/>
                      <w:spacing w:val="-4"/>
                      <w:szCs w:val="21"/>
                    </w:rPr>
                    <w:t>符合性</w:t>
                  </w:r>
                </w:p>
              </w:tc>
            </w:tr>
            <w:tr w14:paraId="736AB6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2" w:type="pct"/>
                  <w:vMerge w:val="restart"/>
                  <w:noWrap w:val="0"/>
                  <w:vAlign w:val="center"/>
                </w:tcPr>
                <w:p w14:paraId="063264D6">
                  <w:pPr>
                    <w:adjustRightInd w:val="0"/>
                    <w:snapToGrid w:val="0"/>
                    <w:spacing w:line="240" w:lineRule="auto"/>
                    <w:jc w:val="center"/>
                    <w:rPr>
                      <w:color w:val="auto"/>
                      <w:spacing w:val="-4"/>
                      <w:szCs w:val="21"/>
                    </w:rPr>
                  </w:pPr>
                  <w:r>
                    <w:rPr>
                      <w:color w:val="auto"/>
                      <w:szCs w:val="21"/>
                    </w:rPr>
                    <w:t>加强人为活动管控</w:t>
                  </w:r>
                </w:p>
              </w:tc>
              <w:tc>
                <w:tcPr>
                  <w:tcW w:w="2725" w:type="pct"/>
                  <w:noWrap w:val="0"/>
                  <w:vAlign w:val="center"/>
                </w:tcPr>
                <w:p w14:paraId="22F3E8FA">
                  <w:pPr>
                    <w:adjustRightInd w:val="0"/>
                    <w:snapToGrid w:val="0"/>
                    <w:spacing w:line="240" w:lineRule="auto"/>
                    <w:jc w:val="center"/>
                    <w:rPr>
                      <w:color w:val="auto"/>
                      <w:spacing w:val="-4"/>
                      <w:szCs w:val="21"/>
                    </w:rPr>
                  </w:pPr>
                  <w:r>
                    <w:rPr>
                      <w:color w:val="auto"/>
                      <w:szCs w:val="21"/>
                    </w:rPr>
                    <w:t>（一）规范管控对生态功能不造成破坏的有限人为活动。生态保护红线是国土空间规划中的重要管控边界，生态保护红线内自然保护地核心保护区外，禁止开发性、生产性建设活动，在符合法律法规的前提下，仅允许以下对生态功能不造成破坏的有限人为活动。生态保护红线内自然保护区、风景名胜区、饮用水水源保护区等区域，依照法律法规执行。</w:t>
                  </w:r>
                </w:p>
              </w:tc>
              <w:tc>
                <w:tcPr>
                  <w:tcW w:w="1547" w:type="pct"/>
                  <w:noWrap w:val="0"/>
                  <w:vAlign w:val="center"/>
                </w:tcPr>
                <w:p w14:paraId="7DF4A7E5">
                  <w:pPr>
                    <w:adjustRightInd w:val="0"/>
                    <w:snapToGrid w:val="0"/>
                    <w:spacing w:line="240" w:lineRule="auto"/>
                    <w:jc w:val="center"/>
                    <w:rPr>
                      <w:color w:val="auto"/>
                      <w:spacing w:val="-4"/>
                      <w:szCs w:val="21"/>
                    </w:rPr>
                  </w:pPr>
                  <w:r>
                    <w:rPr>
                      <w:rFonts w:hint="eastAsia" w:ascii="Times New Roman" w:hAnsi="Times New Roman" w:cs="Times New Roman"/>
                      <w:color w:val="auto"/>
                      <w:spacing w:val="-4"/>
                      <w:szCs w:val="21"/>
                      <w:lang w:val="en-US" w:eastAsia="zh-CN"/>
                    </w:rPr>
                    <w:t>项目</w:t>
                  </w:r>
                  <w:r>
                    <w:rPr>
                      <w:rFonts w:hint="default" w:ascii="Times New Roman" w:hAnsi="Times New Roman" w:cs="Times New Roman"/>
                      <w:color w:val="auto"/>
                      <w:spacing w:val="-4"/>
                      <w:szCs w:val="21"/>
                    </w:rPr>
                    <w:t>用地范围涉及</w:t>
                  </w:r>
                  <w:r>
                    <w:rPr>
                      <w:rFonts w:hint="eastAsia" w:ascii="Times New Roman" w:hAnsi="Times New Roman" w:cs="Times New Roman"/>
                      <w:color w:val="auto"/>
                      <w:spacing w:val="-4"/>
                      <w:szCs w:val="21"/>
                      <w:lang w:val="en-US" w:eastAsia="zh-CN"/>
                    </w:rPr>
                    <w:t>跨越</w:t>
                  </w:r>
                  <w:r>
                    <w:rPr>
                      <w:rFonts w:hint="default" w:ascii="Times New Roman" w:hAnsi="Times New Roman" w:cs="Times New Roman"/>
                      <w:color w:val="auto"/>
                      <w:spacing w:val="-4"/>
                      <w:szCs w:val="21"/>
                    </w:rPr>
                    <w:t>生态保护红线，不涉及未划入生态保护红线的自然保护地、风景名胜区等区域；</w:t>
                  </w:r>
                  <w:r>
                    <w:rPr>
                      <w:rFonts w:hint="eastAsia" w:ascii="Times New Roman" w:hAnsi="Times New Roman" w:cs="Times New Roman"/>
                      <w:color w:val="auto"/>
                      <w:spacing w:val="-4"/>
                      <w:szCs w:val="21"/>
                      <w:lang w:val="en-US" w:eastAsia="zh-CN"/>
                    </w:rPr>
                    <w:t>涉及跨越生态保护红线，</w:t>
                  </w:r>
                  <w:r>
                    <w:rPr>
                      <w:rFonts w:hint="eastAsia"/>
                      <w:color w:val="auto"/>
                      <w:szCs w:val="21"/>
                      <w:lang w:val="en-US" w:eastAsia="zh-CN"/>
                    </w:rPr>
                    <w:t>对照《有限人为活动准入目录》，属于准入类别，“输电线塔基、通讯基站等小面积零星分散建设项目用地”属于准入目录，属于“必须且无法避让、符合县级以上国土空间规划的线性基础设施”</w:t>
                  </w:r>
                </w:p>
              </w:tc>
              <w:tc>
                <w:tcPr>
                  <w:tcW w:w="454" w:type="pct"/>
                  <w:noWrap w:val="0"/>
                  <w:vAlign w:val="center"/>
                </w:tcPr>
                <w:p w14:paraId="3EF78C6F">
                  <w:pPr>
                    <w:adjustRightInd w:val="0"/>
                    <w:snapToGrid w:val="0"/>
                    <w:spacing w:line="240" w:lineRule="auto"/>
                    <w:jc w:val="center"/>
                    <w:rPr>
                      <w:color w:val="auto"/>
                      <w:spacing w:val="-4"/>
                      <w:szCs w:val="21"/>
                    </w:rPr>
                  </w:pPr>
                  <w:r>
                    <w:rPr>
                      <w:rFonts w:hint="eastAsia"/>
                      <w:color w:val="auto"/>
                      <w:spacing w:val="-4"/>
                      <w:szCs w:val="21"/>
                    </w:rPr>
                    <w:t>符合</w:t>
                  </w:r>
                </w:p>
              </w:tc>
            </w:tr>
            <w:tr w14:paraId="263F03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2" w:type="pct"/>
                  <w:vMerge w:val="continue"/>
                  <w:noWrap w:val="0"/>
                  <w:vAlign w:val="center"/>
                </w:tcPr>
                <w:p w14:paraId="57CDA5BB">
                  <w:pPr>
                    <w:adjustRightInd w:val="0"/>
                    <w:snapToGrid w:val="0"/>
                    <w:spacing w:line="240" w:lineRule="auto"/>
                    <w:jc w:val="center"/>
                    <w:rPr>
                      <w:color w:val="auto"/>
                      <w:szCs w:val="21"/>
                    </w:rPr>
                  </w:pPr>
                </w:p>
              </w:tc>
              <w:tc>
                <w:tcPr>
                  <w:tcW w:w="2725" w:type="pct"/>
                  <w:noWrap w:val="0"/>
                  <w:vAlign w:val="center"/>
                </w:tcPr>
                <w:p w14:paraId="09F5E58C">
                  <w:pPr>
                    <w:adjustRightInd w:val="0"/>
                    <w:snapToGrid w:val="0"/>
                    <w:spacing w:line="240" w:lineRule="auto"/>
                    <w:jc w:val="center"/>
                    <w:rPr>
                      <w:color w:val="auto"/>
                      <w:spacing w:val="-4"/>
                      <w:szCs w:val="21"/>
                    </w:rPr>
                  </w:pPr>
                  <w:r>
                    <w:rPr>
                      <w:color w:val="auto"/>
                      <w:szCs w:val="21"/>
                    </w:rPr>
                    <w:t>1.管护巡护、保护执法、科学研究、调查监测、测绘导航、防灾减灾救灾、军事国防、疫情防控等活动及相关的必要设施修筑。</w:t>
                  </w:r>
                </w:p>
              </w:tc>
              <w:tc>
                <w:tcPr>
                  <w:tcW w:w="1547" w:type="pct"/>
                  <w:noWrap w:val="0"/>
                  <w:vAlign w:val="center"/>
                </w:tcPr>
                <w:p w14:paraId="7F80FEAB">
                  <w:pPr>
                    <w:adjustRightInd w:val="0"/>
                    <w:snapToGrid w:val="0"/>
                    <w:spacing w:line="240" w:lineRule="auto"/>
                    <w:jc w:val="center"/>
                    <w:rPr>
                      <w:color w:val="auto"/>
                      <w:spacing w:val="-4"/>
                      <w:szCs w:val="21"/>
                    </w:rPr>
                  </w:pPr>
                  <w:r>
                    <w:rPr>
                      <w:rFonts w:hint="eastAsia"/>
                      <w:color w:val="auto"/>
                      <w:spacing w:val="-4"/>
                      <w:szCs w:val="21"/>
                    </w:rPr>
                    <w:t>不涉及</w:t>
                  </w:r>
                </w:p>
              </w:tc>
              <w:tc>
                <w:tcPr>
                  <w:tcW w:w="454" w:type="pct"/>
                  <w:noWrap w:val="0"/>
                  <w:vAlign w:val="center"/>
                </w:tcPr>
                <w:p w14:paraId="241A8580">
                  <w:pPr>
                    <w:adjustRightInd w:val="0"/>
                    <w:snapToGrid w:val="0"/>
                    <w:spacing w:line="240" w:lineRule="auto"/>
                    <w:jc w:val="center"/>
                    <w:rPr>
                      <w:color w:val="auto"/>
                      <w:spacing w:val="-4"/>
                      <w:szCs w:val="21"/>
                    </w:rPr>
                  </w:pPr>
                  <w:r>
                    <w:rPr>
                      <w:rFonts w:hint="eastAsia"/>
                      <w:color w:val="auto"/>
                      <w:spacing w:val="-4"/>
                      <w:szCs w:val="21"/>
                    </w:rPr>
                    <w:t>符合</w:t>
                  </w:r>
                </w:p>
              </w:tc>
            </w:tr>
            <w:tr w14:paraId="0C4EBB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2" w:type="pct"/>
                  <w:vMerge w:val="continue"/>
                  <w:noWrap w:val="0"/>
                  <w:vAlign w:val="center"/>
                </w:tcPr>
                <w:p w14:paraId="284BDF7D">
                  <w:pPr>
                    <w:adjustRightInd w:val="0"/>
                    <w:snapToGrid w:val="0"/>
                    <w:spacing w:line="240" w:lineRule="auto"/>
                    <w:jc w:val="center"/>
                    <w:rPr>
                      <w:color w:val="auto"/>
                      <w:szCs w:val="21"/>
                    </w:rPr>
                  </w:pPr>
                </w:p>
              </w:tc>
              <w:tc>
                <w:tcPr>
                  <w:tcW w:w="2725" w:type="pct"/>
                  <w:noWrap w:val="0"/>
                  <w:vAlign w:val="center"/>
                </w:tcPr>
                <w:p w14:paraId="429CB048">
                  <w:pPr>
                    <w:adjustRightInd w:val="0"/>
                    <w:snapToGrid w:val="0"/>
                    <w:spacing w:line="240" w:lineRule="auto"/>
                    <w:jc w:val="center"/>
                    <w:rPr>
                      <w:color w:val="auto"/>
                      <w:szCs w:val="21"/>
                    </w:rPr>
                  </w:pPr>
                  <w:r>
                    <w:rPr>
                      <w:color w:val="auto"/>
                      <w:szCs w:val="21"/>
                    </w:rPr>
                    <w:t>2.原住居民和其他合法权益主体，允许在不扩大现有建设用地、用海用岛、耕地、水产养殖规模和放牧强度（符合草畜平衡管理规定）的前提下，开展种植、放牧、捕捞、养殖（不包括投礁型海洋牧场、围海养殖）等活动，修筑生产生活设施。</w:t>
                  </w:r>
                </w:p>
              </w:tc>
              <w:tc>
                <w:tcPr>
                  <w:tcW w:w="1547" w:type="pct"/>
                  <w:noWrap w:val="0"/>
                  <w:vAlign w:val="center"/>
                </w:tcPr>
                <w:p w14:paraId="4F50FDA4">
                  <w:pPr>
                    <w:adjustRightInd w:val="0"/>
                    <w:snapToGrid w:val="0"/>
                    <w:spacing w:line="240" w:lineRule="auto"/>
                    <w:jc w:val="center"/>
                    <w:rPr>
                      <w:color w:val="auto"/>
                      <w:szCs w:val="21"/>
                    </w:rPr>
                  </w:pPr>
                  <w:r>
                    <w:rPr>
                      <w:rFonts w:hint="eastAsia"/>
                      <w:color w:val="auto"/>
                      <w:szCs w:val="21"/>
                    </w:rPr>
                    <w:t>不涉及，项目为输变电工程，为线性基础设施项目</w:t>
                  </w:r>
                </w:p>
              </w:tc>
              <w:tc>
                <w:tcPr>
                  <w:tcW w:w="454" w:type="pct"/>
                  <w:noWrap w:val="0"/>
                  <w:vAlign w:val="center"/>
                </w:tcPr>
                <w:p w14:paraId="0F45C570">
                  <w:pPr>
                    <w:adjustRightInd w:val="0"/>
                    <w:snapToGrid w:val="0"/>
                    <w:spacing w:line="240" w:lineRule="auto"/>
                    <w:jc w:val="center"/>
                    <w:rPr>
                      <w:color w:val="auto"/>
                      <w:szCs w:val="21"/>
                    </w:rPr>
                  </w:pPr>
                  <w:r>
                    <w:rPr>
                      <w:rFonts w:hint="eastAsia"/>
                      <w:color w:val="auto"/>
                      <w:spacing w:val="-4"/>
                      <w:szCs w:val="21"/>
                    </w:rPr>
                    <w:t>符合</w:t>
                  </w:r>
                </w:p>
              </w:tc>
            </w:tr>
            <w:tr w14:paraId="7FAD3B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2" w:type="pct"/>
                  <w:vMerge w:val="continue"/>
                  <w:noWrap w:val="0"/>
                  <w:vAlign w:val="center"/>
                </w:tcPr>
                <w:p w14:paraId="1DE0CC6E">
                  <w:pPr>
                    <w:adjustRightInd w:val="0"/>
                    <w:snapToGrid w:val="0"/>
                    <w:spacing w:line="240" w:lineRule="auto"/>
                    <w:jc w:val="center"/>
                    <w:rPr>
                      <w:color w:val="auto"/>
                      <w:szCs w:val="21"/>
                    </w:rPr>
                  </w:pPr>
                </w:p>
              </w:tc>
              <w:tc>
                <w:tcPr>
                  <w:tcW w:w="2725" w:type="pct"/>
                  <w:noWrap w:val="0"/>
                  <w:vAlign w:val="center"/>
                </w:tcPr>
                <w:p w14:paraId="1F23AAB6">
                  <w:pPr>
                    <w:adjustRightInd w:val="0"/>
                    <w:snapToGrid w:val="0"/>
                    <w:spacing w:line="240" w:lineRule="auto"/>
                    <w:jc w:val="center"/>
                    <w:rPr>
                      <w:color w:val="auto"/>
                      <w:spacing w:val="-4"/>
                      <w:szCs w:val="21"/>
                    </w:rPr>
                  </w:pPr>
                  <w:r>
                    <w:rPr>
                      <w:color w:val="auto"/>
                      <w:szCs w:val="21"/>
                    </w:rPr>
                    <w:t>3.经依法批准的考古调查发掘、古生物化石调查发掘、标本采集和文物保护活动。</w:t>
                  </w:r>
                </w:p>
              </w:tc>
              <w:tc>
                <w:tcPr>
                  <w:tcW w:w="1547" w:type="pct"/>
                  <w:noWrap w:val="0"/>
                  <w:vAlign w:val="center"/>
                </w:tcPr>
                <w:p w14:paraId="14B676CE">
                  <w:pPr>
                    <w:adjustRightInd w:val="0"/>
                    <w:snapToGrid w:val="0"/>
                    <w:spacing w:line="240" w:lineRule="auto"/>
                    <w:jc w:val="center"/>
                    <w:rPr>
                      <w:color w:val="auto"/>
                      <w:spacing w:val="-4"/>
                      <w:szCs w:val="21"/>
                    </w:rPr>
                  </w:pPr>
                  <w:r>
                    <w:rPr>
                      <w:rFonts w:hint="eastAsia"/>
                      <w:color w:val="auto"/>
                      <w:spacing w:val="-4"/>
                      <w:szCs w:val="21"/>
                    </w:rPr>
                    <w:t>不涉及</w:t>
                  </w:r>
                </w:p>
              </w:tc>
              <w:tc>
                <w:tcPr>
                  <w:tcW w:w="454" w:type="pct"/>
                  <w:noWrap w:val="0"/>
                  <w:vAlign w:val="center"/>
                </w:tcPr>
                <w:p w14:paraId="00E6ED33">
                  <w:pPr>
                    <w:adjustRightInd w:val="0"/>
                    <w:snapToGrid w:val="0"/>
                    <w:spacing w:line="240" w:lineRule="auto"/>
                    <w:jc w:val="center"/>
                    <w:rPr>
                      <w:color w:val="auto"/>
                      <w:spacing w:val="-4"/>
                      <w:szCs w:val="21"/>
                    </w:rPr>
                  </w:pPr>
                  <w:r>
                    <w:rPr>
                      <w:rFonts w:hint="eastAsia"/>
                      <w:color w:val="auto"/>
                      <w:spacing w:val="-4"/>
                      <w:szCs w:val="21"/>
                    </w:rPr>
                    <w:t>符合</w:t>
                  </w:r>
                </w:p>
              </w:tc>
            </w:tr>
            <w:tr w14:paraId="71B98D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2" w:type="pct"/>
                  <w:vMerge w:val="continue"/>
                  <w:noWrap w:val="0"/>
                  <w:vAlign w:val="center"/>
                </w:tcPr>
                <w:p w14:paraId="277C969D">
                  <w:pPr>
                    <w:adjustRightInd w:val="0"/>
                    <w:snapToGrid w:val="0"/>
                    <w:spacing w:line="240" w:lineRule="auto"/>
                    <w:jc w:val="center"/>
                    <w:rPr>
                      <w:color w:val="auto"/>
                      <w:szCs w:val="21"/>
                    </w:rPr>
                  </w:pPr>
                </w:p>
              </w:tc>
              <w:tc>
                <w:tcPr>
                  <w:tcW w:w="2725" w:type="pct"/>
                  <w:noWrap w:val="0"/>
                  <w:vAlign w:val="center"/>
                </w:tcPr>
                <w:p w14:paraId="02C6B6ED">
                  <w:pPr>
                    <w:adjustRightInd w:val="0"/>
                    <w:snapToGrid w:val="0"/>
                    <w:spacing w:line="240" w:lineRule="auto"/>
                    <w:jc w:val="center"/>
                    <w:rPr>
                      <w:color w:val="auto"/>
                      <w:spacing w:val="-4"/>
                      <w:szCs w:val="21"/>
                    </w:rPr>
                  </w:pPr>
                  <w:r>
                    <w:rPr>
                      <w:color w:val="auto"/>
                      <w:szCs w:val="21"/>
                    </w:rPr>
                    <w:t>4.按规定对人工商品林进行抚育采伐，或以提升森林质量、优化栖息地、建设生物防火隔离带等为目的的树种更新，依法开展的竹林采伐经营。</w:t>
                  </w:r>
                </w:p>
              </w:tc>
              <w:tc>
                <w:tcPr>
                  <w:tcW w:w="1547" w:type="pct"/>
                  <w:noWrap w:val="0"/>
                  <w:vAlign w:val="center"/>
                </w:tcPr>
                <w:p w14:paraId="4D0DBEFB">
                  <w:pPr>
                    <w:adjustRightInd w:val="0"/>
                    <w:snapToGrid w:val="0"/>
                    <w:spacing w:line="240" w:lineRule="auto"/>
                    <w:jc w:val="center"/>
                    <w:rPr>
                      <w:color w:val="auto"/>
                      <w:spacing w:val="-4"/>
                      <w:szCs w:val="21"/>
                    </w:rPr>
                  </w:pPr>
                  <w:r>
                    <w:rPr>
                      <w:rFonts w:hint="eastAsia"/>
                      <w:color w:val="auto"/>
                      <w:szCs w:val="21"/>
                    </w:rPr>
                    <w:t>项目为输变电工程，为线性基础设施项目，涉及占用林地，</w:t>
                  </w:r>
                  <w:r>
                    <w:rPr>
                      <w:rFonts w:hint="eastAsia"/>
                      <w:color w:val="auto"/>
                      <w:szCs w:val="21"/>
                      <w:lang w:val="en-US" w:eastAsia="zh-CN"/>
                    </w:rPr>
                    <w:t>会</w:t>
                  </w:r>
                  <w:r>
                    <w:rPr>
                      <w:rFonts w:hint="eastAsia"/>
                      <w:color w:val="auto"/>
                      <w:szCs w:val="21"/>
                    </w:rPr>
                    <w:t>按要求办理林业手续</w:t>
                  </w:r>
                  <w:r>
                    <w:rPr>
                      <w:rFonts w:hint="eastAsia"/>
                      <w:color w:val="auto"/>
                    </w:rPr>
                    <w:t>。</w:t>
                  </w:r>
                </w:p>
              </w:tc>
              <w:tc>
                <w:tcPr>
                  <w:tcW w:w="454" w:type="pct"/>
                  <w:noWrap w:val="0"/>
                  <w:vAlign w:val="center"/>
                </w:tcPr>
                <w:p w14:paraId="0FAB7B4F">
                  <w:pPr>
                    <w:adjustRightInd w:val="0"/>
                    <w:snapToGrid w:val="0"/>
                    <w:spacing w:line="240" w:lineRule="auto"/>
                    <w:jc w:val="center"/>
                    <w:rPr>
                      <w:color w:val="auto"/>
                      <w:spacing w:val="-4"/>
                      <w:szCs w:val="21"/>
                    </w:rPr>
                  </w:pPr>
                  <w:r>
                    <w:rPr>
                      <w:rFonts w:hint="eastAsia"/>
                      <w:color w:val="auto"/>
                      <w:spacing w:val="-4"/>
                      <w:szCs w:val="21"/>
                    </w:rPr>
                    <w:t>符合</w:t>
                  </w:r>
                </w:p>
              </w:tc>
            </w:tr>
            <w:tr w14:paraId="3B535B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2" w:type="pct"/>
                  <w:vMerge w:val="continue"/>
                  <w:noWrap w:val="0"/>
                  <w:vAlign w:val="center"/>
                </w:tcPr>
                <w:p w14:paraId="1FAC7855">
                  <w:pPr>
                    <w:adjustRightInd w:val="0"/>
                    <w:snapToGrid w:val="0"/>
                    <w:spacing w:line="240" w:lineRule="auto"/>
                    <w:jc w:val="center"/>
                    <w:rPr>
                      <w:color w:val="auto"/>
                      <w:szCs w:val="21"/>
                    </w:rPr>
                  </w:pPr>
                </w:p>
              </w:tc>
              <w:tc>
                <w:tcPr>
                  <w:tcW w:w="2725" w:type="pct"/>
                  <w:noWrap w:val="0"/>
                  <w:vAlign w:val="center"/>
                </w:tcPr>
                <w:p w14:paraId="03BB4ADF">
                  <w:pPr>
                    <w:adjustRightInd w:val="0"/>
                    <w:snapToGrid w:val="0"/>
                    <w:spacing w:line="240" w:lineRule="auto"/>
                    <w:jc w:val="center"/>
                    <w:rPr>
                      <w:color w:val="auto"/>
                      <w:spacing w:val="-4"/>
                      <w:szCs w:val="21"/>
                    </w:rPr>
                  </w:pPr>
                  <w:r>
                    <w:rPr>
                      <w:color w:val="auto"/>
                      <w:szCs w:val="21"/>
                    </w:rPr>
                    <w:t>5.不破坏生态功能的适度参观旅游、科普宣教及符合相关规划的配套性服务设施和相关的必要公共设施建设及维护。</w:t>
                  </w:r>
                </w:p>
              </w:tc>
              <w:tc>
                <w:tcPr>
                  <w:tcW w:w="1547" w:type="pct"/>
                  <w:noWrap w:val="0"/>
                  <w:vAlign w:val="center"/>
                </w:tcPr>
                <w:p w14:paraId="117FF016">
                  <w:pPr>
                    <w:adjustRightInd w:val="0"/>
                    <w:snapToGrid w:val="0"/>
                    <w:spacing w:line="240" w:lineRule="auto"/>
                    <w:jc w:val="center"/>
                    <w:rPr>
                      <w:color w:val="auto"/>
                      <w:spacing w:val="-4"/>
                      <w:szCs w:val="21"/>
                    </w:rPr>
                  </w:pPr>
                  <w:r>
                    <w:rPr>
                      <w:rFonts w:hint="eastAsia"/>
                      <w:color w:val="auto"/>
                      <w:szCs w:val="21"/>
                    </w:rPr>
                    <w:t>项目为输变电工程，为线性基础设施项目</w:t>
                  </w:r>
                </w:p>
              </w:tc>
              <w:tc>
                <w:tcPr>
                  <w:tcW w:w="454" w:type="pct"/>
                  <w:noWrap w:val="0"/>
                  <w:vAlign w:val="center"/>
                </w:tcPr>
                <w:p w14:paraId="110A023D">
                  <w:pPr>
                    <w:adjustRightInd w:val="0"/>
                    <w:snapToGrid w:val="0"/>
                    <w:spacing w:line="240" w:lineRule="auto"/>
                    <w:jc w:val="center"/>
                    <w:rPr>
                      <w:color w:val="auto"/>
                      <w:spacing w:val="-4"/>
                      <w:szCs w:val="21"/>
                    </w:rPr>
                  </w:pPr>
                  <w:r>
                    <w:rPr>
                      <w:rFonts w:hint="eastAsia"/>
                      <w:color w:val="auto"/>
                      <w:spacing w:val="-4"/>
                      <w:szCs w:val="21"/>
                    </w:rPr>
                    <w:t>符合</w:t>
                  </w:r>
                </w:p>
              </w:tc>
            </w:tr>
            <w:tr w14:paraId="13484D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2" w:type="pct"/>
                  <w:vMerge w:val="continue"/>
                  <w:noWrap w:val="0"/>
                  <w:vAlign w:val="center"/>
                </w:tcPr>
                <w:p w14:paraId="2A3BBB02">
                  <w:pPr>
                    <w:adjustRightInd w:val="0"/>
                    <w:snapToGrid w:val="0"/>
                    <w:spacing w:line="240" w:lineRule="auto"/>
                    <w:jc w:val="center"/>
                    <w:rPr>
                      <w:color w:val="auto"/>
                      <w:szCs w:val="21"/>
                    </w:rPr>
                  </w:pPr>
                </w:p>
              </w:tc>
              <w:tc>
                <w:tcPr>
                  <w:tcW w:w="2725" w:type="pct"/>
                  <w:noWrap w:val="0"/>
                  <w:vAlign w:val="center"/>
                </w:tcPr>
                <w:p w14:paraId="6309D370">
                  <w:pPr>
                    <w:adjustRightInd w:val="0"/>
                    <w:snapToGrid w:val="0"/>
                    <w:spacing w:line="240" w:lineRule="auto"/>
                    <w:jc w:val="center"/>
                    <w:rPr>
                      <w:color w:val="auto"/>
                      <w:spacing w:val="-4"/>
                      <w:szCs w:val="21"/>
                    </w:rPr>
                  </w:pPr>
                  <w:r>
                    <w:rPr>
                      <w:color w:val="auto"/>
                      <w:szCs w:val="21"/>
                    </w:rPr>
                    <w:t>6.必须且无法避让、符合县级以上国土空间规划的线性基础设施、通讯和防洪、供水设施建设和船舶航行、航道疏浚清淤等活动；已有的合法水利、交通运输等设施运行维护改造。</w:t>
                  </w:r>
                </w:p>
              </w:tc>
              <w:tc>
                <w:tcPr>
                  <w:tcW w:w="1547" w:type="pct"/>
                  <w:noWrap w:val="0"/>
                  <w:vAlign w:val="center"/>
                </w:tcPr>
                <w:p w14:paraId="6C13A27A">
                  <w:pPr>
                    <w:adjustRightInd w:val="0"/>
                    <w:snapToGrid w:val="0"/>
                    <w:spacing w:line="240" w:lineRule="auto"/>
                    <w:jc w:val="center"/>
                    <w:rPr>
                      <w:color w:val="auto"/>
                      <w:spacing w:val="-4"/>
                      <w:szCs w:val="21"/>
                    </w:rPr>
                  </w:pPr>
                  <w:r>
                    <w:rPr>
                      <w:rFonts w:hint="default" w:ascii="Times New Roman" w:hAnsi="Times New Roman" w:cs="Times New Roman"/>
                      <w:color w:val="auto"/>
                      <w:szCs w:val="21"/>
                    </w:rPr>
                    <w:t>项目为输变电工程，</w:t>
                  </w:r>
                  <w:r>
                    <w:rPr>
                      <w:rFonts w:hint="default" w:ascii="Times New Roman" w:hAnsi="Times New Roman" w:cs="Times New Roman"/>
                      <w:color w:val="auto"/>
                      <w:szCs w:val="21"/>
                      <w:lang w:val="en-US" w:eastAsia="zh-CN"/>
                    </w:rPr>
                    <w:t>受自然条件等因素限制，线路</w:t>
                  </w:r>
                  <w:r>
                    <w:rPr>
                      <w:rFonts w:hint="eastAsia" w:ascii="Times New Roman" w:hAnsi="Times New Roman" w:cs="Times New Roman"/>
                      <w:color w:val="auto"/>
                      <w:szCs w:val="21"/>
                      <w:lang w:val="en-US" w:eastAsia="zh-CN"/>
                    </w:rPr>
                    <w:t>不可避让跨越生态保护红线</w:t>
                  </w:r>
                  <w:r>
                    <w:rPr>
                      <w:rFonts w:hint="default" w:ascii="Times New Roman" w:hAnsi="Times New Roman" w:cs="Times New Roman"/>
                      <w:color w:val="auto"/>
                      <w:szCs w:val="21"/>
                      <w:lang w:val="en-US" w:eastAsia="zh-CN"/>
                    </w:rPr>
                    <w:t>，对照《有限人为活动准入目录》，属于准入类别，“输电线塔基、通讯基站等小面积零星分散建设项目用地”属于准入目录，属于“必须且无法避让、符合县级以上国土空间规划的线性基础设施”</w:t>
                  </w:r>
                </w:p>
              </w:tc>
              <w:tc>
                <w:tcPr>
                  <w:tcW w:w="454" w:type="pct"/>
                  <w:noWrap w:val="0"/>
                  <w:vAlign w:val="center"/>
                </w:tcPr>
                <w:p w14:paraId="088F1ED9">
                  <w:pPr>
                    <w:adjustRightInd w:val="0"/>
                    <w:snapToGrid w:val="0"/>
                    <w:spacing w:line="240" w:lineRule="auto"/>
                    <w:jc w:val="center"/>
                    <w:rPr>
                      <w:color w:val="auto"/>
                      <w:spacing w:val="-4"/>
                      <w:szCs w:val="21"/>
                    </w:rPr>
                  </w:pPr>
                  <w:r>
                    <w:rPr>
                      <w:rFonts w:hint="eastAsia"/>
                      <w:color w:val="auto"/>
                      <w:spacing w:val="-4"/>
                      <w:szCs w:val="21"/>
                    </w:rPr>
                    <w:t>符合</w:t>
                  </w:r>
                </w:p>
              </w:tc>
            </w:tr>
            <w:tr w14:paraId="51FA48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2" w:type="pct"/>
                  <w:vMerge w:val="continue"/>
                  <w:noWrap w:val="0"/>
                  <w:vAlign w:val="center"/>
                </w:tcPr>
                <w:p w14:paraId="4FF0C0E0">
                  <w:pPr>
                    <w:adjustRightInd w:val="0"/>
                    <w:snapToGrid w:val="0"/>
                    <w:spacing w:line="240" w:lineRule="auto"/>
                    <w:jc w:val="center"/>
                    <w:rPr>
                      <w:color w:val="auto"/>
                      <w:szCs w:val="21"/>
                    </w:rPr>
                  </w:pPr>
                </w:p>
              </w:tc>
              <w:tc>
                <w:tcPr>
                  <w:tcW w:w="2725" w:type="pct"/>
                  <w:noWrap w:val="0"/>
                  <w:vAlign w:val="center"/>
                </w:tcPr>
                <w:p w14:paraId="6C454426">
                  <w:pPr>
                    <w:adjustRightInd w:val="0"/>
                    <w:snapToGrid w:val="0"/>
                    <w:spacing w:line="240" w:lineRule="auto"/>
                    <w:jc w:val="center"/>
                    <w:rPr>
                      <w:color w:val="auto"/>
                      <w:spacing w:val="-4"/>
                      <w:szCs w:val="21"/>
                    </w:rPr>
                  </w:pPr>
                  <w:r>
                    <w:rPr>
                      <w:color w:val="auto"/>
                      <w:szCs w:val="21"/>
                    </w:rPr>
                    <w:t>7.地质调查与矿产资源勘查开采。包括：基础地质调查和战略性矿产资源远景调查等公益性工作；铀矿勘查开采活动，可办理矿业权登记；已依法设立的油气探矿权继续勘查活动，可办理探矿权延续、变更（不含扩大勘查区块范围）、保留、注销，当发现可供开采油气资源并探明储量时，可将开采拟占用的地表或海域范围依照国家相关规定调出生态保护红线；已依法设立的油气采矿权不扩大用地用海范围，继续开采，可办理采矿权延续、变更（不含扩大矿区范围）、注销；已依法设立的矿泉水和地热采矿权，在不超出已经核定的生产规模、不新增生产设施的前提下继续开采，可办理采矿权延续、变更（不含扩大矿区范围）、注销；已依法设立和新立铬、铜、镍、锂、钴、锆、钾盐、（中）重稀土矿等战略性矿产探矿权开展勘查活动，可办理探矿权登记，因国家战略需要开展开采活动的，可办理采矿权登记。上述勘查开采活动，应落实减缓生态环境影响措施，严格执行绿色勘查、开采及矿山环境生态修复相关要求。</w:t>
                  </w:r>
                </w:p>
              </w:tc>
              <w:tc>
                <w:tcPr>
                  <w:tcW w:w="1547" w:type="pct"/>
                  <w:noWrap w:val="0"/>
                  <w:vAlign w:val="center"/>
                </w:tcPr>
                <w:p w14:paraId="6A121149">
                  <w:pPr>
                    <w:adjustRightInd w:val="0"/>
                    <w:snapToGrid w:val="0"/>
                    <w:spacing w:line="240" w:lineRule="auto"/>
                    <w:jc w:val="center"/>
                    <w:rPr>
                      <w:color w:val="auto"/>
                      <w:spacing w:val="-4"/>
                      <w:szCs w:val="21"/>
                    </w:rPr>
                  </w:pPr>
                  <w:r>
                    <w:rPr>
                      <w:rFonts w:hint="eastAsia"/>
                      <w:color w:val="auto"/>
                      <w:szCs w:val="21"/>
                    </w:rPr>
                    <w:t>不涉及，本项目为输变电工程，为线性基础设施项目</w:t>
                  </w:r>
                </w:p>
              </w:tc>
              <w:tc>
                <w:tcPr>
                  <w:tcW w:w="454" w:type="pct"/>
                  <w:noWrap w:val="0"/>
                  <w:vAlign w:val="center"/>
                </w:tcPr>
                <w:p w14:paraId="56E4324A">
                  <w:pPr>
                    <w:adjustRightInd w:val="0"/>
                    <w:snapToGrid w:val="0"/>
                    <w:spacing w:line="240" w:lineRule="auto"/>
                    <w:jc w:val="center"/>
                    <w:rPr>
                      <w:color w:val="auto"/>
                      <w:spacing w:val="-4"/>
                      <w:szCs w:val="21"/>
                    </w:rPr>
                  </w:pPr>
                  <w:r>
                    <w:rPr>
                      <w:rFonts w:hint="eastAsia"/>
                      <w:color w:val="auto"/>
                      <w:spacing w:val="-4"/>
                      <w:szCs w:val="21"/>
                    </w:rPr>
                    <w:t>符合</w:t>
                  </w:r>
                </w:p>
              </w:tc>
            </w:tr>
            <w:tr w14:paraId="7713C6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2" w:type="pct"/>
                  <w:vMerge w:val="continue"/>
                  <w:noWrap w:val="0"/>
                  <w:vAlign w:val="center"/>
                </w:tcPr>
                <w:p w14:paraId="4754627C">
                  <w:pPr>
                    <w:adjustRightInd w:val="0"/>
                    <w:snapToGrid w:val="0"/>
                    <w:spacing w:line="240" w:lineRule="auto"/>
                    <w:jc w:val="center"/>
                    <w:rPr>
                      <w:color w:val="auto"/>
                      <w:szCs w:val="21"/>
                    </w:rPr>
                  </w:pPr>
                </w:p>
              </w:tc>
              <w:tc>
                <w:tcPr>
                  <w:tcW w:w="2725" w:type="pct"/>
                  <w:noWrap w:val="0"/>
                  <w:vAlign w:val="center"/>
                </w:tcPr>
                <w:p w14:paraId="0C4F6E25">
                  <w:pPr>
                    <w:adjustRightInd w:val="0"/>
                    <w:snapToGrid w:val="0"/>
                    <w:spacing w:line="240" w:lineRule="auto"/>
                    <w:jc w:val="center"/>
                    <w:rPr>
                      <w:color w:val="auto"/>
                      <w:spacing w:val="-4"/>
                      <w:szCs w:val="21"/>
                    </w:rPr>
                  </w:pPr>
                  <w:r>
                    <w:rPr>
                      <w:color w:val="auto"/>
                      <w:szCs w:val="21"/>
                    </w:rPr>
                    <w:t>8.依据县级以上国土空间规划和生态保护修复专项规划开展的生态修复。</w:t>
                  </w:r>
                </w:p>
              </w:tc>
              <w:tc>
                <w:tcPr>
                  <w:tcW w:w="1547" w:type="pct"/>
                  <w:noWrap w:val="0"/>
                  <w:vAlign w:val="center"/>
                </w:tcPr>
                <w:p w14:paraId="577EBF58">
                  <w:pPr>
                    <w:adjustRightInd w:val="0"/>
                    <w:snapToGrid w:val="0"/>
                    <w:spacing w:line="240" w:lineRule="auto"/>
                    <w:jc w:val="center"/>
                    <w:rPr>
                      <w:color w:val="auto"/>
                      <w:spacing w:val="-4"/>
                      <w:szCs w:val="21"/>
                    </w:rPr>
                  </w:pPr>
                  <w:r>
                    <w:rPr>
                      <w:rFonts w:hint="eastAsia"/>
                      <w:color w:val="auto"/>
                      <w:szCs w:val="21"/>
                    </w:rPr>
                    <w:t>不涉及，项目为输变电工程，为线性基础设施项目</w:t>
                  </w:r>
                </w:p>
              </w:tc>
              <w:tc>
                <w:tcPr>
                  <w:tcW w:w="454" w:type="pct"/>
                  <w:noWrap w:val="0"/>
                  <w:vAlign w:val="center"/>
                </w:tcPr>
                <w:p w14:paraId="5A7270AA">
                  <w:pPr>
                    <w:adjustRightInd w:val="0"/>
                    <w:snapToGrid w:val="0"/>
                    <w:spacing w:line="240" w:lineRule="auto"/>
                    <w:jc w:val="center"/>
                    <w:rPr>
                      <w:color w:val="auto"/>
                      <w:spacing w:val="-4"/>
                      <w:szCs w:val="21"/>
                    </w:rPr>
                  </w:pPr>
                  <w:r>
                    <w:rPr>
                      <w:rFonts w:hint="eastAsia"/>
                      <w:color w:val="auto"/>
                      <w:spacing w:val="-4"/>
                      <w:szCs w:val="21"/>
                    </w:rPr>
                    <w:t>符合</w:t>
                  </w:r>
                </w:p>
              </w:tc>
            </w:tr>
            <w:tr w14:paraId="69952B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2" w:type="pct"/>
                  <w:vMerge w:val="continue"/>
                  <w:noWrap w:val="0"/>
                  <w:vAlign w:val="center"/>
                </w:tcPr>
                <w:p w14:paraId="1CFD4EE8">
                  <w:pPr>
                    <w:adjustRightInd w:val="0"/>
                    <w:snapToGrid w:val="0"/>
                    <w:spacing w:line="240" w:lineRule="auto"/>
                    <w:jc w:val="center"/>
                    <w:rPr>
                      <w:color w:val="auto"/>
                      <w:szCs w:val="21"/>
                    </w:rPr>
                  </w:pPr>
                </w:p>
              </w:tc>
              <w:tc>
                <w:tcPr>
                  <w:tcW w:w="2725" w:type="pct"/>
                  <w:noWrap w:val="0"/>
                  <w:vAlign w:val="center"/>
                </w:tcPr>
                <w:p w14:paraId="1CDD8D87">
                  <w:pPr>
                    <w:adjustRightInd w:val="0"/>
                    <w:snapToGrid w:val="0"/>
                    <w:spacing w:line="240" w:lineRule="auto"/>
                    <w:jc w:val="center"/>
                    <w:rPr>
                      <w:color w:val="auto"/>
                      <w:spacing w:val="-4"/>
                      <w:szCs w:val="21"/>
                    </w:rPr>
                  </w:pPr>
                  <w:r>
                    <w:rPr>
                      <w:color w:val="auto"/>
                      <w:szCs w:val="21"/>
                    </w:rPr>
                    <w:t>9.根据我国相关法律法规和与邻国签署的国界管理制度协定（条约）开展的边界边境通视道清理以及界务工程的修建、维护和拆除工作。</w:t>
                  </w:r>
                </w:p>
              </w:tc>
              <w:tc>
                <w:tcPr>
                  <w:tcW w:w="1547" w:type="pct"/>
                  <w:noWrap w:val="0"/>
                  <w:vAlign w:val="center"/>
                </w:tcPr>
                <w:p w14:paraId="3056EE37">
                  <w:pPr>
                    <w:adjustRightInd w:val="0"/>
                    <w:snapToGrid w:val="0"/>
                    <w:spacing w:line="240" w:lineRule="auto"/>
                    <w:jc w:val="center"/>
                    <w:rPr>
                      <w:color w:val="auto"/>
                      <w:spacing w:val="-4"/>
                      <w:szCs w:val="21"/>
                    </w:rPr>
                  </w:pPr>
                  <w:r>
                    <w:rPr>
                      <w:rFonts w:hint="eastAsia"/>
                      <w:color w:val="auto"/>
                      <w:szCs w:val="21"/>
                    </w:rPr>
                    <w:t>不涉及</w:t>
                  </w:r>
                </w:p>
              </w:tc>
              <w:tc>
                <w:tcPr>
                  <w:tcW w:w="454" w:type="pct"/>
                  <w:noWrap w:val="0"/>
                  <w:vAlign w:val="center"/>
                </w:tcPr>
                <w:p w14:paraId="40D56557">
                  <w:pPr>
                    <w:adjustRightInd w:val="0"/>
                    <w:snapToGrid w:val="0"/>
                    <w:spacing w:line="240" w:lineRule="auto"/>
                    <w:jc w:val="center"/>
                    <w:rPr>
                      <w:color w:val="auto"/>
                      <w:spacing w:val="-4"/>
                      <w:szCs w:val="21"/>
                    </w:rPr>
                  </w:pPr>
                  <w:r>
                    <w:rPr>
                      <w:rFonts w:hint="eastAsia"/>
                      <w:color w:val="auto"/>
                      <w:spacing w:val="-4"/>
                      <w:szCs w:val="21"/>
                    </w:rPr>
                    <w:t>符合</w:t>
                  </w:r>
                </w:p>
              </w:tc>
            </w:tr>
            <w:tr w14:paraId="016523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2" w:type="pct"/>
                  <w:vMerge w:val="continue"/>
                  <w:noWrap w:val="0"/>
                  <w:vAlign w:val="center"/>
                </w:tcPr>
                <w:p w14:paraId="28B5EF44">
                  <w:pPr>
                    <w:adjustRightInd w:val="0"/>
                    <w:snapToGrid w:val="0"/>
                    <w:spacing w:line="240" w:lineRule="auto"/>
                    <w:jc w:val="center"/>
                    <w:rPr>
                      <w:color w:val="auto"/>
                      <w:szCs w:val="21"/>
                    </w:rPr>
                  </w:pPr>
                </w:p>
              </w:tc>
              <w:tc>
                <w:tcPr>
                  <w:tcW w:w="2725" w:type="pct"/>
                  <w:noWrap w:val="0"/>
                  <w:vAlign w:val="center"/>
                </w:tcPr>
                <w:p w14:paraId="5204B14F">
                  <w:pPr>
                    <w:adjustRightInd w:val="0"/>
                    <w:snapToGrid w:val="0"/>
                    <w:spacing w:line="240" w:lineRule="auto"/>
                    <w:jc w:val="center"/>
                    <w:rPr>
                      <w:color w:val="auto"/>
                      <w:spacing w:val="-4"/>
                      <w:szCs w:val="21"/>
                    </w:rPr>
                  </w:pPr>
                  <w:r>
                    <w:rPr>
                      <w:color w:val="auto"/>
                      <w:szCs w:val="21"/>
                    </w:rPr>
                    <w:t>10.法律法规规定允许的其他人为活动。</w:t>
                  </w:r>
                </w:p>
              </w:tc>
              <w:tc>
                <w:tcPr>
                  <w:tcW w:w="1547" w:type="pct"/>
                  <w:noWrap w:val="0"/>
                  <w:vAlign w:val="center"/>
                </w:tcPr>
                <w:p w14:paraId="7E34FBA4">
                  <w:pPr>
                    <w:adjustRightInd w:val="0"/>
                    <w:snapToGrid w:val="0"/>
                    <w:spacing w:line="240" w:lineRule="auto"/>
                    <w:jc w:val="center"/>
                    <w:rPr>
                      <w:color w:val="auto"/>
                      <w:spacing w:val="-4"/>
                      <w:szCs w:val="21"/>
                    </w:rPr>
                  </w:pPr>
                  <w:r>
                    <w:rPr>
                      <w:rFonts w:hint="eastAsia"/>
                      <w:color w:val="auto"/>
                      <w:szCs w:val="21"/>
                    </w:rPr>
                    <w:t>项目为输变电工程，为线性基础设施项目</w:t>
                  </w:r>
                </w:p>
              </w:tc>
              <w:tc>
                <w:tcPr>
                  <w:tcW w:w="454" w:type="pct"/>
                  <w:noWrap w:val="0"/>
                  <w:vAlign w:val="center"/>
                </w:tcPr>
                <w:p w14:paraId="459272FA">
                  <w:pPr>
                    <w:adjustRightInd w:val="0"/>
                    <w:snapToGrid w:val="0"/>
                    <w:spacing w:line="240" w:lineRule="auto"/>
                    <w:jc w:val="center"/>
                    <w:rPr>
                      <w:color w:val="auto"/>
                      <w:spacing w:val="-4"/>
                      <w:szCs w:val="21"/>
                    </w:rPr>
                  </w:pPr>
                  <w:r>
                    <w:rPr>
                      <w:rFonts w:hint="eastAsia"/>
                      <w:color w:val="auto"/>
                      <w:spacing w:val="-4"/>
                      <w:szCs w:val="21"/>
                    </w:rPr>
                    <w:t>符合</w:t>
                  </w:r>
                </w:p>
              </w:tc>
            </w:tr>
            <w:tr w14:paraId="5A428C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2" w:type="pct"/>
                  <w:vMerge w:val="continue"/>
                  <w:noWrap w:val="0"/>
                  <w:vAlign w:val="center"/>
                </w:tcPr>
                <w:p w14:paraId="40D650D4">
                  <w:pPr>
                    <w:adjustRightInd w:val="0"/>
                    <w:snapToGrid w:val="0"/>
                    <w:spacing w:line="240" w:lineRule="auto"/>
                    <w:jc w:val="center"/>
                    <w:rPr>
                      <w:color w:val="auto"/>
                      <w:szCs w:val="21"/>
                    </w:rPr>
                  </w:pPr>
                </w:p>
              </w:tc>
              <w:tc>
                <w:tcPr>
                  <w:tcW w:w="2725" w:type="pct"/>
                  <w:noWrap w:val="0"/>
                  <w:vAlign w:val="center"/>
                </w:tcPr>
                <w:p w14:paraId="48D9CF5C">
                  <w:pPr>
                    <w:adjustRightInd w:val="0"/>
                    <w:snapToGrid w:val="0"/>
                    <w:spacing w:line="240" w:lineRule="auto"/>
                    <w:jc w:val="center"/>
                    <w:rPr>
                      <w:color w:val="auto"/>
                      <w:szCs w:val="21"/>
                    </w:rPr>
                  </w:pPr>
                  <w:r>
                    <w:rPr>
                      <w:color w:val="auto"/>
                      <w:szCs w:val="21"/>
                      <w:shd w:val="clear" w:color="auto" w:fill="FFFFFF"/>
                    </w:rPr>
                    <w:t>（二）加强有限人为活动管理。上述生态保护红线管控范围内有限人为活动，涉及新增建设用地、用海用岛审批的，在报批农用地转用、土地征收、海域使用权、无居民海岛开发利用时，附省级人民政府出具符合生态保护红线内允许有限人为活动的认定意见；不涉及新增建设用地、用海用岛审批的，按有关规定进行管理，无明确规定的由省级人民政府制定具体监管办法。上述活动涉及自然保护地的，应征求林业和草原主管部门或自然保护地管理机构意见。</w:t>
                  </w:r>
                </w:p>
              </w:tc>
              <w:tc>
                <w:tcPr>
                  <w:tcW w:w="1547" w:type="pct"/>
                  <w:noWrap w:val="0"/>
                  <w:vAlign w:val="center"/>
                </w:tcPr>
                <w:p w14:paraId="764F9029">
                  <w:pPr>
                    <w:adjustRightInd w:val="0"/>
                    <w:snapToGrid w:val="0"/>
                    <w:spacing w:line="240" w:lineRule="auto"/>
                    <w:jc w:val="center"/>
                    <w:rPr>
                      <w:color w:val="auto"/>
                      <w:spacing w:val="-4"/>
                      <w:szCs w:val="21"/>
                    </w:rPr>
                  </w:pPr>
                  <w:r>
                    <w:rPr>
                      <w:rFonts w:hint="eastAsia"/>
                      <w:color w:val="auto"/>
                      <w:szCs w:val="21"/>
                    </w:rPr>
                    <w:t>项目</w:t>
                  </w:r>
                  <w:r>
                    <w:rPr>
                      <w:rFonts w:hint="eastAsia"/>
                      <w:color w:val="auto"/>
                      <w:szCs w:val="21"/>
                      <w:lang w:val="en-US" w:eastAsia="zh-CN"/>
                    </w:rPr>
                    <w:t>不</w:t>
                  </w:r>
                  <w:r>
                    <w:rPr>
                      <w:rFonts w:hint="eastAsia"/>
                      <w:color w:val="auto"/>
                      <w:szCs w:val="21"/>
                    </w:rPr>
                    <w:t>占用生态保护红线，不涉及自然保护地、重要湿地、基本草原、风景名胜区等重要生态环境敏感区</w:t>
                  </w:r>
                  <w:r>
                    <w:rPr>
                      <w:rFonts w:hint="eastAsia"/>
                      <w:color w:val="auto"/>
                      <w:szCs w:val="21"/>
                      <w:lang w:eastAsia="zh-CN"/>
                    </w:rPr>
                    <w:t>；</w:t>
                  </w:r>
                  <w:r>
                    <w:rPr>
                      <w:rFonts w:hint="eastAsia"/>
                      <w:color w:val="auto"/>
                      <w:szCs w:val="21"/>
                      <w:lang w:val="en-US" w:eastAsia="zh-CN"/>
                    </w:rPr>
                    <w:t>根据《关于加强云南电网规划建设的实施意见》，输电线路架空电力线路走廊（包括杆、塔基础）不实行征地，但线路因自然条件限制，</w:t>
                  </w:r>
                  <w:r>
                    <w:rPr>
                      <w:rFonts w:hint="eastAsia"/>
                      <w:color w:val="auto"/>
                      <w:spacing w:val="-4"/>
                      <w:szCs w:val="21"/>
                    </w:rPr>
                    <w:t>不可避让的占用生态保护红线</w:t>
                  </w:r>
                </w:p>
              </w:tc>
              <w:tc>
                <w:tcPr>
                  <w:tcW w:w="454" w:type="pct"/>
                  <w:noWrap w:val="0"/>
                  <w:vAlign w:val="center"/>
                </w:tcPr>
                <w:p w14:paraId="2DF43A95">
                  <w:pPr>
                    <w:adjustRightInd w:val="0"/>
                    <w:snapToGrid w:val="0"/>
                    <w:spacing w:line="240" w:lineRule="auto"/>
                    <w:jc w:val="center"/>
                    <w:rPr>
                      <w:color w:val="auto"/>
                      <w:spacing w:val="-4"/>
                      <w:szCs w:val="21"/>
                    </w:rPr>
                  </w:pPr>
                  <w:r>
                    <w:rPr>
                      <w:rFonts w:hint="eastAsia"/>
                      <w:color w:val="auto"/>
                      <w:spacing w:val="-4"/>
                      <w:szCs w:val="21"/>
                    </w:rPr>
                    <w:t>符合</w:t>
                  </w:r>
                </w:p>
              </w:tc>
            </w:tr>
            <w:tr w14:paraId="404DE4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2" w:type="pct"/>
                  <w:vMerge w:val="continue"/>
                  <w:noWrap w:val="0"/>
                  <w:vAlign w:val="center"/>
                </w:tcPr>
                <w:p w14:paraId="50716076">
                  <w:pPr>
                    <w:adjustRightInd w:val="0"/>
                    <w:snapToGrid w:val="0"/>
                    <w:spacing w:line="240" w:lineRule="auto"/>
                    <w:jc w:val="center"/>
                    <w:rPr>
                      <w:color w:val="auto"/>
                      <w:szCs w:val="21"/>
                    </w:rPr>
                  </w:pPr>
                </w:p>
              </w:tc>
              <w:tc>
                <w:tcPr>
                  <w:tcW w:w="2725" w:type="pct"/>
                  <w:noWrap w:val="0"/>
                  <w:vAlign w:val="center"/>
                </w:tcPr>
                <w:p w14:paraId="3E48FB86">
                  <w:pPr>
                    <w:adjustRightInd w:val="0"/>
                    <w:snapToGrid w:val="0"/>
                    <w:spacing w:line="240" w:lineRule="auto"/>
                    <w:jc w:val="center"/>
                    <w:rPr>
                      <w:color w:val="auto"/>
                      <w:szCs w:val="21"/>
                      <w:shd w:val="clear" w:color="auto" w:fill="FFFFFF"/>
                    </w:rPr>
                  </w:pPr>
                  <w:r>
                    <w:rPr>
                      <w:color w:val="auto"/>
                      <w:szCs w:val="21"/>
                      <w:shd w:val="clear" w:color="auto" w:fill="FFFFFF"/>
                    </w:rPr>
                    <w:t>（三）有序处理历史遗留问题。生态保护红线经国务院批准后，对需逐步有序退出的矿业权等，由省级人民政府按照尊重历史、实事求是的原则，结合实际制定退出计划，明确时序安排、补偿安置、生态修复等要求，确保生态安全和社会稳定。鼓励有条件的地方通过租赁、置换、赎买等方式，对人工商品林实行统一管护，并将重要生态区位的人工商品林按规定逐步转为公益林。零星分布的已有水电、风电、光伏、海洋能设施，按照相关法律法规规定进行管理，严禁扩大现有规模与范围，项目到期后由建设单位负责做好生态修复。</w:t>
                  </w:r>
                </w:p>
              </w:tc>
              <w:tc>
                <w:tcPr>
                  <w:tcW w:w="1547" w:type="pct"/>
                  <w:noWrap w:val="0"/>
                  <w:vAlign w:val="center"/>
                </w:tcPr>
                <w:p w14:paraId="63833A9E">
                  <w:pPr>
                    <w:adjustRightInd w:val="0"/>
                    <w:snapToGrid w:val="0"/>
                    <w:spacing w:line="240" w:lineRule="auto"/>
                    <w:jc w:val="center"/>
                    <w:rPr>
                      <w:color w:val="auto"/>
                      <w:spacing w:val="-4"/>
                      <w:szCs w:val="21"/>
                    </w:rPr>
                  </w:pPr>
                  <w:r>
                    <w:rPr>
                      <w:rFonts w:hint="eastAsia"/>
                      <w:color w:val="auto"/>
                      <w:szCs w:val="21"/>
                    </w:rPr>
                    <w:t>不涉及，项目为输变电工程，为新建线性基础设施项目</w:t>
                  </w:r>
                </w:p>
              </w:tc>
              <w:tc>
                <w:tcPr>
                  <w:tcW w:w="454" w:type="pct"/>
                  <w:noWrap w:val="0"/>
                  <w:vAlign w:val="center"/>
                </w:tcPr>
                <w:p w14:paraId="57E7610A">
                  <w:pPr>
                    <w:adjustRightInd w:val="0"/>
                    <w:snapToGrid w:val="0"/>
                    <w:spacing w:line="240" w:lineRule="auto"/>
                    <w:jc w:val="center"/>
                    <w:rPr>
                      <w:color w:val="auto"/>
                      <w:spacing w:val="-4"/>
                      <w:szCs w:val="21"/>
                    </w:rPr>
                  </w:pPr>
                  <w:r>
                    <w:rPr>
                      <w:rFonts w:hint="eastAsia"/>
                      <w:color w:val="auto"/>
                      <w:spacing w:val="-4"/>
                      <w:szCs w:val="21"/>
                    </w:rPr>
                    <w:t>符合</w:t>
                  </w:r>
                </w:p>
              </w:tc>
            </w:tr>
          </w:tbl>
          <w:p w14:paraId="2A2ED8F4">
            <w:pPr>
              <w:adjustRightInd w:val="0"/>
              <w:snapToGrid w:val="0"/>
              <w:spacing w:line="440" w:lineRule="exact"/>
              <w:ind w:firstLine="482" w:firstLineChars="200"/>
              <w:rPr>
                <w:rFonts w:hint="eastAsia"/>
                <w:b/>
                <w:bCs/>
                <w:color w:val="auto"/>
                <w:sz w:val="24"/>
              </w:rPr>
            </w:pPr>
            <w:r>
              <w:rPr>
                <w:rFonts w:hint="eastAsia"/>
                <w:b/>
                <w:bCs/>
                <w:color w:val="auto"/>
                <w:sz w:val="24"/>
                <w:lang w:val="en-US" w:eastAsia="zh-CN"/>
              </w:rPr>
              <w:t>8</w:t>
            </w:r>
            <w:r>
              <w:rPr>
                <w:rFonts w:hint="eastAsia"/>
                <w:b/>
                <w:bCs/>
                <w:color w:val="auto"/>
                <w:sz w:val="24"/>
              </w:rPr>
              <w:t>、与《云南省自然资源厅 云南省生态环境厅 云南省林业和草原局关于加强生态保护红线管理工作的通知》（云自然资〔2023〕98号）的符合性分析</w:t>
            </w:r>
          </w:p>
          <w:p w14:paraId="7B35126C">
            <w:pPr>
              <w:adjustRightInd w:val="0"/>
              <w:snapToGrid w:val="0"/>
              <w:spacing w:line="440" w:lineRule="exact"/>
              <w:ind w:firstLine="480" w:firstLineChars="200"/>
              <w:rPr>
                <w:rFonts w:hint="eastAsia"/>
                <w:color w:val="auto"/>
                <w:sz w:val="24"/>
              </w:rPr>
            </w:pPr>
            <w:r>
              <w:rPr>
                <w:rFonts w:hint="eastAsia"/>
                <w:color w:val="auto"/>
                <w:sz w:val="24"/>
              </w:rPr>
              <w:t>2023年8月25日，云南省自然资源厅 云南省生态环境厅 云南省林业和草原局发布《关于加强生态保护红线管理的通知（试行）》（云自然资〔2023〕98号），符合性分析如下：</w:t>
            </w:r>
          </w:p>
          <w:p w14:paraId="218A3E25">
            <w:pPr>
              <w:adjustRightInd w:val="0"/>
              <w:snapToGrid w:val="0"/>
              <w:spacing w:line="240" w:lineRule="auto"/>
              <w:jc w:val="center"/>
              <w:rPr>
                <w:color w:val="auto"/>
                <w:sz w:val="24"/>
              </w:rPr>
            </w:pPr>
            <w:r>
              <w:rPr>
                <w:rFonts w:hint="eastAsia"/>
                <w:b/>
                <w:bCs/>
                <w:color w:val="auto"/>
                <w:spacing w:val="-4"/>
                <w:sz w:val="24"/>
              </w:rPr>
              <w:t>表1-</w:t>
            </w:r>
            <w:r>
              <w:rPr>
                <w:rFonts w:hint="eastAsia"/>
                <w:b/>
                <w:bCs/>
                <w:color w:val="auto"/>
                <w:spacing w:val="-4"/>
                <w:sz w:val="24"/>
                <w:lang w:val="en-US" w:eastAsia="zh-CN"/>
              </w:rPr>
              <w:t>8</w:t>
            </w:r>
            <w:r>
              <w:rPr>
                <w:rFonts w:hint="eastAsia"/>
                <w:b/>
                <w:bCs/>
                <w:color w:val="auto"/>
                <w:spacing w:val="-4"/>
                <w:sz w:val="24"/>
              </w:rPr>
              <w:t xml:space="preserve">  项目与</w:t>
            </w:r>
            <w:r>
              <w:rPr>
                <w:b/>
                <w:bCs/>
                <w:color w:val="auto"/>
                <w:sz w:val="24"/>
              </w:rPr>
              <w:t>（</w:t>
            </w:r>
            <w:r>
              <w:rPr>
                <w:rFonts w:hint="eastAsia"/>
                <w:b/>
                <w:bCs/>
                <w:color w:val="auto"/>
                <w:sz w:val="24"/>
              </w:rPr>
              <w:t>云自然资〔2023〕98号</w:t>
            </w:r>
            <w:r>
              <w:rPr>
                <w:b/>
                <w:bCs/>
                <w:color w:val="auto"/>
                <w:sz w:val="24"/>
              </w:rPr>
              <w:t>）符合性</w:t>
            </w:r>
            <w:r>
              <w:rPr>
                <w:rFonts w:hint="eastAsia"/>
                <w:b/>
                <w:bCs/>
                <w:color w:val="auto"/>
                <w:sz w:val="24"/>
              </w:rPr>
              <w:t>分析</w:t>
            </w:r>
          </w:p>
          <w:tbl>
            <w:tblPr>
              <w:tblStyle w:val="30"/>
              <w:tblW w:w="4995"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9"/>
              <w:gridCol w:w="3699"/>
              <w:gridCol w:w="1806"/>
              <w:gridCol w:w="642"/>
            </w:tblGrid>
            <w:tr w14:paraId="308535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12" w:type="pct"/>
                  <w:gridSpan w:val="2"/>
                  <w:noWrap w:val="0"/>
                  <w:vAlign w:val="center"/>
                </w:tcPr>
                <w:p w14:paraId="2E5558E6">
                  <w:pPr>
                    <w:adjustRightInd w:val="0"/>
                    <w:snapToGrid w:val="0"/>
                    <w:spacing w:line="240" w:lineRule="auto"/>
                    <w:jc w:val="center"/>
                    <w:rPr>
                      <w:color w:val="auto"/>
                      <w:spacing w:val="-4"/>
                      <w:szCs w:val="21"/>
                    </w:rPr>
                  </w:pPr>
                  <w:r>
                    <w:rPr>
                      <w:color w:val="auto"/>
                      <w:spacing w:val="-4"/>
                      <w:szCs w:val="21"/>
                    </w:rPr>
                    <w:t>管控要求</w:t>
                  </w:r>
                </w:p>
              </w:tc>
              <w:tc>
                <w:tcPr>
                  <w:tcW w:w="1319" w:type="pct"/>
                  <w:noWrap w:val="0"/>
                  <w:vAlign w:val="center"/>
                </w:tcPr>
                <w:p w14:paraId="29C5D112">
                  <w:pPr>
                    <w:adjustRightInd w:val="0"/>
                    <w:snapToGrid w:val="0"/>
                    <w:spacing w:line="240" w:lineRule="auto"/>
                    <w:jc w:val="center"/>
                    <w:rPr>
                      <w:color w:val="auto"/>
                      <w:spacing w:val="-4"/>
                      <w:szCs w:val="21"/>
                    </w:rPr>
                  </w:pPr>
                  <w:r>
                    <w:rPr>
                      <w:color w:val="auto"/>
                      <w:spacing w:val="-4"/>
                      <w:szCs w:val="21"/>
                    </w:rPr>
                    <w:t>本项目情况</w:t>
                  </w:r>
                </w:p>
              </w:tc>
              <w:tc>
                <w:tcPr>
                  <w:tcW w:w="468" w:type="pct"/>
                  <w:noWrap w:val="0"/>
                  <w:vAlign w:val="center"/>
                </w:tcPr>
                <w:p w14:paraId="0B61E668">
                  <w:pPr>
                    <w:adjustRightInd w:val="0"/>
                    <w:snapToGrid w:val="0"/>
                    <w:spacing w:line="240" w:lineRule="auto"/>
                    <w:jc w:val="center"/>
                    <w:rPr>
                      <w:color w:val="auto"/>
                      <w:spacing w:val="-4"/>
                      <w:szCs w:val="21"/>
                    </w:rPr>
                  </w:pPr>
                  <w:r>
                    <w:rPr>
                      <w:color w:val="auto"/>
                      <w:spacing w:val="-4"/>
                      <w:szCs w:val="21"/>
                    </w:rPr>
                    <w:t>符合性</w:t>
                  </w:r>
                </w:p>
              </w:tc>
            </w:tr>
            <w:tr w14:paraId="6C9CB7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11" w:type="pct"/>
                  <w:vMerge w:val="restart"/>
                  <w:noWrap w:val="0"/>
                  <w:vAlign w:val="center"/>
                </w:tcPr>
                <w:p w14:paraId="222E69FE">
                  <w:pPr>
                    <w:adjustRightInd w:val="0"/>
                    <w:snapToGrid w:val="0"/>
                    <w:spacing w:line="240" w:lineRule="auto"/>
                    <w:jc w:val="center"/>
                    <w:outlineLvl w:val="0"/>
                    <w:rPr>
                      <w:color w:val="auto"/>
                      <w:spacing w:val="-4"/>
                      <w:szCs w:val="21"/>
                    </w:rPr>
                  </w:pPr>
                  <w:r>
                    <w:rPr>
                      <w:color w:val="auto"/>
                      <w:szCs w:val="21"/>
                    </w:rPr>
                    <w:t>强化生态保护红线内有限人为活动审批管理</w:t>
                  </w:r>
                </w:p>
              </w:tc>
              <w:tc>
                <w:tcPr>
                  <w:tcW w:w="2700" w:type="pct"/>
                  <w:noWrap w:val="0"/>
                  <w:vAlign w:val="center"/>
                </w:tcPr>
                <w:p w14:paraId="5B197628">
                  <w:pPr>
                    <w:adjustRightInd w:val="0"/>
                    <w:snapToGrid w:val="0"/>
                    <w:spacing w:line="240" w:lineRule="auto"/>
                    <w:jc w:val="center"/>
                    <w:rPr>
                      <w:color w:val="auto"/>
                      <w:spacing w:val="-4"/>
                      <w:szCs w:val="21"/>
                    </w:rPr>
                  </w:pPr>
                  <w:r>
                    <w:rPr>
                      <w:rFonts w:hint="eastAsia"/>
                      <w:b/>
                      <w:bCs/>
                      <w:color w:val="auto"/>
                      <w:spacing w:val="19"/>
                      <w:szCs w:val="21"/>
                    </w:rPr>
                    <w:t>（一）</w:t>
                  </w:r>
                  <w:r>
                    <w:rPr>
                      <w:b/>
                      <w:bCs/>
                      <w:color w:val="auto"/>
                      <w:spacing w:val="19"/>
                      <w:szCs w:val="21"/>
                    </w:rPr>
                    <w:t>实行有限人为活动准入管控</w:t>
                  </w:r>
                  <w:r>
                    <w:rPr>
                      <w:color w:val="auto"/>
                      <w:spacing w:val="12"/>
                      <w:szCs w:val="21"/>
                    </w:rPr>
                    <w:t>生态保护红线内，自然保护地核心保护区原则上禁止人为活</w:t>
                  </w:r>
                  <w:r>
                    <w:rPr>
                      <w:color w:val="auto"/>
                      <w:spacing w:val="13"/>
                      <w:szCs w:val="21"/>
                    </w:rPr>
                    <w:t>动；自然保护地核心保护区外禁止开发性、生</w:t>
                  </w:r>
                  <w:r>
                    <w:rPr>
                      <w:color w:val="auto"/>
                      <w:spacing w:val="12"/>
                      <w:szCs w:val="21"/>
                    </w:rPr>
                    <w:t>产性建设活动，在</w:t>
                  </w:r>
                  <w:r>
                    <w:rPr>
                      <w:color w:val="auto"/>
                      <w:spacing w:val="14"/>
                      <w:szCs w:val="21"/>
                    </w:rPr>
                    <w:t>符合法律法规前提下，仅允许对生态功能不造成破坏的有限人为</w:t>
                  </w:r>
                  <w:r>
                    <w:rPr>
                      <w:color w:val="auto"/>
                      <w:spacing w:val="7"/>
                      <w:szCs w:val="21"/>
                    </w:rPr>
                    <w:t>活动。有限人为活动范围按照《有限人为活动准入目录》</w:t>
                  </w:r>
                  <w:r>
                    <w:rPr>
                      <w:rFonts w:hint="eastAsia"/>
                      <w:color w:val="auto"/>
                      <w:spacing w:val="7"/>
                      <w:szCs w:val="21"/>
                    </w:rPr>
                    <w:t>（</w:t>
                  </w:r>
                  <w:r>
                    <w:rPr>
                      <w:color w:val="auto"/>
                      <w:spacing w:val="7"/>
                      <w:szCs w:val="21"/>
                    </w:rPr>
                    <w:t>以下简</w:t>
                  </w:r>
                  <w:r>
                    <w:rPr>
                      <w:color w:val="auto"/>
                      <w:spacing w:val="13"/>
                      <w:szCs w:val="21"/>
                    </w:rPr>
                    <w:t>称《准入目录》</w:t>
                  </w:r>
                  <w:r>
                    <w:rPr>
                      <w:rFonts w:hint="eastAsia"/>
                      <w:color w:val="auto"/>
                      <w:spacing w:val="13"/>
                      <w:szCs w:val="21"/>
                    </w:rPr>
                    <w:t>，</w:t>
                  </w:r>
                  <w:r>
                    <w:rPr>
                      <w:color w:val="auto"/>
                      <w:spacing w:val="13"/>
                      <w:szCs w:val="21"/>
                    </w:rPr>
                    <w:t>详见附件</w:t>
                  </w:r>
                  <w:r>
                    <w:rPr>
                      <w:rFonts w:hint="eastAsia"/>
                      <w:color w:val="auto"/>
                      <w:spacing w:val="7"/>
                      <w:szCs w:val="21"/>
                    </w:rPr>
                    <w:t>）</w:t>
                  </w:r>
                  <w:r>
                    <w:rPr>
                      <w:color w:val="auto"/>
                      <w:spacing w:val="13"/>
                      <w:szCs w:val="21"/>
                    </w:rPr>
                    <w:t>进行管控。有限人为活动应尽量避让</w:t>
                  </w:r>
                  <w:r>
                    <w:rPr>
                      <w:color w:val="auto"/>
                      <w:spacing w:val="14"/>
                      <w:szCs w:val="21"/>
                    </w:rPr>
                    <w:t>自然保护区、风景名胜区等自然保护地、饮用水水源保护区、世</w:t>
                  </w:r>
                  <w:r>
                    <w:rPr>
                      <w:color w:val="auto"/>
                      <w:spacing w:val="7"/>
                      <w:szCs w:val="21"/>
                    </w:rPr>
                    <w:t>界自然遗产地、重要湿地、九大高原湖泊生态黄线内等</w:t>
                  </w:r>
                  <w:r>
                    <w:rPr>
                      <w:color w:val="auto"/>
                      <w:spacing w:val="6"/>
                      <w:szCs w:val="21"/>
                    </w:rPr>
                    <w:t>特殊区域，</w:t>
                  </w:r>
                  <w:r>
                    <w:rPr>
                      <w:color w:val="auto"/>
                      <w:spacing w:val="9"/>
                      <w:szCs w:val="21"/>
                    </w:rPr>
                    <w:t>确实无法避让的应符合法律法规规定。</w:t>
                  </w:r>
                </w:p>
              </w:tc>
              <w:tc>
                <w:tcPr>
                  <w:tcW w:w="1319" w:type="pct"/>
                  <w:noWrap w:val="0"/>
                  <w:vAlign w:val="center"/>
                </w:tcPr>
                <w:p w14:paraId="47815855">
                  <w:pPr>
                    <w:adjustRightInd w:val="0"/>
                    <w:snapToGrid w:val="0"/>
                    <w:spacing w:line="240" w:lineRule="auto"/>
                    <w:jc w:val="center"/>
                    <w:rPr>
                      <w:color w:val="auto"/>
                      <w:spacing w:val="-4"/>
                      <w:szCs w:val="21"/>
                    </w:rPr>
                  </w:pPr>
                  <w:r>
                    <w:rPr>
                      <w:rFonts w:hint="default" w:ascii="Times New Roman" w:hAnsi="Times New Roman" w:cs="Times New Roman"/>
                      <w:color w:val="auto"/>
                      <w:spacing w:val="-4"/>
                      <w:szCs w:val="21"/>
                    </w:rPr>
                    <w:t>项目用地范围涉及</w:t>
                  </w:r>
                  <w:r>
                    <w:rPr>
                      <w:rFonts w:hint="eastAsia" w:ascii="Times New Roman" w:hAnsi="Times New Roman" w:cs="Times New Roman"/>
                      <w:color w:val="auto"/>
                      <w:spacing w:val="-4"/>
                      <w:szCs w:val="21"/>
                      <w:lang w:val="en-US" w:eastAsia="zh-CN"/>
                    </w:rPr>
                    <w:t>跨越</w:t>
                  </w:r>
                  <w:r>
                    <w:rPr>
                      <w:rFonts w:hint="default" w:ascii="Times New Roman" w:hAnsi="Times New Roman" w:cs="Times New Roman"/>
                      <w:color w:val="auto"/>
                      <w:spacing w:val="-4"/>
                      <w:szCs w:val="21"/>
                    </w:rPr>
                    <w:t>生态保护红线，不涉及未划入生态保护红线的自然保护地、风景名胜区等区域，</w:t>
                  </w:r>
                  <w:r>
                    <w:rPr>
                      <w:rFonts w:hint="default" w:ascii="Times New Roman" w:hAnsi="Times New Roman" w:cs="Times New Roman"/>
                      <w:color w:val="auto"/>
                      <w:szCs w:val="21"/>
                    </w:rPr>
                    <w:t>不属于禁止开发性、生产性建设活动</w:t>
                  </w:r>
                  <w:r>
                    <w:rPr>
                      <w:rFonts w:hint="default" w:ascii="Times New Roman" w:hAnsi="Times New Roman" w:cs="Times New Roman"/>
                      <w:color w:val="auto"/>
                      <w:spacing w:val="-4"/>
                      <w:szCs w:val="21"/>
                    </w:rPr>
                    <w:t>；</w:t>
                  </w:r>
                  <w:r>
                    <w:rPr>
                      <w:rFonts w:hint="eastAsia" w:ascii="Times New Roman" w:hAnsi="Times New Roman" w:cs="Times New Roman"/>
                      <w:color w:val="auto"/>
                      <w:spacing w:val="-4"/>
                      <w:szCs w:val="21"/>
                      <w:lang w:eastAsia="zh-CN"/>
                    </w:rPr>
                    <w:t>不可避让跨越生态保护红线</w:t>
                  </w:r>
                  <w:r>
                    <w:rPr>
                      <w:rFonts w:hint="default" w:ascii="Times New Roman" w:hAnsi="Times New Roman" w:cs="Times New Roman"/>
                      <w:color w:val="auto"/>
                      <w:spacing w:val="-4"/>
                      <w:szCs w:val="21"/>
                    </w:rPr>
                    <w:t>，</w:t>
                  </w:r>
                  <w:r>
                    <w:rPr>
                      <w:rFonts w:hint="eastAsia"/>
                      <w:color w:val="auto"/>
                      <w:szCs w:val="21"/>
                      <w:lang w:val="en-US" w:eastAsia="zh-CN"/>
                    </w:rPr>
                    <w:t>对照《有限人为活动准入目录》，属于准入类别，“输电线塔基、通讯基站等小面积零星分散建设项目用地”属于准入目录，属于“必须且无法避让、符合县级以上国土空间规划的线性基础设施”</w:t>
                  </w:r>
                </w:p>
              </w:tc>
              <w:tc>
                <w:tcPr>
                  <w:tcW w:w="468" w:type="pct"/>
                  <w:noWrap w:val="0"/>
                  <w:vAlign w:val="center"/>
                </w:tcPr>
                <w:p w14:paraId="30AA2722">
                  <w:pPr>
                    <w:adjustRightInd w:val="0"/>
                    <w:snapToGrid w:val="0"/>
                    <w:spacing w:line="240" w:lineRule="auto"/>
                    <w:jc w:val="center"/>
                    <w:rPr>
                      <w:color w:val="auto"/>
                      <w:spacing w:val="-4"/>
                      <w:szCs w:val="21"/>
                    </w:rPr>
                  </w:pPr>
                  <w:r>
                    <w:rPr>
                      <w:color w:val="auto"/>
                      <w:spacing w:val="-4"/>
                      <w:szCs w:val="21"/>
                    </w:rPr>
                    <w:t>符合</w:t>
                  </w:r>
                </w:p>
              </w:tc>
            </w:tr>
            <w:tr w14:paraId="7E5ED3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11" w:type="pct"/>
                  <w:vMerge w:val="continue"/>
                  <w:noWrap w:val="0"/>
                  <w:vAlign w:val="center"/>
                </w:tcPr>
                <w:p w14:paraId="613A7A21">
                  <w:pPr>
                    <w:adjustRightInd w:val="0"/>
                    <w:snapToGrid w:val="0"/>
                    <w:spacing w:line="240" w:lineRule="auto"/>
                    <w:jc w:val="center"/>
                    <w:rPr>
                      <w:color w:val="auto"/>
                      <w:szCs w:val="21"/>
                    </w:rPr>
                  </w:pPr>
                </w:p>
              </w:tc>
              <w:tc>
                <w:tcPr>
                  <w:tcW w:w="2700" w:type="pct"/>
                  <w:noWrap w:val="0"/>
                  <w:vAlign w:val="center"/>
                </w:tcPr>
                <w:p w14:paraId="54833FBC">
                  <w:pPr>
                    <w:numPr>
                      <w:ilvl w:val="0"/>
                      <w:numId w:val="1"/>
                    </w:numPr>
                    <w:adjustRightInd w:val="0"/>
                    <w:snapToGrid w:val="0"/>
                    <w:spacing w:line="240" w:lineRule="auto"/>
                    <w:jc w:val="center"/>
                    <w:rPr>
                      <w:b/>
                      <w:bCs/>
                      <w:color w:val="auto"/>
                      <w:spacing w:val="17"/>
                      <w:szCs w:val="21"/>
                    </w:rPr>
                  </w:pPr>
                  <w:r>
                    <w:rPr>
                      <w:b/>
                      <w:bCs/>
                      <w:color w:val="auto"/>
                      <w:spacing w:val="17"/>
                      <w:szCs w:val="21"/>
                    </w:rPr>
                    <w:t>规范涉及新增建设用地的有限人为活动认定工作</w:t>
                  </w:r>
                </w:p>
                <w:p w14:paraId="45619963">
                  <w:pPr>
                    <w:adjustRightInd w:val="0"/>
                    <w:snapToGrid w:val="0"/>
                    <w:spacing w:line="240" w:lineRule="auto"/>
                    <w:rPr>
                      <w:color w:val="auto"/>
                      <w:spacing w:val="-4"/>
                      <w:szCs w:val="21"/>
                    </w:rPr>
                  </w:pPr>
                  <w:r>
                    <w:rPr>
                      <w:color w:val="auto"/>
                      <w:spacing w:val="24"/>
                      <w:szCs w:val="21"/>
                    </w:rPr>
                    <w:t>1.在用地预审选址阶段，由州</w:t>
                  </w:r>
                  <w:r>
                    <w:rPr>
                      <w:rFonts w:hint="eastAsia"/>
                      <w:color w:val="auto"/>
                      <w:spacing w:val="24"/>
                      <w:szCs w:val="21"/>
                      <w:lang w:eastAsia="zh-CN"/>
                    </w:rPr>
                    <w:t>（</w:t>
                  </w:r>
                  <w:r>
                    <w:rPr>
                      <w:color w:val="auto"/>
                      <w:spacing w:val="24"/>
                      <w:szCs w:val="21"/>
                    </w:rPr>
                    <w:t>市</w:t>
                  </w:r>
                  <w:r>
                    <w:rPr>
                      <w:rFonts w:hint="eastAsia"/>
                      <w:color w:val="auto"/>
                      <w:spacing w:val="24"/>
                      <w:szCs w:val="21"/>
                      <w:lang w:eastAsia="zh-CN"/>
                    </w:rPr>
                    <w:t>）</w:t>
                  </w:r>
                  <w:r>
                    <w:rPr>
                      <w:color w:val="auto"/>
                      <w:spacing w:val="24"/>
                      <w:szCs w:val="21"/>
                    </w:rPr>
                    <w:t>自然资源部门出具用地</w:t>
                  </w:r>
                  <w:r>
                    <w:rPr>
                      <w:color w:val="auto"/>
                      <w:spacing w:val="13"/>
                      <w:szCs w:val="21"/>
                    </w:rPr>
                    <w:t>预审初审报告，并明确是否属于生态保护红线内允许有限人为活</w:t>
                  </w:r>
                  <w:r>
                    <w:rPr>
                      <w:color w:val="auto"/>
                      <w:spacing w:val="9"/>
                      <w:szCs w:val="21"/>
                    </w:rPr>
                    <w:t>动，报有权机关办理用地预审与选址意见书。</w:t>
                  </w:r>
                  <w:r>
                    <w:rPr>
                      <w:color w:val="auto"/>
                      <w:spacing w:val="13"/>
                      <w:szCs w:val="21"/>
                    </w:rPr>
                    <w:t>2.在农用地转用及土地征收报批阶段，涉及生态保护红线面积超过10公顷的建设项目、涉及自然保护区</w:t>
                  </w:r>
                  <w:r>
                    <w:rPr>
                      <w:color w:val="auto"/>
                      <w:spacing w:val="12"/>
                      <w:szCs w:val="21"/>
                    </w:rPr>
                    <w:t>、风景名胜区等自然</w:t>
                  </w:r>
                  <w:r>
                    <w:rPr>
                      <w:color w:val="auto"/>
                      <w:spacing w:val="14"/>
                      <w:szCs w:val="21"/>
                    </w:rPr>
                    <w:t>保护地、饮用水水源保护区、世界自然遗产地、重要湿地、九大</w:t>
                  </w:r>
                  <w:r>
                    <w:rPr>
                      <w:color w:val="auto"/>
                      <w:spacing w:val="13"/>
                      <w:szCs w:val="21"/>
                    </w:rPr>
                    <w:t>高原湖泊生态黄线内等特殊区域，用地单位组织编制涉及生态保</w:t>
                  </w:r>
                  <w:r>
                    <w:rPr>
                      <w:color w:val="auto"/>
                      <w:spacing w:val="25"/>
                      <w:szCs w:val="21"/>
                    </w:rPr>
                    <w:t>护红线不可避让性论证报告，由州</w:t>
                  </w:r>
                  <w:r>
                    <w:rPr>
                      <w:rFonts w:hint="eastAsia"/>
                      <w:color w:val="auto"/>
                      <w:spacing w:val="25"/>
                      <w:szCs w:val="21"/>
                      <w:lang w:eastAsia="zh-CN"/>
                    </w:rPr>
                    <w:t>（</w:t>
                  </w:r>
                  <w:r>
                    <w:rPr>
                      <w:color w:val="auto"/>
                      <w:spacing w:val="25"/>
                      <w:szCs w:val="21"/>
                    </w:rPr>
                    <w:t>市</w:t>
                  </w:r>
                  <w:r>
                    <w:rPr>
                      <w:rFonts w:hint="eastAsia"/>
                      <w:color w:val="auto"/>
                      <w:spacing w:val="25"/>
                      <w:szCs w:val="21"/>
                      <w:lang w:eastAsia="zh-CN"/>
                    </w:rPr>
                    <w:t>）</w:t>
                  </w:r>
                  <w:r>
                    <w:rPr>
                      <w:color w:val="auto"/>
                      <w:spacing w:val="25"/>
                      <w:szCs w:val="21"/>
                    </w:rPr>
                    <w:t>人民政府组织相关部门</w:t>
                  </w:r>
                  <w:r>
                    <w:rPr>
                      <w:color w:val="auto"/>
                      <w:spacing w:val="13"/>
                      <w:szCs w:val="21"/>
                    </w:rPr>
                    <w:t>及专家进行审查论证并出具初步认定意见；涉及生态保护红线面</w:t>
                  </w:r>
                  <w:r>
                    <w:rPr>
                      <w:color w:val="auto"/>
                      <w:spacing w:val="24"/>
                      <w:szCs w:val="21"/>
                    </w:rPr>
                    <w:t>积小于等于10公顷且不涉及以上特殊区域的，由州</w:t>
                  </w:r>
                  <w:r>
                    <w:rPr>
                      <w:rFonts w:hint="eastAsia"/>
                      <w:color w:val="auto"/>
                      <w:spacing w:val="24"/>
                      <w:szCs w:val="21"/>
                      <w:lang w:eastAsia="zh-CN"/>
                    </w:rPr>
                    <w:t>（</w:t>
                  </w:r>
                  <w:r>
                    <w:rPr>
                      <w:color w:val="auto"/>
                      <w:spacing w:val="24"/>
                      <w:szCs w:val="21"/>
                    </w:rPr>
                    <w:t>市</w:t>
                  </w:r>
                  <w:r>
                    <w:rPr>
                      <w:rFonts w:hint="eastAsia"/>
                      <w:color w:val="auto"/>
                      <w:spacing w:val="24"/>
                      <w:szCs w:val="21"/>
                      <w:lang w:eastAsia="zh-CN"/>
                    </w:rPr>
                    <w:t>）</w:t>
                  </w:r>
                  <w:r>
                    <w:rPr>
                      <w:color w:val="auto"/>
                      <w:spacing w:val="24"/>
                      <w:szCs w:val="21"/>
                    </w:rPr>
                    <w:t>人民政</w:t>
                  </w:r>
                  <w:r>
                    <w:rPr>
                      <w:color w:val="auto"/>
                      <w:spacing w:val="14"/>
                      <w:szCs w:val="21"/>
                    </w:rPr>
                    <w:t>府出具初步认定意见。省自然资源厅在征求省生态环境厅、省林业和草原局等有关部门意见后出具审核意见，报请省人民政府出</w:t>
                  </w:r>
                  <w:r>
                    <w:rPr>
                      <w:color w:val="auto"/>
                      <w:spacing w:val="1"/>
                      <w:szCs w:val="21"/>
                    </w:rPr>
                    <w:t>具认定意见。</w:t>
                  </w:r>
                </w:p>
              </w:tc>
              <w:tc>
                <w:tcPr>
                  <w:tcW w:w="1319" w:type="pct"/>
                  <w:noWrap w:val="0"/>
                  <w:vAlign w:val="center"/>
                </w:tcPr>
                <w:p w14:paraId="1D126F33">
                  <w:pPr>
                    <w:adjustRightInd w:val="0"/>
                    <w:snapToGrid w:val="0"/>
                    <w:spacing w:line="240" w:lineRule="auto"/>
                    <w:jc w:val="center"/>
                    <w:rPr>
                      <w:color w:val="auto"/>
                      <w:spacing w:val="-4"/>
                      <w:szCs w:val="21"/>
                    </w:rPr>
                  </w:pPr>
                  <w:r>
                    <w:rPr>
                      <w:rFonts w:hint="default" w:ascii="Times New Roman" w:hAnsi="Times New Roman" w:cs="Times New Roman"/>
                      <w:color w:val="auto"/>
                      <w:szCs w:val="21"/>
                      <w:lang w:val="en-US" w:eastAsia="zh-CN"/>
                    </w:rPr>
                    <w:t>线路因自然条件限制，</w:t>
                  </w:r>
                  <w:r>
                    <w:rPr>
                      <w:rFonts w:hint="eastAsia" w:ascii="Times New Roman" w:hAnsi="Times New Roman" w:cs="Times New Roman"/>
                      <w:color w:val="auto"/>
                      <w:spacing w:val="-4"/>
                      <w:szCs w:val="21"/>
                      <w:lang w:eastAsia="zh-CN"/>
                    </w:rPr>
                    <w:t>不可避让跨越生态保护红线</w:t>
                  </w:r>
                  <w:r>
                    <w:rPr>
                      <w:rFonts w:hint="default" w:ascii="Times New Roman" w:hAnsi="Times New Roman" w:cs="Times New Roman"/>
                      <w:color w:val="auto"/>
                      <w:spacing w:val="-4"/>
                      <w:szCs w:val="21"/>
                    </w:rPr>
                    <w:t>，</w:t>
                  </w:r>
                  <w:r>
                    <w:rPr>
                      <w:rFonts w:hint="eastAsia"/>
                      <w:color w:val="auto"/>
                      <w:szCs w:val="21"/>
                      <w:lang w:val="en-US" w:eastAsia="zh-CN"/>
                    </w:rPr>
                    <w:t>对照《有限人为活动准入目录》，属于准入类别，“输电线塔基、通讯基站等小面积零星分散建设项目用地”属于准入目录，属于“必须且无法避让、符合县级以上国土空间规划的线性基础设施”</w:t>
                  </w:r>
                </w:p>
              </w:tc>
              <w:tc>
                <w:tcPr>
                  <w:tcW w:w="468" w:type="pct"/>
                  <w:noWrap w:val="0"/>
                  <w:vAlign w:val="center"/>
                </w:tcPr>
                <w:p w14:paraId="440367EA">
                  <w:pPr>
                    <w:adjustRightInd w:val="0"/>
                    <w:snapToGrid w:val="0"/>
                    <w:spacing w:line="240" w:lineRule="auto"/>
                    <w:jc w:val="center"/>
                    <w:rPr>
                      <w:color w:val="auto"/>
                      <w:spacing w:val="-4"/>
                      <w:szCs w:val="21"/>
                    </w:rPr>
                  </w:pPr>
                  <w:r>
                    <w:rPr>
                      <w:color w:val="auto"/>
                      <w:spacing w:val="-4"/>
                      <w:szCs w:val="21"/>
                    </w:rPr>
                    <w:t>符合</w:t>
                  </w:r>
                </w:p>
              </w:tc>
            </w:tr>
            <w:tr w14:paraId="2CC0CB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11" w:type="pct"/>
                  <w:vMerge w:val="continue"/>
                  <w:noWrap w:val="0"/>
                  <w:vAlign w:val="center"/>
                </w:tcPr>
                <w:p w14:paraId="340154B2">
                  <w:pPr>
                    <w:adjustRightInd w:val="0"/>
                    <w:snapToGrid w:val="0"/>
                    <w:spacing w:line="240" w:lineRule="auto"/>
                    <w:jc w:val="center"/>
                    <w:rPr>
                      <w:color w:val="auto"/>
                      <w:szCs w:val="21"/>
                    </w:rPr>
                  </w:pPr>
                </w:p>
              </w:tc>
              <w:tc>
                <w:tcPr>
                  <w:tcW w:w="2700" w:type="pct"/>
                  <w:noWrap w:val="0"/>
                  <w:vAlign w:val="center"/>
                </w:tcPr>
                <w:p w14:paraId="3BFC6C49">
                  <w:pPr>
                    <w:adjustRightInd w:val="0"/>
                    <w:snapToGrid w:val="0"/>
                    <w:spacing w:line="240" w:lineRule="auto"/>
                    <w:jc w:val="center"/>
                    <w:rPr>
                      <w:rFonts w:hint="eastAsia"/>
                      <w:b/>
                      <w:bCs/>
                      <w:color w:val="auto"/>
                      <w:spacing w:val="17"/>
                      <w:szCs w:val="21"/>
                    </w:rPr>
                  </w:pPr>
                  <w:r>
                    <w:rPr>
                      <w:rFonts w:hint="eastAsia"/>
                      <w:b/>
                      <w:bCs/>
                      <w:color w:val="auto"/>
                      <w:spacing w:val="17"/>
                      <w:szCs w:val="21"/>
                    </w:rPr>
                    <w:t>（三）</w:t>
                  </w:r>
                  <w:r>
                    <w:rPr>
                      <w:b/>
                      <w:bCs/>
                      <w:color w:val="auto"/>
                      <w:spacing w:val="17"/>
                      <w:szCs w:val="21"/>
                    </w:rPr>
                    <w:t>加强不涉及新增建设用地的有限人为活动监管</w:t>
                  </w:r>
                </w:p>
                <w:p w14:paraId="04297CDE">
                  <w:pPr>
                    <w:adjustRightInd w:val="0"/>
                    <w:snapToGrid w:val="0"/>
                    <w:spacing w:line="240" w:lineRule="auto"/>
                    <w:rPr>
                      <w:color w:val="auto"/>
                      <w:szCs w:val="21"/>
                    </w:rPr>
                  </w:pPr>
                  <w:r>
                    <w:rPr>
                      <w:color w:val="auto"/>
                      <w:spacing w:val="13"/>
                      <w:szCs w:val="21"/>
                    </w:rPr>
                    <w:t>应严格控制有限人为活动强度和规模，尽量避免对生态</w:t>
                  </w:r>
                  <w:r>
                    <w:rPr>
                      <w:color w:val="auto"/>
                      <w:spacing w:val="12"/>
                      <w:szCs w:val="21"/>
                    </w:rPr>
                    <w:t>功能</w:t>
                  </w:r>
                  <w:r>
                    <w:rPr>
                      <w:color w:val="auto"/>
                      <w:spacing w:val="24"/>
                      <w:szCs w:val="21"/>
                    </w:rPr>
                    <w:t>造成破坏。由县</w:t>
                  </w:r>
                  <w:r>
                    <w:rPr>
                      <w:rFonts w:hint="eastAsia"/>
                      <w:color w:val="auto"/>
                      <w:spacing w:val="24"/>
                      <w:szCs w:val="21"/>
                    </w:rPr>
                    <w:t>（</w:t>
                  </w:r>
                  <w:r>
                    <w:rPr>
                      <w:color w:val="auto"/>
                      <w:spacing w:val="24"/>
                      <w:szCs w:val="21"/>
                    </w:rPr>
                    <w:t>市、区</w:t>
                  </w:r>
                  <w:r>
                    <w:rPr>
                      <w:rFonts w:hint="eastAsia"/>
                      <w:color w:val="auto"/>
                      <w:spacing w:val="24"/>
                      <w:szCs w:val="21"/>
                    </w:rPr>
                    <w:t>）</w:t>
                  </w:r>
                  <w:r>
                    <w:rPr>
                      <w:color w:val="auto"/>
                      <w:spacing w:val="24"/>
                      <w:szCs w:val="21"/>
                    </w:rPr>
                    <w:t>人民政府按照《准入目录》认定，并</w:t>
                  </w:r>
                  <w:r>
                    <w:rPr>
                      <w:color w:val="auto"/>
                      <w:spacing w:val="12"/>
                      <w:szCs w:val="21"/>
                    </w:rPr>
                    <w:t>出具属于生态保护红线内允许有限人为活动认定意见，相关行业</w:t>
                  </w:r>
                  <w:r>
                    <w:rPr>
                      <w:color w:val="auto"/>
                      <w:spacing w:val="25"/>
                      <w:szCs w:val="21"/>
                    </w:rPr>
                    <w:t>主管部门结合职能职责按现行法律法规规定及要求办理有关手</w:t>
                  </w:r>
                  <w:r>
                    <w:rPr>
                      <w:color w:val="auto"/>
                      <w:spacing w:val="24"/>
                      <w:szCs w:val="21"/>
                    </w:rPr>
                    <w:t>续，县</w:t>
                  </w:r>
                  <w:r>
                    <w:rPr>
                      <w:rFonts w:hint="eastAsia"/>
                      <w:color w:val="auto"/>
                      <w:spacing w:val="24"/>
                      <w:szCs w:val="21"/>
                    </w:rPr>
                    <w:t>（</w:t>
                  </w:r>
                  <w:r>
                    <w:rPr>
                      <w:color w:val="auto"/>
                      <w:spacing w:val="24"/>
                      <w:szCs w:val="21"/>
                    </w:rPr>
                    <w:t>市、区</w:t>
                  </w:r>
                  <w:r>
                    <w:rPr>
                      <w:rFonts w:hint="eastAsia"/>
                      <w:color w:val="auto"/>
                      <w:spacing w:val="24"/>
                      <w:szCs w:val="21"/>
                    </w:rPr>
                    <w:t>）</w:t>
                  </w:r>
                  <w:r>
                    <w:rPr>
                      <w:color w:val="auto"/>
                      <w:spacing w:val="24"/>
                      <w:szCs w:val="21"/>
                    </w:rPr>
                    <w:t>人民政府和有关部门负责做好后期生态保护监</w:t>
                  </w:r>
                  <w:r>
                    <w:rPr>
                      <w:color w:val="auto"/>
                      <w:spacing w:val="-19"/>
                      <w:szCs w:val="21"/>
                    </w:rPr>
                    <w:t>管。</w:t>
                  </w:r>
                </w:p>
              </w:tc>
              <w:tc>
                <w:tcPr>
                  <w:tcW w:w="1319" w:type="pct"/>
                  <w:noWrap w:val="0"/>
                  <w:vAlign w:val="center"/>
                </w:tcPr>
                <w:p w14:paraId="00BCFC5C">
                  <w:pPr>
                    <w:adjustRightInd w:val="0"/>
                    <w:snapToGrid w:val="0"/>
                    <w:spacing w:line="240" w:lineRule="auto"/>
                    <w:jc w:val="center"/>
                    <w:rPr>
                      <w:color w:val="auto"/>
                      <w:szCs w:val="21"/>
                    </w:rPr>
                  </w:pPr>
                  <w:r>
                    <w:rPr>
                      <w:rFonts w:hint="default" w:ascii="Times New Roman" w:hAnsi="Times New Roman" w:cs="Times New Roman"/>
                      <w:color w:val="auto"/>
                      <w:szCs w:val="21"/>
                    </w:rPr>
                    <w:t>本项目为输变电工程，</w:t>
                  </w:r>
                  <w:r>
                    <w:rPr>
                      <w:rFonts w:hint="default" w:ascii="Times New Roman" w:hAnsi="Times New Roman" w:cs="Times New Roman"/>
                      <w:color w:val="auto"/>
                      <w:szCs w:val="21"/>
                      <w:lang w:val="en-US" w:eastAsia="zh-CN"/>
                    </w:rPr>
                    <w:t>对照《有限人为活动准入目录》，属于准入类别，“输电线塔基、通讯基站等小面积零星分散建设项目用地”属于准入目录，属于“必须且无法避让、符合县级以上国土空间规划的线性基础设施”；线路因自然条件限制，</w:t>
                  </w:r>
                  <w:r>
                    <w:rPr>
                      <w:rFonts w:hint="eastAsia" w:ascii="Times New Roman" w:hAnsi="Times New Roman" w:cs="Times New Roman"/>
                      <w:color w:val="auto"/>
                      <w:szCs w:val="21"/>
                      <w:lang w:val="en-US" w:eastAsia="zh-CN"/>
                    </w:rPr>
                    <w:t>不可避让跨越生态保护红线</w:t>
                  </w:r>
                  <w:r>
                    <w:rPr>
                      <w:rFonts w:hint="default" w:ascii="Times New Roman" w:hAnsi="Times New Roman" w:cs="Times New Roman"/>
                      <w:color w:val="auto"/>
                      <w:szCs w:val="21"/>
                      <w:lang w:val="en-US" w:eastAsia="zh-CN"/>
                    </w:rPr>
                    <w:t>，</w:t>
                  </w:r>
                  <w:r>
                    <w:rPr>
                      <w:rFonts w:hint="eastAsia" w:ascii="Times New Roman" w:hAnsi="Times New Roman" w:cs="Times New Roman"/>
                      <w:color w:val="auto"/>
                      <w:szCs w:val="21"/>
                      <w:lang w:val="en-US" w:eastAsia="zh-CN"/>
                    </w:rPr>
                    <w:t>属于准入类别</w:t>
                  </w:r>
                </w:p>
              </w:tc>
              <w:tc>
                <w:tcPr>
                  <w:tcW w:w="468" w:type="pct"/>
                  <w:noWrap w:val="0"/>
                  <w:vAlign w:val="center"/>
                </w:tcPr>
                <w:p w14:paraId="3A2883E7">
                  <w:pPr>
                    <w:adjustRightInd w:val="0"/>
                    <w:snapToGrid w:val="0"/>
                    <w:spacing w:line="240" w:lineRule="auto"/>
                    <w:jc w:val="center"/>
                    <w:rPr>
                      <w:color w:val="auto"/>
                      <w:szCs w:val="21"/>
                    </w:rPr>
                  </w:pPr>
                  <w:r>
                    <w:rPr>
                      <w:color w:val="auto"/>
                      <w:spacing w:val="-4"/>
                      <w:szCs w:val="21"/>
                    </w:rPr>
                    <w:t>符合</w:t>
                  </w:r>
                </w:p>
              </w:tc>
            </w:tr>
            <w:tr w14:paraId="6AE3EC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11" w:type="pct"/>
                  <w:noWrap w:val="0"/>
                  <w:vAlign w:val="center"/>
                </w:tcPr>
                <w:p w14:paraId="26ABF252">
                  <w:pPr>
                    <w:adjustRightInd w:val="0"/>
                    <w:snapToGrid w:val="0"/>
                    <w:spacing w:line="240" w:lineRule="auto"/>
                    <w:jc w:val="center"/>
                    <w:rPr>
                      <w:color w:val="auto"/>
                      <w:szCs w:val="21"/>
                    </w:rPr>
                  </w:pPr>
                  <w:r>
                    <w:rPr>
                      <w:color w:val="auto"/>
                      <w:spacing w:val="8"/>
                      <w:szCs w:val="21"/>
                    </w:rPr>
                    <w:t>严格国家重大项目占用生态保护红线用地审批</w:t>
                  </w:r>
                </w:p>
              </w:tc>
              <w:tc>
                <w:tcPr>
                  <w:tcW w:w="2700" w:type="pct"/>
                  <w:noWrap w:val="0"/>
                  <w:vAlign w:val="center"/>
                </w:tcPr>
                <w:p w14:paraId="6498712D">
                  <w:pPr>
                    <w:adjustRightInd w:val="0"/>
                    <w:snapToGrid w:val="0"/>
                    <w:spacing w:line="240" w:lineRule="auto"/>
                    <w:rPr>
                      <w:color w:val="auto"/>
                      <w:spacing w:val="-19"/>
                      <w:szCs w:val="21"/>
                    </w:rPr>
                  </w:pPr>
                  <w:r>
                    <w:rPr>
                      <w:color w:val="auto"/>
                      <w:spacing w:val="12"/>
                      <w:szCs w:val="21"/>
                    </w:rPr>
                    <w:t>国家重大建设项目占用生态保护红线的，需在用地预审选址</w:t>
                  </w:r>
                  <w:r>
                    <w:rPr>
                      <w:color w:val="auto"/>
                      <w:spacing w:val="23"/>
                      <w:szCs w:val="21"/>
                    </w:rPr>
                    <w:t>阶段，由州</w:t>
                  </w:r>
                  <w:r>
                    <w:rPr>
                      <w:rFonts w:hint="eastAsia"/>
                      <w:color w:val="auto"/>
                      <w:spacing w:val="23"/>
                      <w:szCs w:val="21"/>
                      <w:lang w:eastAsia="zh-CN"/>
                    </w:rPr>
                    <w:t>（</w:t>
                  </w:r>
                  <w:r>
                    <w:rPr>
                      <w:color w:val="auto"/>
                      <w:spacing w:val="23"/>
                      <w:szCs w:val="21"/>
                    </w:rPr>
                    <w:t>市</w:t>
                  </w:r>
                  <w:r>
                    <w:rPr>
                      <w:rFonts w:hint="eastAsia"/>
                      <w:color w:val="auto"/>
                      <w:spacing w:val="23"/>
                      <w:szCs w:val="21"/>
                      <w:lang w:eastAsia="zh-CN"/>
                    </w:rPr>
                    <w:t>）</w:t>
                  </w:r>
                  <w:r>
                    <w:rPr>
                      <w:color w:val="auto"/>
                      <w:spacing w:val="23"/>
                      <w:szCs w:val="21"/>
                    </w:rPr>
                    <w:t>自然资源部门在用地预审初审报告中，明确用</w:t>
                  </w:r>
                  <w:r>
                    <w:rPr>
                      <w:color w:val="auto"/>
                      <w:spacing w:val="13"/>
                      <w:szCs w:val="21"/>
                    </w:rPr>
                    <w:t>地属于国家重大建设项目范围，经省自然资源厅审核后报自然资源部预审。在农用地转用及土地征收报批阶段，用地单位组织编</w:t>
                  </w:r>
                  <w:r>
                    <w:rPr>
                      <w:color w:val="auto"/>
                      <w:spacing w:val="23"/>
                      <w:szCs w:val="21"/>
                    </w:rPr>
                    <w:t>制项目占用生态保护红线不可避让性论证报告，州</w:t>
                  </w:r>
                  <w:r>
                    <w:rPr>
                      <w:rFonts w:hint="eastAsia"/>
                      <w:color w:val="auto"/>
                      <w:spacing w:val="23"/>
                      <w:szCs w:val="21"/>
                      <w:lang w:eastAsia="zh-CN"/>
                    </w:rPr>
                    <w:t>（</w:t>
                  </w:r>
                  <w:r>
                    <w:rPr>
                      <w:color w:val="auto"/>
                      <w:spacing w:val="23"/>
                      <w:szCs w:val="21"/>
                    </w:rPr>
                    <w:t>市</w:t>
                  </w:r>
                  <w:r>
                    <w:rPr>
                      <w:rFonts w:hint="eastAsia"/>
                      <w:color w:val="auto"/>
                      <w:spacing w:val="23"/>
                      <w:szCs w:val="21"/>
                      <w:lang w:eastAsia="zh-CN"/>
                    </w:rPr>
                    <w:t>）</w:t>
                  </w:r>
                  <w:r>
                    <w:rPr>
                      <w:color w:val="auto"/>
                      <w:spacing w:val="23"/>
                      <w:szCs w:val="21"/>
                    </w:rPr>
                    <w:t>人民政</w:t>
                  </w:r>
                  <w:r>
                    <w:rPr>
                      <w:color w:val="auto"/>
                      <w:spacing w:val="13"/>
                      <w:szCs w:val="21"/>
                    </w:rPr>
                    <w:t>府出具不可避让性论证初步意见，省自然资源厅组织省生态环境</w:t>
                  </w:r>
                  <w:r>
                    <w:rPr>
                      <w:color w:val="auto"/>
                      <w:spacing w:val="7"/>
                      <w:szCs w:val="21"/>
                    </w:rPr>
                    <w:t>厅、省林业和草原局等有关部门及专家审查论证并出具审核意见，</w:t>
                  </w:r>
                  <w:r>
                    <w:rPr>
                      <w:color w:val="auto"/>
                      <w:spacing w:val="11"/>
                      <w:szCs w:val="21"/>
                    </w:rPr>
                    <w:t>报请省人民政府出具不可避让性论证意见。</w:t>
                  </w:r>
                </w:p>
              </w:tc>
              <w:tc>
                <w:tcPr>
                  <w:tcW w:w="1319" w:type="pct"/>
                  <w:noWrap w:val="0"/>
                  <w:vAlign w:val="center"/>
                </w:tcPr>
                <w:p w14:paraId="5ED519F1">
                  <w:pPr>
                    <w:adjustRightInd w:val="0"/>
                    <w:snapToGrid w:val="0"/>
                    <w:spacing w:line="240" w:lineRule="auto"/>
                    <w:jc w:val="center"/>
                    <w:rPr>
                      <w:color w:val="auto"/>
                      <w:szCs w:val="21"/>
                    </w:rPr>
                  </w:pPr>
                  <w:r>
                    <w:rPr>
                      <w:rFonts w:hint="default" w:ascii="Times New Roman" w:hAnsi="Times New Roman" w:cs="Times New Roman"/>
                      <w:color w:val="auto"/>
                      <w:szCs w:val="21"/>
                      <w:lang w:val="en-US" w:eastAsia="zh-CN"/>
                    </w:rPr>
                    <w:t>本项目属于输变电工程，不属于国家重大项目，</w:t>
                  </w:r>
                  <w:r>
                    <w:rPr>
                      <w:rFonts w:hint="eastAsia"/>
                      <w:color w:val="auto"/>
                      <w:szCs w:val="21"/>
                      <w:lang w:val="en-US" w:eastAsia="zh-CN"/>
                    </w:rPr>
                    <w:t>对照《有限人为活动准入目录》，属于准入类别，“输电线塔基、通讯基站等小面积零星分散建设项目用地”属于准入目录，属于“必须且无法避让、符合县级以上国土空间规划的线性基础设施”</w:t>
                  </w:r>
                </w:p>
              </w:tc>
              <w:tc>
                <w:tcPr>
                  <w:tcW w:w="468" w:type="pct"/>
                  <w:noWrap w:val="0"/>
                  <w:vAlign w:val="center"/>
                </w:tcPr>
                <w:p w14:paraId="5719B968">
                  <w:pPr>
                    <w:adjustRightInd w:val="0"/>
                    <w:snapToGrid w:val="0"/>
                    <w:spacing w:line="240" w:lineRule="auto"/>
                    <w:jc w:val="center"/>
                    <w:rPr>
                      <w:color w:val="auto"/>
                      <w:spacing w:val="-4"/>
                      <w:szCs w:val="21"/>
                    </w:rPr>
                  </w:pPr>
                  <w:r>
                    <w:rPr>
                      <w:rFonts w:hint="eastAsia"/>
                      <w:color w:val="auto"/>
                      <w:spacing w:val="-4"/>
                      <w:szCs w:val="21"/>
                    </w:rPr>
                    <w:t>符合</w:t>
                  </w:r>
                </w:p>
              </w:tc>
            </w:tr>
            <w:tr w14:paraId="4F9AD6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11" w:type="pct"/>
                  <w:noWrap w:val="0"/>
                  <w:vAlign w:val="center"/>
                </w:tcPr>
                <w:p w14:paraId="3A1108C7">
                  <w:pPr>
                    <w:adjustRightInd w:val="0"/>
                    <w:snapToGrid w:val="0"/>
                    <w:spacing w:line="240" w:lineRule="auto"/>
                    <w:jc w:val="center"/>
                    <w:rPr>
                      <w:color w:val="auto"/>
                      <w:spacing w:val="8"/>
                      <w:szCs w:val="21"/>
                    </w:rPr>
                  </w:pPr>
                  <w:r>
                    <w:rPr>
                      <w:color w:val="auto"/>
                      <w:spacing w:val="-3"/>
                      <w:szCs w:val="21"/>
                    </w:rPr>
                    <w:t>规范临时用地办理</w:t>
                  </w:r>
                </w:p>
              </w:tc>
              <w:tc>
                <w:tcPr>
                  <w:tcW w:w="2700" w:type="pct"/>
                  <w:noWrap w:val="0"/>
                  <w:vAlign w:val="center"/>
                </w:tcPr>
                <w:p w14:paraId="523C2387">
                  <w:pPr>
                    <w:adjustRightInd w:val="0"/>
                    <w:snapToGrid w:val="0"/>
                    <w:spacing w:line="240" w:lineRule="auto"/>
                    <w:rPr>
                      <w:color w:val="auto"/>
                      <w:spacing w:val="11"/>
                      <w:szCs w:val="21"/>
                    </w:rPr>
                  </w:pPr>
                  <w:r>
                    <w:rPr>
                      <w:color w:val="auto"/>
                      <w:spacing w:val="25"/>
                      <w:szCs w:val="21"/>
                    </w:rPr>
                    <w:t>生态保护红线内允许的有限人为活动和国家重大项目所必</w:t>
                  </w:r>
                  <w:r>
                    <w:rPr>
                      <w:color w:val="auto"/>
                      <w:spacing w:val="14"/>
                      <w:szCs w:val="21"/>
                    </w:rPr>
                    <w:t>需的临时用地，要优先避让生态保护红线，尽量</w:t>
                  </w:r>
                  <w:r>
                    <w:rPr>
                      <w:color w:val="auto"/>
                      <w:spacing w:val="13"/>
                      <w:szCs w:val="21"/>
                    </w:rPr>
                    <w:t>少占或不占生态保护红线；要尽量避让自然保护地、重要湿地、重要野生动物栖</w:t>
                  </w:r>
                  <w:r>
                    <w:rPr>
                      <w:color w:val="auto"/>
                      <w:spacing w:val="12"/>
                      <w:szCs w:val="21"/>
                    </w:rPr>
                    <w:t>息地、重点保护野生植物集中分布区及迁徙和洄游通道等重要生</w:t>
                  </w:r>
                  <w:r>
                    <w:rPr>
                      <w:color w:val="auto"/>
                      <w:spacing w:val="14"/>
                      <w:szCs w:val="21"/>
                    </w:rPr>
                    <w:t>态空间，加强生物多样性保护。如确实无法避让的，要</w:t>
                  </w:r>
                  <w:r>
                    <w:rPr>
                      <w:color w:val="auto"/>
                      <w:spacing w:val="13"/>
                      <w:szCs w:val="21"/>
                    </w:rPr>
                    <w:t>充分论证</w:t>
                  </w:r>
                  <w:r>
                    <w:rPr>
                      <w:color w:val="auto"/>
                      <w:spacing w:val="14"/>
                      <w:szCs w:val="21"/>
                    </w:rPr>
                    <w:t>其必要性和不可避让性，强化节约集约用地和逐步恢复生态功能</w:t>
                  </w:r>
                  <w:r>
                    <w:rPr>
                      <w:color w:val="auto"/>
                      <w:spacing w:val="13"/>
                      <w:szCs w:val="21"/>
                    </w:rPr>
                    <w:t>的措施，确保生态功能不降低。临时用地按照自然资源部</w:t>
                  </w:r>
                  <w:r>
                    <w:rPr>
                      <w:color w:val="auto"/>
                      <w:spacing w:val="12"/>
                      <w:szCs w:val="21"/>
                    </w:rPr>
                    <w:t>关于规</w:t>
                  </w:r>
                  <w:r>
                    <w:rPr>
                      <w:color w:val="auto"/>
                      <w:spacing w:val="14"/>
                      <w:szCs w:val="21"/>
                    </w:rPr>
                    <w:t>范临时用地管理的有关要求，参照临时占用永久基本农田规定办</w:t>
                  </w:r>
                  <w:r>
                    <w:rPr>
                      <w:color w:val="auto"/>
                      <w:spacing w:val="25"/>
                      <w:szCs w:val="21"/>
                    </w:rPr>
                    <w:t>理，由</w:t>
                  </w:r>
                  <w:r>
                    <w:rPr>
                      <w:rFonts w:hint="eastAsia"/>
                      <w:color w:val="auto"/>
                      <w:spacing w:val="25"/>
                      <w:szCs w:val="21"/>
                      <w:lang w:eastAsia="zh-CN"/>
                    </w:rPr>
                    <w:t>县（市、区）</w:t>
                  </w:r>
                  <w:r>
                    <w:rPr>
                      <w:color w:val="auto"/>
                      <w:spacing w:val="25"/>
                      <w:szCs w:val="21"/>
                    </w:rPr>
                    <w:t>人民政府组织自然资源、生态环境、</w:t>
                  </w:r>
                  <w:r>
                    <w:rPr>
                      <w:color w:val="auto"/>
                      <w:spacing w:val="24"/>
                      <w:szCs w:val="21"/>
                    </w:rPr>
                    <w:t>林草等</w:t>
                  </w:r>
                  <w:r>
                    <w:rPr>
                      <w:color w:val="auto"/>
                      <w:spacing w:val="15"/>
                      <w:szCs w:val="21"/>
                    </w:rPr>
                    <w:t>相关部门开展审查论证，并出具论证意见，与临时用地报</w:t>
                  </w:r>
                  <w:r>
                    <w:rPr>
                      <w:color w:val="auto"/>
                      <w:spacing w:val="14"/>
                      <w:szCs w:val="21"/>
                    </w:rPr>
                    <w:t>件一并</w:t>
                  </w:r>
                  <w:r>
                    <w:rPr>
                      <w:color w:val="auto"/>
                      <w:spacing w:val="26"/>
                      <w:szCs w:val="21"/>
                    </w:rPr>
                    <w:t>报州</w:t>
                  </w:r>
                  <w:r>
                    <w:rPr>
                      <w:rFonts w:hint="eastAsia"/>
                      <w:color w:val="auto"/>
                      <w:spacing w:val="26"/>
                      <w:szCs w:val="21"/>
                      <w:lang w:eastAsia="zh-CN"/>
                    </w:rPr>
                    <w:t>（</w:t>
                  </w:r>
                  <w:r>
                    <w:rPr>
                      <w:color w:val="auto"/>
                      <w:spacing w:val="26"/>
                      <w:szCs w:val="21"/>
                    </w:rPr>
                    <w:t>市</w:t>
                  </w:r>
                  <w:r>
                    <w:rPr>
                      <w:rFonts w:hint="eastAsia"/>
                      <w:color w:val="auto"/>
                      <w:spacing w:val="26"/>
                      <w:szCs w:val="21"/>
                      <w:lang w:eastAsia="zh-CN"/>
                    </w:rPr>
                    <w:t>）</w:t>
                  </w:r>
                  <w:r>
                    <w:rPr>
                      <w:color w:val="auto"/>
                      <w:spacing w:val="26"/>
                      <w:szCs w:val="21"/>
                    </w:rPr>
                    <w:t>自然资源主管部门审批，如涉及林地的，还应符合林</w:t>
                  </w:r>
                  <w:r>
                    <w:rPr>
                      <w:color w:val="auto"/>
                      <w:spacing w:val="6"/>
                      <w:szCs w:val="21"/>
                    </w:rPr>
                    <w:t>草部门的相关规定。</w:t>
                  </w:r>
                  <w:r>
                    <w:rPr>
                      <w:color w:val="auto"/>
                      <w:spacing w:val="14"/>
                      <w:szCs w:val="21"/>
                    </w:rPr>
                    <w:t>临时用地使用期间做好生态环境保护，使用结束后，应及时</w:t>
                  </w:r>
                  <w:r>
                    <w:rPr>
                      <w:color w:val="auto"/>
                      <w:spacing w:val="15"/>
                      <w:szCs w:val="21"/>
                    </w:rPr>
                    <w:t>开展生态修复，由县级生态环境、林草、自然资源等部门负</w:t>
                  </w:r>
                  <w:r>
                    <w:rPr>
                      <w:color w:val="auto"/>
                      <w:spacing w:val="14"/>
                      <w:szCs w:val="21"/>
                    </w:rPr>
                    <w:t>责做</w:t>
                  </w:r>
                  <w:r>
                    <w:rPr>
                      <w:color w:val="auto"/>
                      <w:spacing w:val="15"/>
                      <w:szCs w:val="21"/>
                    </w:rPr>
                    <w:t>好监管工作，严格督促使用单位落实生态修复责任，将对生态环</w:t>
                  </w:r>
                  <w:r>
                    <w:rPr>
                      <w:color w:val="auto"/>
                      <w:spacing w:val="6"/>
                      <w:szCs w:val="21"/>
                    </w:rPr>
                    <w:t>境的影响降至最低。</w:t>
                  </w:r>
                </w:p>
              </w:tc>
              <w:tc>
                <w:tcPr>
                  <w:tcW w:w="1319" w:type="pct"/>
                  <w:noWrap w:val="0"/>
                  <w:vAlign w:val="center"/>
                </w:tcPr>
                <w:p w14:paraId="0F8FDF48">
                  <w:pPr>
                    <w:adjustRightInd w:val="0"/>
                    <w:snapToGrid w:val="0"/>
                    <w:spacing w:line="240" w:lineRule="auto"/>
                    <w:jc w:val="center"/>
                    <w:rPr>
                      <w:color w:val="auto"/>
                      <w:szCs w:val="21"/>
                    </w:rPr>
                  </w:pPr>
                  <w:r>
                    <w:rPr>
                      <w:rFonts w:hint="default" w:ascii="Times New Roman" w:hAnsi="Times New Roman" w:cs="Times New Roman"/>
                      <w:color w:val="auto"/>
                      <w:szCs w:val="21"/>
                    </w:rPr>
                    <w:t>项目临时占地已避让生态保护红线，避让自然保护地、重要湿地、重要野生动物栖息地、重点保护野生植物集中分布区及迁徙和洄游通道等重要生态空间，通过采取生态保护措施，采取临时遮盖，施工结</w:t>
                  </w:r>
                  <w:r>
                    <w:rPr>
                      <w:rFonts w:hint="eastAsia" w:ascii="Times New Roman" w:hAnsi="Times New Roman" w:cs="Times New Roman"/>
                      <w:color w:val="auto"/>
                      <w:szCs w:val="21"/>
                      <w:lang w:eastAsia="zh-CN"/>
                    </w:rPr>
                    <w:t>束后</w:t>
                  </w:r>
                  <w:r>
                    <w:rPr>
                      <w:rFonts w:hint="default" w:ascii="Times New Roman" w:hAnsi="Times New Roman" w:cs="Times New Roman"/>
                      <w:color w:val="auto"/>
                      <w:szCs w:val="21"/>
                    </w:rPr>
                    <w:t>恢复原状，及时进行植被恢复，加强生物多样性保护；项目</w:t>
                  </w:r>
                  <w:r>
                    <w:rPr>
                      <w:rFonts w:hint="eastAsia" w:ascii="Times New Roman" w:hAnsi="Times New Roman" w:cs="Times New Roman"/>
                      <w:color w:val="auto"/>
                      <w:szCs w:val="21"/>
                      <w:lang w:val="en-US" w:eastAsia="zh-CN"/>
                    </w:rPr>
                    <w:t>正在</w:t>
                  </w:r>
                  <w:r>
                    <w:rPr>
                      <w:rFonts w:hint="default" w:ascii="Times New Roman" w:hAnsi="Times New Roman" w:cs="Times New Roman"/>
                      <w:color w:val="auto"/>
                      <w:szCs w:val="21"/>
                    </w:rPr>
                    <w:t>办理相关林地手续，合法使用林地。</w:t>
                  </w:r>
                </w:p>
              </w:tc>
              <w:tc>
                <w:tcPr>
                  <w:tcW w:w="468" w:type="pct"/>
                  <w:noWrap w:val="0"/>
                  <w:vAlign w:val="center"/>
                </w:tcPr>
                <w:p w14:paraId="0F7DA3B8">
                  <w:pPr>
                    <w:adjustRightInd w:val="0"/>
                    <w:snapToGrid w:val="0"/>
                    <w:spacing w:line="240" w:lineRule="auto"/>
                    <w:jc w:val="center"/>
                    <w:rPr>
                      <w:color w:val="auto"/>
                      <w:spacing w:val="-4"/>
                      <w:szCs w:val="21"/>
                    </w:rPr>
                  </w:pPr>
                  <w:r>
                    <w:rPr>
                      <w:rFonts w:hint="eastAsia"/>
                      <w:color w:val="auto"/>
                      <w:spacing w:val="-4"/>
                      <w:szCs w:val="21"/>
                    </w:rPr>
                    <w:t>符合</w:t>
                  </w:r>
                </w:p>
              </w:tc>
            </w:tr>
          </w:tbl>
          <w:p w14:paraId="03A503A1">
            <w:pPr>
              <w:adjustRightInd w:val="0"/>
              <w:snapToGrid w:val="0"/>
              <w:spacing w:line="440" w:lineRule="exact"/>
              <w:ind w:firstLine="480" w:firstLineChars="200"/>
              <w:rPr>
                <w:rFonts w:hint="eastAsia"/>
                <w:color w:val="auto"/>
                <w:sz w:val="24"/>
              </w:rPr>
            </w:pPr>
            <w:r>
              <w:rPr>
                <w:rFonts w:hint="eastAsia"/>
                <w:color w:val="auto"/>
                <w:sz w:val="24"/>
              </w:rPr>
              <w:t>由上表可以看出，项目属于输变电工程，不属于禁止开发性、生产性建设活动；项目</w:t>
            </w:r>
            <w:r>
              <w:rPr>
                <w:rFonts w:hint="eastAsia"/>
                <w:color w:val="auto"/>
                <w:sz w:val="24"/>
                <w:lang w:val="en-US" w:eastAsia="zh-CN"/>
              </w:rPr>
              <w:t>线路受自然条件等因素限制，线路不可避让生态保护红线，对照《有限人为活动准入目录》，属于准入类别，“输电线塔基、通讯基站等小面积零星分散建设项目用地”属于准入目录，属于“必须且无法避让、符合县级以上国土空间规划的线性基础设施”。</w:t>
            </w:r>
            <w:r>
              <w:rPr>
                <w:rFonts w:hint="eastAsia"/>
                <w:color w:val="auto"/>
                <w:sz w:val="24"/>
              </w:rPr>
              <w:t>因此，项目建设符合云南省自然资源厅 云南省生态环境厅 云南省林业和草原局发布《关于加强生态保护红线管理的通知（试行）》（云自然资〔2023〕98号）的相关要求。</w:t>
            </w:r>
          </w:p>
          <w:p w14:paraId="3FE39AC1">
            <w:pPr>
              <w:autoSpaceDE w:val="0"/>
              <w:autoSpaceDN w:val="0"/>
              <w:adjustRightInd w:val="0"/>
              <w:snapToGrid w:val="0"/>
              <w:spacing w:line="440" w:lineRule="exact"/>
              <w:ind w:firstLine="438" w:firstLineChars="200"/>
              <w:rPr>
                <w:b/>
                <w:color w:val="auto"/>
                <w:sz w:val="24"/>
              </w:rPr>
            </w:pPr>
            <w:r>
              <w:rPr>
                <w:rFonts w:hint="eastAsia"/>
                <w:b/>
                <w:color w:val="auto"/>
                <w:spacing w:val="-11"/>
                <w:kern w:val="0"/>
                <w:sz w:val="24"/>
                <w:szCs w:val="20"/>
                <w:lang w:val="en-US" w:eastAsia="zh-CN"/>
              </w:rPr>
              <w:t>9</w:t>
            </w:r>
            <w:r>
              <w:rPr>
                <w:b/>
                <w:color w:val="auto"/>
                <w:spacing w:val="-11"/>
                <w:kern w:val="0"/>
                <w:sz w:val="24"/>
                <w:szCs w:val="20"/>
              </w:rPr>
              <w:t>、</w:t>
            </w:r>
            <w:r>
              <w:rPr>
                <w:b/>
                <w:color w:val="auto"/>
                <w:sz w:val="24"/>
              </w:rPr>
              <w:t>与《长江经济带发展负面清单指南（试行，2022年版）》（长江办〔2022〕7号）的通知符合性分析</w:t>
            </w:r>
          </w:p>
          <w:p w14:paraId="2BC4EEBE">
            <w:pPr>
              <w:adjustRightInd w:val="0"/>
              <w:snapToGrid w:val="0"/>
              <w:spacing w:line="440" w:lineRule="exact"/>
              <w:ind w:firstLine="480" w:firstLineChars="200"/>
              <w:rPr>
                <w:bCs/>
                <w:color w:val="auto"/>
                <w:kern w:val="0"/>
                <w:sz w:val="24"/>
                <w:szCs w:val="20"/>
              </w:rPr>
            </w:pPr>
            <w:r>
              <w:rPr>
                <w:bCs/>
                <w:color w:val="auto"/>
                <w:sz w:val="24"/>
              </w:rPr>
              <w:t>推动</w:t>
            </w:r>
            <w:r>
              <w:rPr>
                <w:rFonts w:hint="eastAsia"/>
                <w:bCs/>
                <w:color w:val="auto"/>
                <w:sz w:val="24"/>
                <w:lang w:eastAsia="zh-CN"/>
              </w:rPr>
              <w:t>长江经济带发展</w:t>
            </w:r>
            <w:r>
              <w:rPr>
                <w:bCs/>
                <w:color w:val="auto"/>
                <w:sz w:val="24"/>
              </w:rPr>
              <w:t>领导小组办公室于2022年1月19日关于印发《长江经济带发展负面清单指南（试行，2022年版）》的通知，</w:t>
            </w:r>
            <w:r>
              <w:rPr>
                <w:bCs/>
                <w:color w:val="auto"/>
                <w:kern w:val="0"/>
                <w:sz w:val="24"/>
                <w:szCs w:val="20"/>
              </w:rPr>
              <w:t>通过该负面清单与本项目的对比，确定本项目符合该“负面清单”的相关要求。</w:t>
            </w:r>
          </w:p>
          <w:p w14:paraId="441AB8CB">
            <w:pPr>
              <w:spacing w:line="240" w:lineRule="auto"/>
              <w:jc w:val="center"/>
              <w:rPr>
                <w:b/>
                <w:color w:val="auto"/>
                <w:sz w:val="24"/>
              </w:rPr>
            </w:pPr>
            <w:r>
              <w:rPr>
                <w:b/>
                <w:color w:val="auto"/>
                <w:sz w:val="24"/>
              </w:rPr>
              <w:t>表1-</w:t>
            </w:r>
            <w:r>
              <w:rPr>
                <w:rFonts w:hint="eastAsia"/>
                <w:b/>
                <w:color w:val="auto"/>
                <w:sz w:val="24"/>
                <w:lang w:val="en-US" w:eastAsia="zh-CN"/>
              </w:rPr>
              <w:t>9</w:t>
            </w:r>
            <w:r>
              <w:rPr>
                <w:b/>
                <w:color w:val="auto"/>
                <w:sz w:val="24"/>
              </w:rPr>
              <w:t xml:space="preserve">  项目与长江办〔2022〕7号的符合对照表</w:t>
            </w:r>
          </w:p>
          <w:tbl>
            <w:tblPr>
              <w:tblStyle w:val="30"/>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0"/>
              <w:gridCol w:w="3839"/>
              <w:gridCol w:w="1951"/>
              <w:gridCol w:w="659"/>
            </w:tblGrid>
            <w:tr w14:paraId="370EED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292" w:type="pct"/>
                  <w:noWrap w:val="0"/>
                  <w:vAlign w:val="center"/>
                </w:tcPr>
                <w:p w14:paraId="1ED6B386">
                  <w:pPr>
                    <w:adjustRightInd w:val="0"/>
                    <w:snapToGrid w:val="0"/>
                    <w:spacing w:line="240" w:lineRule="auto"/>
                    <w:jc w:val="center"/>
                    <w:rPr>
                      <w:color w:val="auto"/>
                      <w:szCs w:val="21"/>
                    </w:rPr>
                  </w:pPr>
                  <w:r>
                    <w:rPr>
                      <w:color w:val="auto"/>
                      <w:szCs w:val="21"/>
                    </w:rPr>
                    <w:t>序号</w:t>
                  </w:r>
                </w:p>
              </w:tc>
              <w:tc>
                <w:tcPr>
                  <w:tcW w:w="2802" w:type="pct"/>
                  <w:noWrap w:val="0"/>
                  <w:vAlign w:val="center"/>
                </w:tcPr>
                <w:p w14:paraId="6B485A81">
                  <w:pPr>
                    <w:adjustRightInd w:val="0"/>
                    <w:snapToGrid w:val="0"/>
                    <w:spacing w:line="240" w:lineRule="auto"/>
                    <w:jc w:val="center"/>
                    <w:rPr>
                      <w:color w:val="auto"/>
                      <w:szCs w:val="21"/>
                    </w:rPr>
                  </w:pPr>
                  <w:r>
                    <w:rPr>
                      <w:color w:val="auto"/>
                      <w:szCs w:val="21"/>
                    </w:rPr>
                    <w:t>负面清单</w:t>
                  </w:r>
                </w:p>
              </w:tc>
              <w:tc>
                <w:tcPr>
                  <w:tcW w:w="1424" w:type="pct"/>
                  <w:noWrap w:val="0"/>
                  <w:vAlign w:val="center"/>
                </w:tcPr>
                <w:p w14:paraId="12EFBFBB">
                  <w:pPr>
                    <w:adjustRightInd w:val="0"/>
                    <w:snapToGrid w:val="0"/>
                    <w:spacing w:line="240" w:lineRule="auto"/>
                    <w:jc w:val="center"/>
                    <w:rPr>
                      <w:color w:val="auto"/>
                      <w:szCs w:val="21"/>
                    </w:rPr>
                  </w:pPr>
                  <w:r>
                    <w:rPr>
                      <w:color w:val="auto"/>
                      <w:szCs w:val="21"/>
                    </w:rPr>
                    <w:t>项目情况</w:t>
                  </w:r>
                </w:p>
              </w:tc>
              <w:tc>
                <w:tcPr>
                  <w:tcW w:w="480" w:type="pct"/>
                  <w:noWrap w:val="0"/>
                  <w:vAlign w:val="center"/>
                </w:tcPr>
                <w:p w14:paraId="259D043C">
                  <w:pPr>
                    <w:adjustRightInd w:val="0"/>
                    <w:snapToGrid w:val="0"/>
                    <w:spacing w:line="240" w:lineRule="auto"/>
                    <w:jc w:val="center"/>
                    <w:rPr>
                      <w:color w:val="auto"/>
                      <w:szCs w:val="21"/>
                    </w:rPr>
                  </w:pPr>
                  <w:r>
                    <w:rPr>
                      <w:color w:val="auto"/>
                      <w:szCs w:val="21"/>
                    </w:rPr>
                    <w:t>符合性</w:t>
                  </w:r>
                </w:p>
              </w:tc>
            </w:tr>
            <w:tr w14:paraId="34C8E1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92" w:type="pct"/>
                  <w:noWrap w:val="0"/>
                  <w:vAlign w:val="center"/>
                </w:tcPr>
                <w:p w14:paraId="43C104A0">
                  <w:pPr>
                    <w:adjustRightInd w:val="0"/>
                    <w:snapToGrid w:val="0"/>
                    <w:spacing w:line="240" w:lineRule="auto"/>
                    <w:jc w:val="center"/>
                    <w:rPr>
                      <w:color w:val="auto"/>
                      <w:szCs w:val="21"/>
                    </w:rPr>
                  </w:pPr>
                  <w:r>
                    <w:rPr>
                      <w:color w:val="auto"/>
                      <w:szCs w:val="21"/>
                    </w:rPr>
                    <w:t>1</w:t>
                  </w:r>
                </w:p>
              </w:tc>
              <w:tc>
                <w:tcPr>
                  <w:tcW w:w="2802" w:type="pct"/>
                  <w:noWrap w:val="0"/>
                  <w:vAlign w:val="center"/>
                </w:tcPr>
                <w:p w14:paraId="38AECC56">
                  <w:pPr>
                    <w:adjustRightInd w:val="0"/>
                    <w:snapToGrid w:val="0"/>
                    <w:spacing w:line="240" w:lineRule="auto"/>
                    <w:jc w:val="center"/>
                    <w:rPr>
                      <w:color w:val="auto"/>
                      <w:szCs w:val="21"/>
                    </w:rPr>
                  </w:pPr>
                  <w:r>
                    <w:rPr>
                      <w:color w:val="auto"/>
                      <w:szCs w:val="21"/>
                    </w:rPr>
                    <w:t>禁止建设不符合全国和省级港口布局规划以及港口总体规划的码头项目，禁止建设不符合《长江干线过江通道布局规划》的过长江通道项目。</w:t>
                  </w:r>
                </w:p>
              </w:tc>
              <w:tc>
                <w:tcPr>
                  <w:tcW w:w="1424" w:type="pct"/>
                  <w:noWrap w:val="0"/>
                  <w:vAlign w:val="center"/>
                </w:tcPr>
                <w:p w14:paraId="48678356">
                  <w:pPr>
                    <w:adjustRightInd w:val="0"/>
                    <w:snapToGrid w:val="0"/>
                    <w:spacing w:line="240" w:lineRule="auto"/>
                    <w:jc w:val="center"/>
                    <w:rPr>
                      <w:color w:val="auto"/>
                      <w:szCs w:val="21"/>
                    </w:rPr>
                  </w:pPr>
                  <w:r>
                    <w:rPr>
                      <w:color w:val="auto"/>
                      <w:szCs w:val="21"/>
                    </w:rPr>
                    <w:t>项目属于输变电工程，不属于禁止港口码头项目</w:t>
                  </w:r>
                </w:p>
              </w:tc>
              <w:tc>
                <w:tcPr>
                  <w:tcW w:w="480" w:type="pct"/>
                  <w:noWrap w:val="0"/>
                  <w:vAlign w:val="center"/>
                </w:tcPr>
                <w:p w14:paraId="06BE85B4">
                  <w:pPr>
                    <w:adjustRightInd w:val="0"/>
                    <w:snapToGrid w:val="0"/>
                    <w:spacing w:line="240" w:lineRule="auto"/>
                    <w:jc w:val="center"/>
                    <w:rPr>
                      <w:color w:val="auto"/>
                      <w:szCs w:val="21"/>
                    </w:rPr>
                  </w:pPr>
                  <w:r>
                    <w:rPr>
                      <w:color w:val="auto"/>
                      <w:szCs w:val="21"/>
                    </w:rPr>
                    <w:t>符合</w:t>
                  </w:r>
                </w:p>
              </w:tc>
            </w:tr>
            <w:tr w14:paraId="279A03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92" w:type="pct"/>
                  <w:noWrap w:val="0"/>
                  <w:vAlign w:val="center"/>
                </w:tcPr>
                <w:p w14:paraId="7CC3F8FC">
                  <w:pPr>
                    <w:adjustRightInd w:val="0"/>
                    <w:snapToGrid w:val="0"/>
                    <w:spacing w:line="240" w:lineRule="auto"/>
                    <w:jc w:val="center"/>
                    <w:rPr>
                      <w:color w:val="auto"/>
                      <w:szCs w:val="21"/>
                    </w:rPr>
                  </w:pPr>
                  <w:r>
                    <w:rPr>
                      <w:color w:val="auto"/>
                      <w:szCs w:val="21"/>
                    </w:rPr>
                    <w:t>2</w:t>
                  </w:r>
                </w:p>
              </w:tc>
              <w:tc>
                <w:tcPr>
                  <w:tcW w:w="2802" w:type="pct"/>
                  <w:noWrap w:val="0"/>
                  <w:vAlign w:val="center"/>
                </w:tcPr>
                <w:p w14:paraId="3E7CF88C">
                  <w:pPr>
                    <w:adjustRightInd w:val="0"/>
                    <w:snapToGrid w:val="0"/>
                    <w:spacing w:line="240" w:lineRule="auto"/>
                    <w:jc w:val="center"/>
                    <w:rPr>
                      <w:color w:val="auto"/>
                      <w:szCs w:val="21"/>
                    </w:rPr>
                  </w:pPr>
                  <w:r>
                    <w:rPr>
                      <w:color w:val="auto"/>
                      <w:szCs w:val="21"/>
                    </w:rPr>
                    <w:t>禁止在自然保护区核心区、缓冲区的岸线和河段范围内投资建设旅游和生产经营项目。禁止在风景名胜区核心景区的岸线和河段范围内投资建设与风景名胜资源保护无关的项目。</w:t>
                  </w:r>
                </w:p>
              </w:tc>
              <w:tc>
                <w:tcPr>
                  <w:tcW w:w="1424" w:type="pct"/>
                  <w:noWrap w:val="0"/>
                  <w:vAlign w:val="center"/>
                </w:tcPr>
                <w:p w14:paraId="3E3FFECD">
                  <w:pPr>
                    <w:adjustRightInd w:val="0"/>
                    <w:snapToGrid w:val="0"/>
                    <w:spacing w:line="240" w:lineRule="auto"/>
                    <w:jc w:val="center"/>
                    <w:rPr>
                      <w:color w:val="auto"/>
                      <w:szCs w:val="21"/>
                    </w:rPr>
                  </w:pPr>
                  <w:r>
                    <w:rPr>
                      <w:color w:val="auto"/>
                      <w:szCs w:val="21"/>
                    </w:rPr>
                    <w:t>项目不涉及自然保护区、风景名胜区</w:t>
                  </w:r>
                </w:p>
              </w:tc>
              <w:tc>
                <w:tcPr>
                  <w:tcW w:w="480" w:type="pct"/>
                  <w:noWrap w:val="0"/>
                  <w:vAlign w:val="center"/>
                </w:tcPr>
                <w:p w14:paraId="64E36E2E">
                  <w:pPr>
                    <w:adjustRightInd w:val="0"/>
                    <w:snapToGrid w:val="0"/>
                    <w:spacing w:line="240" w:lineRule="auto"/>
                    <w:jc w:val="center"/>
                    <w:rPr>
                      <w:color w:val="auto"/>
                      <w:szCs w:val="21"/>
                    </w:rPr>
                  </w:pPr>
                  <w:r>
                    <w:rPr>
                      <w:color w:val="auto"/>
                      <w:szCs w:val="21"/>
                    </w:rPr>
                    <w:t>符合</w:t>
                  </w:r>
                </w:p>
              </w:tc>
            </w:tr>
            <w:tr w14:paraId="634C83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92" w:type="pct"/>
                  <w:noWrap w:val="0"/>
                  <w:vAlign w:val="center"/>
                </w:tcPr>
                <w:p w14:paraId="51ADDFC4">
                  <w:pPr>
                    <w:adjustRightInd w:val="0"/>
                    <w:snapToGrid w:val="0"/>
                    <w:spacing w:line="240" w:lineRule="auto"/>
                    <w:jc w:val="center"/>
                    <w:rPr>
                      <w:color w:val="auto"/>
                      <w:szCs w:val="21"/>
                    </w:rPr>
                  </w:pPr>
                  <w:r>
                    <w:rPr>
                      <w:color w:val="auto"/>
                      <w:szCs w:val="21"/>
                    </w:rPr>
                    <w:t>3</w:t>
                  </w:r>
                </w:p>
              </w:tc>
              <w:tc>
                <w:tcPr>
                  <w:tcW w:w="2802" w:type="pct"/>
                  <w:noWrap w:val="0"/>
                  <w:vAlign w:val="center"/>
                </w:tcPr>
                <w:p w14:paraId="00F031ED">
                  <w:pPr>
                    <w:adjustRightInd w:val="0"/>
                    <w:snapToGrid w:val="0"/>
                    <w:spacing w:line="240" w:lineRule="auto"/>
                    <w:jc w:val="center"/>
                    <w:rPr>
                      <w:color w:val="auto"/>
                      <w:szCs w:val="21"/>
                    </w:rPr>
                  </w:pPr>
                  <w:r>
                    <w:rPr>
                      <w:color w:val="auto"/>
                      <w:szCs w:val="21"/>
                    </w:rPr>
                    <w:t>禁止在饮用水水源一级保护区的岸线和河段范围内新建、改建、扩建与供水设施和保护水源无关的项目，以及网箱养殖、畜禽养殖、旅游等可能污染饮用水水体的投资建设项目。禁止在饮用水水源二级保护区的岸线和河段范围内新建、改建、扩建排放污染物的投资建设项目。</w:t>
                  </w:r>
                </w:p>
              </w:tc>
              <w:tc>
                <w:tcPr>
                  <w:tcW w:w="1424" w:type="pct"/>
                  <w:noWrap w:val="0"/>
                  <w:vAlign w:val="center"/>
                </w:tcPr>
                <w:p w14:paraId="522E9EB1">
                  <w:pPr>
                    <w:adjustRightInd w:val="0"/>
                    <w:snapToGrid w:val="0"/>
                    <w:spacing w:line="240" w:lineRule="auto"/>
                    <w:jc w:val="center"/>
                    <w:rPr>
                      <w:color w:val="auto"/>
                      <w:szCs w:val="21"/>
                    </w:rPr>
                  </w:pPr>
                  <w:r>
                    <w:rPr>
                      <w:rFonts w:hint="default" w:ascii="Times New Roman" w:hAnsi="Times New Roman" w:cs="Times New Roman"/>
                      <w:color w:val="auto"/>
                      <w:szCs w:val="21"/>
                    </w:rPr>
                    <w:t>项目占地不在饮用水水源地一级保护区的岸线和河段范围内和二级保护区的岸线和河段</w:t>
                  </w:r>
                </w:p>
              </w:tc>
              <w:tc>
                <w:tcPr>
                  <w:tcW w:w="480" w:type="pct"/>
                  <w:noWrap w:val="0"/>
                  <w:vAlign w:val="center"/>
                </w:tcPr>
                <w:p w14:paraId="7D0C8A5D">
                  <w:pPr>
                    <w:adjustRightInd w:val="0"/>
                    <w:snapToGrid w:val="0"/>
                    <w:spacing w:line="240" w:lineRule="auto"/>
                    <w:jc w:val="center"/>
                    <w:rPr>
                      <w:color w:val="auto"/>
                      <w:szCs w:val="21"/>
                    </w:rPr>
                  </w:pPr>
                  <w:r>
                    <w:rPr>
                      <w:color w:val="auto"/>
                      <w:szCs w:val="21"/>
                    </w:rPr>
                    <w:t>符合</w:t>
                  </w:r>
                </w:p>
              </w:tc>
            </w:tr>
            <w:tr w14:paraId="22120C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92" w:type="pct"/>
                  <w:noWrap w:val="0"/>
                  <w:vAlign w:val="center"/>
                </w:tcPr>
                <w:p w14:paraId="145DCD0D">
                  <w:pPr>
                    <w:adjustRightInd w:val="0"/>
                    <w:snapToGrid w:val="0"/>
                    <w:spacing w:line="240" w:lineRule="auto"/>
                    <w:jc w:val="center"/>
                    <w:rPr>
                      <w:color w:val="auto"/>
                      <w:szCs w:val="21"/>
                    </w:rPr>
                  </w:pPr>
                  <w:r>
                    <w:rPr>
                      <w:color w:val="auto"/>
                      <w:szCs w:val="21"/>
                    </w:rPr>
                    <w:t>4</w:t>
                  </w:r>
                </w:p>
              </w:tc>
              <w:tc>
                <w:tcPr>
                  <w:tcW w:w="2802" w:type="pct"/>
                  <w:noWrap w:val="0"/>
                  <w:vAlign w:val="center"/>
                </w:tcPr>
                <w:p w14:paraId="6E0FB674">
                  <w:pPr>
                    <w:adjustRightInd w:val="0"/>
                    <w:snapToGrid w:val="0"/>
                    <w:spacing w:line="240" w:lineRule="auto"/>
                    <w:jc w:val="center"/>
                    <w:rPr>
                      <w:color w:val="auto"/>
                      <w:szCs w:val="21"/>
                    </w:rPr>
                  </w:pPr>
                  <w:r>
                    <w:rPr>
                      <w:color w:val="auto"/>
                      <w:szCs w:val="21"/>
                    </w:rPr>
                    <w:t>禁止在水产种质资源保护区的岸线和河段范围内新建围湖造田、围海造地或围填海等投资建设项目。禁止在国家湿地公园的岸线和河段范围内挖沙、采矿，以及任何不符合主体功能定位的投资建设项目。</w:t>
                  </w:r>
                </w:p>
              </w:tc>
              <w:tc>
                <w:tcPr>
                  <w:tcW w:w="1424" w:type="pct"/>
                  <w:noWrap w:val="0"/>
                  <w:vAlign w:val="center"/>
                </w:tcPr>
                <w:p w14:paraId="77FF0547">
                  <w:pPr>
                    <w:adjustRightInd w:val="0"/>
                    <w:snapToGrid w:val="0"/>
                    <w:spacing w:line="240" w:lineRule="auto"/>
                    <w:jc w:val="center"/>
                    <w:rPr>
                      <w:color w:val="auto"/>
                      <w:szCs w:val="21"/>
                    </w:rPr>
                  </w:pPr>
                  <w:r>
                    <w:rPr>
                      <w:rFonts w:hint="default" w:ascii="Times New Roman" w:hAnsi="Times New Roman" w:cs="Times New Roman"/>
                      <w:color w:val="auto"/>
                      <w:szCs w:val="21"/>
                    </w:rPr>
                    <w:t>项目不涉及水产种质资源保护区、国家湿地公园，项目符合《云南省主体功能区规划》定位</w:t>
                  </w:r>
                </w:p>
              </w:tc>
              <w:tc>
                <w:tcPr>
                  <w:tcW w:w="480" w:type="pct"/>
                  <w:noWrap w:val="0"/>
                  <w:vAlign w:val="center"/>
                </w:tcPr>
                <w:p w14:paraId="00FE4EC7">
                  <w:pPr>
                    <w:adjustRightInd w:val="0"/>
                    <w:snapToGrid w:val="0"/>
                    <w:spacing w:line="240" w:lineRule="auto"/>
                    <w:jc w:val="center"/>
                    <w:rPr>
                      <w:color w:val="auto"/>
                      <w:szCs w:val="21"/>
                    </w:rPr>
                  </w:pPr>
                  <w:r>
                    <w:rPr>
                      <w:color w:val="auto"/>
                      <w:szCs w:val="21"/>
                    </w:rPr>
                    <w:t>符合</w:t>
                  </w:r>
                </w:p>
              </w:tc>
            </w:tr>
            <w:tr w14:paraId="55EDC9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92" w:type="pct"/>
                  <w:noWrap w:val="0"/>
                  <w:vAlign w:val="center"/>
                </w:tcPr>
                <w:p w14:paraId="1582F01E">
                  <w:pPr>
                    <w:adjustRightInd w:val="0"/>
                    <w:snapToGrid w:val="0"/>
                    <w:spacing w:line="240" w:lineRule="auto"/>
                    <w:jc w:val="center"/>
                    <w:rPr>
                      <w:color w:val="auto"/>
                      <w:szCs w:val="21"/>
                    </w:rPr>
                  </w:pPr>
                  <w:r>
                    <w:rPr>
                      <w:color w:val="auto"/>
                      <w:szCs w:val="21"/>
                    </w:rPr>
                    <w:t>5</w:t>
                  </w:r>
                </w:p>
              </w:tc>
              <w:tc>
                <w:tcPr>
                  <w:tcW w:w="2802" w:type="pct"/>
                  <w:noWrap w:val="0"/>
                  <w:vAlign w:val="center"/>
                </w:tcPr>
                <w:p w14:paraId="4B3E9A7C">
                  <w:pPr>
                    <w:adjustRightInd w:val="0"/>
                    <w:snapToGrid w:val="0"/>
                    <w:spacing w:line="240" w:lineRule="auto"/>
                    <w:jc w:val="center"/>
                    <w:rPr>
                      <w:color w:val="auto"/>
                      <w:szCs w:val="21"/>
                    </w:rPr>
                  </w:pPr>
                  <w:r>
                    <w:rPr>
                      <w:color w:val="auto"/>
                      <w:szCs w:val="21"/>
                    </w:rPr>
                    <w:t>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禁止在《全国重要江河湖泊水功能区划》划定的河段及湖泊保护区、保留区内投资建设不利于水资源及自然生态保护的项目。</w:t>
                  </w:r>
                </w:p>
              </w:tc>
              <w:tc>
                <w:tcPr>
                  <w:tcW w:w="1424" w:type="pct"/>
                  <w:noWrap w:val="0"/>
                  <w:vAlign w:val="center"/>
                </w:tcPr>
                <w:p w14:paraId="51DBBA17">
                  <w:pPr>
                    <w:adjustRightInd w:val="0"/>
                    <w:snapToGrid w:val="0"/>
                    <w:spacing w:line="240" w:lineRule="auto"/>
                    <w:jc w:val="center"/>
                    <w:rPr>
                      <w:rFonts w:hint="default" w:eastAsia="宋体"/>
                      <w:color w:val="auto"/>
                      <w:szCs w:val="21"/>
                      <w:lang w:val="en-US" w:eastAsia="zh-CN"/>
                    </w:rPr>
                  </w:pPr>
                  <w:r>
                    <w:rPr>
                      <w:color w:val="auto"/>
                      <w:szCs w:val="21"/>
                    </w:rPr>
                    <w:t>项目不涉及利用、占用长江流域河湖岸线</w:t>
                  </w:r>
                  <w:r>
                    <w:rPr>
                      <w:rFonts w:hint="eastAsia"/>
                      <w:color w:val="auto"/>
                      <w:szCs w:val="21"/>
                      <w:lang w:eastAsia="zh-CN"/>
                    </w:rPr>
                    <w:t>；</w:t>
                  </w:r>
                  <w:r>
                    <w:rPr>
                      <w:rFonts w:hint="eastAsia"/>
                      <w:color w:val="auto"/>
                      <w:szCs w:val="21"/>
                      <w:lang w:val="en-US" w:eastAsia="zh-CN"/>
                    </w:rPr>
                    <w:t>项目不涉及划定的岸线保护区和保留区；也不涉及划定的河段及湖泊保护区、保留区</w:t>
                  </w:r>
                </w:p>
              </w:tc>
              <w:tc>
                <w:tcPr>
                  <w:tcW w:w="480" w:type="pct"/>
                  <w:noWrap w:val="0"/>
                  <w:vAlign w:val="center"/>
                </w:tcPr>
                <w:p w14:paraId="3D60AAE4">
                  <w:pPr>
                    <w:adjustRightInd w:val="0"/>
                    <w:snapToGrid w:val="0"/>
                    <w:spacing w:line="240" w:lineRule="auto"/>
                    <w:jc w:val="center"/>
                    <w:rPr>
                      <w:color w:val="auto"/>
                      <w:szCs w:val="21"/>
                    </w:rPr>
                  </w:pPr>
                  <w:r>
                    <w:rPr>
                      <w:color w:val="auto"/>
                      <w:szCs w:val="21"/>
                    </w:rPr>
                    <w:t>符合</w:t>
                  </w:r>
                </w:p>
              </w:tc>
            </w:tr>
            <w:tr w14:paraId="2FD90D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92" w:type="pct"/>
                  <w:noWrap w:val="0"/>
                  <w:vAlign w:val="center"/>
                </w:tcPr>
                <w:p w14:paraId="0AD40F32">
                  <w:pPr>
                    <w:adjustRightInd w:val="0"/>
                    <w:snapToGrid w:val="0"/>
                    <w:spacing w:line="240" w:lineRule="auto"/>
                    <w:jc w:val="center"/>
                    <w:rPr>
                      <w:color w:val="auto"/>
                      <w:szCs w:val="21"/>
                    </w:rPr>
                  </w:pPr>
                  <w:r>
                    <w:rPr>
                      <w:color w:val="auto"/>
                      <w:szCs w:val="21"/>
                    </w:rPr>
                    <w:t>6</w:t>
                  </w:r>
                </w:p>
              </w:tc>
              <w:tc>
                <w:tcPr>
                  <w:tcW w:w="2802" w:type="pct"/>
                  <w:noWrap w:val="0"/>
                  <w:vAlign w:val="center"/>
                </w:tcPr>
                <w:p w14:paraId="40CC7ADA">
                  <w:pPr>
                    <w:adjustRightInd w:val="0"/>
                    <w:snapToGrid w:val="0"/>
                    <w:spacing w:line="240" w:lineRule="auto"/>
                    <w:jc w:val="center"/>
                    <w:rPr>
                      <w:color w:val="auto"/>
                      <w:szCs w:val="21"/>
                    </w:rPr>
                  </w:pPr>
                  <w:r>
                    <w:rPr>
                      <w:color w:val="auto"/>
                      <w:szCs w:val="21"/>
                    </w:rPr>
                    <w:t>禁止未经许可在长江干支流及湖泊新设、改设或扩大排污口。</w:t>
                  </w:r>
                </w:p>
              </w:tc>
              <w:tc>
                <w:tcPr>
                  <w:tcW w:w="1424" w:type="pct"/>
                  <w:noWrap w:val="0"/>
                  <w:vAlign w:val="center"/>
                </w:tcPr>
                <w:p w14:paraId="46AD477D">
                  <w:pPr>
                    <w:adjustRightInd w:val="0"/>
                    <w:snapToGrid w:val="0"/>
                    <w:spacing w:line="240" w:lineRule="auto"/>
                    <w:jc w:val="center"/>
                    <w:rPr>
                      <w:color w:val="auto"/>
                      <w:szCs w:val="21"/>
                    </w:rPr>
                  </w:pPr>
                  <w:r>
                    <w:rPr>
                      <w:color w:val="auto"/>
                      <w:szCs w:val="21"/>
                    </w:rPr>
                    <w:t>不涉及</w:t>
                  </w:r>
                </w:p>
              </w:tc>
              <w:tc>
                <w:tcPr>
                  <w:tcW w:w="480" w:type="pct"/>
                  <w:noWrap w:val="0"/>
                  <w:vAlign w:val="center"/>
                </w:tcPr>
                <w:p w14:paraId="1B76AD5A">
                  <w:pPr>
                    <w:adjustRightInd w:val="0"/>
                    <w:snapToGrid w:val="0"/>
                    <w:spacing w:line="240" w:lineRule="auto"/>
                    <w:jc w:val="center"/>
                    <w:rPr>
                      <w:color w:val="auto"/>
                      <w:szCs w:val="21"/>
                    </w:rPr>
                  </w:pPr>
                  <w:r>
                    <w:rPr>
                      <w:color w:val="auto"/>
                      <w:szCs w:val="21"/>
                    </w:rPr>
                    <w:t>符合</w:t>
                  </w:r>
                </w:p>
              </w:tc>
            </w:tr>
            <w:tr w14:paraId="643E69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92" w:type="pct"/>
                  <w:noWrap w:val="0"/>
                  <w:vAlign w:val="center"/>
                </w:tcPr>
                <w:p w14:paraId="0F6354C3">
                  <w:pPr>
                    <w:adjustRightInd w:val="0"/>
                    <w:snapToGrid w:val="0"/>
                    <w:spacing w:line="240" w:lineRule="auto"/>
                    <w:jc w:val="center"/>
                    <w:rPr>
                      <w:color w:val="auto"/>
                      <w:szCs w:val="21"/>
                    </w:rPr>
                  </w:pPr>
                  <w:r>
                    <w:rPr>
                      <w:color w:val="auto"/>
                      <w:szCs w:val="21"/>
                    </w:rPr>
                    <w:t>7</w:t>
                  </w:r>
                </w:p>
              </w:tc>
              <w:tc>
                <w:tcPr>
                  <w:tcW w:w="2802" w:type="pct"/>
                  <w:noWrap w:val="0"/>
                  <w:vAlign w:val="center"/>
                </w:tcPr>
                <w:p w14:paraId="36C2B6B7">
                  <w:pPr>
                    <w:adjustRightInd w:val="0"/>
                    <w:snapToGrid w:val="0"/>
                    <w:spacing w:line="240" w:lineRule="auto"/>
                    <w:jc w:val="center"/>
                    <w:rPr>
                      <w:color w:val="auto"/>
                      <w:szCs w:val="21"/>
                    </w:rPr>
                  </w:pPr>
                  <w:r>
                    <w:rPr>
                      <w:color w:val="auto"/>
                      <w:szCs w:val="21"/>
                    </w:rPr>
                    <w:t>禁止在“一江一口两湖七河”和332个水生生物保护区开展生产性捕捞。</w:t>
                  </w:r>
                </w:p>
              </w:tc>
              <w:tc>
                <w:tcPr>
                  <w:tcW w:w="1424" w:type="pct"/>
                  <w:noWrap w:val="0"/>
                  <w:vAlign w:val="center"/>
                </w:tcPr>
                <w:p w14:paraId="781DB614">
                  <w:pPr>
                    <w:adjustRightInd w:val="0"/>
                    <w:snapToGrid w:val="0"/>
                    <w:spacing w:line="240" w:lineRule="auto"/>
                    <w:jc w:val="center"/>
                    <w:rPr>
                      <w:color w:val="auto"/>
                      <w:szCs w:val="21"/>
                    </w:rPr>
                  </w:pPr>
                  <w:r>
                    <w:rPr>
                      <w:color w:val="auto"/>
                      <w:szCs w:val="21"/>
                    </w:rPr>
                    <w:t>不涉及</w:t>
                  </w:r>
                </w:p>
              </w:tc>
              <w:tc>
                <w:tcPr>
                  <w:tcW w:w="480" w:type="pct"/>
                  <w:noWrap w:val="0"/>
                  <w:vAlign w:val="center"/>
                </w:tcPr>
                <w:p w14:paraId="69A6DD15">
                  <w:pPr>
                    <w:adjustRightInd w:val="0"/>
                    <w:snapToGrid w:val="0"/>
                    <w:spacing w:line="240" w:lineRule="auto"/>
                    <w:jc w:val="center"/>
                    <w:rPr>
                      <w:color w:val="auto"/>
                      <w:szCs w:val="21"/>
                    </w:rPr>
                  </w:pPr>
                  <w:r>
                    <w:rPr>
                      <w:color w:val="auto"/>
                      <w:szCs w:val="21"/>
                    </w:rPr>
                    <w:t>符合</w:t>
                  </w:r>
                </w:p>
              </w:tc>
            </w:tr>
            <w:tr w14:paraId="73113F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92" w:type="pct"/>
                  <w:noWrap w:val="0"/>
                  <w:vAlign w:val="center"/>
                </w:tcPr>
                <w:p w14:paraId="78C327DC">
                  <w:pPr>
                    <w:adjustRightInd w:val="0"/>
                    <w:snapToGrid w:val="0"/>
                    <w:spacing w:line="240" w:lineRule="auto"/>
                    <w:jc w:val="center"/>
                    <w:rPr>
                      <w:color w:val="auto"/>
                      <w:szCs w:val="21"/>
                    </w:rPr>
                  </w:pPr>
                  <w:r>
                    <w:rPr>
                      <w:color w:val="auto"/>
                      <w:szCs w:val="21"/>
                    </w:rPr>
                    <w:t>8</w:t>
                  </w:r>
                </w:p>
              </w:tc>
              <w:tc>
                <w:tcPr>
                  <w:tcW w:w="2802" w:type="pct"/>
                  <w:noWrap w:val="0"/>
                  <w:vAlign w:val="center"/>
                </w:tcPr>
                <w:p w14:paraId="111329F4">
                  <w:pPr>
                    <w:adjustRightInd w:val="0"/>
                    <w:snapToGrid w:val="0"/>
                    <w:spacing w:line="240" w:lineRule="auto"/>
                    <w:jc w:val="center"/>
                    <w:rPr>
                      <w:color w:val="auto"/>
                      <w:szCs w:val="21"/>
                    </w:rPr>
                  </w:pPr>
                  <w:r>
                    <w:rPr>
                      <w:color w:val="auto"/>
                      <w:szCs w:val="21"/>
                    </w:rPr>
                    <w:t>禁止在长江干支流、重要湖泊岸线一公里范围内新建、扩建化工园区和化工项目。禁止在长江干流岸线三公里范围内和重要支流岸线一公里范围内新建、改建、扩建尾矿库、冶炼渣库和磷石膏库，以提升安全、生态环境保护水平为目的的改建除外。</w:t>
                  </w:r>
                </w:p>
              </w:tc>
              <w:tc>
                <w:tcPr>
                  <w:tcW w:w="1424" w:type="pct"/>
                  <w:noWrap w:val="0"/>
                  <w:vAlign w:val="center"/>
                </w:tcPr>
                <w:p w14:paraId="147E185C">
                  <w:pPr>
                    <w:adjustRightInd w:val="0"/>
                    <w:snapToGrid w:val="0"/>
                    <w:spacing w:line="240" w:lineRule="auto"/>
                    <w:jc w:val="center"/>
                    <w:rPr>
                      <w:color w:val="auto"/>
                      <w:szCs w:val="21"/>
                    </w:rPr>
                  </w:pPr>
                  <w:r>
                    <w:rPr>
                      <w:color w:val="auto"/>
                      <w:szCs w:val="21"/>
                    </w:rPr>
                    <w:t>项目为输变电项目，不在长江干支流、重要湖泊岸线一公里范围</w:t>
                  </w:r>
                </w:p>
              </w:tc>
              <w:tc>
                <w:tcPr>
                  <w:tcW w:w="480" w:type="pct"/>
                  <w:noWrap w:val="0"/>
                  <w:vAlign w:val="center"/>
                </w:tcPr>
                <w:p w14:paraId="0F2B2928">
                  <w:pPr>
                    <w:adjustRightInd w:val="0"/>
                    <w:snapToGrid w:val="0"/>
                    <w:spacing w:line="240" w:lineRule="auto"/>
                    <w:jc w:val="center"/>
                    <w:rPr>
                      <w:color w:val="auto"/>
                      <w:szCs w:val="21"/>
                    </w:rPr>
                  </w:pPr>
                  <w:r>
                    <w:rPr>
                      <w:color w:val="auto"/>
                      <w:szCs w:val="21"/>
                    </w:rPr>
                    <w:t>符合</w:t>
                  </w:r>
                </w:p>
              </w:tc>
            </w:tr>
            <w:tr w14:paraId="3F85BB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92" w:type="pct"/>
                  <w:noWrap w:val="0"/>
                  <w:vAlign w:val="center"/>
                </w:tcPr>
                <w:p w14:paraId="349D15CC">
                  <w:pPr>
                    <w:adjustRightInd w:val="0"/>
                    <w:snapToGrid w:val="0"/>
                    <w:spacing w:line="240" w:lineRule="auto"/>
                    <w:jc w:val="center"/>
                    <w:rPr>
                      <w:color w:val="auto"/>
                      <w:szCs w:val="21"/>
                    </w:rPr>
                  </w:pPr>
                  <w:r>
                    <w:rPr>
                      <w:color w:val="auto"/>
                      <w:szCs w:val="21"/>
                    </w:rPr>
                    <w:t>9</w:t>
                  </w:r>
                </w:p>
              </w:tc>
              <w:tc>
                <w:tcPr>
                  <w:tcW w:w="2802" w:type="pct"/>
                  <w:noWrap w:val="0"/>
                  <w:vAlign w:val="center"/>
                </w:tcPr>
                <w:p w14:paraId="5B1A5E5F">
                  <w:pPr>
                    <w:adjustRightInd w:val="0"/>
                    <w:snapToGrid w:val="0"/>
                    <w:spacing w:line="240" w:lineRule="auto"/>
                    <w:jc w:val="center"/>
                    <w:rPr>
                      <w:color w:val="auto"/>
                      <w:szCs w:val="21"/>
                    </w:rPr>
                  </w:pPr>
                  <w:r>
                    <w:rPr>
                      <w:color w:val="auto"/>
                      <w:szCs w:val="21"/>
                    </w:rPr>
                    <w:t>禁止在合规园区外新建、扩建钢铁、石化、化工、焦化、建材、有色、制浆造纸等高污染项目。</w:t>
                  </w:r>
                </w:p>
              </w:tc>
              <w:tc>
                <w:tcPr>
                  <w:tcW w:w="1424" w:type="pct"/>
                  <w:noWrap w:val="0"/>
                  <w:vAlign w:val="center"/>
                </w:tcPr>
                <w:p w14:paraId="2F3DA934">
                  <w:pPr>
                    <w:adjustRightInd w:val="0"/>
                    <w:snapToGrid w:val="0"/>
                    <w:spacing w:line="240" w:lineRule="auto"/>
                    <w:jc w:val="center"/>
                    <w:rPr>
                      <w:color w:val="auto"/>
                      <w:szCs w:val="21"/>
                    </w:rPr>
                  </w:pPr>
                  <w:r>
                    <w:rPr>
                      <w:color w:val="auto"/>
                      <w:szCs w:val="21"/>
                    </w:rPr>
                    <w:t>项目为输变电项目，不属于高污染项目</w:t>
                  </w:r>
                </w:p>
              </w:tc>
              <w:tc>
                <w:tcPr>
                  <w:tcW w:w="480" w:type="pct"/>
                  <w:noWrap w:val="0"/>
                  <w:vAlign w:val="center"/>
                </w:tcPr>
                <w:p w14:paraId="0C43EA94">
                  <w:pPr>
                    <w:adjustRightInd w:val="0"/>
                    <w:snapToGrid w:val="0"/>
                    <w:spacing w:line="240" w:lineRule="auto"/>
                    <w:jc w:val="center"/>
                    <w:rPr>
                      <w:color w:val="auto"/>
                      <w:szCs w:val="21"/>
                    </w:rPr>
                  </w:pPr>
                  <w:r>
                    <w:rPr>
                      <w:color w:val="auto"/>
                      <w:szCs w:val="21"/>
                    </w:rPr>
                    <w:t>符合</w:t>
                  </w:r>
                </w:p>
              </w:tc>
            </w:tr>
            <w:tr w14:paraId="6F22B6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92" w:type="pct"/>
                  <w:noWrap w:val="0"/>
                  <w:vAlign w:val="center"/>
                </w:tcPr>
                <w:p w14:paraId="1828C266">
                  <w:pPr>
                    <w:adjustRightInd w:val="0"/>
                    <w:snapToGrid w:val="0"/>
                    <w:spacing w:line="240" w:lineRule="auto"/>
                    <w:jc w:val="center"/>
                    <w:rPr>
                      <w:color w:val="auto"/>
                      <w:szCs w:val="21"/>
                    </w:rPr>
                  </w:pPr>
                  <w:r>
                    <w:rPr>
                      <w:color w:val="auto"/>
                      <w:szCs w:val="21"/>
                    </w:rPr>
                    <w:t>10</w:t>
                  </w:r>
                </w:p>
              </w:tc>
              <w:tc>
                <w:tcPr>
                  <w:tcW w:w="2802" w:type="pct"/>
                  <w:noWrap w:val="0"/>
                  <w:vAlign w:val="center"/>
                </w:tcPr>
                <w:p w14:paraId="3D6C6BCA">
                  <w:pPr>
                    <w:adjustRightInd w:val="0"/>
                    <w:snapToGrid w:val="0"/>
                    <w:spacing w:line="240" w:lineRule="auto"/>
                    <w:jc w:val="center"/>
                    <w:rPr>
                      <w:color w:val="auto"/>
                      <w:szCs w:val="21"/>
                    </w:rPr>
                  </w:pPr>
                  <w:r>
                    <w:rPr>
                      <w:color w:val="auto"/>
                      <w:szCs w:val="21"/>
                    </w:rPr>
                    <w:t>禁止新建、扩建不符合国家石化、现代煤化工等产业布局规划的项目。</w:t>
                  </w:r>
                </w:p>
              </w:tc>
              <w:tc>
                <w:tcPr>
                  <w:tcW w:w="1424" w:type="pct"/>
                  <w:noWrap w:val="0"/>
                  <w:vAlign w:val="center"/>
                </w:tcPr>
                <w:p w14:paraId="65E49144">
                  <w:pPr>
                    <w:adjustRightInd w:val="0"/>
                    <w:snapToGrid w:val="0"/>
                    <w:spacing w:line="240" w:lineRule="auto"/>
                    <w:jc w:val="center"/>
                    <w:rPr>
                      <w:color w:val="auto"/>
                      <w:szCs w:val="21"/>
                    </w:rPr>
                  </w:pPr>
                  <w:r>
                    <w:rPr>
                      <w:color w:val="auto"/>
                      <w:szCs w:val="21"/>
                    </w:rPr>
                    <w:t>本项目为输变电项目，符合规划布局</w:t>
                  </w:r>
                </w:p>
              </w:tc>
              <w:tc>
                <w:tcPr>
                  <w:tcW w:w="480" w:type="pct"/>
                  <w:noWrap w:val="0"/>
                  <w:vAlign w:val="center"/>
                </w:tcPr>
                <w:p w14:paraId="30D0397E">
                  <w:pPr>
                    <w:adjustRightInd w:val="0"/>
                    <w:snapToGrid w:val="0"/>
                    <w:spacing w:line="240" w:lineRule="auto"/>
                    <w:jc w:val="center"/>
                    <w:rPr>
                      <w:color w:val="auto"/>
                      <w:szCs w:val="21"/>
                    </w:rPr>
                  </w:pPr>
                  <w:r>
                    <w:rPr>
                      <w:color w:val="auto"/>
                      <w:szCs w:val="21"/>
                    </w:rPr>
                    <w:t>符合</w:t>
                  </w:r>
                </w:p>
              </w:tc>
            </w:tr>
            <w:tr w14:paraId="726DA5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92" w:type="pct"/>
                  <w:noWrap w:val="0"/>
                  <w:vAlign w:val="center"/>
                </w:tcPr>
                <w:p w14:paraId="645FB834">
                  <w:pPr>
                    <w:adjustRightInd w:val="0"/>
                    <w:snapToGrid w:val="0"/>
                    <w:spacing w:line="240" w:lineRule="auto"/>
                    <w:jc w:val="center"/>
                    <w:rPr>
                      <w:color w:val="auto"/>
                      <w:szCs w:val="21"/>
                    </w:rPr>
                  </w:pPr>
                  <w:r>
                    <w:rPr>
                      <w:color w:val="auto"/>
                      <w:szCs w:val="21"/>
                    </w:rPr>
                    <w:t>11</w:t>
                  </w:r>
                </w:p>
              </w:tc>
              <w:tc>
                <w:tcPr>
                  <w:tcW w:w="2802" w:type="pct"/>
                  <w:noWrap w:val="0"/>
                  <w:vAlign w:val="center"/>
                </w:tcPr>
                <w:p w14:paraId="665DE06E">
                  <w:pPr>
                    <w:adjustRightInd w:val="0"/>
                    <w:snapToGrid w:val="0"/>
                    <w:spacing w:line="240" w:lineRule="auto"/>
                    <w:jc w:val="center"/>
                    <w:rPr>
                      <w:color w:val="auto"/>
                      <w:szCs w:val="21"/>
                    </w:rPr>
                  </w:pPr>
                  <w:r>
                    <w:rPr>
                      <w:color w:val="auto"/>
                      <w:szCs w:val="21"/>
                    </w:rPr>
                    <w:t>禁止新建、扩建法律法规和相关政策明令禁止的落后产能项目。禁止新建、扩建不符合国家产能置换要求的严重过剩产能行业的项目。禁止新建、扩建不符合要求的高耗能高排放项目。</w:t>
                  </w:r>
                </w:p>
              </w:tc>
              <w:tc>
                <w:tcPr>
                  <w:tcW w:w="1424" w:type="pct"/>
                  <w:noWrap w:val="0"/>
                  <w:vAlign w:val="center"/>
                </w:tcPr>
                <w:p w14:paraId="2BDD56B4">
                  <w:pPr>
                    <w:adjustRightInd w:val="0"/>
                    <w:snapToGrid w:val="0"/>
                    <w:spacing w:line="240" w:lineRule="auto"/>
                    <w:jc w:val="center"/>
                    <w:rPr>
                      <w:color w:val="auto"/>
                      <w:szCs w:val="21"/>
                    </w:rPr>
                  </w:pPr>
                  <w:r>
                    <w:rPr>
                      <w:color w:val="auto"/>
                      <w:szCs w:val="21"/>
                    </w:rPr>
                    <w:t>项目为输变电</w:t>
                  </w:r>
                  <w:r>
                    <w:rPr>
                      <w:rFonts w:hint="eastAsia"/>
                      <w:color w:val="auto"/>
                      <w:szCs w:val="21"/>
                    </w:rPr>
                    <w:t>工程</w:t>
                  </w:r>
                  <w:r>
                    <w:rPr>
                      <w:color w:val="auto"/>
                      <w:szCs w:val="21"/>
                    </w:rPr>
                    <w:t>，不属于严重过剩产能行业的项目和高耗能高排放项目</w:t>
                  </w:r>
                </w:p>
              </w:tc>
              <w:tc>
                <w:tcPr>
                  <w:tcW w:w="480" w:type="pct"/>
                  <w:noWrap w:val="0"/>
                  <w:vAlign w:val="center"/>
                </w:tcPr>
                <w:p w14:paraId="191E7E5F">
                  <w:pPr>
                    <w:adjustRightInd w:val="0"/>
                    <w:snapToGrid w:val="0"/>
                    <w:spacing w:line="240" w:lineRule="auto"/>
                    <w:jc w:val="center"/>
                    <w:rPr>
                      <w:color w:val="auto"/>
                      <w:szCs w:val="21"/>
                    </w:rPr>
                  </w:pPr>
                  <w:r>
                    <w:rPr>
                      <w:color w:val="auto"/>
                      <w:szCs w:val="21"/>
                    </w:rPr>
                    <w:t>符合</w:t>
                  </w:r>
                </w:p>
              </w:tc>
            </w:tr>
            <w:tr w14:paraId="70F17F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92" w:type="pct"/>
                  <w:noWrap w:val="0"/>
                  <w:vAlign w:val="center"/>
                </w:tcPr>
                <w:p w14:paraId="097E5E58">
                  <w:pPr>
                    <w:adjustRightInd w:val="0"/>
                    <w:snapToGrid w:val="0"/>
                    <w:spacing w:line="240" w:lineRule="auto"/>
                    <w:jc w:val="center"/>
                    <w:rPr>
                      <w:color w:val="auto"/>
                      <w:szCs w:val="21"/>
                    </w:rPr>
                  </w:pPr>
                  <w:r>
                    <w:rPr>
                      <w:color w:val="auto"/>
                      <w:szCs w:val="21"/>
                    </w:rPr>
                    <w:t>12</w:t>
                  </w:r>
                </w:p>
              </w:tc>
              <w:tc>
                <w:tcPr>
                  <w:tcW w:w="2802" w:type="pct"/>
                  <w:noWrap w:val="0"/>
                  <w:vAlign w:val="center"/>
                </w:tcPr>
                <w:p w14:paraId="2FE48924">
                  <w:pPr>
                    <w:adjustRightInd w:val="0"/>
                    <w:snapToGrid w:val="0"/>
                    <w:spacing w:line="240" w:lineRule="auto"/>
                    <w:jc w:val="center"/>
                    <w:rPr>
                      <w:color w:val="auto"/>
                      <w:szCs w:val="21"/>
                    </w:rPr>
                  </w:pPr>
                  <w:r>
                    <w:rPr>
                      <w:color w:val="auto"/>
                      <w:szCs w:val="21"/>
                    </w:rPr>
                    <w:t>法律法规及相关政策文件有更加严格规定的从其规定。</w:t>
                  </w:r>
                </w:p>
              </w:tc>
              <w:tc>
                <w:tcPr>
                  <w:tcW w:w="1424" w:type="pct"/>
                  <w:noWrap w:val="0"/>
                  <w:vAlign w:val="center"/>
                </w:tcPr>
                <w:p w14:paraId="66A9A9BD">
                  <w:pPr>
                    <w:adjustRightInd w:val="0"/>
                    <w:snapToGrid w:val="0"/>
                    <w:spacing w:line="240" w:lineRule="auto"/>
                    <w:jc w:val="center"/>
                    <w:rPr>
                      <w:color w:val="auto"/>
                      <w:szCs w:val="21"/>
                    </w:rPr>
                  </w:pPr>
                  <w:r>
                    <w:rPr>
                      <w:color w:val="auto"/>
                      <w:szCs w:val="21"/>
                    </w:rPr>
                    <w:t>项目属于</w:t>
                  </w:r>
                  <w:r>
                    <w:rPr>
                      <w:rFonts w:hint="eastAsia"/>
                      <w:color w:val="auto"/>
                      <w:szCs w:val="21"/>
                      <w:lang w:eastAsia="zh-CN"/>
                    </w:rPr>
                    <w:t>《产业结构调整指导目录（2024年本）》</w:t>
                  </w:r>
                  <w:r>
                    <w:rPr>
                      <w:color w:val="auto"/>
                      <w:szCs w:val="21"/>
                    </w:rPr>
                    <w:t>中鼓励类，符合相关产业政策。</w:t>
                  </w:r>
                </w:p>
              </w:tc>
              <w:tc>
                <w:tcPr>
                  <w:tcW w:w="480" w:type="pct"/>
                  <w:noWrap w:val="0"/>
                  <w:vAlign w:val="center"/>
                </w:tcPr>
                <w:p w14:paraId="0CA562C4">
                  <w:pPr>
                    <w:adjustRightInd w:val="0"/>
                    <w:snapToGrid w:val="0"/>
                    <w:spacing w:line="240" w:lineRule="auto"/>
                    <w:jc w:val="center"/>
                    <w:rPr>
                      <w:color w:val="auto"/>
                      <w:szCs w:val="21"/>
                    </w:rPr>
                  </w:pPr>
                  <w:r>
                    <w:rPr>
                      <w:color w:val="auto"/>
                      <w:szCs w:val="21"/>
                    </w:rPr>
                    <w:t>符合</w:t>
                  </w:r>
                </w:p>
              </w:tc>
            </w:tr>
          </w:tbl>
          <w:p w14:paraId="1D44309F">
            <w:pPr>
              <w:autoSpaceDE w:val="0"/>
              <w:autoSpaceDN w:val="0"/>
              <w:adjustRightInd w:val="0"/>
              <w:snapToGrid w:val="0"/>
              <w:spacing w:line="440" w:lineRule="exact"/>
              <w:ind w:firstLine="480" w:firstLineChars="200"/>
              <w:rPr>
                <w:b/>
                <w:color w:val="auto"/>
                <w:sz w:val="24"/>
              </w:rPr>
            </w:pPr>
            <w:r>
              <w:rPr>
                <w:color w:val="auto"/>
                <w:sz w:val="24"/>
              </w:rPr>
              <w:t>从上表可以看出，项目满足</w:t>
            </w:r>
            <w:r>
              <w:rPr>
                <w:bCs/>
                <w:color w:val="auto"/>
                <w:sz w:val="24"/>
              </w:rPr>
              <w:t>《长江经济带发展负面清单指南（试行，2022年版）》</w:t>
            </w:r>
            <w:r>
              <w:rPr>
                <w:color w:val="auto"/>
                <w:sz w:val="24"/>
              </w:rPr>
              <w:t>的相关要求。</w:t>
            </w:r>
          </w:p>
          <w:p w14:paraId="7A58F4B4">
            <w:pPr>
              <w:autoSpaceDE w:val="0"/>
              <w:autoSpaceDN w:val="0"/>
              <w:adjustRightInd w:val="0"/>
              <w:snapToGrid w:val="0"/>
              <w:spacing w:line="440" w:lineRule="exact"/>
              <w:ind w:firstLine="482" w:firstLineChars="200"/>
              <w:rPr>
                <w:b/>
                <w:color w:val="auto"/>
                <w:sz w:val="24"/>
              </w:rPr>
            </w:pPr>
            <w:r>
              <w:rPr>
                <w:rFonts w:hint="eastAsia"/>
                <w:b/>
                <w:color w:val="auto"/>
                <w:sz w:val="24"/>
                <w:lang w:val="en-US" w:eastAsia="zh-CN"/>
              </w:rPr>
              <w:t>10</w:t>
            </w:r>
            <w:r>
              <w:rPr>
                <w:rFonts w:hint="eastAsia"/>
                <w:b/>
                <w:color w:val="auto"/>
                <w:sz w:val="24"/>
              </w:rPr>
              <w:t>、</w:t>
            </w:r>
            <w:r>
              <w:rPr>
                <w:b/>
                <w:color w:val="auto"/>
                <w:sz w:val="24"/>
              </w:rPr>
              <w:t>与《云南省长江经济带发展负面清单指南实施细则（</w:t>
            </w:r>
            <w:r>
              <w:rPr>
                <w:rFonts w:hint="eastAsia"/>
                <w:b/>
                <w:color w:val="auto"/>
                <w:sz w:val="24"/>
              </w:rPr>
              <w:t>试行，2</w:t>
            </w:r>
            <w:r>
              <w:rPr>
                <w:b/>
                <w:color w:val="auto"/>
                <w:sz w:val="24"/>
              </w:rPr>
              <w:t>022</w:t>
            </w:r>
            <w:r>
              <w:rPr>
                <w:rFonts w:hint="eastAsia"/>
                <w:b/>
                <w:color w:val="auto"/>
                <w:sz w:val="24"/>
              </w:rPr>
              <w:t>版</w:t>
            </w:r>
            <w:r>
              <w:rPr>
                <w:b/>
                <w:color w:val="auto"/>
                <w:sz w:val="24"/>
              </w:rPr>
              <w:t>）》的符合性分析</w:t>
            </w:r>
          </w:p>
          <w:p w14:paraId="3B5ACABD">
            <w:pPr>
              <w:adjustRightInd w:val="0"/>
              <w:snapToGrid w:val="0"/>
              <w:spacing w:line="440" w:lineRule="exact"/>
              <w:ind w:firstLine="480" w:firstLineChars="200"/>
              <w:rPr>
                <w:color w:val="auto"/>
                <w:kern w:val="0"/>
                <w:sz w:val="24"/>
                <w:szCs w:val="20"/>
              </w:rPr>
            </w:pPr>
            <w:r>
              <w:rPr>
                <w:rFonts w:hint="eastAsia"/>
                <w:bCs/>
                <w:color w:val="auto"/>
                <w:sz w:val="24"/>
              </w:rPr>
              <w:t>云南省</w:t>
            </w:r>
            <w:r>
              <w:rPr>
                <w:bCs/>
                <w:color w:val="auto"/>
                <w:sz w:val="24"/>
              </w:rPr>
              <w:t>推动</w:t>
            </w:r>
            <w:r>
              <w:rPr>
                <w:rFonts w:hint="eastAsia"/>
                <w:bCs/>
                <w:color w:val="auto"/>
                <w:sz w:val="24"/>
                <w:lang w:eastAsia="zh-CN"/>
              </w:rPr>
              <w:t>长江经济带发展</w:t>
            </w:r>
            <w:r>
              <w:rPr>
                <w:bCs/>
                <w:color w:val="auto"/>
                <w:sz w:val="24"/>
              </w:rPr>
              <w:t>领导小组办公室于2022年</w:t>
            </w:r>
            <w:r>
              <w:rPr>
                <w:rFonts w:hint="eastAsia"/>
                <w:bCs/>
                <w:color w:val="auto"/>
                <w:sz w:val="24"/>
              </w:rPr>
              <w:t>8</w:t>
            </w:r>
            <w:r>
              <w:rPr>
                <w:bCs/>
                <w:color w:val="auto"/>
                <w:sz w:val="24"/>
              </w:rPr>
              <w:t>月19日关于印发《</w:t>
            </w:r>
            <w:r>
              <w:rPr>
                <w:rFonts w:hint="eastAsia"/>
                <w:bCs/>
                <w:color w:val="auto"/>
                <w:sz w:val="24"/>
              </w:rPr>
              <w:t>云南省</w:t>
            </w:r>
            <w:r>
              <w:rPr>
                <w:bCs/>
                <w:color w:val="auto"/>
                <w:sz w:val="24"/>
              </w:rPr>
              <w:t>长江经济带发展负面清单指南实施细则（试行，2022年版）》的通知</w:t>
            </w:r>
            <w:r>
              <w:rPr>
                <w:rFonts w:hint="eastAsia"/>
                <w:bCs/>
                <w:color w:val="auto"/>
                <w:sz w:val="24"/>
              </w:rPr>
              <w:t>（云发改基础〔2022〕894号），</w:t>
            </w:r>
            <w:r>
              <w:rPr>
                <w:rFonts w:hint="eastAsia"/>
                <w:color w:val="auto"/>
                <w:kern w:val="0"/>
                <w:sz w:val="24"/>
                <w:szCs w:val="20"/>
              </w:rPr>
              <w:t>项目与实施细则</w:t>
            </w:r>
            <w:r>
              <w:rPr>
                <w:color w:val="auto"/>
                <w:kern w:val="0"/>
                <w:sz w:val="24"/>
                <w:szCs w:val="20"/>
              </w:rPr>
              <w:t>“负面清单”的相关要求。</w:t>
            </w:r>
          </w:p>
          <w:p w14:paraId="47B1EF9E">
            <w:pPr>
              <w:adjustRightInd w:val="0"/>
              <w:snapToGrid w:val="0"/>
              <w:spacing w:line="240" w:lineRule="auto"/>
              <w:jc w:val="center"/>
              <w:rPr>
                <w:b/>
                <w:color w:val="auto"/>
                <w:sz w:val="24"/>
              </w:rPr>
            </w:pPr>
            <w:r>
              <w:rPr>
                <w:b/>
                <w:color w:val="auto"/>
                <w:sz w:val="24"/>
              </w:rPr>
              <w:t>表1-</w:t>
            </w:r>
            <w:r>
              <w:rPr>
                <w:rFonts w:hint="eastAsia"/>
                <w:b/>
                <w:color w:val="auto"/>
                <w:sz w:val="24"/>
                <w:lang w:val="en-US" w:eastAsia="zh-CN"/>
              </w:rPr>
              <w:t>10</w:t>
            </w:r>
            <w:r>
              <w:rPr>
                <w:rFonts w:hint="eastAsia"/>
                <w:b/>
                <w:color w:val="auto"/>
                <w:sz w:val="24"/>
              </w:rPr>
              <w:t xml:space="preserve">  </w:t>
            </w:r>
            <w:r>
              <w:rPr>
                <w:b/>
                <w:color w:val="auto"/>
                <w:sz w:val="24"/>
              </w:rPr>
              <w:t>与</w:t>
            </w:r>
            <w:r>
              <w:rPr>
                <w:rFonts w:hint="eastAsia"/>
                <w:b/>
                <w:color w:val="auto"/>
                <w:sz w:val="24"/>
              </w:rPr>
              <w:t>云发改基础〔2022〕894号</w:t>
            </w:r>
            <w:r>
              <w:rPr>
                <w:b/>
                <w:color w:val="auto"/>
                <w:sz w:val="24"/>
              </w:rPr>
              <w:t>符合性</w:t>
            </w:r>
          </w:p>
          <w:tbl>
            <w:tblPr>
              <w:tblStyle w:val="3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868"/>
              <w:gridCol w:w="2309"/>
              <w:gridCol w:w="676"/>
            </w:tblGrid>
            <w:tr w14:paraId="5EF5C0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21" w:type="pct"/>
                  <w:noWrap w:val="0"/>
                  <w:tcMar>
                    <w:top w:w="57" w:type="dxa"/>
                    <w:left w:w="57" w:type="dxa"/>
                    <w:bottom w:w="57" w:type="dxa"/>
                    <w:right w:w="57" w:type="dxa"/>
                  </w:tcMar>
                  <w:vAlign w:val="center"/>
                </w:tcPr>
                <w:p w14:paraId="66520E7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color w:val="auto"/>
                    </w:rPr>
                  </w:pPr>
                  <w:r>
                    <w:rPr>
                      <w:b/>
                      <w:bCs/>
                      <w:color w:val="auto"/>
                    </w:rPr>
                    <w:t>《实施细则》要求</w:t>
                  </w:r>
                </w:p>
              </w:tc>
              <w:tc>
                <w:tcPr>
                  <w:tcW w:w="1685" w:type="pct"/>
                  <w:noWrap w:val="0"/>
                  <w:tcMar>
                    <w:top w:w="57" w:type="dxa"/>
                    <w:left w:w="57" w:type="dxa"/>
                    <w:bottom w:w="57" w:type="dxa"/>
                    <w:right w:w="57" w:type="dxa"/>
                  </w:tcMar>
                  <w:vAlign w:val="center"/>
                </w:tcPr>
                <w:p w14:paraId="298F27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color w:val="auto"/>
                    </w:rPr>
                  </w:pPr>
                  <w:r>
                    <w:rPr>
                      <w:b/>
                      <w:bCs/>
                      <w:color w:val="auto"/>
                    </w:rPr>
                    <w:t>本项目</w:t>
                  </w:r>
                </w:p>
              </w:tc>
              <w:tc>
                <w:tcPr>
                  <w:tcW w:w="493" w:type="pct"/>
                  <w:noWrap w:val="0"/>
                  <w:tcMar>
                    <w:top w:w="57" w:type="dxa"/>
                    <w:left w:w="57" w:type="dxa"/>
                    <w:bottom w:w="57" w:type="dxa"/>
                    <w:right w:w="57" w:type="dxa"/>
                  </w:tcMar>
                  <w:vAlign w:val="center"/>
                </w:tcPr>
                <w:p w14:paraId="6B63F0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color w:val="auto"/>
                    </w:rPr>
                  </w:pPr>
                  <w:r>
                    <w:rPr>
                      <w:b/>
                      <w:bCs/>
                      <w:color w:val="auto"/>
                    </w:rPr>
                    <w:t>相符性</w:t>
                  </w:r>
                </w:p>
              </w:tc>
            </w:tr>
            <w:tr w14:paraId="49ABD5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21" w:type="pct"/>
                  <w:noWrap w:val="0"/>
                  <w:tcMar>
                    <w:top w:w="57" w:type="dxa"/>
                    <w:left w:w="57" w:type="dxa"/>
                    <w:bottom w:w="57" w:type="dxa"/>
                    <w:right w:w="57" w:type="dxa"/>
                  </w:tcMar>
                  <w:vAlign w:val="center"/>
                </w:tcPr>
                <w:p w14:paraId="1E4142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（一）禁止新建、改建和扩建不符合《全国内河航道与港口布局规划》等全国港口规划和《昭通市港口码头岸线规划（金沙江段2019年—2035年）</w:t>
                  </w:r>
                  <w:r>
                    <w:rPr>
                      <w:rFonts w:hint="eastAsia"/>
                      <w:color w:val="auto"/>
                      <w:lang w:eastAsia="zh-CN"/>
                    </w:rPr>
                    <w:t>》《</w:t>
                  </w:r>
                  <w:r>
                    <w:rPr>
                      <w:color w:val="auto"/>
                    </w:rPr>
                    <w:t>景洪港总体规划（2019—2035年）》等州（市）级以上港口布局规划以及港口总体规划的码头项目。</w:t>
                  </w:r>
                </w:p>
              </w:tc>
              <w:tc>
                <w:tcPr>
                  <w:tcW w:w="1685" w:type="pct"/>
                  <w:noWrap w:val="0"/>
                  <w:tcMar>
                    <w:top w:w="57" w:type="dxa"/>
                    <w:left w:w="57" w:type="dxa"/>
                    <w:bottom w:w="57" w:type="dxa"/>
                    <w:right w:w="57" w:type="dxa"/>
                  </w:tcMar>
                  <w:vAlign w:val="center"/>
                </w:tcPr>
                <w:p w14:paraId="79AEC8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本项目为</w:t>
                  </w:r>
                  <w:r>
                    <w:rPr>
                      <w:rFonts w:hint="eastAsia"/>
                      <w:color w:val="auto"/>
                    </w:rPr>
                    <w:t>输</w:t>
                  </w:r>
                  <w:r>
                    <w:rPr>
                      <w:rFonts w:hint="eastAsia"/>
                      <w:color w:val="auto"/>
                      <w:lang w:eastAsia="zh-CN"/>
                    </w:rPr>
                    <w:t>升压站</w:t>
                  </w:r>
                  <w:r>
                    <w:rPr>
                      <w:color w:val="auto"/>
                    </w:rPr>
                    <w:t>项目，不属于码头建设项目。</w:t>
                  </w:r>
                </w:p>
              </w:tc>
              <w:tc>
                <w:tcPr>
                  <w:tcW w:w="493" w:type="pct"/>
                  <w:noWrap w:val="0"/>
                  <w:tcMar>
                    <w:top w:w="57" w:type="dxa"/>
                    <w:left w:w="57" w:type="dxa"/>
                    <w:bottom w:w="57" w:type="dxa"/>
                    <w:right w:w="57" w:type="dxa"/>
                  </w:tcMar>
                  <w:vAlign w:val="center"/>
                </w:tcPr>
                <w:p w14:paraId="2A3415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相符</w:t>
                  </w:r>
                </w:p>
              </w:tc>
            </w:tr>
            <w:tr w14:paraId="7DAEA6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21" w:type="pct"/>
                  <w:noWrap w:val="0"/>
                  <w:tcMar>
                    <w:top w:w="57" w:type="dxa"/>
                    <w:left w:w="57" w:type="dxa"/>
                    <w:bottom w:w="57" w:type="dxa"/>
                    <w:right w:w="57" w:type="dxa"/>
                  </w:tcMar>
                  <w:vAlign w:val="center"/>
                </w:tcPr>
                <w:p w14:paraId="1FF8EA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二）禁止在自然保护区核心区、缓冲区的岸线和河段范围内投资建设旅游和生产经营项目。禁止建设与自然保护区保护方向不一致的旅游项目。禁止在自然保护区内进行开矿、采石、挖沙等活动。禁止在自然保护区的核心区和缓冲区内建设任何生产设施，禁止在自然保护区的实验区内建设污染环境、破坏资源或者景观的生产设施。</w:t>
                  </w:r>
                </w:p>
              </w:tc>
              <w:tc>
                <w:tcPr>
                  <w:tcW w:w="1685" w:type="pct"/>
                  <w:noWrap w:val="0"/>
                  <w:tcMar>
                    <w:top w:w="57" w:type="dxa"/>
                    <w:left w:w="57" w:type="dxa"/>
                    <w:bottom w:w="57" w:type="dxa"/>
                    <w:right w:w="57" w:type="dxa"/>
                  </w:tcMar>
                  <w:vAlign w:val="center"/>
                </w:tcPr>
                <w:p w14:paraId="43F2A5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color w:val="auto"/>
                      <w:lang w:val="en-US" w:eastAsia="zh-CN"/>
                    </w:rPr>
                  </w:pPr>
                  <w:r>
                    <w:rPr>
                      <w:color w:val="auto"/>
                    </w:rPr>
                    <w:t>项目位于</w:t>
                  </w:r>
                  <w:r>
                    <w:rPr>
                      <w:rFonts w:hint="eastAsia"/>
                      <w:color w:val="auto"/>
                      <w:szCs w:val="21"/>
                      <w:lang w:val="en-US" w:eastAsia="zh-CN"/>
                    </w:rPr>
                    <w:t>曲靖市会泽县宝云街道、乐业镇、五星乡</w:t>
                  </w:r>
                  <w:r>
                    <w:rPr>
                      <w:color w:val="auto"/>
                    </w:rPr>
                    <w:t>，不在自然保护区核心区、缓冲区的岸线和河段范围内，也不在风景名胜区核心景区的岸线和河段范</w:t>
                  </w:r>
                  <w:r>
                    <w:rPr>
                      <w:rFonts w:hint="eastAsia"/>
                      <w:color w:val="auto"/>
                      <w:lang w:eastAsia="zh-CN"/>
                    </w:rPr>
                    <w:t>围内；</w:t>
                  </w:r>
                  <w:r>
                    <w:rPr>
                      <w:rFonts w:hint="eastAsia"/>
                      <w:color w:val="auto"/>
                      <w:lang w:val="en-US" w:eastAsia="zh-CN"/>
                    </w:rPr>
                    <w:t>项目属于输变电工程，不属于开矿、采石、挖沙等活动</w:t>
                  </w:r>
                </w:p>
              </w:tc>
              <w:tc>
                <w:tcPr>
                  <w:tcW w:w="493" w:type="pct"/>
                  <w:noWrap w:val="0"/>
                  <w:tcMar>
                    <w:top w:w="57" w:type="dxa"/>
                    <w:left w:w="57" w:type="dxa"/>
                    <w:bottom w:w="57" w:type="dxa"/>
                    <w:right w:w="57" w:type="dxa"/>
                  </w:tcMar>
                  <w:vAlign w:val="center"/>
                </w:tcPr>
                <w:p w14:paraId="3052C6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相符</w:t>
                  </w:r>
                </w:p>
              </w:tc>
            </w:tr>
            <w:tr w14:paraId="2D5720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21" w:type="pct"/>
                  <w:noWrap w:val="0"/>
                  <w:tcMar>
                    <w:top w:w="57" w:type="dxa"/>
                    <w:left w:w="57" w:type="dxa"/>
                    <w:bottom w:w="57" w:type="dxa"/>
                    <w:right w:w="57" w:type="dxa"/>
                  </w:tcMar>
                  <w:vAlign w:val="center"/>
                </w:tcPr>
                <w:p w14:paraId="21D604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三）禁止在风景名胜区核心景区的岸线和河段范围内投资建设与风景名胜资源保护无关的项目。禁止在风景名胜区内进行开山、采石、开矿、开荒、修坟立碑等破坏景观、植被和地形地貌的活动以及修建储存爆炸性、易燃性、放射性、毒害性、腐蚀性物品的设施；禁止在风景名胜区内设立开发区和在核心景区内建设宾馆、会所、培训中心、疗养院以及与风景名胜资源保护无关的投资建设项目。</w:t>
                  </w:r>
                </w:p>
              </w:tc>
              <w:tc>
                <w:tcPr>
                  <w:tcW w:w="1685" w:type="pct"/>
                  <w:noWrap w:val="0"/>
                  <w:tcMar>
                    <w:top w:w="57" w:type="dxa"/>
                    <w:left w:w="57" w:type="dxa"/>
                    <w:bottom w:w="57" w:type="dxa"/>
                    <w:right w:w="57" w:type="dxa"/>
                  </w:tcMar>
                  <w:vAlign w:val="center"/>
                </w:tcPr>
                <w:p w14:paraId="5FC145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color w:val="auto"/>
                      <w:lang w:val="en-US" w:eastAsia="zh-CN"/>
                    </w:rPr>
                  </w:pPr>
                  <w:r>
                    <w:rPr>
                      <w:color w:val="auto"/>
                    </w:rPr>
                    <w:t>项目位于</w:t>
                  </w:r>
                  <w:r>
                    <w:rPr>
                      <w:rFonts w:hint="eastAsia"/>
                      <w:color w:val="auto"/>
                      <w:szCs w:val="21"/>
                      <w:lang w:val="en-US" w:eastAsia="zh-CN"/>
                    </w:rPr>
                    <w:t>曲靖市会泽县宝云街道、乐业镇、五星乡</w:t>
                  </w:r>
                  <w:r>
                    <w:rPr>
                      <w:rFonts w:hint="eastAsia"/>
                      <w:color w:val="auto"/>
                    </w:rPr>
                    <w:t>内</w:t>
                  </w:r>
                  <w:r>
                    <w:rPr>
                      <w:color w:val="auto"/>
                    </w:rPr>
                    <w:t>，不在风景名胜区核心景区的岸线和河段范围内</w:t>
                  </w:r>
                  <w:r>
                    <w:rPr>
                      <w:rFonts w:hint="eastAsia"/>
                      <w:color w:val="auto"/>
                      <w:lang w:eastAsia="zh-CN"/>
                    </w:rPr>
                    <w:t>；</w:t>
                  </w:r>
                  <w:r>
                    <w:rPr>
                      <w:rFonts w:hint="eastAsia"/>
                      <w:color w:val="auto"/>
                      <w:lang w:val="en-US" w:eastAsia="zh-CN"/>
                    </w:rPr>
                    <w:t>项目属于输变电工程，不属于建设宾馆、会所、培训中心、疗养院项目</w:t>
                  </w:r>
                </w:p>
              </w:tc>
              <w:tc>
                <w:tcPr>
                  <w:tcW w:w="493" w:type="pct"/>
                  <w:noWrap w:val="0"/>
                  <w:tcMar>
                    <w:top w:w="57" w:type="dxa"/>
                    <w:left w:w="57" w:type="dxa"/>
                    <w:bottom w:w="57" w:type="dxa"/>
                    <w:right w:w="57" w:type="dxa"/>
                  </w:tcMar>
                  <w:vAlign w:val="center"/>
                </w:tcPr>
                <w:p w14:paraId="5486E8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相符</w:t>
                  </w:r>
                </w:p>
              </w:tc>
            </w:tr>
            <w:tr w14:paraId="4BEE37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21" w:type="pct"/>
                  <w:noWrap w:val="0"/>
                  <w:tcMar>
                    <w:top w:w="57" w:type="dxa"/>
                    <w:left w:w="57" w:type="dxa"/>
                    <w:bottom w:w="57" w:type="dxa"/>
                    <w:right w:w="57" w:type="dxa"/>
                  </w:tcMar>
                  <w:vAlign w:val="center"/>
                </w:tcPr>
                <w:p w14:paraId="7907F7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四）禁止在饮用水水源一级保护区的岸线和河段范围内新建、改建、扩建与供水设施和保护水源无关的投资建设项目，以及网箱养殖、畜禽养殖、旅游等可能污染饮用水水体的投资建设项目。禁止在饮用水水源二级保护区的岸线和河段范围内新建、改建、扩建排放污染物的投资建设项目。</w:t>
                  </w:r>
                </w:p>
              </w:tc>
              <w:tc>
                <w:tcPr>
                  <w:tcW w:w="1685" w:type="pct"/>
                  <w:noWrap w:val="0"/>
                  <w:tcMar>
                    <w:top w:w="57" w:type="dxa"/>
                    <w:left w:w="57" w:type="dxa"/>
                    <w:bottom w:w="57" w:type="dxa"/>
                    <w:right w:w="57" w:type="dxa"/>
                  </w:tcMar>
                  <w:vAlign w:val="center"/>
                </w:tcPr>
                <w:p w14:paraId="1ECDE3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szCs w:val="21"/>
                    </w:rPr>
                    <w:t>项目占地不在饮用水水源地一级保护区的岸线和河段范围内</w:t>
                  </w:r>
                  <w:r>
                    <w:rPr>
                      <w:rFonts w:hint="eastAsia"/>
                      <w:color w:val="auto"/>
                      <w:szCs w:val="21"/>
                    </w:rPr>
                    <w:t>；本项目不涉及水源地二级保护区，运营期不产生废气、废水</w:t>
                  </w:r>
                </w:p>
              </w:tc>
              <w:tc>
                <w:tcPr>
                  <w:tcW w:w="493" w:type="pct"/>
                  <w:noWrap w:val="0"/>
                  <w:tcMar>
                    <w:top w:w="57" w:type="dxa"/>
                    <w:left w:w="57" w:type="dxa"/>
                    <w:bottom w:w="57" w:type="dxa"/>
                    <w:right w:w="57" w:type="dxa"/>
                  </w:tcMar>
                  <w:vAlign w:val="center"/>
                </w:tcPr>
                <w:p w14:paraId="02BB0D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相符</w:t>
                  </w:r>
                </w:p>
              </w:tc>
            </w:tr>
            <w:tr w14:paraId="03B296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21" w:type="pct"/>
                  <w:noWrap w:val="0"/>
                  <w:tcMar>
                    <w:top w:w="57" w:type="dxa"/>
                    <w:left w:w="57" w:type="dxa"/>
                    <w:bottom w:w="57" w:type="dxa"/>
                    <w:right w:w="57" w:type="dxa"/>
                  </w:tcMar>
                  <w:vAlign w:val="center"/>
                </w:tcPr>
                <w:p w14:paraId="47E4AF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五）禁止在水产种质资源保护区的岸线和河段范围内新建围湖造田、围湖造地或围填海等投资建设项目。禁止擅自征收、占用国家湿地公园的土地；禁止在国家湿地公园内挖沙、采矿，以及建设度假村、高尔夫球场等任何不符合主体功能定位的投资建设项目。</w:t>
                  </w:r>
                </w:p>
              </w:tc>
              <w:tc>
                <w:tcPr>
                  <w:tcW w:w="1685" w:type="pct"/>
                  <w:noWrap w:val="0"/>
                  <w:tcMar>
                    <w:top w:w="57" w:type="dxa"/>
                    <w:left w:w="57" w:type="dxa"/>
                    <w:bottom w:w="57" w:type="dxa"/>
                    <w:right w:w="57" w:type="dxa"/>
                  </w:tcMar>
                  <w:vAlign w:val="center"/>
                </w:tcPr>
                <w:p w14:paraId="4FF6E7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经现场踏勘及资料核实，项目区不涉及水产种质资源保护区及国家湿地公园。</w:t>
                  </w:r>
                </w:p>
              </w:tc>
              <w:tc>
                <w:tcPr>
                  <w:tcW w:w="493" w:type="pct"/>
                  <w:noWrap w:val="0"/>
                  <w:tcMar>
                    <w:top w:w="57" w:type="dxa"/>
                    <w:left w:w="57" w:type="dxa"/>
                    <w:bottom w:w="57" w:type="dxa"/>
                    <w:right w:w="57" w:type="dxa"/>
                  </w:tcMar>
                  <w:vAlign w:val="center"/>
                </w:tcPr>
                <w:p w14:paraId="43FCF2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相符</w:t>
                  </w:r>
                </w:p>
              </w:tc>
            </w:tr>
            <w:tr w14:paraId="141D2D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21" w:type="pct"/>
                  <w:noWrap w:val="0"/>
                  <w:tcMar>
                    <w:top w:w="57" w:type="dxa"/>
                    <w:left w:w="57" w:type="dxa"/>
                    <w:bottom w:w="57" w:type="dxa"/>
                    <w:right w:w="57" w:type="dxa"/>
                  </w:tcMar>
                  <w:vAlign w:val="center"/>
                </w:tcPr>
                <w:p w14:paraId="1E35ED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六）禁止违法利用、占用长江流域河湖岸线。禁止在金沙江岸线保护区和保留区内投资建设除事关公共安全及公众利益的防洪护岸、河道治理、供水、生态环境保护、航道整治、国家重要基础设施以外的项目。禁止在金沙江干流、九大高原湖泊保护区、保留区内投资建设不利于水资源及自然生态保护的项目。</w:t>
                  </w:r>
                </w:p>
              </w:tc>
              <w:tc>
                <w:tcPr>
                  <w:tcW w:w="1685" w:type="pct"/>
                  <w:noWrap w:val="0"/>
                  <w:tcMar>
                    <w:top w:w="57" w:type="dxa"/>
                    <w:left w:w="57" w:type="dxa"/>
                    <w:bottom w:w="57" w:type="dxa"/>
                    <w:right w:w="57" w:type="dxa"/>
                  </w:tcMar>
                  <w:vAlign w:val="center"/>
                </w:tcPr>
                <w:p w14:paraId="1CE7DD0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经现场踏勘及资料核实，本项目</w:t>
                  </w:r>
                  <w:r>
                    <w:rPr>
                      <w:rFonts w:hint="eastAsia"/>
                      <w:color w:val="auto"/>
                      <w:lang w:val="en-US" w:eastAsia="zh-CN"/>
                    </w:rPr>
                    <w:t>不涉及利用、占用长江流域河湖岸线，不涉及</w:t>
                  </w:r>
                  <w:r>
                    <w:rPr>
                      <w:color w:val="auto"/>
                    </w:rPr>
                    <w:t>《长江岸线保护和开发利用总体规划》划定的岸线保护区及《全国重要江河湖泊水功能区划》划定的河段保护区、保留区内。</w:t>
                  </w:r>
                </w:p>
              </w:tc>
              <w:tc>
                <w:tcPr>
                  <w:tcW w:w="493" w:type="pct"/>
                  <w:noWrap w:val="0"/>
                  <w:tcMar>
                    <w:top w:w="57" w:type="dxa"/>
                    <w:left w:w="57" w:type="dxa"/>
                    <w:bottom w:w="57" w:type="dxa"/>
                    <w:right w:w="57" w:type="dxa"/>
                  </w:tcMar>
                  <w:vAlign w:val="center"/>
                </w:tcPr>
                <w:p w14:paraId="0B32AA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相符</w:t>
                  </w:r>
                </w:p>
              </w:tc>
            </w:tr>
            <w:tr w14:paraId="645822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21" w:type="pct"/>
                  <w:noWrap w:val="0"/>
                  <w:tcMar>
                    <w:top w:w="57" w:type="dxa"/>
                    <w:left w:w="57" w:type="dxa"/>
                    <w:bottom w:w="57" w:type="dxa"/>
                    <w:right w:w="57" w:type="dxa"/>
                  </w:tcMar>
                  <w:vAlign w:val="center"/>
                </w:tcPr>
                <w:p w14:paraId="070E50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（七）禁止在金沙江干流、长江一级支流建设除党中央、国务院、</w:t>
                  </w:r>
                  <w:r>
                    <w:rPr>
                      <w:rFonts w:hint="eastAsia"/>
                      <w:color w:val="auto"/>
                      <w:lang w:eastAsia="zh-CN"/>
                    </w:rPr>
                    <w:t>国务院投资主管部门</w:t>
                  </w:r>
                  <w:r>
                    <w:rPr>
                      <w:color w:val="auto"/>
                    </w:rPr>
                    <w:t>、省级有关部门批复同意以外的过江基础设施项目；禁止未经许可在金沙江干流、长江一级支流、九大高原湖泊流域新设、改设或扩大排污口。</w:t>
                  </w:r>
                </w:p>
              </w:tc>
              <w:tc>
                <w:tcPr>
                  <w:tcW w:w="1685" w:type="pct"/>
                  <w:noWrap w:val="0"/>
                  <w:tcMar>
                    <w:top w:w="57" w:type="dxa"/>
                    <w:left w:w="57" w:type="dxa"/>
                    <w:bottom w:w="57" w:type="dxa"/>
                    <w:right w:w="57" w:type="dxa"/>
                  </w:tcMar>
                  <w:vAlign w:val="center"/>
                </w:tcPr>
                <w:p w14:paraId="39E8B2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项目</w:t>
                  </w:r>
                  <w:r>
                    <w:rPr>
                      <w:rFonts w:hint="eastAsia"/>
                      <w:color w:val="auto"/>
                      <w:lang w:val="en-US" w:eastAsia="zh-CN"/>
                    </w:rPr>
                    <w:t>不在金沙江干流、长江一级支流范围内；</w:t>
                  </w:r>
                  <w:r>
                    <w:rPr>
                      <w:color w:val="auto"/>
                    </w:rPr>
                    <w:t>项目</w:t>
                  </w:r>
                  <w:r>
                    <w:rPr>
                      <w:rFonts w:hint="eastAsia"/>
                      <w:color w:val="auto"/>
                    </w:rPr>
                    <w:t>无</w:t>
                  </w:r>
                  <w:r>
                    <w:rPr>
                      <w:color w:val="auto"/>
                    </w:rPr>
                    <w:t>废水排放</w:t>
                  </w:r>
                  <w:r>
                    <w:rPr>
                      <w:rFonts w:hint="eastAsia"/>
                      <w:color w:val="auto"/>
                      <w:lang w:eastAsia="zh-CN"/>
                    </w:rPr>
                    <w:t>，</w:t>
                  </w:r>
                  <w:r>
                    <w:rPr>
                      <w:rFonts w:hint="eastAsia"/>
                      <w:color w:val="auto"/>
                    </w:rPr>
                    <w:t>无</w:t>
                  </w:r>
                  <w:r>
                    <w:rPr>
                      <w:color w:val="auto"/>
                    </w:rPr>
                    <w:t>排污口。</w:t>
                  </w:r>
                </w:p>
              </w:tc>
              <w:tc>
                <w:tcPr>
                  <w:tcW w:w="493" w:type="pct"/>
                  <w:noWrap w:val="0"/>
                  <w:tcMar>
                    <w:top w:w="57" w:type="dxa"/>
                    <w:left w:w="57" w:type="dxa"/>
                    <w:bottom w:w="57" w:type="dxa"/>
                    <w:right w:w="57" w:type="dxa"/>
                  </w:tcMar>
                  <w:vAlign w:val="center"/>
                </w:tcPr>
                <w:p w14:paraId="61420C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相符</w:t>
                  </w:r>
                </w:p>
              </w:tc>
            </w:tr>
            <w:tr w14:paraId="1EB31A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21" w:type="pct"/>
                  <w:noWrap w:val="0"/>
                  <w:tcMar>
                    <w:top w:w="57" w:type="dxa"/>
                    <w:left w:w="57" w:type="dxa"/>
                    <w:bottom w:w="57" w:type="dxa"/>
                    <w:right w:w="57" w:type="dxa"/>
                  </w:tcMar>
                  <w:vAlign w:val="center"/>
                </w:tcPr>
                <w:p w14:paraId="5AF8F8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（八）禁止在金沙江干流、长江一级支流、水生生物保护区和长江流域禁捕水域开展天然渔业资源生产性捕捞。</w:t>
                  </w:r>
                </w:p>
              </w:tc>
              <w:tc>
                <w:tcPr>
                  <w:tcW w:w="1685" w:type="pct"/>
                  <w:noWrap w:val="0"/>
                  <w:tcMar>
                    <w:top w:w="57" w:type="dxa"/>
                    <w:left w:w="57" w:type="dxa"/>
                    <w:bottom w:w="57" w:type="dxa"/>
                    <w:right w:w="57" w:type="dxa"/>
                  </w:tcMar>
                  <w:vAlign w:val="center"/>
                </w:tcPr>
                <w:p w14:paraId="0B6AC57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本项目不涉及渔业资源捕捞。</w:t>
                  </w:r>
                </w:p>
              </w:tc>
              <w:tc>
                <w:tcPr>
                  <w:tcW w:w="493" w:type="pct"/>
                  <w:noWrap w:val="0"/>
                  <w:tcMar>
                    <w:top w:w="57" w:type="dxa"/>
                    <w:left w:w="57" w:type="dxa"/>
                    <w:bottom w:w="57" w:type="dxa"/>
                    <w:right w:w="57" w:type="dxa"/>
                  </w:tcMar>
                  <w:vAlign w:val="center"/>
                </w:tcPr>
                <w:p w14:paraId="169D5F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相符</w:t>
                  </w:r>
                </w:p>
              </w:tc>
            </w:tr>
            <w:tr w14:paraId="302C01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21" w:type="pct"/>
                  <w:noWrap w:val="0"/>
                  <w:tcMar>
                    <w:top w:w="57" w:type="dxa"/>
                    <w:left w:w="57" w:type="dxa"/>
                    <w:bottom w:w="57" w:type="dxa"/>
                    <w:right w:w="57" w:type="dxa"/>
                  </w:tcMar>
                  <w:vAlign w:val="center"/>
                </w:tcPr>
                <w:p w14:paraId="0D905A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九）禁止在金沙江干流，长江一级支流和九大高原湖泊岸线一公里范围内新建、扩建化工园区和化工项目。禁止在金沙江干流岸线三公里范围内和长江一级支流岸线一公里范围内新建、改建、扩建尾矿库、冶炼渣库和磷石膏库，以提升安全、生态环境保护水平为目的的改建除外。</w:t>
                  </w:r>
                </w:p>
              </w:tc>
              <w:tc>
                <w:tcPr>
                  <w:tcW w:w="1685" w:type="pct"/>
                  <w:noWrap w:val="0"/>
                  <w:tcMar>
                    <w:top w:w="57" w:type="dxa"/>
                    <w:left w:w="57" w:type="dxa"/>
                    <w:bottom w:w="57" w:type="dxa"/>
                    <w:right w:w="57" w:type="dxa"/>
                  </w:tcMar>
                  <w:vAlign w:val="center"/>
                </w:tcPr>
                <w:p w14:paraId="0C3B94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本项目为</w:t>
                  </w:r>
                  <w:r>
                    <w:rPr>
                      <w:rFonts w:hint="eastAsia"/>
                      <w:color w:val="auto"/>
                    </w:rPr>
                    <w:t>输变电</w:t>
                  </w:r>
                  <w:r>
                    <w:rPr>
                      <w:color w:val="auto"/>
                    </w:rPr>
                    <w:t>项目，不属于在金沙江干流3公里范围内禁止建设类项目。</w:t>
                  </w:r>
                </w:p>
              </w:tc>
              <w:tc>
                <w:tcPr>
                  <w:tcW w:w="493" w:type="pct"/>
                  <w:noWrap w:val="0"/>
                  <w:tcMar>
                    <w:top w:w="57" w:type="dxa"/>
                    <w:left w:w="57" w:type="dxa"/>
                    <w:bottom w:w="57" w:type="dxa"/>
                    <w:right w:w="57" w:type="dxa"/>
                  </w:tcMar>
                  <w:vAlign w:val="center"/>
                </w:tcPr>
                <w:p w14:paraId="6C4A67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相符</w:t>
                  </w:r>
                </w:p>
              </w:tc>
            </w:tr>
            <w:tr w14:paraId="4F4919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21" w:type="pct"/>
                  <w:noWrap w:val="0"/>
                  <w:tcMar>
                    <w:top w:w="57" w:type="dxa"/>
                    <w:left w:w="57" w:type="dxa"/>
                    <w:bottom w:w="57" w:type="dxa"/>
                    <w:right w:w="57" w:type="dxa"/>
                  </w:tcMar>
                  <w:vAlign w:val="center"/>
                </w:tcPr>
                <w:p w14:paraId="75BF169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（十）禁止在合规园区外新建、扩建钢铁、石化、化工、焦化、建材、有色、制浆造纸行业中的高污染项目。</w:t>
                  </w:r>
                </w:p>
              </w:tc>
              <w:tc>
                <w:tcPr>
                  <w:tcW w:w="1685" w:type="pct"/>
                  <w:noWrap w:val="0"/>
                  <w:tcMar>
                    <w:top w:w="57" w:type="dxa"/>
                    <w:left w:w="57" w:type="dxa"/>
                    <w:bottom w:w="57" w:type="dxa"/>
                    <w:right w:w="57" w:type="dxa"/>
                  </w:tcMar>
                  <w:vAlign w:val="center"/>
                </w:tcPr>
                <w:p w14:paraId="6AE157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项目位于</w:t>
                  </w:r>
                  <w:r>
                    <w:rPr>
                      <w:rFonts w:hint="eastAsia"/>
                      <w:color w:val="auto"/>
                      <w:lang w:eastAsia="zh-CN"/>
                    </w:rPr>
                    <w:t>曲靖市会泽县宝云街道、乐业镇、五星乡</w:t>
                  </w:r>
                  <w:r>
                    <w:rPr>
                      <w:rFonts w:hint="eastAsia"/>
                      <w:color w:val="auto"/>
                    </w:rPr>
                    <w:t>内，不属于禁止项目</w:t>
                  </w:r>
                </w:p>
              </w:tc>
              <w:tc>
                <w:tcPr>
                  <w:tcW w:w="493" w:type="pct"/>
                  <w:noWrap w:val="0"/>
                  <w:tcMar>
                    <w:top w:w="57" w:type="dxa"/>
                    <w:left w:w="57" w:type="dxa"/>
                    <w:bottom w:w="57" w:type="dxa"/>
                    <w:right w:w="57" w:type="dxa"/>
                  </w:tcMar>
                  <w:vAlign w:val="center"/>
                </w:tcPr>
                <w:p w14:paraId="6038F8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相符</w:t>
                  </w:r>
                </w:p>
              </w:tc>
            </w:tr>
            <w:tr w14:paraId="324025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21" w:type="pct"/>
                  <w:noWrap w:val="0"/>
                  <w:tcMar>
                    <w:top w:w="57" w:type="dxa"/>
                    <w:left w:w="57" w:type="dxa"/>
                    <w:bottom w:w="57" w:type="dxa"/>
                    <w:right w:w="57" w:type="dxa"/>
                  </w:tcMar>
                  <w:vAlign w:val="center"/>
                </w:tcPr>
                <w:p w14:paraId="41B2D2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（十一）禁止新建、扩建不符合国家石化、现代煤化工等产业布局规划的项目。禁止列入《云南省城镇人口密集区危险化学品生产企业搬迁改造名单》的搬迁改造企业在原址新建、扩建危险化学品生产项目。</w:t>
                  </w:r>
                </w:p>
              </w:tc>
              <w:tc>
                <w:tcPr>
                  <w:tcW w:w="1685" w:type="pct"/>
                  <w:noWrap w:val="0"/>
                  <w:tcMar>
                    <w:top w:w="57" w:type="dxa"/>
                    <w:left w:w="57" w:type="dxa"/>
                    <w:bottom w:w="57" w:type="dxa"/>
                    <w:right w:w="57" w:type="dxa"/>
                  </w:tcMar>
                  <w:vAlign w:val="center"/>
                </w:tcPr>
                <w:p w14:paraId="792F3B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本项目不涉及</w:t>
                  </w:r>
                </w:p>
              </w:tc>
              <w:tc>
                <w:tcPr>
                  <w:tcW w:w="493" w:type="pct"/>
                  <w:noWrap w:val="0"/>
                  <w:tcMar>
                    <w:top w:w="57" w:type="dxa"/>
                    <w:left w:w="57" w:type="dxa"/>
                    <w:bottom w:w="57" w:type="dxa"/>
                    <w:right w:w="57" w:type="dxa"/>
                  </w:tcMar>
                  <w:vAlign w:val="center"/>
                </w:tcPr>
                <w:p w14:paraId="626ABA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相符</w:t>
                  </w:r>
                </w:p>
              </w:tc>
            </w:tr>
            <w:tr w14:paraId="40FC86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21" w:type="pct"/>
                  <w:noWrap w:val="0"/>
                  <w:tcMar>
                    <w:top w:w="57" w:type="dxa"/>
                    <w:left w:w="57" w:type="dxa"/>
                    <w:bottom w:w="57" w:type="dxa"/>
                    <w:right w:w="57" w:type="dxa"/>
                  </w:tcMar>
                  <w:vAlign w:val="center"/>
                </w:tcPr>
                <w:p w14:paraId="3D44DD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十二）禁止新建、扩建法律法规和相关政策明令禁止的落后产能项目，依法依规关停退出能耗、环保、质量、安全不达标产能和技术落后产能。禁止新建、扩建不符合国家产能置换要求的过剩产能行业的项目。禁止新建、扩建不符合要求的高耗能、高排放项目，推动退出重点高耗能行业“限制类”产能。禁止建设高毒高残留以及对环境影响大的农药原药生产装置，严控尿素、磷铵、电石、焦炭、黄磷、烧碱、纯碱、聚氯乙烯等行业新增产能。</w:t>
                  </w:r>
                </w:p>
              </w:tc>
              <w:tc>
                <w:tcPr>
                  <w:tcW w:w="1685" w:type="pct"/>
                  <w:noWrap w:val="0"/>
                  <w:tcMar>
                    <w:top w:w="57" w:type="dxa"/>
                    <w:left w:w="57" w:type="dxa"/>
                    <w:bottom w:w="57" w:type="dxa"/>
                    <w:right w:w="57" w:type="dxa"/>
                  </w:tcMar>
                  <w:vAlign w:val="center"/>
                </w:tcPr>
                <w:p w14:paraId="498DFF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项目</w:t>
                  </w:r>
                  <w:r>
                    <w:rPr>
                      <w:rFonts w:hint="eastAsia"/>
                      <w:color w:val="auto"/>
                    </w:rPr>
                    <w:t>属于输变电项目</w:t>
                  </w:r>
                  <w:r>
                    <w:rPr>
                      <w:color w:val="auto"/>
                    </w:rPr>
                    <w:t>，不属于法律法规和相关政策明令禁止的落后产能项目，也不属于依法依规淘汰不符合生态要求的</w:t>
                  </w:r>
                  <w:r>
                    <w:rPr>
                      <w:rFonts w:hint="eastAsia"/>
                      <w:color w:val="auto"/>
                    </w:rPr>
                    <w:t>项目</w:t>
                  </w:r>
                  <w:r>
                    <w:rPr>
                      <w:color w:val="auto"/>
                    </w:rPr>
                    <w:t>。</w:t>
                  </w:r>
                </w:p>
              </w:tc>
              <w:tc>
                <w:tcPr>
                  <w:tcW w:w="493" w:type="pct"/>
                  <w:noWrap w:val="0"/>
                  <w:tcMar>
                    <w:top w:w="57" w:type="dxa"/>
                    <w:left w:w="57" w:type="dxa"/>
                    <w:bottom w:w="57" w:type="dxa"/>
                    <w:right w:w="57" w:type="dxa"/>
                  </w:tcMar>
                  <w:vAlign w:val="center"/>
                </w:tcPr>
                <w:p w14:paraId="193E14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t>相符</w:t>
                  </w:r>
                </w:p>
              </w:tc>
            </w:tr>
          </w:tbl>
          <w:p w14:paraId="64D0B471">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textAlignment w:val="auto"/>
              <w:rPr>
                <w:color w:val="auto"/>
                <w:sz w:val="24"/>
              </w:rPr>
            </w:pPr>
            <w:r>
              <w:rPr>
                <w:color w:val="auto"/>
                <w:sz w:val="24"/>
              </w:rPr>
              <w:t>从上表可以看出，项目满足</w:t>
            </w:r>
            <w:r>
              <w:rPr>
                <w:color w:val="auto"/>
                <w:kern w:val="0"/>
                <w:sz w:val="24"/>
              </w:rPr>
              <w:t>《云南省长江经济带发展负面清单指南实施细则（试行</w:t>
            </w:r>
            <w:r>
              <w:rPr>
                <w:rFonts w:hint="eastAsia"/>
                <w:color w:val="auto"/>
                <w:kern w:val="0"/>
                <w:sz w:val="24"/>
              </w:rPr>
              <w:t>，2022版</w:t>
            </w:r>
            <w:r>
              <w:rPr>
                <w:color w:val="auto"/>
                <w:kern w:val="0"/>
                <w:sz w:val="24"/>
              </w:rPr>
              <w:t>）》</w:t>
            </w:r>
            <w:r>
              <w:rPr>
                <w:color w:val="auto"/>
                <w:sz w:val="24"/>
              </w:rPr>
              <w:t>的相关要求。</w:t>
            </w:r>
          </w:p>
          <w:p w14:paraId="33190FD0">
            <w:pPr>
              <w:keepNext w:val="0"/>
              <w:keepLines w:val="0"/>
              <w:pageBreakBefore w:val="0"/>
              <w:widowControl w:val="0"/>
              <w:kinsoku/>
              <w:wordWrap/>
              <w:overflowPunct/>
              <w:topLinePunct w:val="0"/>
              <w:bidi w:val="0"/>
              <w:adjustRightInd w:val="0"/>
              <w:snapToGrid w:val="0"/>
              <w:spacing w:line="440" w:lineRule="exact"/>
              <w:textAlignment w:val="auto"/>
              <w:rPr>
                <w:rFonts w:hint="default" w:ascii="Times New Roman" w:hAnsi="Times New Roman" w:cs="Times New Roman"/>
                <w:b/>
                <w:color w:val="auto"/>
                <w:sz w:val="24"/>
                <w:szCs w:val="24"/>
                <w:lang w:val="en-US" w:eastAsia="zh-CN"/>
              </w:rPr>
            </w:pPr>
            <w:r>
              <w:rPr>
                <w:rFonts w:hint="eastAsia" w:ascii="Times New Roman" w:hAnsi="Times New Roman" w:cs="Times New Roman"/>
                <w:b/>
                <w:color w:val="auto"/>
                <w:sz w:val="24"/>
                <w:szCs w:val="24"/>
                <w:lang w:val="en-US" w:eastAsia="zh-CN"/>
              </w:rPr>
              <w:t>11、</w:t>
            </w:r>
            <w:r>
              <w:rPr>
                <w:rFonts w:hint="default" w:ascii="Times New Roman" w:hAnsi="Times New Roman" w:cs="Times New Roman"/>
                <w:b/>
                <w:color w:val="auto"/>
                <w:sz w:val="24"/>
                <w:szCs w:val="24"/>
                <w:lang w:val="en-US" w:eastAsia="zh-CN"/>
              </w:rPr>
              <w:t>与公益林符合性分析</w:t>
            </w:r>
          </w:p>
          <w:p w14:paraId="3EDB8F0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Times New Roman" w:hAnsi="Times New Roman"/>
                <w:color w:val="auto"/>
                <w:sz w:val="24"/>
                <w:szCs w:val="24"/>
              </w:rPr>
            </w:pPr>
            <w:r>
              <w:rPr>
                <w:rFonts w:hint="default" w:ascii="Times New Roman" w:hAnsi="Times New Roman" w:cs="Times New Roman"/>
                <w:color w:val="auto"/>
                <w:sz w:val="24"/>
                <w:szCs w:val="24"/>
                <w:highlight w:val="none"/>
                <w:lang w:val="en-US" w:eastAsia="zh-CN"/>
              </w:rPr>
              <w:t>根据管理部门意见及林业调查数据结果，</w:t>
            </w:r>
            <w:r>
              <w:rPr>
                <w:rFonts w:ascii="Times New Roman" w:hAnsi="Times New Roman"/>
                <w:color w:val="auto"/>
                <w:sz w:val="24"/>
                <w:szCs w:val="24"/>
              </w:rPr>
              <w:t>项目不涉及占用国家一级公益林和国家二级公益林。项目占用省级公益林</w:t>
            </w:r>
            <w:r>
              <w:rPr>
                <w:rFonts w:hint="eastAsia" w:ascii="Times New Roman" w:hAnsi="Times New Roman"/>
                <w:color w:val="auto"/>
                <w:sz w:val="24"/>
                <w:szCs w:val="24"/>
                <w:lang w:val="en-US" w:eastAsia="zh-CN"/>
              </w:rPr>
              <w:t>0.0607</w:t>
            </w:r>
            <w:r>
              <w:rPr>
                <w:rFonts w:ascii="Times New Roman" w:hAnsi="Times New Roman"/>
                <w:color w:val="auto"/>
                <w:sz w:val="24"/>
                <w:szCs w:val="24"/>
              </w:rPr>
              <w:t>公顷，其中塔基永久占地</w:t>
            </w:r>
            <w:r>
              <w:rPr>
                <w:rFonts w:hint="eastAsia" w:ascii="Times New Roman" w:hAnsi="Times New Roman"/>
                <w:color w:val="auto"/>
                <w:sz w:val="24"/>
                <w:szCs w:val="24"/>
                <w:lang w:val="en-US" w:eastAsia="zh-CN"/>
              </w:rPr>
              <w:t>0.01413</w:t>
            </w:r>
            <w:r>
              <w:rPr>
                <w:rFonts w:ascii="Times New Roman" w:hAnsi="Times New Roman"/>
                <w:color w:val="auto"/>
                <w:sz w:val="24"/>
                <w:szCs w:val="24"/>
              </w:rPr>
              <w:t>公顷，临时占地</w:t>
            </w:r>
            <w:r>
              <w:rPr>
                <w:rFonts w:hint="eastAsia" w:ascii="Times New Roman" w:hAnsi="Times New Roman"/>
                <w:color w:val="auto"/>
                <w:sz w:val="24"/>
                <w:szCs w:val="24"/>
                <w:lang w:val="en-US" w:eastAsia="zh-CN"/>
              </w:rPr>
              <w:t>0.04657</w:t>
            </w:r>
            <w:r>
              <w:rPr>
                <w:rFonts w:ascii="Times New Roman" w:hAnsi="Times New Roman"/>
                <w:color w:val="auto"/>
                <w:sz w:val="24"/>
                <w:szCs w:val="24"/>
              </w:rPr>
              <w:t>公顷。其中塔基N</w:t>
            </w:r>
            <w:r>
              <w:rPr>
                <w:rFonts w:hint="eastAsia" w:ascii="Times New Roman" w:hAnsi="Times New Roman"/>
                <w:color w:val="auto"/>
                <w:sz w:val="24"/>
                <w:szCs w:val="24"/>
                <w:lang w:val="en-US" w:eastAsia="zh-CN"/>
              </w:rPr>
              <w:t>1</w:t>
            </w:r>
            <w:r>
              <w:rPr>
                <w:rFonts w:ascii="Times New Roman" w:hAnsi="Times New Roman"/>
                <w:color w:val="auto"/>
                <w:sz w:val="24"/>
                <w:szCs w:val="24"/>
              </w:rPr>
              <w:t>3、N</w:t>
            </w:r>
            <w:r>
              <w:rPr>
                <w:rFonts w:hint="eastAsia" w:ascii="Times New Roman" w:hAnsi="Times New Roman"/>
                <w:color w:val="auto"/>
                <w:sz w:val="24"/>
                <w:szCs w:val="24"/>
                <w:lang w:val="en-US" w:eastAsia="zh-CN"/>
              </w:rPr>
              <w:t>1</w:t>
            </w:r>
            <w:r>
              <w:rPr>
                <w:rFonts w:ascii="Times New Roman" w:hAnsi="Times New Roman"/>
                <w:color w:val="auto"/>
                <w:sz w:val="24"/>
                <w:szCs w:val="24"/>
              </w:rPr>
              <w:t>4共</w:t>
            </w:r>
            <w:r>
              <w:rPr>
                <w:rFonts w:hint="eastAsia" w:ascii="Times New Roman" w:hAnsi="Times New Roman"/>
                <w:color w:val="auto"/>
                <w:sz w:val="24"/>
                <w:szCs w:val="24"/>
                <w:lang w:val="en-US" w:eastAsia="zh-CN"/>
              </w:rPr>
              <w:t>2</w:t>
            </w:r>
            <w:r>
              <w:rPr>
                <w:rFonts w:ascii="Times New Roman" w:hAnsi="Times New Roman"/>
                <w:color w:val="auto"/>
                <w:sz w:val="24"/>
                <w:szCs w:val="24"/>
              </w:rPr>
              <w:t>个塔基占用省级公益林，面积约为</w:t>
            </w:r>
            <w:r>
              <w:rPr>
                <w:rFonts w:hint="eastAsia" w:ascii="Times New Roman" w:hAnsi="Times New Roman"/>
                <w:color w:val="auto"/>
                <w:sz w:val="24"/>
                <w:szCs w:val="24"/>
                <w:lang w:val="en-US" w:eastAsia="zh-CN"/>
              </w:rPr>
              <w:t>0.01413</w:t>
            </w:r>
            <w:r>
              <w:rPr>
                <w:rFonts w:ascii="Times New Roman" w:hAnsi="Times New Roman"/>
                <w:color w:val="auto"/>
                <w:sz w:val="24"/>
                <w:szCs w:val="24"/>
              </w:rPr>
              <w:t>公顷，主要功能为水土保持。临时占地主要为施工便道、人抬道路等。</w:t>
            </w:r>
          </w:p>
          <w:p w14:paraId="72EABD6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项目占用公益林面积占会泽县生态公益林总面积比例较小，不会损害公益林主导生态功能的持续发挥，对其整体生态服务能力影响不大，但需按林业部门管理要求，办理相关手续，对区域</w:t>
            </w:r>
            <w:r>
              <w:rPr>
                <w:rFonts w:hint="eastAsia" w:ascii="Times New Roman" w:hAnsi="Times New Roman" w:cs="Times New Roman"/>
                <w:color w:val="auto"/>
                <w:sz w:val="24"/>
                <w:szCs w:val="24"/>
                <w:lang w:val="en-US" w:eastAsia="zh-CN"/>
              </w:rPr>
              <w:t>生</w:t>
            </w:r>
            <w:r>
              <w:rPr>
                <w:rFonts w:hint="default" w:ascii="Times New Roman" w:hAnsi="Times New Roman" w:cs="Times New Roman"/>
                <w:color w:val="auto"/>
                <w:sz w:val="24"/>
                <w:szCs w:val="24"/>
                <w:lang w:val="en-US" w:eastAsia="zh-CN"/>
              </w:rPr>
              <w:t>态公益林需要采取补偿措施以降低影响。</w:t>
            </w:r>
          </w:p>
          <w:p w14:paraId="52EC404B">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根据</w:t>
            </w:r>
            <w:r>
              <w:rPr>
                <w:rFonts w:hint="default" w:ascii="Times New Roman" w:hAnsi="Times New Roman" w:cs="Times New Roman"/>
                <w:color w:val="auto"/>
                <w:sz w:val="24"/>
                <w:szCs w:val="24"/>
                <w:lang w:val="en-US" w:eastAsia="zh-CN"/>
              </w:rPr>
              <w:t>《云南省公益林管理办法》（云林规〔2019〕2号）第二十五条：“严格控制勘查、采矿和工程建设使用公益林地。纳入生态保护红线范围的公益林，按生态管控红线相关要求执行；未纳入生态保护红线范围、确需使用的公益林，由县级以上林业和草原主管部门进行核查，严格按照相关规定办理使用林地和林木采伐手续……”。第二十九条：“省级公益林在不影响整体森林生态系统功能发挥的前提下，应当参照《国家级公益林管理办法》第十二条第三款的规定开展抚育和更新性质的采伐。在不破坏森林植被的前提下，可以合理利用林地资源，适度开展林下种植养殖和森林游憩等非木质资源开发与利用，科学发展林下经济……”</w:t>
            </w:r>
          </w:p>
          <w:p w14:paraId="13293CE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eastAsia="宋体" w:cs="Times New Roman"/>
                <w:b w:val="0"/>
                <w:bCs w:val="0"/>
                <w:color w:val="auto"/>
                <w:sz w:val="24"/>
                <w:szCs w:val="24"/>
                <w:lang w:val="zh-CN" w:eastAsia="zh-CN"/>
              </w:rPr>
            </w:pPr>
            <w:r>
              <w:rPr>
                <w:rFonts w:hint="default" w:ascii="Times New Roman" w:hAnsi="Times New Roman" w:cs="Times New Roman"/>
                <w:color w:val="auto"/>
                <w:sz w:val="24"/>
                <w:szCs w:val="24"/>
                <w:lang w:val="en-US" w:eastAsia="zh-CN"/>
              </w:rPr>
              <w:t>按照《云南省公益林管理办法》（云林规〔2019〕2号）的相关规定，目前，项目占用的公益林正在按照林草局相关规定办理使用林地和林木采伐手续，因此，项目的建设符合现行国家和地方公益林管控要求。</w:t>
            </w:r>
          </w:p>
          <w:p w14:paraId="529C5C84">
            <w:pPr>
              <w:keepNext w:val="0"/>
              <w:keepLines w:val="0"/>
              <w:pageBreakBefore w:val="0"/>
              <w:widowControl w:val="0"/>
              <w:kinsoku/>
              <w:wordWrap/>
              <w:overflowPunct/>
              <w:topLinePunct w:val="0"/>
              <w:autoSpaceDE w:val="0"/>
              <w:autoSpaceDN w:val="0"/>
              <w:bidi w:val="0"/>
              <w:adjustRightInd w:val="0"/>
              <w:snapToGrid w:val="0"/>
              <w:spacing w:line="440" w:lineRule="exact"/>
              <w:ind w:right="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cs="Times New Roman"/>
                <w:b/>
                <w:color w:val="auto"/>
                <w:sz w:val="24"/>
                <w:szCs w:val="24"/>
                <w:lang w:val="en-US" w:eastAsia="zh-CN"/>
              </w:rPr>
              <w:t>1</w:t>
            </w:r>
            <w:r>
              <w:rPr>
                <w:rFonts w:hint="eastAsia" w:ascii="Times New Roman" w:hAnsi="Times New Roman" w:cs="Times New Roman"/>
                <w:b/>
                <w:color w:val="auto"/>
                <w:sz w:val="24"/>
                <w:szCs w:val="24"/>
                <w:lang w:val="en-US" w:eastAsia="zh-CN"/>
              </w:rPr>
              <w:t>2</w:t>
            </w:r>
            <w:r>
              <w:rPr>
                <w:rFonts w:hint="default" w:ascii="Times New Roman" w:hAnsi="Times New Roman" w:cs="Times New Roman"/>
                <w:b/>
                <w:color w:val="auto"/>
                <w:sz w:val="24"/>
                <w:szCs w:val="24"/>
                <w:lang w:val="en-US" w:eastAsia="zh-CN"/>
              </w:rPr>
              <w:t>、</w:t>
            </w:r>
            <w:r>
              <w:rPr>
                <w:rFonts w:hint="default" w:ascii="Times New Roman" w:hAnsi="Times New Roman" w:eastAsia="宋体" w:cs="Times New Roman"/>
                <w:b/>
                <w:bCs/>
                <w:color w:val="auto"/>
                <w:sz w:val="24"/>
                <w:szCs w:val="24"/>
                <w:lang w:val="en-US" w:eastAsia="zh-CN"/>
              </w:rPr>
              <w:t>与《曲靖市生态环境保护“十四五”规划》符合性分析</w:t>
            </w:r>
          </w:p>
          <w:p w14:paraId="5CEEB5AF">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于2022年4月11日曲靖市人民政府办公室印发了《曲靖市生态环境保护“十四五”规划的通知》（曲政办发〔2022〕24号）。项目与《曲靖市生态环境保护“十四五”规划》相符性分析如下：</w:t>
            </w:r>
          </w:p>
          <w:p w14:paraId="6764E923">
            <w:pPr>
              <w:pageBreakBefore w:val="0"/>
              <w:kinsoku/>
              <w:wordWrap/>
              <w:overflowPunct/>
              <w:autoSpaceDE w:val="0"/>
              <w:autoSpaceDN w:val="0"/>
              <w:bidi w:val="0"/>
              <w:adjustRightInd/>
              <w:snapToGrid/>
              <w:spacing w:line="240" w:lineRule="auto"/>
              <w:ind w:right="0"/>
              <w:jc w:val="center"/>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表1-</w:t>
            </w:r>
            <w:r>
              <w:rPr>
                <w:rFonts w:hint="default" w:ascii="Times New Roman" w:hAnsi="Times New Roman" w:cs="Times New Roman"/>
                <w:b/>
                <w:bCs/>
                <w:color w:val="auto"/>
                <w:sz w:val="24"/>
                <w:lang w:val="en-US" w:eastAsia="zh-CN"/>
              </w:rPr>
              <w:t>11</w:t>
            </w:r>
            <w:r>
              <w:rPr>
                <w:rFonts w:hint="default" w:ascii="Times New Roman" w:hAnsi="Times New Roman" w:eastAsia="宋体" w:cs="Times New Roman"/>
                <w:b/>
                <w:bCs/>
                <w:color w:val="auto"/>
                <w:sz w:val="24"/>
                <w:lang w:val="en-US" w:eastAsia="zh-CN"/>
              </w:rPr>
              <w:t xml:space="preserve"> 项目与《曲靖市生态环境保护“十四五”规划》的符合性分析</w:t>
            </w:r>
          </w:p>
          <w:tbl>
            <w:tblPr>
              <w:tblStyle w:val="91"/>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014"/>
              <w:gridCol w:w="2990"/>
              <w:gridCol w:w="2350"/>
              <w:gridCol w:w="495"/>
            </w:tblGrid>
            <w:tr w14:paraId="0AD9CB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923" w:type="pct"/>
                  <w:gridSpan w:val="2"/>
                  <w:tcBorders>
                    <w:tl2br w:val="nil"/>
                    <w:tr2bl w:val="nil"/>
                  </w:tcBorders>
                  <w:noWrap w:val="0"/>
                  <w:tcMar>
                    <w:top w:w="0" w:type="dxa"/>
                    <w:left w:w="28" w:type="dxa"/>
                    <w:bottom w:w="0" w:type="dxa"/>
                    <w:right w:w="28" w:type="dxa"/>
                  </w:tcMar>
                  <w:vAlign w:val="center"/>
                </w:tcPr>
                <w:p w14:paraId="2C46BE34">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b/>
                      <w:bCs/>
                      <w:caps w:val="0"/>
                      <w:snapToGrid/>
                      <w:color w:val="auto"/>
                      <w:spacing w:val="0"/>
                      <w:sz w:val="21"/>
                      <w:szCs w:val="21"/>
                      <w:highlight w:val="none"/>
                      <w:vertAlign w:val="baseline"/>
                      <w:lang w:val="en-US" w:eastAsia="zh-CN" w:bidi="ar-SA"/>
                    </w:rPr>
                    <w:t>《曲靖市生态环境保护“十四五”规划》相关要求</w:t>
                  </w:r>
                </w:p>
              </w:tc>
              <w:tc>
                <w:tcPr>
                  <w:tcW w:w="1715" w:type="pct"/>
                  <w:tcBorders>
                    <w:tl2br w:val="nil"/>
                    <w:tr2bl w:val="nil"/>
                  </w:tcBorders>
                  <w:noWrap w:val="0"/>
                  <w:tcMar>
                    <w:top w:w="0" w:type="dxa"/>
                    <w:left w:w="28" w:type="dxa"/>
                    <w:bottom w:w="0" w:type="dxa"/>
                    <w:right w:w="28" w:type="dxa"/>
                  </w:tcMar>
                  <w:vAlign w:val="center"/>
                </w:tcPr>
                <w:p w14:paraId="56B382AA">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b/>
                      <w:bCs/>
                      <w:caps w:val="0"/>
                      <w:snapToGrid/>
                      <w:color w:val="auto"/>
                      <w:spacing w:val="0"/>
                      <w:sz w:val="21"/>
                      <w:szCs w:val="21"/>
                      <w:highlight w:val="none"/>
                      <w:vertAlign w:val="baseline"/>
                      <w:lang w:val="en-US" w:eastAsia="zh-CN" w:bidi="ar-SA"/>
                    </w:rPr>
                    <w:t>本项目</w:t>
                  </w:r>
                </w:p>
              </w:tc>
              <w:tc>
                <w:tcPr>
                  <w:tcW w:w="361" w:type="pct"/>
                  <w:tcBorders>
                    <w:tl2br w:val="nil"/>
                    <w:tr2bl w:val="nil"/>
                  </w:tcBorders>
                  <w:noWrap w:val="0"/>
                  <w:tcMar>
                    <w:top w:w="0" w:type="dxa"/>
                    <w:left w:w="28" w:type="dxa"/>
                    <w:bottom w:w="0" w:type="dxa"/>
                    <w:right w:w="28" w:type="dxa"/>
                  </w:tcMar>
                  <w:vAlign w:val="center"/>
                </w:tcPr>
                <w:p w14:paraId="21816991">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b/>
                      <w:bCs/>
                      <w:caps w:val="0"/>
                      <w:snapToGrid/>
                      <w:color w:val="auto"/>
                      <w:spacing w:val="0"/>
                      <w:sz w:val="21"/>
                      <w:szCs w:val="21"/>
                      <w:highlight w:val="none"/>
                      <w:vertAlign w:val="baseline"/>
                      <w:lang w:val="en-US" w:eastAsia="zh-CN" w:bidi="ar-SA"/>
                    </w:rPr>
                    <w:t>符合性</w:t>
                  </w:r>
                </w:p>
              </w:tc>
            </w:tr>
            <w:tr w14:paraId="53E9C0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000" w:type="pct"/>
                  <w:gridSpan w:val="4"/>
                  <w:tcBorders>
                    <w:tl2br w:val="nil"/>
                    <w:tr2bl w:val="nil"/>
                  </w:tcBorders>
                  <w:noWrap w:val="0"/>
                  <w:tcMar>
                    <w:top w:w="0" w:type="dxa"/>
                    <w:left w:w="28" w:type="dxa"/>
                    <w:bottom w:w="0" w:type="dxa"/>
                    <w:right w:w="28" w:type="dxa"/>
                  </w:tcMar>
                  <w:vAlign w:val="center"/>
                </w:tcPr>
                <w:p w14:paraId="09065259">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第三章、坚持创新引领，全面推进绿色发展</w:t>
                  </w:r>
                </w:p>
              </w:tc>
            </w:tr>
            <w:tr w14:paraId="79903E9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0" w:type="pct"/>
                  <w:tcBorders>
                    <w:tl2br w:val="nil"/>
                    <w:tr2bl w:val="nil"/>
                  </w:tcBorders>
                  <w:noWrap w:val="0"/>
                  <w:tcMar>
                    <w:top w:w="0" w:type="dxa"/>
                    <w:left w:w="28" w:type="dxa"/>
                    <w:bottom w:w="0" w:type="dxa"/>
                    <w:right w:w="28" w:type="dxa"/>
                  </w:tcMar>
                  <w:vAlign w:val="center"/>
                </w:tcPr>
                <w:p w14:paraId="1114DC54">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第三节、调整产业结构</w:t>
                  </w:r>
                </w:p>
              </w:tc>
              <w:tc>
                <w:tcPr>
                  <w:tcW w:w="2183" w:type="pct"/>
                  <w:tcBorders>
                    <w:tl2br w:val="nil"/>
                    <w:tr2bl w:val="nil"/>
                  </w:tcBorders>
                  <w:noWrap w:val="0"/>
                  <w:tcMar>
                    <w:top w:w="0" w:type="dxa"/>
                    <w:left w:w="28" w:type="dxa"/>
                    <w:bottom w:w="0" w:type="dxa"/>
                    <w:right w:w="28" w:type="dxa"/>
                  </w:tcMar>
                  <w:vAlign w:val="center"/>
                </w:tcPr>
                <w:p w14:paraId="25BDD845">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优化产业绿色转型。严格控制新建扩建高耗能高排放项目，鼓励发展低能耗低排放产业。聚焦主要生态环境问题及短板，鼓励发展节能环保技术咨询、系统设计、工程施工、运营管理等专业化服务，重点发展先进环保技术和装备制造业、环保产品、新型建材、资源循环利用产业，培育绿色经济新增长点，建设云南省节能环保装备制造产业园区。</w:t>
                  </w:r>
                </w:p>
              </w:tc>
              <w:tc>
                <w:tcPr>
                  <w:tcW w:w="1715" w:type="pct"/>
                  <w:tcBorders>
                    <w:tl2br w:val="nil"/>
                    <w:tr2bl w:val="nil"/>
                  </w:tcBorders>
                  <w:noWrap w:val="0"/>
                  <w:tcMar>
                    <w:top w:w="0" w:type="dxa"/>
                    <w:left w:w="28" w:type="dxa"/>
                    <w:bottom w:w="0" w:type="dxa"/>
                    <w:right w:w="28" w:type="dxa"/>
                  </w:tcMar>
                  <w:vAlign w:val="center"/>
                </w:tcPr>
                <w:p w14:paraId="3BBB5EC8">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项目为输变电项目，不属于高能耗高排放项目。项目生产原料为光能，属于可再生清洁能源工程。</w:t>
                  </w:r>
                </w:p>
              </w:tc>
              <w:tc>
                <w:tcPr>
                  <w:tcW w:w="361" w:type="pct"/>
                  <w:tcBorders>
                    <w:tl2br w:val="nil"/>
                    <w:tr2bl w:val="nil"/>
                  </w:tcBorders>
                  <w:noWrap w:val="0"/>
                  <w:tcMar>
                    <w:top w:w="0" w:type="dxa"/>
                    <w:left w:w="28" w:type="dxa"/>
                    <w:bottom w:w="0" w:type="dxa"/>
                    <w:right w:w="28" w:type="dxa"/>
                  </w:tcMar>
                  <w:vAlign w:val="center"/>
                </w:tcPr>
                <w:p w14:paraId="2D027992">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符合</w:t>
                  </w:r>
                </w:p>
              </w:tc>
            </w:tr>
            <w:tr w14:paraId="3CB4A4A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000" w:type="pct"/>
                  <w:gridSpan w:val="4"/>
                  <w:tcBorders>
                    <w:tl2br w:val="nil"/>
                    <w:tr2bl w:val="nil"/>
                  </w:tcBorders>
                  <w:noWrap w:val="0"/>
                  <w:tcMar>
                    <w:top w:w="0" w:type="dxa"/>
                    <w:left w:w="28" w:type="dxa"/>
                    <w:bottom w:w="0" w:type="dxa"/>
                    <w:right w:w="28" w:type="dxa"/>
                  </w:tcMar>
                  <w:vAlign w:val="center"/>
                </w:tcPr>
                <w:p w14:paraId="3E10EEA5">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第四章、统筹协同治理，持续改善生态环境质量</w:t>
                  </w:r>
                </w:p>
              </w:tc>
            </w:tr>
            <w:tr w14:paraId="2DB40F7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0" w:type="pct"/>
                  <w:tcBorders>
                    <w:tl2br w:val="nil"/>
                    <w:tr2bl w:val="nil"/>
                  </w:tcBorders>
                  <w:noWrap w:val="0"/>
                  <w:tcMar>
                    <w:top w:w="0" w:type="dxa"/>
                    <w:left w:w="28" w:type="dxa"/>
                    <w:bottom w:w="0" w:type="dxa"/>
                    <w:right w:w="28" w:type="dxa"/>
                  </w:tcMar>
                  <w:vAlign w:val="center"/>
                </w:tcPr>
                <w:p w14:paraId="1725E8BF">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第一节、深化三水统筹，巩固水生态环境质量</w:t>
                  </w:r>
                </w:p>
              </w:tc>
              <w:tc>
                <w:tcPr>
                  <w:tcW w:w="2183" w:type="pct"/>
                  <w:tcBorders>
                    <w:tl2br w:val="nil"/>
                    <w:tr2bl w:val="nil"/>
                  </w:tcBorders>
                  <w:noWrap w:val="0"/>
                  <w:tcMar>
                    <w:top w:w="0" w:type="dxa"/>
                    <w:left w:w="28" w:type="dxa"/>
                    <w:bottom w:w="0" w:type="dxa"/>
                    <w:right w:w="28" w:type="dxa"/>
                  </w:tcMar>
                  <w:vAlign w:val="center"/>
                </w:tcPr>
                <w:p w14:paraId="5FBC2593">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加强节水型社会建设，提高水资源利用率。推广节水工艺、技术和装备，促进企业废水深度处理回用，加快推进工业园区水循环利用改造建设重点工程，提高工业用水循环利用率。</w:t>
                  </w:r>
                </w:p>
              </w:tc>
              <w:tc>
                <w:tcPr>
                  <w:tcW w:w="1715" w:type="pct"/>
                  <w:tcBorders>
                    <w:tl2br w:val="nil"/>
                    <w:tr2bl w:val="nil"/>
                  </w:tcBorders>
                  <w:noWrap w:val="0"/>
                  <w:tcMar>
                    <w:top w:w="0" w:type="dxa"/>
                    <w:left w:w="28" w:type="dxa"/>
                    <w:bottom w:w="0" w:type="dxa"/>
                    <w:right w:w="28" w:type="dxa"/>
                  </w:tcMar>
                  <w:vAlign w:val="center"/>
                </w:tcPr>
                <w:p w14:paraId="48298CC4">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项目无生产废水，废水不外排。</w:t>
                  </w:r>
                </w:p>
              </w:tc>
              <w:tc>
                <w:tcPr>
                  <w:tcW w:w="361" w:type="pct"/>
                  <w:tcBorders>
                    <w:tl2br w:val="nil"/>
                    <w:tr2bl w:val="nil"/>
                  </w:tcBorders>
                  <w:noWrap w:val="0"/>
                  <w:tcMar>
                    <w:top w:w="0" w:type="dxa"/>
                    <w:left w:w="28" w:type="dxa"/>
                    <w:bottom w:w="0" w:type="dxa"/>
                    <w:right w:w="28" w:type="dxa"/>
                  </w:tcMar>
                  <w:vAlign w:val="center"/>
                </w:tcPr>
                <w:p w14:paraId="577A7F2B">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符合</w:t>
                  </w:r>
                </w:p>
              </w:tc>
            </w:tr>
            <w:tr w14:paraId="047AF3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0" w:type="pct"/>
                  <w:vMerge w:val="restart"/>
                  <w:tcBorders>
                    <w:tl2br w:val="nil"/>
                    <w:tr2bl w:val="nil"/>
                  </w:tcBorders>
                  <w:noWrap w:val="0"/>
                  <w:tcMar>
                    <w:top w:w="0" w:type="dxa"/>
                    <w:left w:w="28" w:type="dxa"/>
                    <w:bottom w:w="0" w:type="dxa"/>
                    <w:right w:w="28" w:type="dxa"/>
                  </w:tcMar>
                  <w:vAlign w:val="center"/>
                </w:tcPr>
                <w:p w14:paraId="74961722">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第四节、坚持闭环管理，提高固废治理水平</w:t>
                  </w:r>
                </w:p>
              </w:tc>
              <w:tc>
                <w:tcPr>
                  <w:tcW w:w="2183" w:type="pct"/>
                  <w:tcBorders>
                    <w:tl2br w:val="nil"/>
                    <w:tr2bl w:val="nil"/>
                  </w:tcBorders>
                  <w:noWrap w:val="0"/>
                  <w:tcMar>
                    <w:top w:w="0" w:type="dxa"/>
                    <w:left w:w="28" w:type="dxa"/>
                    <w:bottom w:w="0" w:type="dxa"/>
                    <w:right w:w="28" w:type="dxa"/>
                  </w:tcMar>
                  <w:vAlign w:val="center"/>
                </w:tcPr>
                <w:p w14:paraId="5274AC70">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加强危险废物（含医疗废物）收集处理。</w:t>
                  </w:r>
                </w:p>
              </w:tc>
              <w:tc>
                <w:tcPr>
                  <w:tcW w:w="1715" w:type="pct"/>
                  <w:tcBorders>
                    <w:tl2br w:val="nil"/>
                    <w:tr2bl w:val="nil"/>
                  </w:tcBorders>
                  <w:noWrap w:val="0"/>
                  <w:tcMar>
                    <w:top w:w="0" w:type="dxa"/>
                    <w:left w:w="28" w:type="dxa"/>
                    <w:bottom w:w="0" w:type="dxa"/>
                    <w:right w:w="28" w:type="dxa"/>
                  </w:tcMar>
                  <w:vAlign w:val="center"/>
                </w:tcPr>
                <w:p w14:paraId="6CA55B98">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本项目无危险废物产生，不污染周边环境。</w:t>
                  </w:r>
                </w:p>
              </w:tc>
              <w:tc>
                <w:tcPr>
                  <w:tcW w:w="361" w:type="pct"/>
                  <w:tcBorders>
                    <w:tl2br w:val="nil"/>
                    <w:tr2bl w:val="nil"/>
                  </w:tcBorders>
                  <w:noWrap w:val="0"/>
                  <w:tcMar>
                    <w:top w:w="0" w:type="dxa"/>
                    <w:left w:w="28" w:type="dxa"/>
                    <w:bottom w:w="0" w:type="dxa"/>
                    <w:right w:w="28" w:type="dxa"/>
                  </w:tcMar>
                  <w:vAlign w:val="center"/>
                </w:tcPr>
                <w:p w14:paraId="09AF3F16">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符合</w:t>
                  </w:r>
                </w:p>
              </w:tc>
            </w:tr>
            <w:tr w14:paraId="4DA2AC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0" w:type="pct"/>
                  <w:vMerge w:val="continue"/>
                  <w:tcBorders>
                    <w:tl2br w:val="nil"/>
                    <w:tr2bl w:val="nil"/>
                  </w:tcBorders>
                  <w:noWrap w:val="0"/>
                  <w:tcMar>
                    <w:top w:w="0" w:type="dxa"/>
                    <w:left w:w="28" w:type="dxa"/>
                    <w:bottom w:w="0" w:type="dxa"/>
                    <w:right w:w="28" w:type="dxa"/>
                  </w:tcMar>
                  <w:vAlign w:val="center"/>
                </w:tcPr>
                <w:p w14:paraId="386F1B64">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p>
              </w:tc>
              <w:tc>
                <w:tcPr>
                  <w:tcW w:w="2183" w:type="pct"/>
                  <w:tcBorders>
                    <w:tl2br w:val="nil"/>
                    <w:tr2bl w:val="nil"/>
                  </w:tcBorders>
                  <w:noWrap w:val="0"/>
                  <w:tcMar>
                    <w:top w:w="0" w:type="dxa"/>
                    <w:left w:w="28" w:type="dxa"/>
                    <w:bottom w:w="0" w:type="dxa"/>
                    <w:right w:w="28" w:type="dxa"/>
                  </w:tcMar>
                  <w:vAlign w:val="center"/>
                </w:tcPr>
                <w:p w14:paraId="1F863BD1">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提高工业固体废弃物综合利用水平，推进固体废物减量化、资源化和无害化管理。</w:t>
                  </w:r>
                </w:p>
              </w:tc>
              <w:tc>
                <w:tcPr>
                  <w:tcW w:w="1715" w:type="pct"/>
                  <w:tcBorders>
                    <w:tl2br w:val="nil"/>
                    <w:tr2bl w:val="nil"/>
                  </w:tcBorders>
                  <w:noWrap w:val="0"/>
                  <w:tcMar>
                    <w:top w:w="0" w:type="dxa"/>
                    <w:left w:w="28" w:type="dxa"/>
                    <w:bottom w:w="0" w:type="dxa"/>
                    <w:right w:w="28" w:type="dxa"/>
                  </w:tcMar>
                  <w:vAlign w:val="center"/>
                </w:tcPr>
                <w:p w14:paraId="0D4A0678">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项目</w:t>
                  </w:r>
                  <w:r>
                    <w:rPr>
                      <w:rFonts w:hint="default" w:ascii="Times New Roman" w:hAnsi="Times New Roman" w:cs="Times New Roman"/>
                      <w:caps w:val="0"/>
                      <w:snapToGrid/>
                      <w:color w:val="auto"/>
                      <w:spacing w:val="0"/>
                      <w:sz w:val="21"/>
                      <w:szCs w:val="21"/>
                      <w:highlight w:val="none"/>
                      <w:vertAlign w:val="baseline"/>
                      <w:lang w:val="en-US" w:eastAsia="zh-CN" w:bidi="ar-SA"/>
                    </w:rPr>
                    <w:t>检修废料统一</w:t>
                  </w:r>
                  <w:r>
                    <w:rPr>
                      <w:rFonts w:hint="default" w:ascii="Times New Roman" w:hAnsi="Times New Roman" w:eastAsia="宋体" w:cs="Times New Roman"/>
                      <w:caps w:val="0"/>
                      <w:snapToGrid/>
                      <w:color w:val="auto"/>
                      <w:spacing w:val="0"/>
                      <w:sz w:val="21"/>
                      <w:szCs w:val="21"/>
                      <w:highlight w:val="none"/>
                      <w:vertAlign w:val="baseline"/>
                      <w:lang w:val="en-US" w:eastAsia="zh-CN" w:bidi="ar-SA"/>
                    </w:rPr>
                    <w:t>回收处理</w:t>
                  </w:r>
                </w:p>
              </w:tc>
              <w:tc>
                <w:tcPr>
                  <w:tcW w:w="361" w:type="pct"/>
                  <w:tcBorders>
                    <w:tl2br w:val="nil"/>
                    <w:tr2bl w:val="nil"/>
                  </w:tcBorders>
                  <w:noWrap w:val="0"/>
                  <w:tcMar>
                    <w:top w:w="0" w:type="dxa"/>
                    <w:left w:w="28" w:type="dxa"/>
                    <w:bottom w:w="0" w:type="dxa"/>
                    <w:right w:w="28" w:type="dxa"/>
                  </w:tcMar>
                  <w:vAlign w:val="center"/>
                </w:tcPr>
                <w:p w14:paraId="2DCCAEBC">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符合</w:t>
                  </w:r>
                </w:p>
              </w:tc>
            </w:tr>
            <w:tr w14:paraId="14F47E4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0" w:type="pct"/>
                  <w:tcBorders>
                    <w:tl2br w:val="nil"/>
                    <w:tr2bl w:val="nil"/>
                  </w:tcBorders>
                  <w:noWrap w:val="0"/>
                  <w:tcMar>
                    <w:top w:w="0" w:type="dxa"/>
                    <w:left w:w="28" w:type="dxa"/>
                    <w:bottom w:w="0" w:type="dxa"/>
                    <w:right w:w="28" w:type="dxa"/>
                  </w:tcMar>
                  <w:vAlign w:val="center"/>
                </w:tcPr>
                <w:p w14:paraId="06D352B9">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第五节、加强农业面源治理，推进农村环境保护</w:t>
                  </w:r>
                </w:p>
              </w:tc>
              <w:tc>
                <w:tcPr>
                  <w:tcW w:w="2183" w:type="pct"/>
                  <w:tcBorders>
                    <w:tl2br w:val="nil"/>
                    <w:tr2bl w:val="nil"/>
                  </w:tcBorders>
                  <w:noWrap w:val="0"/>
                  <w:tcMar>
                    <w:top w:w="0" w:type="dxa"/>
                    <w:left w:w="28" w:type="dxa"/>
                    <w:bottom w:w="0" w:type="dxa"/>
                    <w:right w:w="28" w:type="dxa"/>
                  </w:tcMar>
                  <w:vAlign w:val="center"/>
                </w:tcPr>
                <w:p w14:paraId="0ADC3B53">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因地制宜发展秸秆热解气化、秸秆沼气、秸秆生物质燃料等农村清洁能源，推动秸秆高值化综合利用与农村人居环境改善有机结合。</w:t>
                  </w:r>
                </w:p>
              </w:tc>
              <w:tc>
                <w:tcPr>
                  <w:tcW w:w="1715" w:type="pct"/>
                  <w:tcBorders>
                    <w:tl2br w:val="nil"/>
                    <w:tr2bl w:val="nil"/>
                  </w:tcBorders>
                  <w:noWrap w:val="0"/>
                  <w:tcMar>
                    <w:top w:w="0" w:type="dxa"/>
                    <w:left w:w="28" w:type="dxa"/>
                    <w:bottom w:w="0" w:type="dxa"/>
                    <w:right w:w="28" w:type="dxa"/>
                  </w:tcMar>
                  <w:vAlign w:val="center"/>
                </w:tcPr>
                <w:p w14:paraId="6AA24FE2">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项目属于可再生清洁能源工程。</w:t>
                  </w:r>
                </w:p>
              </w:tc>
              <w:tc>
                <w:tcPr>
                  <w:tcW w:w="361" w:type="pct"/>
                  <w:tcBorders>
                    <w:tl2br w:val="nil"/>
                    <w:tr2bl w:val="nil"/>
                  </w:tcBorders>
                  <w:noWrap w:val="0"/>
                  <w:tcMar>
                    <w:top w:w="0" w:type="dxa"/>
                    <w:left w:w="28" w:type="dxa"/>
                    <w:bottom w:w="0" w:type="dxa"/>
                    <w:right w:w="28" w:type="dxa"/>
                  </w:tcMar>
                  <w:vAlign w:val="center"/>
                </w:tcPr>
                <w:p w14:paraId="58B8BCE1">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符合</w:t>
                  </w:r>
                </w:p>
              </w:tc>
            </w:tr>
            <w:tr w14:paraId="1A37699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000" w:type="pct"/>
                  <w:gridSpan w:val="4"/>
                  <w:tcBorders>
                    <w:tl2br w:val="nil"/>
                    <w:tr2bl w:val="nil"/>
                  </w:tcBorders>
                  <w:noWrap w:val="0"/>
                  <w:tcMar>
                    <w:top w:w="0" w:type="dxa"/>
                    <w:left w:w="28" w:type="dxa"/>
                    <w:bottom w:w="0" w:type="dxa"/>
                    <w:right w:w="28" w:type="dxa"/>
                  </w:tcMar>
                  <w:vAlign w:val="center"/>
                </w:tcPr>
                <w:p w14:paraId="6BA8867C">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第五章、坚持减污降碳，应对气候变化</w:t>
                  </w:r>
                </w:p>
              </w:tc>
            </w:tr>
            <w:tr w14:paraId="688307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0" w:type="pct"/>
                  <w:tcBorders>
                    <w:tl2br w:val="nil"/>
                    <w:tr2bl w:val="nil"/>
                  </w:tcBorders>
                  <w:noWrap w:val="0"/>
                  <w:tcMar>
                    <w:top w:w="0" w:type="dxa"/>
                    <w:left w:w="28" w:type="dxa"/>
                    <w:bottom w:w="0" w:type="dxa"/>
                    <w:right w:w="28" w:type="dxa"/>
                  </w:tcMar>
                  <w:vAlign w:val="center"/>
                </w:tcPr>
                <w:p w14:paraId="6B3C5734">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第二节、强化温室气体排放控制</w:t>
                  </w:r>
                </w:p>
              </w:tc>
              <w:tc>
                <w:tcPr>
                  <w:tcW w:w="2183" w:type="pct"/>
                  <w:tcBorders>
                    <w:tl2br w:val="nil"/>
                    <w:tr2bl w:val="nil"/>
                  </w:tcBorders>
                  <w:noWrap w:val="0"/>
                  <w:tcMar>
                    <w:top w:w="0" w:type="dxa"/>
                    <w:left w:w="28" w:type="dxa"/>
                    <w:bottom w:w="0" w:type="dxa"/>
                    <w:right w:w="28" w:type="dxa"/>
                  </w:tcMar>
                  <w:vAlign w:val="center"/>
                </w:tcPr>
                <w:p w14:paraId="0151B54A">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控制工业领域二氧化碳排放。推动工业结构节能降碳。</w:t>
                  </w:r>
                </w:p>
              </w:tc>
              <w:tc>
                <w:tcPr>
                  <w:tcW w:w="1715" w:type="pct"/>
                  <w:tcBorders>
                    <w:tl2br w:val="nil"/>
                    <w:tr2bl w:val="nil"/>
                  </w:tcBorders>
                  <w:noWrap w:val="0"/>
                  <w:tcMar>
                    <w:top w:w="0" w:type="dxa"/>
                    <w:left w:w="28" w:type="dxa"/>
                    <w:bottom w:w="0" w:type="dxa"/>
                    <w:right w:w="28" w:type="dxa"/>
                  </w:tcMar>
                  <w:vAlign w:val="center"/>
                </w:tcPr>
                <w:p w14:paraId="46F94F74">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项目为</w:t>
                  </w:r>
                  <w:r>
                    <w:rPr>
                      <w:rFonts w:hint="default" w:ascii="Times New Roman" w:hAnsi="Times New Roman" w:cs="Times New Roman"/>
                      <w:caps w:val="0"/>
                      <w:snapToGrid/>
                      <w:color w:val="auto"/>
                      <w:spacing w:val="0"/>
                      <w:sz w:val="21"/>
                      <w:szCs w:val="21"/>
                      <w:highlight w:val="none"/>
                      <w:vertAlign w:val="baseline"/>
                      <w:lang w:val="en-US" w:eastAsia="zh-CN" w:bidi="ar-SA"/>
                    </w:rPr>
                    <w:t>输变电</w:t>
                  </w:r>
                  <w:r>
                    <w:rPr>
                      <w:rFonts w:hint="default" w:ascii="Times New Roman" w:hAnsi="Times New Roman" w:eastAsia="宋体" w:cs="Times New Roman"/>
                      <w:caps w:val="0"/>
                      <w:snapToGrid/>
                      <w:color w:val="auto"/>
                      <w:spacing w:val="0"/>
                      <w:sz w:val="21"/>
                      <w:szCs w:val="21"/>
                      <w:highlight w:val="none"/>
                      <w:vertAlign w:val="baseline"/>
                      <w:lang w:val="en-US" w:eastAsia="zh-CN" w:bidi="ar-SA"/>
                    </w:rPr>
                    <w:t>项目，运营过</w:t>
                  </w:r>
                  <w:r>
                    <w:rPr>
                      <w:rFonts w:hint="eastAsia" w:ascii="Times New Roman" w:hAnsi="Times New Roman" w:eastAsia="宋体" w:cs="Times New Roman"/>
                      <w:caps w:val="0"/>
                      <w:snapToGrid/>
                      <w:color w:val="auto"/>
                      <w:spacing w:val="0"/>
                      <w:sz w:val="21"/>
                      <w:szCs w:val="21"/>
                      <w:highlight w:val="none"/>
                      <w:vertAlign w:val="baseline"/>
                      <w:lang w:val="en-US" w:eastAsia="zh-CN" w:bidi="ar-SA"/>
                    </w:rPr>
                    <w:t>程中</w:t>
                  </w:r>
                  <w:r>
                    <w:rPr>
                      <w:rFonts w:hint="default" w:ascii="Times New Roman" w:hAnsi="Times New Roman" w:eastAsia="宋体" w:cs="Times New Roman"/>
                      <w:caps w:val="0"/>
                      <w:snapToGrid/>
                      <w:color w:val="auto"/>
                      <w:spacing w:val="0"/>
                      <w:sz w:val="21"/>
                      <w:szCs w:val="21"/>
                      <w:highlight w:val="none"/>
                      <w:vertAlign w:val="baseline"/>
                      <w:lang w:val="en-US" w:eastAsia="zh-CN" w:bidi="ar-SA"/>
                    </w:rPr>
                    <w:t>不产生工业废气。</w:t>
                  </w:r>
                </w:p>
              </w:tc>
              <w:tc>
                <w:tcPr>
                  <w:tcW w:w="361" w:type="pct"/>
                  <w:tcBorders>
                    <w:tl2br w:val="nil"/>
                    <w:tr2bl w:val="nil"/>
                  </w:tcBorders>
                  <w:noWrap w:val="0"/>
                  <w:tcMar>
                    <w:top w:w="0" w:type="dxa"/>
                    <w:left w:w="28" w:type="dxa"/>
                    <w:bottom w:w="0" w:type="dxa"/>
                    <w:right w:w="28" w:type="dxa"/>
                  </w:tcMar>
                  <w:vAlign w:val="center"/>
                </w:tcPr>
                <w:p w14:paraId="6E5115A7">
                  <w:pPr>
                    <w:pStyle w:val="87"/>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符合</w:t>
                  </w:r>
                </w:p>
              </w:tc>
            </w:tr>
          </w:tbl>
          <w:p w14:paraId="0DA26B9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从上表可以看出，项目符合</w:t>
            </w:r>
            <w:r>
              <w:rPr>
                <w:rFonts w:hint="default" w:ascii="Times New Roman" w:hAnsi="Times New Roman" w:eastAsia="宋体" w:cs="Times New Roman"/>
                <w:b w:val="0"/>
                <w:bCs w:val="0"/>
                <w:color w:val="auto"/>
                <w:sz w:val="24"/>
                <w:szCs w:val="24"/>
                <w:lang w:val="en-US" w:eastAsia="zh-CN"/>
              </w:rPr>
              <w:t>《曲靖市生态环境保护“十四五”规划》</w:t>
            </w:r>
            <w:r>
              <w:rPr>
                <w:rFonts w:hint="default" w:ascii="Times New Roman" w:hAnsi="Times New Roman" w:eastAsia="宋体" w:cs="Times New Roman"/>
                <w:b w:val="0"/>
                <w:bCs w:val="0"/>
                <w:color w:val="auto"/>
                <w:sz w:val="24"/>
                <w:szCs w:val="24"/>
                <w:lang w:val="zh-CN" w:eastAsia="zh-CN"/>
              </w:rPr>
              <w:t>的相关要求。</w:t>
            </w:r>
          </w:p>
          <w:p w14:paraId="5C05AA5B">
            <w:pPr>
              <w:keepNext w:val="0"/>
              <w:keepLines w:val="0"/>
              <w:pageBreakBefore w:val="0"/>
              <w:widowControl w:val="0"/>
              <w:kinsoku/>
              <w:wordWrap/>
              <w:overflowPunct/>
              <w:topLinePunct w:val="0"/>
              <w:autoSpaceDE w:val="0"/>
              <w:autoSpaceDN w:val="0"/>
              <w:bidi w:val="0"/>
              <w:adjustRightInd w:val="0"/>
              <w:snapToGrid w:val="0"/>
              <w:spacing w:line="440" w:lineRule="exact"/>
              <w:jc w:val="both"/>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1</w:t>
            </w:r>
            <w:r>
              <w:rPr>
                <w:rFonts w:hint="eastAsia"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color w:val="auto"/>
                <w:sz w:val="24"/>
                <w:szCs w:val="24"/>
                <w:lang w:val="en-US" w:eastAsia="zh-CN"/>
              </w:rPr>
              <w:t>、与《</w:t>
            </w:r>
            <w:r>
              <w:rPr>
                <w:rFonts w:hint="default" w:ascii="Times New Roman" w:hAnsi="Times New Roman" w:cs="Times New Roman"/>
                <w:b/>
                <w:bCs/>
                <w:color w:val="auto"/>
                <w:sz w:val="24"/>
                <w:szCs w:val="24"/>
                <w:lang w:val="en-US" w:eastAsia="zh-CN"/>
              </w:rPr>
              <w:t>会泽县</w:t>
            </w:r>
            <w:r>
              <w:rPr>
                <w:rFonts w:hint="default" w:ascii="Times New Roman" w:hAnsi="Times New Roman" w:eastAsia="宋体" w:cs="Times New Roman"/>
                <w:b/>
                <w:bCs/>
                <w:color w:val="auto"/>
                <w:sz w:val="24"/>
                <w:szCs w:val="24"/>
                <w:lang w:val="en-US" w:eastAsia="zh-CN"/>
              </w:rPr>
              <w:t>国土空间总体规划（2021—2035年）》符合性分析</w:t>
            </w:r>
          </w:p>
          <w:p w14:paraId="3E7FB777">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2024年5月24日</w:t>
            </w:r>
            <w:r>
              <w:rPr>
                <w:rFonts w:hint="eastAsia"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lang w:val="en-US" w:eastAsia="zh-CN"/>
              </w:rPr>
              <w:t>曲靖市人</w:t>
            </w:r>
            <w:r>
              <w:rPr>
                <w:rFonts w:ascii="宋体" w:hAnsi="宋体" w:eastAsia="宋体" w:cs="宋体"/>
                <w:color w:val="auto"/>
                <w:sz w:val="24"/>
                <w:szCs w:val="24"/>
              </w:rPr>
              <w:t>民政府正式批复</w:t>
            </w:r>
            <w:r>
              <w:rPr>
                <w:rFonts w:hint="default" w:ascii="Times New Roman" w:hAnsi="Times New Roman" w:eastAsia="宋体" w:cs="Times New Roman"/>
                <w:b w:val="0"/>
                <w:bCs w:val="0"/>
                <w:color w:val="auto"/>
                <w:sz w:val="24"/>
                <w:szCs w:val="24"/>
                <w:lang w:val="en-US" w:eastAsia="zh-CN"/>
              </w:rPr>
              <w:t>《</w:t>
            </w:r>
            <w:r>
              <w:rPr>
                <w:rFonts w:hint="default" w:ascii="Times New Roman" w:hAnsi="Times New Roman" w:cs="Times New Roman"/>
                <w:b w:val="0"/>
                <w:bCs w:val="0"/>
                <w:color w:val="auto"/>
                <w:sz w:val="24"/>
                <w:szCs w:val="24"/>
                <w:lang w:val="en-US" w:eastAsia="zh-CN"/>
              </w:rPr>
              <w:t>会泽县</w:t>
            </w:r>
            <w:r>
              <w:rPr>
                <w:rFonts w:hint="default" w:ascii="Times New Roman" w:hAnsi="Times New Roman" w:eastAsia="宋体" w:cs="Times New Roman"/>
                <w:b w:val="0"/>
                <w:bCs w:val="0"/>
                <w:color w:val="auto"/>
                <w:sz w:val="24"/>
                <w:szCs w:val="24"/>
                <w:lang w:val="en-US" w:eastAsia="zh-CN"/>
              </w:rPr>
              <w:t>国土空间总体规划（2021—2035年）》</w:t>
            </w:r>
            <w:r>
              <w:rPr>
                <w:rFonts w:hint="eastAsia" w:ascii="Times New Roman" w:hAnsi="Times New Roman" w:cs="Times New Roman"/>
                <w:b w:val="0"/>
                <w:bCs w:val="0"/>
                <w:color w:val="auto"/>
                <w:sz w:val="24"/>
                <w:szCs w:val="24"/>
                <w:lang w:val="en-US" w:eastAsia="zh-CN"/>
              </w:rPr>
              <w:t>（曲政复〔2024〕33号），2025年6月4日会泽县人民政府关于印发《会泽县国土空间总体规划（2021—2035年）》的通知（会政发〔2025〕9号），项目已纳入《会泽县国土空间总体规划（2021—2035年）》重点建设项目清单中，项目与规划</w:t>
            </w:r>
            <w:r>
              <w:rPr>
                <w:rFonts w:hint="default" w:ascii="Times New Roman" w:hAnsi="Times New Roman" w:eastAsia="宋体" w:cs="Times New Roman"/>
                <w:b w:val="0"/>
                <w:bCs w:val="0"/>
                <w:color w:val="auto"/>
                <w:sz w:val="24"/>
                <w:szCs w:val="24"/>
                <w:lang w:val="en-US" w:eastAsia="zh-CN"/>
              </w:rPr>
              <w:t>相符性分析如下：</w:t>
            </w:r>
          </w:p>
          <w:p w14:paraId="16E9035F">
            <w:pPr>
              <w:pageBreakBefore w:val="0"/>
              <w:kinsoku/>
              <w:wordWrap/>
              <w:overflowPunct/>
              <w:autoSpaceDE w:val="0"/>
              <w:autoSpaceDN w:val="0"/>
              <w:bidi w:val="0"/>
              <w:adjustRightInd/>
              <w:snapToGrid/>
              <w:spacing w:line="240" w:lineRule="auto"/>
              <w:ind w:right="0"/>
              <w:jc w:val="center"/>
              <w:rPr>
                <w:rFonts w:hint="default" w:ascii="Times New Roman" w:hAnsi="Times New Roman" w:eastAsia="宋体" w:cs="Times New Roman"/>
                <w:b/>
                <w:bCs/>
                <w:color w:val="auto"/>
                <w:spacing w:val="-11"/>
                <w:sz w:val="24"/>
                <w:lang w:val="en-US" w:eastAsia="zh-CN"/>
              </w:rPr>
            </w:pPr>
            <w:r>
              <w:rPr>
                <w:rFonts w:hint="default" w:ascii="Times New Roman" w:hAnsi="Times New Roman" w:eastAsia="宋体" w:cs="Times New Roman"/>
                <w:b/>
                <w:bCs/>
                <w:color w:val="auto"/>
                <w:spacing w:val="-11"/>
                <w:sz w:val="24"/>
                <w:lang w:val="en-US" w:eastAsia="zh-CN"/>
              </w:rPr>
              <w:t>表1-1</w:t>
            </w:r>
            <w:r>
              <w:rPr>
                <w:rFonts w:hint="default" w:ascii="Times New Roman" w:hAnsi="Times New Roman" w:cs="Times New Roman"/>
                <w:b/>
                <w:bCs/>
                <w:color w:val="auto"/>
                <w:spacing w:val="-11"/>
                <w:sz w:val="24"/>
                <w:lang w:val="en-US" w:eastAsia="zh-CN"/>
              </w:rPr>
              <w:t>2</w:t>
            </w:r>
            <w:r>
              <w:rPr>
                <w:rFonts w:hint="default" w:ascii="Times New Roman" w:hAnsi="Times New Roman" w:eastAsia="宋体" w:cs="Times New Roman"/>
                <w:b/>
                <w:bCs/>
                <w:color w:val="auto"/>
                <w:spacing w:val="-11"/>
                <w:sz w:val="24"/>
                <w:lang w:val="en-US" w:eastAsia="zh-CN"/>
              </w:rPr>
              <w:t xml:space="preserve">  项目与《</w:t>
            </w:r>
            <w:r>
              <w:rPr>
                <w:rFonts w:hint="default" w:ascii="Times New Roman" w:hAnsi="Times New Roman" w:cs="Times New Roman"/>
                <w:b/>
                <w:bCs/>
                <w:color w:val="auto"/>
                <w:spacing w:val="-11"/>
                <w:sz w:val="24"/>
                <w:szCs w:val="24"/>
                <w:lang w:val="en-US" w:eastAsia="zh-CN"/>
              </w:rPr>
              <w:t>会泽县</w:t>
            </w:r>
            <w:r>
              <w:rPr>
                <w:rFonts w:hint="default" w:ascii="Times New Roman" w:hAnsi="Times New Roman" w:eastAsia="宋体" w:cs="Times New Roman"/>
                <w:b/>
                <w:bCs/>
                <w:color w:val="auto"/>
                <w:spacing w:val="-11"/>
                <w:sz w:val="24"/>
                <w:szCs w:val="24"/>
                <w:lang w:val="en-US" w:eastAsia="zh-CN"/>
              </w:rPr>
              <w:t>国土空间总体规划（2021—2035年）</w:t>
            </w:r>
            <w:r>
              <w:rPr>
                <w:rFonts w:hint="default" w:ascii="Times New Roman" w:hAnsi="Times New Roman" w:eastAsia="宋体" w:cs="Times New Roman"/>
                <w:b/>
                <w:bCs/>
                <w:color w:val="auto"/>
                <w:spacing w:val="-11"/>
                <w:sz w:val="24"/>
                <w:lang w:val="en-US" w:eastAsia="zh-CN"/>
              </w:rPr>
              <w:t>》的符合性分析</w:t>
            </w:r>
          </w:p>
          <w:tbl>
            <w:tblPr>
              <w:tblStyle w:val="91"/>
              <w:tblW w:w="4999"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3951"/>
              <w:gridCol w:w="2405"/>
              <w:gridCol w:w="496"/>
            </w:tblGrid>
            <w:tr w14:paraId="4BDC70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883" w:type="pct"/>
                  <w:tcBorders>
                    <w:tl2br w:val="nil"/>
                    <w:tr2bl w:val="nil"/>
                  </w:tcBorders>
                  <w:noWrap w:val="0"/>
                  <w:tcMar>
                    <w:top w:w="0" w:type="dxa"/>
                    <w:left w:w="28" w:type="dxa"/>
                    <w:bottom w:w="0" w:type="dxa"/>
                    <w:right w:w="28" w:type="dxa"/>
                  </w:tcMar>
                  <w:vAlign w:val="center"/>
                </w:tcPr>
                <w:p w14:paraId="4BC8471B">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b/>
                      <w:bCs/>
                      <w:caps w:val="0"/>
                      <w:snapToGrid/>
                      <w:color w:val="auto"/>
                      <w:spacing w:val="0"/>
                      <w:sz w:val="21"/>
                      <w:szCs w:val="21"/>
                      <w:highlight w:val="none"/>
                      <w:vertAlign w:val="baseline"/>
                      <w:lang w:val="en-US" w:eastAsia="zh-CN" w:bidi="ar-SA"/>
                    </w:rPr>
                    <w:t>《</w:t>
                  </w:r>
                  <w:r>
                    <w:rPr>
                      <w:rFonts w:hint="default" w:ascii="Times New Roman" w:hAnsi="Times New Roman" w:cs="Times New Roman"/>
                      <w:b/>
                      <w:bCs/>
                      <w:color w:val="auto"/>
                      <w:spacing w:val="0"/>
                      <w:sz w:val="21"/>
                      <w:szCs w:val="21"/>
                      <w:lang w:val="en-US" w:eastAsia="zh-CN"/>
                    </w:rPr>
                    <w:t>会泽县</w:t>
                  </w:r>
                  <w:r>
                    <w:rPr>
                      <w:rFonts w:hint="default" w:ascii="Times New Roman" w:hAnsi="Times New Roman" w:eastAsia="宋体" w:cs="Times New Roman"/>
                      <w:b/>
                      <w:bCs/>
                      <w:color w:val="auto"/>
                      <w:spacing w:val="0"/>
                      <w:sz w:val="21"/>
                      <w:szCs w:val="21"/>
                      <w:lang w:val="en-US" w:eastAsia="zh-CN"/>
                    </w:rPr>
                    <w:t>国土空间总体规划（2021—2035年）</w:t>
                  </w:r>
                  <w:r>
                    <w:rPr>
                      <w:rFonts w:hint="default" w:ascii="Times New Roman" w:hAnsi="Times New Roman" w:eastAsia="宋体" w:cs="Times New Roman"/>
                      <w:b/>
                      <w:bCs/>
                      <w:caps w:val="0"/>
                      <w:snapToGrid/>
                      <w:color w:val="auto"/>
                      <w:spacing w:val="0"/>
                      <w:sz w:val="21"/>
                      <w:szCs w:val="21"/>
                      <w:highlight w:val="none"/>
                      <w:vertAlign w:val="baseline"/>
                      <w:lang w:val="en-US" w:eastAsia="zh-CN" w:bidi="ar-SA"/>
                    </w:rPr>
                    <w:t>》相关要求</w:t>
                  </w:r>
                </w:p>
              </w:tc>
              <w:tc>
                <w:tcPr>
                  <w:tcW w:w="1755" w:type="pct"/>
                  <w:tcBorders>
                    <w:tl2br w:val="nil"/>
                    <w:tr2bl w:val="nil"/>
                  </w:tcBorders>
                  <w:noWrap w:val="0"/>
                  <w:tcMar>
                    <w:top w:w="0" w:type="dxa"/>
                    <w:left w:w="28" w:type="dxa"/>
                    <w:bottom w:w="0" w:type="dxa"/>
                    <w:right w:w="28" w:type="dxa"/>
                  </w:tcMar>
                  <w:vAlign w:val="center"/>
                </w:tcPr>
                <w:p w14:paraId="3BFBB7F8">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b/>
                      <w:bCs/>
                      <w:caps w:val="0"/>
                      <w:snapToGrid/>
                      <w:color w:val="auto"/>
                      <w:spacing w:val="0"/>
                      <w:sz w:val="21"/>
                      <w:szCs w:val="21"/>
                      <w:highlight w:val="none"/>
                      <w:vertAlign w:val="baseline"/>
                      <w:lang w:val="en-US" w:eastAsia="zh-CN" w:bidi="ar-SA"/>
                    </w:rPr>
                    <w:t>本项目</w:t>
                  </w:r>
                </w:p>
              </w:tc>
              <w:tc>
                <w:tcPr>
                  <w:tcW w:w="361" w:type="pct"/>
                  <w:tcBorders>
                    <w:tl2br w:val="nil"/>
                    <w:tr2bl w:val="nil"/>
                  </w:tcBorders>
                  <w:noWrap w:val="0"/>
                  <w:tcMar>
                    <w:top w:w="0" w:type="dxa"/>
                    <w:left w:w="28" w:type="dxa"/>
                    <w:bottom w:w="0" w:type="dxa"/>
                    <w:right w:w="28" w:type="dxa"/>
                  </w:tcMar>
                  <w:vAlign w:val="center"/>
                </w:tcPr>
                <w:p w14:paraId="1DE33861">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b/>
                      <w:bCs/>
                      <w:caps w:val="0"/>
                      <w:snapToGrid/>
                      <w:color w:val="auto"/>
                      <w:spacing w:val="0"/>
                      <w:sz w:val="21"/>
                      <w:szCs w:val="21"/>
                      <w:highlight w:val="none"/>
                      <w:vertAlign w:val="baseline"/>
                      <w:lang w:val="en-US" w:eastAsia="zh-CN" w:bidi="ar-SA"/>
                    </w:rPr>
                    <w:t>符合性</w:t>
                  </w:r>
                </w:p>
              </w:tc>
            </w:tr>
            <w:tr w14:paraId="39BE77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000" w:type="pct"/>
                  <w:gridSpan w:val="3"/>
                  <w:tcBorders>
                    <w:tl2br w:val="nil"/>
                    <w:tr2bl w:val="nil"/>
                  </w:tcBorders>
                  <w:noWrap w:val="0"/>
                  <w:tcMar>
                    <w:top w:w="0" w:type="dxa"/>
                    <w:left w:w="28" w:type="dxa"/>
                    <w:bottom w:w="0" w:type="dxa"/>
                    <w:right w:w="28" w:type="dxa"/>
                  </w:tcMar>
                  <w:vAlign w:val="center"/>
                </w:tcPr>
                <w:p w14:paraId="4CF2BB73">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b w:val="0"/>
                      <w:bCs w:val="0"/>
                      <w:color w:val="auto"/>
                      <w:spacing w:val="0"/>
                      <w:sz w:val="21"/>
                      <w:szCs w:val="21"/>
                      <w:lang w:val="en-US" w:eastAsia="zh-CN"/>
                    </w:rPr>
                    <w:t>统筹划定“三条控制线”</w:t>
                  </w:r>
                </w:p>
              </w:tc>
            </w:tr>
            <w:tr w14:paraId="336758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883" w:type="pct"/>
                  <w:tcBorders>
                    <w:tl2br w:val="nil"/>
                    <w:tr2bl w:val="nil"/>
                  </w:tcBorders>
                  <w:noWrap w:val="0"/>
                  <w:tcMar>
                    <w:top w:w="0" w:type="dxa"/>
                    <w:left w:w="28" w:type="dxa"/>
                    <w:bottom w:w="0" w:type="dxa"/>
                    <w:right w:w="28" w:type="dxa"/>
                  </w:tcMar>
                  <w:vAlign w:val="center"/>
                </w:tcPr>
                <w:p w14:paraId="1FC9F6CD">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严格落实永久基本农田保护任务，将稳定耕地、坝区集中连片优质耕地优先划入永久基本农田，保障国家粮食安全和重要农产品供给。确保永久基本农田面积不减、质量提升、布局稳定。</w:t>
                  </w:r>
                </w:p>
              </w:tc>
              <w:tc>
                <w:tcPr>
                  <w:tcW w:w="1755" w:type="pct"/>
                  <w:vMerge w:val="restart"/>
                  <w:tcBorders>
                    <w:tl2br w:val="nil"/>
                    <w:tr2bl w:val="nil"/>
                  </w:tcBorders>
                  <w:noWrap w:val="0"/>
                  <w:tcMar>
                    <w:top w:w="0" w:type="dxa"/>
                    <w:left w:w="28" w:type="dxa"/>
                    <w:bottom w:w="0" w:type="dxa"/>
                    <w:right w:w="28" w:type="dxa"/>
                  </w:tcMar>
                  <w:vAlign w:val="center"/>
                </w:tcPr>
                <w:p w14:paraId="74483A29">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根据会泽县自然资源局关于</w:t>
                  </w:r>
                  <w:r>
                    <w:rPr>
                      <w:rFonts w:hint="eastAsia" w:ascii="Times New Roman" w:hAnsi="Times New Roman" w:eastAsia="宋体" w:cs="Times New Roman"/>
                      <w:caps w:val="0"/>
                      <w:snapToGrid/>
                      <w:color w:val="auto"/>
                      <w:spacing w:val="0"/>
                      <w:sz w:val="21"/>
                      <w:szCs w:val="21"/>
                      <w:highlight w:val="none"/>
                      <w:vertAlign w:val="baseline"/>
                      <w:lang w:val="en-US" w:eastAsia="zh-CN" w:bidi="ar-SA"/>
                    </w:rPr>
                    <w:t>大草房至六合一11</w:t>
                  </w:r>
                  <w:r>
                    <w:rPr>
                      <w:rFonts w:hint="default" w:ascii="Times New Roman" w:hAnsi="Times New Roman" w:eastAsia="宋体" w:cs="Times New Roman"/>
                      <w:caps w:val="0"/>
                      <w:snapToGrid/>
                      <w:color w:val="auto"/>
                      <w:spacing w:val="0"/>
                      <w:sz w:val="21"/>
                      <w:szCs w:val="21"/>
                      <w:highlight w:val="none"/>
                      <w:vertAlign w:val="baseline"/>
                      <w:lang w:val="en-US" w:eastAsia="zh-CN" w:bidi="ar-SA"/>
                    </w:rPr>
                    <w:t>0kV送出线路工程查询的情况说明</w:t>
                  </w:r>
                  <w:r>
                    <w:rPr>
                      <w:rFonts w:hint="default" w:ascii="Times New Roman" w:hAnsi="Times New Roman" w:cs="Times New Roman"/>
                      <w:caps w:val="0"/>
                      <w:snapToGrid/>
                      <w:color w:val="auto"/>
                      <w:spacing w:val="0"/>
                      <w:sz w:val="21"/>
                      <w:szCs w:val="21"/>
                      <w:highlight w:val="none"/>
                      <w:vertAlign w:val="baseline"/>
                      <w:lang w:val="en-US" w:eastAsia="zh-CN" w:bidi="ar-SA"/>
                    </w:rPr>
                    <w:t>：项目用地范围不涉及城镇开发边界和村庄边界，不涉及生态保护红线和永久基本农田保护红线；</w:t>
                  </w:r>
                  <w:r>
                    <w:rPr>
                      <w:rFonts w:hint="eastAsia" w:ascii="Times New Roman" w:hAnsi="Times New Roman" w:cs="Times New Roman"/>
                      <w:caps w:val="0"/>
                      <w:snapToGrid/>
                      <w:color w:val="auto"/>
                      <w:spacing w:val="0"/>
                      <w:sz w:val="21"/>
                      <w:szCs w:val="21"/>
                      <w:highlight w:val="none"/>
                      <w:vertAlign w:val="baseline"/>
                      <w:lang w:val="en-US" w:eastAsia="zh-CN" w:bidi="ar-SA"/>
                    </w:rPr>
                    <w:t>涉及跨越生态保护红线，</w:t>
                  </w:r>
                  <w:r>
                    <w:rPr>
                      <w:rFonts w:hint="default" w:ascii="Times New Roman" w:hAnsi="Times New Roman" w:cs="Times New Roman"/>
                      <w:caps w:val="0"/>
                      <w:snapToGrid/>
                      <w:color w:val="auto"/>
                      <w:spacing w:val="0"/>
                      <w:sz w:val="21"/>
                      <w:szCs w:val="21"/>
                      <w:highlight w:val="none"/>
                      <w:vertAlign w:val="baseline"/>
                      <w:lang w:val="en-US" w:eastAsia="zh-CN" w:bidi="ar-SA"/>
                    </w:rPr>
                    <w:t>对照《有限人为活动准入目录》中准入类别及准入目录，“输电线塔基、通讯基站等小面积零星分散建设项目用地”属于准入目录。</w:t>
                  </w:r>
                </w:p>
              </w:tc>
              <w:tc>
                <w:tcPr>
                  <w:tcW w:w="361" w:type="pct"/>
                  <w:tcBorders>
                    <w:tl2br w:val="nil"/>
                    <w:tr2bl w:val="nil"/>
                  </w:tcBorders>
                  <w:noWrap w:val="0"/>
                  <w:tcMar>
                    <w:top w:w="0" w:type="dxa"/>
                    <w:left w:w="28" w:type="dxa"/>
                    <w:bottom w:w="0" w:type="dxa"/>
                    <w:right w:w="28" w:type="dxa"/>
                  </w:tcMar>
                  <w:vAlign w:val="center"/>
                </w:tcPr>
                <w:p w14:paraId="254894AC">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符合</w:t>
                  </w:r>
                </w:p>
              </w:tc>
            </w:tr>
            <w:tr w14:paraId="70C1D80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883" w:type="pct"/>
                  <w:tcBorders>
                    <w:tl2br w:val="nil"/>
                    <w:tr2bl w:val="nil"/>
                  </w:tcBorders>
                  <w:noWrap w:val="0"/>
                  <w:tcMar>
                    <w:top w:w="0" w:type="dxa"/>
                    <w:left w:w="28" w:type="dxa"/>
                    <w:bottom w:w="0" w:type="dxa"/>
                    <w:right w:w="28" w:type="dxa"/>
                  </w:tcMar>
                  <w:vAlign w:val="center"/>
                </w:tcPr>
                <w:p w14:paraId="0707F1A3">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科学划定生态保护红线，维系区域生态安全的底线，坚持生态优先、绿色发展，实行最严格的管控。生态保护红线内，自然保护区核心区原则上禁止人为活动，其他区域严格禁止开发性、生产性建设活动。</w:t>
                  </w:r>
                </w:p>
              </w:tc>
              <w:tc>
                <w:tcPr>
                  <w:tcW w:w="1755" w:type="pct"/>
                  <w:vMerge w:val="continue"/>
                  <w:tcBorders>
                    <w:tl2br w:val="nil"/>
                    <w:tr2bl w:val="nil"/>
                  </w:tcBorders>
                  <w:noWrap w:val="0"/>
                  <w:tcMar>
                    <w:top w:w="0" w:type="dxa"/>
                    <w:left w:w="28" w:type="dxa"/>
                    <w:bottom w:w="0" w:type="dxa"/>
                    <w:right w:w="28" w:type="dxa"/>
                  </w:tcMar>
                  <w:vAlign w:val="center"/>
                </w:tcPr>
                <w:p w14:paraId="42C615B9">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0"/>
                      <w:szCs w:val="21"/>
                      <w:highlight w:val="none"/>
                    </w:rPr>
                  </w:pPr>
                </w:p>
              </w:tc>
              <w:tc>
                <w:tcPr>
                  <w:tcW w:w="361" w:type="pct"/>
                  <w:tcBorders>
                    <w:tl2br w:val="nil"/>
                    <w:tr2bl w:val="nil"/>
                  </w:tcBorders>
                  <w:noWrap w:val="0"/>
                  <w:tcMar>
                    <w:top w:w="0" w:type="dxa"/>
                    <w:left w:w="28" w:type="dxa"/>
                    <w:bottom w:w="0" w:type="dxa"/>
                    <w:right w:w="28" w:type="dxa"/>
                  </w:tcMar>
                  <w:vAlign w:val="center"/>
                </w:tcPr>
                <w:p w14:paraId="3110F179">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符合</w:t>
                  </w:r>
                </w:p>
              </w:tc>
            </w:tr>
            <w:tr w14:paraId="2F5EE1B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883" w:type="pct"/>
                  <w:tcBorders>
                    <w:tl2br w:val="nil"/>
                    <w:tr2bl w:val="nil"/>
                  </w:tcBorders>
                  <w:noWrap w:val="0"/>
                  <w:tcMar>
                    <w:top w:w="0" w:type="dxa"/>
                    <w:left w:w="28" w:type="dxa"/>
                    <w:bottom w:w="0" w:type="dxa"/>
                    <w:right w:w="28" w:type="dxa"/>
                  </w:tcMar>
                  <w:vAlign w:val="center"/>
                </w:tcPr>
                <w:p w14:paraId="4D3BE0C4">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以国土空间开发适宜性评价为基础、资源承载力为约束，避让永久基本农田与生态保护红线，划定城镇开发边界。引导城镇空间集中布局，防止城镇建设无序蔓延，促进城市集约节约发展。</w:t>
                  </w:r>
                </w:p>
              </w:tc>
              <w:tc>
                <w:tcPr>
                  <w:tcW w:w="1755" w:type="pct"/>
                  <w:vMerge w:val="continue"/>
                  <w:tcBorders>
                    <w:tl2br w:val="nil"/>
                    <w:tr2bl w:val="nil"/>
                  </w:tcBorders>
                  <w:noWrap w:val="0"/>
                  <w:tcMar>
                    <w:top w:w="0" w:type="dxa"/>
                    <w:left w:w="28" w:type="dxa"/>
                    <w:bottom w:w="0" w:type="dxa"/>
                    <w:right w:w="28" w:type="dxa"/>
                  </w:tcMar>
                  <w:vAlign w:val="center"/>
                </w:tcPr>
                <w:p w14:paraId="7D399E34">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0"/>
                      <w:szCs w:val="21"/>
                      <w:highlight w:val="none"/>
                    </w:rPr>
                  </w:pPr>
                </w:p>
              </w:tc>
              <w:tc>
                <w:tcPr>
                  <w:tcW w:w="361" w:type="pct"/>
                  <w:tcBorders>
                    <w:tl2br w:val="nil"/>
                    <w:tr2bl w:val="nil"/>
                  </w:tcBorders>
                  <w:noWrap w:val="0"/>
                  <w:tcMar>
                    <w:top w:w="0" w:type="dxa"/>
                    <w:left w:w="28" w:type="dxa"/>
                    <w:bottom w:w="0" w:type="dxa"/>
                    <w:right w:w="28" w:type="dxa"/>
                  </w:tcMar>
                  <w:vAlign w:val="center"/>
                </w:tcPr>
                <w:p w14:paraId="526C69B1">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符合</w:t>
                  </w:r>
                </w:p>
              </w:tc>
            </w:tr>
            <w:tr w14:paraId="04BABB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000" w:type="pct"/>
                  <w:gridSpan w:val="3"/>
                  <w:tcBorders>
                    <w:tl2br w:val="nil"/>
                    <w:tr2bl w:val="nil"/>
                  </w:tcBorders>
                  <w:noWrap w:val="0"/>
                  <w:tcMar>
                    <w:top w:w="0" w:type="dxa"/>
                    <w:left w:w="28" w:type="dxa"/>
                    <w:bottom w:w="0" w:type="dxa"/>
                    <w:right w:w="28" w:type="dxa"/>
                  </w:tcMar>
                  <w:vAlign w:val="center"/>
                </w:tcPr>
                <w:p w14:paraId="6759467F">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b w:val="0"/>
                      <w:bCs w:val="0"/>
                      <w:color w:val="auto"/>
                      <w:spacing w:val="0"/>
                      <w:sz w:val="21"/>
                      <w:szCs w:val="21"/>
                      <w:lang w:val="en-US" w:eastAsia="zh-CN"/>
                    </w:rPr>
                    <w:t>加强耕地与永久基本农田保护</w:t>
                  </w:r>
                </w:p>
              </w:tc>
            </w:tr>
            <w:tr w14:paraId="405F548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883" w:type="pct"/>
                  <w:tcBorders>
                    <w:tl2br w:val="nil"/>
                    <w:tr2bl w:val="nil"/>
                  </w:tcBorders>
                  <w:noWrap w:val="0"/>
                  <w:tcMar>
                    <w:top w:w="0" w:type="dxa"/>
                    <w:left w:w="28" w:type="dxa"/>
                    <w:bottom w:w="0" w:type="dxa"/>
                    <w:right w:w="28" w:type="dxa"/>
                  </w:tcMar>
                  <w:vAlign w:val="center"/>
                </w:tcPr>
                <w:p w14:paraId="6E9C50EC">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坚持最严格的耕地和永久基本农田保护制度，实现数量、质量、布局、生态、景观</w:t>
                  </w:r>
                  <w:r>
                    <w:rPr>
                      <w:rFonts w:hint="eastAsia" w:ascii="Times New Roman" w:hAnsi="Times New Roman" w:eastAsia="宋体" w:cs="Times New Roman"/>
                      <w:caps w:val="0"/>
                      <w:snapToGrid/>
                      <w:color w:val="auto"/>
                      <w:spacing w:val="0"/>
                      <w:sz w:val="21"/>
                      <w:szCs w:val="21"/>
                      <w:highlight w:val="none"/>
                      <w:vertAlign w:val="baseline"/>
                      <w:lang w:val="en-US" w:eastAsia="zh-CN" w:bidi="ar-SA"/>
                    </w:rPr>
                    <w:t>“五位一体”</w:t>
                  </w: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综合保护。落实粮食生产功能区和重要农产品生产保护区管控，保障粮食安全与重要农产品有效供给。防止耕地和永久基本农田“非农化”和“非粮化”，稳定耕地面积。统筹“两区”后备资源，严格管控耕地储备，保障耕地占补、进出平衡及永久基本农田补划空间。</w:t>
                  </w:r>
                </w:p>
              </w:tc>
              <w:tc>
                <w:tcPr>
                  <w:tcW w:w="1755" w:type="pct"/>
                  <w:tcBorders>
                    <w:tl2br w:val="nil"/>
                    <w:tr2bl w:val="nil"/>
                  </w:tcBorders>
                  <w:noWrap w:val="0"/>
                  <w:tcMar>
                    <w:top w:w="0" w:type="dxa"/>
                    <w:left w:w="28" w:type="dxa"/>
                    <w:bottom w:w="0" w:type="dxa"/>
                    <w:right w:w="28" w:type="dxa"/>
                  </w:tcMar>
                  <w:vAlign w:val="center"/>
                </w:tcPr>
                <w:p w14:paraId="00DCDED6">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根据会泽县自然资源局关于</w:t>
                  </w:r>
                  <w:r>
                    <w:rPr>
                      <w:rFonts w:hint="eastAsia" w:ascii="Times New Roman" w:hAnsi="Times New Roman" w:eastAsia="宋体" w:cs="Times New Roman"/>
                      <w:caps w:val="0"/>
                      <w:snapToGrid/>
                      <w:color w:val="auto"/>
                      <w:spacing w:val="0"/>
                      <w:sz w:val="21"/>
                      <w:szCs w:val="21"/>
                      <w:highlight w:val="none"/>
                      <w:vertAlign w:val="baseline"/>
                      <w:lang w:val="en-US" w:eastAsia="zh-CN" w:bidi="ar-SA"/>
                    </w:rPr>
                    <w:t>大草房至六合一11</w:t>
                  </w:r>
                  <w:r>
                    <w:rPr>
                      <w:rFonts w:hint="default" w:ascii="Times New Roman" w:hAnsi="Times New Roman" w:eastAsia="宋体" w:cs="Times New Roman"/>
                      <w:caps w:val="0"/>
                      <w:snapToGrid/>
                      <w:color w:val="auto"/>
                      <w:spacing w:val="0"/>
                      <w:sz w:val="21"/>
                      <w:szCs w:val="21"/>
                      <w:highlight w:val="none"/>
                      <w:vertAlign w:val="baseline"/>
                      <w:lang w:val="en-US" w:eastAsia="zh-CN" w:bidi="ar-SA"/>
                    </w:rPr>
                    <w:t>0kV</w:t>
                  </w:r>
                  <w:r>
                    <w:rPr>
                      <w:rFonts w:hint="eastAsia" w:ascii="Times New Roman" w:hAnsi="Times New Roman" w:eastAsia="宋体" w:cs="Times New Roman"/>
                      <w:caps w:val="0"/>
                      <w:snapToGrid/>
                      <w:color w:val="auto"/>
                      <w:spacing w:val="0"/>
                      <w:sz w:val="21"/>
                      <w:szCs w:val="21"/>
                      <w:highlight w:val="none"/>
                      <w:vertAlign w:val="baseline"/>
                      <w:lang w:val="en-US" w:eastAsia="zh-CN" w:bidi="ar-SA"/>
                    </w:rPr>
                    <w:t>送出线路</w:t>
                  </w:r>
                  <w:r>
                    <w:rPr>
                      <w:rFonts w:hint="default" w:ascii="Times New Roman" w:hAnsi="Times New Roman" w:eastAsia="宋体" w:cs="Times New Roman"/>
                      <w:caps w:val="0"/>
                      <w:snapToGrid/>
                      <w:color w:val="auto"/>
                      <w:spacing w:val="0"/>
                      <w:sz w:val="21"/>
                      <w:szCs w:val="21"/>
                      <w:highlight w:val="none"/>
                      <w:vertAlign w:val="baseline"/>
                      <w:lang w:val="en-US" w:eastAsia="zh-CN" w:bidi="ar-SA"/>
                    </w:rPr>
                    <w:t>工程查询的情况说明</w:t>
                  </w:r>
                  <w:r>
                    <w:rPr>
                      <w:rFonts w:hint="default" w:ascii="Times New Roman" w:hAnsi="Times New Roman" w:cs="Times New Roman"/>
                      <w:caps w:val="0"/>
                      <w:snapToGrid/>
                      <w:color w:val="auto"/>
                      <w:spacing w:val="0"/>
                      <w:sz w:val="21"/>
                      <w:szCs w:val="21"/>
                      <w:highlight w:val="none"/>
                      <w:vertAlign w:val="baseline"/>
                      <w:lang w:val="en-US" w:eastAsia="zh-CN" w:bidi="ar-SA"/>
                    </w:rPr>
                    <w:t>：项目用地范围不涉及城镇开发边界和村庄边界，不涉及生态保护红线和永久基本农田保护红线</w:t>
                  </w:r>
                  <w:r>
                    <w:rPr>
                      <w:rFonts w:hint="default" w:ascii="Times New Roman" w:hAnsi="Times New Roman" w:eastAsia="宋体" w:cs="Times New Roman"/>
                      <w:color w:val="auto"/>
                      <w:spacing w:val="0"/>
                      <w:kern w:val="0"/>
                      <w:sz w:val="21"/>
                      <w:szCs w:val="21"/>
                      <w:highlight w:val="none"/>
                      <w:lang w:val="en-US" w:eastAsia="zh-CN"/>
                    </w:rPr>
                    <w:t>。项目</w:t>
                  </w:r>
                  <w:r>
                    <w:rPr>
                      <w:rFonts w:hint="default" w:ascii="Times New Roman" w:hAnsi="Times New Roman" w:cs="Times New Roman"/>
                      <w:color w:val="auto"/>
                      <w:spacing w:val="0"/>
                      <w:kern w:val="0"/>
                      <w:sz w:val="21"/>
                      <w:szCs w:val="21"/>
                      <w:highlight w:val="none"/>
                      <w:lang w:val="en-US" w:eastAsia="zh-CN"/>
                    </w:rPr>
                    <w:t>塔基</w:t>
                  </w:r>
                  <w:r>
                    <w:rPr>
                      <w:rFonts w:hint="default" w:ascii="Times New Roman" w:hAnsi="Times New Roman" w:eastAsia="宋体" w:cs="Times New Roman"/>
                      <w:color w:val="auto"/>
                      <w:spacing w:val="0"/>
                      <w:kern w:val="0"/>
                      <w:sz w:val="21"/>
                      <w:szCs w:val="21"/>
                      <w:highlight w:val="none"/>
                      <w:lang w:val="en-US" w:eastAsia="zh-CN"/>
                    </w:rPr>
                    <w:t>占地类型为</w:t>
                  </w:r>
                  <w:r>
                    <w:rPr>
                      <w:rFonts w:hint="default" w:ascii="Times New Roman" w:hAnsi="Times New Roman" w:cs="Times New Roman"/>
                      <w:color w:val="auto"/>
                      <w:spacing w:val="0"/>
                      <w:kern w:val="0"/>
                      <w:sz w:val="21"/>
                      <w:szCs w:val="21"/>
                      <w:highlight w:val="none"/>
                      <w:lang w:val="en-US" w:eastAsia="zh-CN"/>
                    </w:rPr>
                    <w:t>林地、</w:t>
                  </w:r>
                  <w:r>
                    <w:rPr>
                      <w:rFonts w:hint="eastAsia" w:ascii="Times New Roman" w:hAnsi="Times New Roman" w:cs="Times New Roman"/>
                      <w:color w:val="auto"/>
                      <w:spacing w:val="0"/>
                      <w:kern w:val="0"/>
                      <w:sz w:val="21"/>
                      <w:szCs w:val="21"/>
                      <w:highlight w:val="none"/>
                      <w:lang w:val="en-US" w:eastAsia="zh-CN"/>
                    </w:rPr>
                    <w:t>耕地及草地</w:t>
                  </w:r>
                  <w:r>
                    <w:rPr>
                      <w:rFonts w:hint="default" w:ascii="Times New Roman" w:hAnsi="Times New Roman" w:eastAsia="宋体" w:cs="Times New Roman"/>
                      <w:color w:val="auto"/>
                      <w:spacing w:val="0"/>
                      <w:kern w:val="0"/>
                      <w:sz w:val="21"/>
                      <w:szCs w:val="21"/>
                      <w:highlight w:val="none"/>
                      <w:lang w:val="en-US" w:eastAsia="zh-CN"/>
                    </w:rPr>
                    <w:t>。</w:t>
                  </w:r>
                </w:p>
              </w:tc>
              <w:tc>
                <w:tcPr>
                  <w:tcW w:w="361" w:type="pct"/>
                  <w:tcBorders>
                    <w:tl2br w:val="nil"/>
                    <w:tr2bl w:val="nil"/>
                  </w:tcBorders>
                  <w:noWrap w:val="0"/>
                  <w:tcMar>
                    <w:top w:w="0" w:type="dxa"/>
                    <w:left w:w="28" w:type="dxa"/>
                    <w:bottom w:w="0" w:type="dxa"/>
                    <w:right w:w="28" w:type="dxa"/>
                  </w:tcMar>
                  <w:vAlign w:val="center"/>
                </w:tcPr>
                <w:p w14:paraId="7E8E1092">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符合</w:t>
                  </w:r>
                </w:p>
              </w:tc>
            </w:tr>
            <w:tr w14:paraId="3A8C5D8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000" w:type="pct"/>
                  <w:gridSpan w:val="3"/>
                  <w:tcBorders>
                    <w:tl2br w:val="nil"/>
                    <w:tr2bl w:val="nil"/>
                  </w:tcBorders>
                  <w:noWrap w:val="0"/>
                  <w:tcMar>
                    <w:top w:w="0" w:type="dxa"/>
                    <w:left w:w="28" w:type="dxa"/>
                    <w:bottom w:w="0" w:type="dxa"/>
                    <w:right w:w="28" w:type="dxa"/>
                  </w:tcMar>
                  <w:vAlign w:val="center"/>
                </w:tcPr>
                <w:p w14:paraId="6C7B96DE">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自然资源保护利用</w:t>
                  </w:r>
                </w:p>
              </w:tc>
            </w:tr>
            <w:tr w14:paraId="169016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883" w:type="pct"/>
                  <w:tcBorders>
                    <w:tl2br w:val="nil"/>
                    <w:tr2bl w:val="nil"/>
                  </w:tcBorders>
                  <w:noWrap w:val="0"/>
                  <w:tcMar>
                    <w:top w:w="0" w:type="dxa"/>
                    <w:left w:w="28" w:type="dxa"/>
                    <w:bottom w:w="0" w:type="dxa"/>
                    <w:right w:w="28" w:type="dxa"/>
                  </w:tcMar>
                  <w:vAlign w:val="center"/>
                </w:tcPr>
                <w:p w14:paraId="7C3E913C">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切实加强云南万峰山国家级森林公园、云南</w:t>
                  </w:r>
                  <w:r>
                    <w:rPr>
                      <w:rFonts w:hint="default" w:ascii="Times New Roman" w:hAnsi="Times New Roman" w:cs="Times New Roman"/>
                      <w:caps w:val="0"/>
                      <w:snapToGrid/>
                      <w:color w:val="auto"/>
                      <w:spacing w:val="0"/>
                      <w:sz w:val="21"/>
                      <w:szCs w:val="21"/>
                      <w:highlight w:val="none"/>
                      <w:vertAlign w:val="baseline"/>
                      <w:lang w:val="en-US" w:eastAsia="zh-CN" w:bidi="ar-SA"/>
                    </w:rPr>
                    <w:t>会泽</w:t>
                  </w:r>
                  <w:r>
                    <w:rPr>
                      <w:rFonts w:hint="default" w:ascii="Times New Roman" w:hAnsi="Times New Roman" w:eastAsia="宋体" w:cs="Times New Roman"/>
                      <w:caps w:val="0"/>
                      <w:snapToGrid/>
                      <w:color w:val="auto"/>
                      <w:spacing w:val="0"/>
                      <w:sz w:val="21"/>
                      <w:szCs w:val="21"/>
                      <w:highlight w:val="none"/>
                      <w:vertAlign w:val="baseline"/>
                      <w:lang w:val="en-US" w:eastAsia="zh-CN" w:bidi="ar-SA"/>
                    </w:rPr>
                    <w:t>九龙地方级森林公园等天然林的保护，抓好公益林政策执行与落实，强化森林防灾减灾工作力度，合理划定林地后备资源空间，开展造林绿化，建立完备的森林“三防”体系，增加森林碳汇能力。</w:t>
                  </w:r>
                </w:p>
              </w:tc>
              <w:tc>
                <w:tcPr>
                  <w:tcW w:w="1755" w:type="pct"/>
                  <w:vMerge w:val="restart"/>
                  <w:tcBorders>
                    <w:tl2br w:val="nil"/>
                    <w:tr2bl w:val="nil"/>
                  </w:tcBorders>
                  <w:noWrap w:val="0"/>
                  <w:tcMar>
                    <w:top w:w="0" w:type="dxa"/>
                    <w:left w:w="28" w:type="dxa"/>
                    <w:bottom w:w="0" w:type="dxa"/>
                    <w:right w:w="28" w:type="dxa"/>
                  </w:tcMar>
                  <w:vAlign w:val="center"/>
                </w:tcPr>
                <w:p w14:paraId="7C5DFC6E">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项目选址已经取得</w:t>
                  </w:r>
                  <w:r>
                    <w:rPr>
                      <w:rFonts w:hint="default" w:ascii="Times New Roman" w:hAnsi="Times New Roman" w:cs="Times New Roman"/>
                      <w:caps w:val="0"/>
                      <w:snapToGrid/>
                      <w:color w:val="auto"/>
                      <w:spacing w:val="0"/>
                      <w:sz w:val="21"/>
                      <w:szCs w:val="21"/>
                      <w:highlight w:val="none"/>
                      <w:vertAlign w:val="baseline"/>
                      <w:lang w:val="en-US" w:eastAsia="zh-CN" w:bidi="ar-SA"/>
                    </w:rPr>
                    <w:t>会泽县</w:t>
                  </w: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相关部门意见，根据</w:t>
                  </w:r>
                  <w:r>
                    <w:rPr>
                      <w:rFonts w:hint="default" w:ascii="Times New Roman" w:hAnsi="Times New Roman" w:cs="Times New Roman"/>
                      <w:caps w:val="0"/>
                      <w:snapToGrid/>
                      <w:color w:val="auto"/>
                      <w:spacing w:val="0"/>
                      <w:sz w:val="21"/>
                      <w:szCs w:val="21"/>
                      <w:highlight w:val="none"/>
                      <w:vertAlign w:val="baseline"/>
                      <w:lang w:val="en-US" w:eastAsia="zh-CN" w:bidi="ar-SA"/>
                    </w:rPr>
                    <w:t>会泽县</w:t>
                  </w:r>
                  <w:r>
                    <w:rPr>
                      <w:rFonts w:hint="default" w:ascii="Times New Roman" w:hAnsi="Times New Roman" w:eastAsia="宋体" w:cs="Times New Roman"/>
                      <w:caps w:val="0"/>
                      <w:snapToGrid/>
                      <w:color w:val="auto"/>
                      <w:spacing w:val="0"/>
                      <w:sz w:val="21"/>
                      <w:szCs w:val="21"/>
                      <w:highlight w:val="none"/>
                      <w:vertAlign w:val="baseline"/>
                      <w:lang w:val="en-US" w:eastAsia="zh-CN" w:bidi="ar-SA"/>
                    </w:rPr>
                    <w:t>各局查询意见、项目选址踏勘及</w:t>
                  </w:r>
                  <w:r>
                    <w:rPr>
                      <w:rFonts w:hint="default" w:ascii="Times New Roman" w:hAnsi="Times New Roman" w:cs="Times New Roman"/>
                      <w:caps w:val="0"/>
                      <w:snapToGrid/>
                      <w:color w:val="auto"/>
                      <w:spacing w:val="0"/>
                      <w:sz w:val="21"/>
                      <w:szCs w:val="21"/>
                      <w:highlight w:val="none"/>
                      <w:vertAlign w:val="baseline"/>
                      <w:lang w:val="en-US" w:eastAsia="zh-CN" w:bidi="ar-SA"/>
                    </w:rPr>
                    <w:t>会泽县</w:t>
                  </w: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相关敏感区资料核对，项目</w:t>
                  </w:r>
                  <w:r>
                    <w:rPr>
                      <w:rFonts w:hint="default" w:ascii="Times New Roman" w:hAnsi="Times New Roman" w:cs="Times New Roman"/>
                      <w:caps w:val="0"/>
                      <w:snapToGrid/>
                      <w:color w:val="auto"/>
                      <w:spacing w:val="0"/>
                      <w:sz w:val="21"/>
                      <w:szCs w:val="21"/>
                      <w:highlight w:val="none"/>
                      <w:vertAlign w:val="baseline"/>
                      <w:lang w:val="en-US" w:eastAsia="zh-CN" w:bidi="ar-SA"/>
                    </w:rPr>
                    <w:t>塔基</w:t>
                  </w:r>
                  <w:r>
                    <w:rPr>
                      <w:rFonts w:hint="default" w:ascii="Times New Roman" w:hAnsi="Times New Roman" w:eastAsia="宋体" w:cs="Times New Roman"/>
                      <w:caps w:val="0"/>
                      <w:snapToGrid/>
                      <w:color w:val="auto"/>
                      <w:spacing w:val="0"/>
                      <w:sz w:val="21"/>
                      <w:szCs w:val="21"/>
                      <w:highlight w:val="none"/>
                      <w:vertAlign w:val="baseline"/>
                      <w:lang w:val="en-US" w:eastAsia="zh-CN" w:bidi="ar-SA"/>
                    </w:rPr>
                    <w:t>占地类型为</w:t>
                  </w:r>
                  <w:r>
                    <w:rPr>
                      <w:rFonts w:hint="default" w:ascii="Times New Roman" w:hAnsi="Times New Roman" w:cs="Times New Roman"/>
                      <w:color w:val="auto"/>
                      <w:kern w:val="2"/>
                      <w:sz w:val="21"/>
                      <w:szCs w:val="21"/>
                      <w:lang w:val="en-US" w:eastAsia="zh-CN" w:bidi="ar-SA"/>
                    </w:rPr>
                    <w:t>林地、耕地</w:t>
                  </w:r>
                  <w:r>
                    <w:rPr>
                      <w:rFonts w:hint="eastAsia" w:ascii="Times New Roman" w:hAnsi="Times New Roman" w:cs="Times New Roman"/>
                      <w:color w:val="auto"/>
                      <w:kern w:val="2"/>
                      <w:sz w:val="21"/>
                      <w:szCs w:val="21"/>
                      <w:lang w:val="en-US" w:eastAsia="zh-CN" w:bidi="ar-SA"/>
                    </w:rPr>
                    <w:t>、草地</w:t>
                  </w:r>
                  <w:r>
                    <w:rPr>
                      <w:rFonts w:hint="default" w:ascii="Times New Roman" w:hAnsi="Times New Roman" w:eastAsia="宋体" w:cs="Times New Roman"/>
                      <w:caps w:val="0"/>
                      <w:snapToGrid/>
                      <w:color w:val="auto"/>
                      <w:spacing w:val="0"/>
                      <w:sz w:val="21"/>
                      <w:szCs w:val="21"/>
                      <w:highlight w:val="none"/>
                      <w:vertAlign w:val="baseline"/>
                      <w:lang w:val="en-US" w:eastAsia="zh-CN" w:bidi="ar-SA"/>
                    </w:rPr>
                    <w:t>，项目未占用基本农田和生态</w:t>
                  </w:r>
                  <w:r>
                    <w:rPr>
                      <w:rFonts w:hint="eastAsia" w:ascii="Times New Roman" w:hAnsi="Times New Roman" w:cs="Times New Roman"/>
                      <w:caps w:val="0"/>
                      <w:snapToGrid/>
                      <w:color w:val="auto"/>
                      <w:spacing w:val="0"/>
                      <w:sz w:val="21"/>
                      <w:szCs w:val="21"/>
                      <w:highlight w:val="none"/>
                      <w:vertAlign w:val="baseline"/>
                      <w:lang w:val="en-US" w:eastAsia="zh-CN" w:bidi="ar-SA"/>
                    </w:rPr>
                    <w:t>保护</w:t>
                  </w: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红线，该项目选址不涉及国家公园、自然保护区、森林公园、风景名胜区、草原公园等各类自然保护地、天然林保护重点区域。</w:t>
                  </w:r>
                </w:p>
              </w:tc>
              <w:tc>
                <w:tcPr>
                  <w:tcW w:w="361" w:type="pct"/>
                  <w:tcBorders>
                    <w:tl2br w:val="nil"/>
                    <w:tr2bl w:val="nil"/>
                  </w:tcBorders>
                  <w:noWrap w:val="0"/>
                  <w:tcMar>
                    <w:top w:w="0" w:type="dxa"/>
                    <w:left w:w="28" w:type="dxa"/>
                    <w:bottom w:w="0" w:type="dxa"/>
                    <w:right w:w="28" w:type="dxa"/>
                  </w:tcMar>
                  <w:vAlign w:val="center"/>
                </w:tcPr>
                <w:p w14:paraId="558DEA88">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pacing w:val="0"/>
                      <w:sz w:val="21"/>
                      <w:szCs w:val="21"/>
                      <w:lang w:val="en-US" w:eastAsia="zh-CN"/>
                    </w:rPr>
                    <w:t>符合</w:t>
                  </w:r>
                </w:p>
              </w:tc>
            </w:tr>
            <w:tr w14:paraId="605F11F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883" w:type="pct"/>
                  <w:tcBorders>
                    <w:tl2br w:val="nil"/>
                    <w:tr2bl w:val="nil"/>
                  </w:tcBorders>
                  <w:noWrap w:val="0"/>
                  <w:tcMar>
                    <w:top w:w="0" w:type="dxa"/>
                    <w:left w:w="28" w:type="dxa"/>
                    <w:bottom w:w="0" w:type="dxa"/>
                    <w:right w:w="28" w:type="dxa"/>
                  </w:tcMar>
                  <w:vAlign w:val="center"/>
                </w:tcPr>
                <w:p w14:paraId="46BBB6E2">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基于县域草地资源，实施动态监测与保护，实现草地资源监测、核查、执法三个“全覆盖”，大力打击破坏自然生态的违法行为。</w:t>
                  </w:r>
                </w:p>
              </w:tc>
              <w:tc>
                <w:tcPr>
                  <w:tcW w:w="1755" w:type="pct"/>
                  <w:vMerge w:val="continue"/>
                  <w:tcBorders>
                    <w:tl2br w:val="nil"/>
                    <w:tr2bl w:val="nil"/>
                  </w:tcBorders>
                  <w:noWrap w:val="0"/>
                  <w:tcMar>
                    <w:top w:w="0" w:type="dxa"/>
                    <w:left w:w="28" w:type="dxa"/>
                    <w:bottom w:w="0" w:type="dxa"/>
                    <w:right w:w="28" w:type="dxa"/>
                  </w:tcMar>
                  <w:vAlign w:val="center"/>
                </w:tcPr>
                <w:p w14:paraId="34C6B072">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p>
              </w:tc>
              <w:tc>
                <w:tcPr>
                  <w:tcW w:w="361" w:type="pct"/>
                  <w:tcBorders>
                    <w:tl2br w:val="nil"/>
                    <w:tr2bl w:val="nil"/>
                  </w:tcBorders>
                  <w:noWrap w:val="0"/>
                  <w:tcMar>
                    <w:top w:w="0" w:type="dxa"/>
                    <w:left w:w="28" w:type="dxa"/>
                    <w:bottom w:w="0" w:type="dxa"/>
                    <w:right w:w="28" w:type="dxa"/>
                  </w:tcMar>
                  <w:vAlign w:val="center"/>
                </w:tcPr>
                <w:p w14:paraId="12D195C1">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pacing w:val="0"/>
                      <w:sz w:val="21"/>
                      <w:szCs w:val="21"/>
                      <w:lang w:val="en-US" w:eastAsia="zh-CN"/>
                    </w:rPr>
                    <w:t>符合</w:t>
                  </w:r>
                </w:p>
              </w:tc>
            </w:tr>
            <w:tr w14:paraId="372518E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883" w:type="pct"/>
                  <w:tcBorders>
                    <w:tl2br w:val="nil"/>
                    <w:tr2bl w:val="nil"/>
                  </w:tcBorders>
                  <w:noWrap w:val="0"/>
                  <w:tcMar>
                    <w:top w:w="0" w:type="dxa"/>
                    <w:left w:w="28" w:type="dxa"/>
                    <w:bottom w:w="0" w:type="dxa"/>
                    <w:right w:w="28" w:type="dxa"/>
                  </w:tcMar>
                  <w:vAlign w:val="center"/>
                </w:tcPr>
                <w:p w14:paraId="0C06E821">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sz w:val="21"/>
                      <w:szCs w:val="21"/>
                      <w:highlight w:val="none"/>
                      <w:vertAlign w:val="baseline"/>
                      <w:lang w:val="en-US" w:eastAsia="zh-CN" w:bidi="ar-SA"/>
                    </w:rPr>
                  </w:pPr>
                  <w:r>
                    <w:rPr>
                      <w:rFonts w:hint="default" w:ascii="Times New Roman" w:hAnsi="Times New Roman" w:eastAsia="宋体" w:cs="Times New Roman"/>
                      <w:caps w:val="0"/>
                      <w:snapToGrid/>
                      <w:color w:val="auto"/>
                      <w:spacing w:val="0"/>
                      <w:sz w:val="21"/>
                      <w:szCs w:val="21"/>
                      <w:highlight w:val="none"/>
                      <w:vertAlign w:val="baseline"/>
                      <w:lang w:val="en-US" w:eastAsia="zh-CN" w:bidi="ar-SA"/>
                    </w:rPr>
                    <w:t>以南盘江流域为“核心”，以黄泥河生态文化廊道、南盘江重要生态文化廊道等为“廊道”，本着宜林则林的原则营造适宜野生动物生存的优质森林，形成空间联系紧密、条块衔接顺畅的生物多样性保护与持续利用网络。加强云南万峰山国家级森林公园、云南</w:t>
                  </w:r>
                  <w:r>
                    <w:rPr>
                      <w:rFonts w:hint="default" w:ascii="Times New Roman" w:hAnsi="Times New Roman" w:cs="Times New Roman"/>
                      <w:caps w:val="0"/>
                      <w:snapToGrid/>
                      <w:color w:val="auto"/>
                      <w:spacing w:val="0"/>
                      <w:sz w:val="21"/>
                      <w:szCs w:val="21"/>
                      <w:highlight w:val="none"/>
                      <w:vertAlign w:val="baseline"/>
                      <w:lang w:val="en-US" w:eastAsia="zh-CN" w:bidi="ar-SA"/>
                    </w:rPr>
                    <w:t>会泽</w:t>
                  </w:r>
                  <w:r>
                    <w:rPr>
                      <w:rFonts w:hint="default" w:ascii="Times New Roman" w:hAnsi="Times New Roman" w:eastAsia="宋体" w:cs="Times New Roman"/>
                      <w:caps w:val="0"/>
                      <w:snapToGrid/>
                      <w:color w:val="auto"/>
                      <w:spacing w:val="0"/>
                      <w:sz w:val="21"/>
                      <w:szCs w:val="21"/>
                      <w:highlight w:val="none"/>
                      <w:vertAlign w:val="baseline"/>
                      <w:lang w:val="en-US" w:eastAsia="zh-CN" w:bidi="ar-SA"/>
                    </w:rPr>
                    <w:t>生物群国家级地质公园、云南</w:t>
                  </w:r>
                  <w:r>
                    <w:rPr>
                      <w:rFonts w:hint="default" w:ascii="Times New Roman" w:hAnsi="Times New Roman" w:cs="Times New Roman"/>
                      <w:caps w:val="0"/>
                      <w:snapToGrid/>
                      <w:color w:val="auto"/>
                      <w:spacing w:val="0"/>
                      <w:sz w:val="21"/>
                      <w:szCs w:val="21"/>
                      <w:highlight w:val="none"/>
                      <w:vertAlign w:val="baseline"/>
                      <w:lang w:val="en-US" w:eastAsia="zh-CN" w:bidi="ar-SA"/>
                    </w:rPr>
                    <w:t>会泽</w:t>
                  </w:r>
                  <w:r>
                    <w:rPr>
                      <w:rFonts w:hint="default" w:ascii="Times New Roman" w:hAnsi="Times New Roman" w:eastAsia="宋体" w:cs="Times New Roman"/>
                      <w:caps w:val="0"/>
                      <w:snapToGrid/>
                      <w:color w:val="auto"/>
                      <w:spacing w:val="0"/>
                      <w:sz w:val="21"/>
                      <w:szCs w:val="21"/>
                      <w:highlight w:val="none"/>
                      <w:vertAlign w:val="baseline"/>
                      <w:lang w:val="en-US" w:eastAsia="zh-CN" w:bidi="ar-SA"/>
                    </w:rPr>
                    <w:t>九龙地方级森林公园、云南</w:t>
                  </w:r>
                  <w:r>
                    <w:rPr>
                      <w:rFonts w:hint="default" w:ascii="Times New Roman" w:hAnsi="Times New Roman" w:cs="Times New Roman"/>
                      <w:caps w:val="0"/>
                      <w:snapToGrid/>
                      <w:color w:val="auto"/>
                      <w:spacing w:val="0"/>
                      <w:sz w:val="21"/>
                      <w:szCs w:val="21"/>
                      <w:highlight w:val="none"/>
                      <w:vertAlign w:val="baseline"/>
                      <w:lang w:val="en-US" w:eastAsia="zh-CN" w:bidi="ar-SA"/>
                    </w:rPr>
                    <w:t>会泽</w:t>
                  </w:r>
                  <w:r>
                    <w:rPr>
                      <w:rFonts w:hint="default" w:ascii="Times New Roman" w:hAnsi="Times New Roman" w:eastAsia="宋体" w:cs="Times New Roman"/>
                      <w:caps w:val="0"/>
                      <w:snapToGrid/>
                      <w:color w:val="auto"/>
                      <w:spacing w:val="0"/>
                      <w:sz w:val="21"/>
                      <w:szCs w:val="21"/>
                      <w:highlight w:val="none"/>
                      <w:vertAlign w:val="baseline"/>
                      <w:lang w:val="en-US" w:eastAsia="zh-CN" w:bidi="ar-SA"/>
                    </w:rPr>
                    <w:t>多依河—鲁布革地方级风景名胜区的保护与恢复。</w:t>
                  </w:r>
                </w:p>
              </w:tc>
              <w:tc>
                <w:tcPr>
                  <w:tcW w:w="1755" w:type="pct"/>
                  <w:vMerge w:val="continue"/>
                  <w:tcBorders>
                    <w:tl2br w:val="nil"/>
                    <w:tr2bl w:val="nil"/>
                  </w:tcBorders>
                  <w:noWrap w:val="0"/>
                  <w:tcMar>
                    <w:top w:w="0" w:type="dxa"/>
                    <w:left w:w="28" w:type="dxa"/>
                    <w:bottom w:w="0" w:type="dxa"/>
                    <w:right w:w="28" w:type="dxa"/>
                  </w:tcMar>
                  <w:vAlign w:val="center"/>
                </w:tcPr>
                <w:p w14:paraId="65E011BD">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val="en-US" w:eastAsia="zh-CN"/>
                    </w:rPr>
                  </w:pPr>
                </w:p>
              </w:tc>
              <w:tc>
                <w:tcPr>
                  <w:tcW w:w="361" w:type="pct"/>
                  <w:tcBorders>
                    <w:tl2br w:val="nil"/>
                    <w:tr2bl w:val="nil"/>
                  </w:tcBorders>
                  <w:noWrap w:val="0"/>
                  <w:tcMar>
                    <w:top w:w="0" w:type="dxa"/>
                    <w:left w:w="28" w:type="dxa"/>
                    <w:bottom w:w="0" w:type="dxa"/>
                    <w:right w:w="28" w:type="dxa"/>
                  </w:tcMar>
                  <w:vAlign w:val="center"/>
                </w:tcPr>
                <w:p w14:paraId="0EF42F91">
                  <w:pPr>
                    <w:pStyle w:val="8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pacing w:val="0"/>
                      <w:sz w:val="21"/>
                      <w:szCs w:val="21"/>
                      <w:lang w:val="en-US" w:eastAsia="zh-CN"/>
                    </w:rPr>
                    <w:t>符合</w:t>
                  </w:r>
                </w:p>
              </w:tc>
            </w:tr>
          </w:tbl>
          <w:p w14:paraId="22F8A75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从上表可以看出，本项目符合</w:t>
            </w:r>
            <w:r>
              <w:rPr>
                <w:rFonts w:hint="default" w:ascii="Times New Roman" w:hAnsi="Times New Roman" w:eastAsia="宋体" w:cs="Times New Roman"/>
                <w:b w:val="0"/>
                <w:bCs w:val="0"/>
                <w:color w:val="auto"/>
                <w:sz w:val="24"/>
                <w:szCs w:val="24"/>
                <w:lang w:val="en-US" w:eastAsia="zh-CN"/>
              </w:rPr>
              <w:t>《</w:t>
            </w:r>
            <w:r>
              <w:rPr>
                <w:rFonts w:hint="default" w:ascii="Times New Roman" w:hAnsi="Times New Roman" w:cs="Times New Roman"/>
                <w:b w:val="0"/>
                <w:bCs w:val="0"/>
                <w:color w:val="auto"/>
                <w:sz w:val="24"/>
                <w:szCs w:val="24"/>
                <w:lang w:val="en-US" w:eastAsia="zh-CN"/>
              </w:rPr>
              <w:t>会泽县</w:t>
            </w:r>
            <w:r>
              <w:rPr>
                <w:rFonts w:hint="default" w:ascii="Times New Roman" w:hAnsi="Times New Roman" w:eastAsia="宋体" w:cs="Times New Roman"/>
                <w:b w:val="0"/>
                <w:bCs w:val="0"/>
                <w:color w:val="auto"/>
                <w:sz w:val="24"/>
                <w:szCs w:val="24"/>
                <w:lang w:val="en-US" w:eastAsia="zh-CN"/>
              </w:rPr>
              <w:t>国土空间总体规划（2021—2035年）》</w:t>
            </w:r>
            <w:r>
              <w:rPr>
                <w:rFonts w:hint="default" w:ascii="Times New Roman" w:hAnsi="Times New Roman" w:eastAsia="宋体" w:cs="Times New Roman"/>
                <w:b w:val="0"/>
                <w:bCs w:val="0"/>
                <w:color w:val="auto"/>
                <w:sz w:val="24"/>
                <w:szCs w:val="24"/>
                <w:lang w:val="zh-CN" w:eastAsia="zh-CN"/>
              </w:rPr>
              <w:t>的相关要求。</w:t>
            </w:r>
          </w:p>
          <w:p w14:paraId="00F7D601">
            <w:pPr>
              <w:keepNext w:val="0"/>
              <w:keepLines w:val="0"/>
              <w:pageBreakBefore w:val="0"/>
              <w:widowControl w:val="0"/>
              <w:kinsoku/>
              <w:wordWrap/>
              <w:overflowPunct/>
              <w:topLinePunct w:val="0"/>
              <w:autoSpaceDE w:val="0"/>
              <w:autoSpaceDN w:val="0"/>
              <w:bidi w:val="0"/>
              <w:adjustRightInd w:val="0"/>
              <w:snapToGrid w:val="0"/>
              <w:spacing w:line="440" w:lineRule="exact"/>
              <w:jc w:val="both"/>
              <w:textAlignment w:val="auto"/>
              <w:rPr>
                <w:rFonts w:hint="default" w:ascii="Times New Roman" w:hAnsi="Times New Roman" w:eastAsia="宋体" w:cs="Times New Roman"/>
                <w:b/>
                <w:bCs/>
                <w:color w:val="auto"/>
                <w:sz w:val="24"/>
                <w:szCs w:val="24"/>
                <w:lang w:val="zh-CN" w:eastAsia="zh-CN"/>
              </w:rPr>
            </w:pPr>
            <w:r>
              <w:rPr>
                <w:rFonts w:hint="default" w:ascii="Times New Roman" w:hAnsi="Times New Roman" w:eastAsia="宋体" w:cs="Times New Roman"/>
                <w:b/>
                <w:bCs/>
                <w:color w:val="auto"/>
                <w:sz w:val="24"/>
                <w:szCs w:val="24"/>
                <w:lang w:val="en-US" w:eastAsia="zh-CN"/>
              </w:rPr>
              <w:t>1</w:t>
            </w:r>
            <w:r>
              <w:rPr>
                <w:rFonts w:hint="eastAsia" w:ascii="Times New Roman" w:hAnsi="Times New Roman" w:eastAsia="宋体" w:cs="Times New Roman"/>
                <w:b/>
                <w:bCs/>
                <w:color w:val="auto"/>
                <w:sz w:val="24"/>
                <w:szCs w:val="24"/>
                <w:lang w:val="en-US" w:eastAsia="zh-CN"/>
              </w:rPr>
              <w:t>4</w:t>
            </w:r>
            <w:r>
              <w:rPr>
                <w:rFonts w:hint="default" w:ascii="Times New Roman" w:hAnsi="Times New Roman" w:eastAsia="宋体" w:cs="Times New Roman"/>
                <w:b/>
                <w:bCs/>
                <w:color w:val="auto"/>
                <w:sz w:val="24"/>
                <w:szCs w:val="24"/>
                <w:lang w:val="en-US" w:eastAsia="zh-CN"/>
              </w:rPr>
              <w:t>、</w:t>
            </w:r>
            <w:r>
              <w:rPr>
                <w:rFonts w:hint="default" w:ascii="Times New Roman" w:hAnsi="Times New Roman" w:eastAsia="宋体" w:cs="Times New Roman"/>
                <w:b/>
                <w:bCs/>
                <w:color w:val="auto"/>
                <w:sz w:val="24"/>
                <w:szCs w:val="24"/>
                <w:lang w:val="zh-CN" w:eastAsia="zh-CN"/>
              </w:rPr>
              <w:t>项目与《曲靖市加快电网规划建设十四条</w:t>
            </w:r>
            <w:r>
              <w:rPr>
                <w:rFonts w:hint="eastAsia" w:ascii="Times New Roman" w:hAnsi="Times New Roman" w:eastAsia="宋体" w:cs="Times New Roman"/>
                <w:b/>
                <w:bCs/>
                <w:color w:val="auto"/>
                <w:sz w:val="24"/>
                <w:szCs w:val="24"/>
                <w:lang w:val="zh-CN" w:eastAsia="zh-CN"/>
              </w:rPr>
              <w:t>措施</w:t>
            </w:r>
            <w:r>
              <w:rPr>
                <w:rFonts w:hint="default" w:ascii="Times New Roman" w:hAnsi="Times New Roman" w:eastAsia="宋体" w:cs="Times New Roman"/>
                <w:b/>
                <w:bCs/>
                <w:color w:val="auto"/>
                <w:sz w:val="24"/>
                <w:szCs w:val="24"/>
                <w:lang w:val="zh-CN" w:eastAsia="zh-CN"/>
              </w:rPr>
              <w:t>（试行）的通知》符合性分析</w:t>
            </w:r>
          </w:p>
          <w:p w14:paraId="16B6C8A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2023</w:t>
            </w:r>
            <w:r>
              <w:rPr>
                <w:rFonts w:hint="default" w:ascii="Times New Roman" w:hAnsi="Times New Roman" w:eastAsia="宋体" w:cs="Times New Roman"/>
                <w:b w:val="0"/>
                <w:bCs w:val="0"/>
                <w:color w:val="auto"/>
                <w:sz w:val="24"/>
                <w:szCs w:val="24"/>
                <w:lang w:val="en-US" w:eastAsia="zh-CN"/>
              </w:rPr>
              <w:t>年</w:t>
            </w:r>
            <w:r>
              <w:rPr>
                <w:rFonts w:hint="default" w:ascii="Times New Roman" w:hAnsi="Times New Roman" w:eastAsia="宋体" w:cs="Times New Roman"/>
                <w:b w:val="0"/>
                <w:bCs w:val="0"/>
                <w:color w:val="auto"/>
                <w:sz w:val="24"/>
                <w:szCs w:val="24"/>
                <w:lang w:val="zh-CN" w:eastAsia="zh-CN"/>
              </w:rPr>
              <w:t>4</w:t>
            </w:r>
            <w:r>
              <w:rPr>
                <w:rFonts w:hint="default" w:ascii="Times New Roman" w:hAnsi="Times New Roman" w:eastAsia="宋体" w:cs="Times New Roman"/>
                <w:b w:val="0"/>
                <w:bCs w:val="0"/>
                <w:color w:val="auto"/>
                <w:sz w:val="24"/>
                <w:szCs w:val="24"/>
                <w:lang w:val="en-US" w:eastAsia="zh-CN"/>
              </w:rPr>
              <w:t>月</w:t>
            </w:r>
            <w:r>
              <w:rPr>
                <w:rFonts w:hint="default" w:ascii="Times New Roman" w:hAnsi="Times New Roman" w:eastAsia="宋体" w:cs="Times New Roman"/>
                <w:b w:val="0"/>
                <w:bCs w:val="0"/>
                <w:color w:val="auto"/>
                <w:sz w:val="24"/>
                <w:szCs w:val="24"/>
                <w:lang w:val="zh-CN" w:eastAsia="zh-CN"/>
              </w:rPr>
              <w:t>20</w:t>
            </w:r>
            <w:r>
              <w:rPr>
                <w:rFonts w:hint="default" w:ascii="Times New Roman" w:hAnsi="Times New Roman" w:eastAsia="宋体" w:cs="Times New Roman"/>
                <w:b w:val="0"/>
                <w:bCs w:val="0"/>
                <w:color w:val="auto"/>
                <w:sz w:val="24"/>
                <w:szCs w:val="24"/>
                <w:lang w:val="en-US" w:eastAsia="zh-CN"/>
              </w:rPr>
              <w:t>日，</w:t>
            </w:r>
            <w:r>
              <w:rPr>
                <w:rFonts w:hint="default" w:ascii="Times New Roman" w:hAnsi="Times New Roman" w:eastAsia="宋体" w:cs="Times New Roman"/>
                <w:b w:val="0"/>
                <w:bCs w:val="0"/>
                <w:color w:val="auto"/>
                <w:sz w:val="24"/>
                <w:szCs w:val="24"/>
                <w:lang w:val="zh-CN" w:eastAsia="zh-CN"/>
              </w:rPr>
              <w:t>曲靖市人民政府办公室《关于印发曲靖市加快电网规划建设十四条措施（试行）的通知》（曲政办发〔2023〕26号）。</w:t>
            </w:r>
            <w:r>
              <w:rPr>
                <w:rFonts w:hint="default" w:ascii="Times New Roman" w:hAnsi="Times New Roman" w:eastAsia="宋体" w:cs="Times New Roman"/>
                <w:b w:val="0"/>
                <w:bCs w:val="0"/>
                <w:color w:val="auto"/>
                <w:sz w:val="24"/>
                <w:szCs w:val="24"/>
                <w:lang w:val="en-US" w:eastAsia="zh-CN"/>
              </w:rPr>
              <w:t>根据通知，</w:t>
            </w:r>
            <w:r>
              <w:rPr>
                <w:rFonts w:hint="default" w:ascii="Times New Roman" w:hAnsi="Times New Roman" w:eastAsia="宋体" w:cs="Times New Roman"/>
                <w:b w:val="0"/>
                <w:bCs w:val="0"/>
                <w:color w:val="auto"/>
                <w:sz w:val="24"/>
                <w:szCs w:val="24"/>
                <w:lang w:val="zh-CN" w:eastAsia="zh-CN"/>
              </w:rPr>
              <w:t>项目与《曲靖市加快电网规划建设十四条措施（试行）》相符性分析详见下表。</w:t>
            </w:r>
          </w:p>
          <w:p w14:paraId="001C1315">
            <w:pPr>
              <w:keepNext w:val="0"/>
              <w:keepLines w:val="0"/>
              <w:pageBreakBefore w:val="0"/>
              <w:widowControl w:val="0"/>
              <w:kinsoku/>
              <w:wordWrap/>
              <w:overflowPunct/>
              <w:topLinePunct w:val="0"/>
              <w:autoSpaceDE/>
              <w:autoSpaceDN/>
              <w:bidi w:val="0"/>
              <w:adjustRightInd w:val="0"/>
              <w:snapToGrid w:val="0"/>
              <w:spacing w:line="240" w:lineRule="auto"/>
              <w:ind w:firstLine="482" w:firstLineChars="200"/>
              <w:jc w:val="center"/>
              <w:textAlignment w:val="auto"/>
              <w:rPr>
                <w:rFonts w:hint="default" w:ascii="Times New Roman" w:hAnsi="Times New Roman" w:eastAsia="宋体" w:cs="Times New Roman"/>
                <w:b/>
                <w:bCs/>
                <w:color w:val="auto"/>
                <w:sz w:val="24"/>
                <w:szCs w:val="24"/>
                <w:lang w:val="zh-CN" w:eastAsia="zh-CN"/>
              </w:rPr>
            </w:pPr>
            <w:r>
              <w:rPr>
                <w:rFonts w:hint="default" w:ascii="Times New Roman" w:hAnsi="Times New Roman" w:cs="Times New Roman"/>
                <w:b/>
                <w:bCs/>
                <w:color w:val="auto"/>
                <w:sz w:val="24"/>
                <w:szCs w:val="24"/>
                <w:lang w:val="en-US" w:eastAsia="zh-CN"/>
              </w:rPr>
              <w:t xml:space="preserve">表1-13  </w:t>
            </w:r>
            <w:r>
              <w:rPr>
                <w:rFonts w:hint="default" w:ascii="Times New Roman" w:hAnsi="Times New Roman" w:eastAsia="宋体" w:cs="Times New Roman"/>
                <w:b/>
                <w:bCs/>
                <w:color w:val="auto"/>
                <w:sz w:val="24"/>
                <w:szCs w:val="24"/>
                <w:lang w:val="zh-CN" w:eastAsia="zh-CN"/>
              </w:rPr>
              <w:t>项目与《曲政办发〔2023〕26号》符合性分析</w:t>
            </w:r>
          </w:p>
          <w:tbl>
            <w:tblPr>
              <w:tblStyle w:val="91"/>
              <w:tblW w:w="4997"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563"/>
              <w:gridCol w:w="4084"/>
              <w:gridCol w:w="1489"/>
              <w:gridCol w:w="713"/>
            </w:tblGrid>
            <w:tr w14:paraId="5EFB520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411" w:type="pct"/>
                  <w:tcBorders>
                    <w:tl2br w:val="nil"/>
                    <w:tr2bl w:val="nil"/>
                  </w:tcBorders>
                  <w:noWrap w:val="0"/>
                  <w:vAlign w:val="center"/>
                </w:tcPr>
                <w:p w14:paraId="5CCE2353">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bCs/>
                      <w:color w:val="auto"/>
                      <w:spacing w:val="4"/>
                      <w:sz w:val="21"/>
                      <w:szCs w:val="21"/>
                    </w:rPr>
                    <w:t>序号</w:t>
                  </w:r>
                </w:p>
              </w:tc>
              <w:tc>
                <w:tcPr>
                  <w:tcW w:w="2980" w:type="pct"/>
                  <w:tcBorders>
                    <w:tl2br w:val="nil"/>
                    <w:tr2bl w:val="nil"/>
                  </w:tcBorders>
                  <w:noWrap w:val="0"/>
                  <w:vAlign w:val="center"/>
                </w:tcPr>
                <w:p w14:paraId="17143D1D">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bCs/>
                      <w:color w:val="auto"/>
                      <w:spacing w:val="6"/>
                      <w:sz w:val="21"/>
                      <w:szCs w:val="21"/>
                    </w:rPr>
                    <w:t>通知内容</w:t>
                  </w:r>
                </w:p>
              </w:tc>
              <w:tc>
                <w:tcPr>
                  <w:tcW w:w="1087" w:type="pct"/>
                  <w:tcBorders>
                    <w:tl2br w:val="nil"/>
                    <w:tr2bl w:val="nil"/>
                  </w:tcBorders>
                  <w:noWrap w:val="0"/>
                  <w:vAlign w:val="center"/>
                </w:tcPr>
                <w:p w14:paraId="4548477C">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bCs/>
                      <w:color w:val="auto"/>
                      <w:spacing w:val="5"/>
                      <w:sz w:val="21"/>
                      <w:szCs w:val="21"/>
                    </w:rPr>
                    <w:t>项目情况</w:t>
                  </w:r>
                </w:p>
              </w:tc>
              <w:tc>
                <w:tcPr>
                  <w:tcW w:w="520" w:type="pct"/>
                  <w:tcBorders>
                    <w:tl2br w:val="nil"/>
                    <w:tr2bl w:val="nil"/>
                  </w:tcBorders>
                  <w:noWrap w:val="0"/>
                  <w:vAlign w:val="center"/>
                </w:tcPr>
                <w:p w14:paraId="1F1ED8A6">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bCs/>
                      <w:color w:val="auto"/>
                      <w:spacing w:val="5"/>
                      <w:sz w:val="21"/>
                      <w:szCs w:val="21"/>
                    </w:rPr>
                    <w:t>符合性</w:t>
                  </w:r>
                </w:p>
              </w:tc>
            </w:tr>
            <w:tr w14:paraId="66CA3AE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411" w:type="pct"/>
                  <w:tcBorders>
                    <w:tl2br w:val="nil"/>
                    <w:tr2bl w:val="nil"/>
                  </w:tcBorders>
                  <w:noWrap w:val="0"/>
                  <w:vAlign w:val="center"/>
                </w:tcPr>
                <w:p w14:paraId="035CE00F">
                  <w:pPr>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z w:val="21"/>
                      <w:szCs w:val="21"/>
                    </w:rPr>
                    <w:t>1</w:t>
                  </w:r>
                </w:p>
              </w:tc>
              <w:tc>
                <w:tcPr>
                  <w:tcW w:w="2980" w:type="pct"/>
                  <w:tcBorders>
                    <w:tl2br w:val="nil"/>
                    <w:tr2bl w:val="nil"/>
                  </w:tcBorders>
                  <w:noWrap w:val="0"/>
                  <w:vAlign w:val="center"/>
                </w:tcPr>
                <w:p w14:paraId="65455EB4">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bCs/>
                      <w:color w:val="auto"/>
                      <w:spacing w:val="8"/>
                      <w:sz w:val="21"/>
                      <w:szCs w:val="21"/>
                    </w:rPr>
                    <w:t>强化必要设施用地保障。</w:t>
                  </w:r>
                  <w:r>
                    <w:rPr>
                      <w:rFonts w:hint="default" w:ascii="Times New Roman" w:hAnsi="Times New Roman" w:cs="Times New Roman"/>
                      <w:color w:val="auto"/>
                      <w:spacing w:val="8"/>
                      <w:sz w:val="21"/>
                      <w:szCs w:val="21"/>
                    </w:rPr>
                    <w:t>自然资源部门在办</w:t>
                  </w:r>
                  <w:r>
                    <w:rPr>
                      <w:rFonts w:hint="default" w:ascii="Times New Roman" w:hAnsi="Times New Roman" w:cs="Times New Roman"/>
                      <w:color w:val="auto"/>
                      <w:spacing w:val="7"/>
                      <w:sz w:val="21"/>
                      <w:szCs w:val="21"/>
                    </w:rPr>
                    <w:t>理用</w:t>
                  </w:r>
                  <w:r>
                    <w:rPr>
                      <w:rFonts w:hint="default" w:ascii="Times New Roman" w:hAnsi="Times New Roman" w:cs="Times New Roman"/>
                      <w:color w:val="auto"/>
                      <w:spacing w:val="9"/>
                      <w:sz w:val="21"/>
                      <w:szCs w:val="21"/>
                    </w:rPr>
                    <w:t>地预审与选址意见书时，应当加大和项目业主的衔接，根据电力行业技术规范和设计标准，结合</w:t>
                  </w:r>
                  <w:r>
                    <w:rPr>
                      <w:rFonts w:hint="default" w:ascii="Times New Roman" w:hAnsi="Times New Roman" w:cs="Times New Roman"/>
                      <w:color w:val="auto"/>
                      <w:spacing w:val="8"/>
                      <w:sz w:val="21"/>
                      <w:szCs w:val="21"/>
                    </w:rPr>
                    <w:t>土地使用标准，把</w:t>
                  </w:r>
                  <w:r>
                    <w:rPr>
                      <w:rFonts w:hint="eastAsia" w:ascii="Times New Roman" w:hAnsi="Times New Roman" w:cs="Times New Roman"/>
                      <w:color w:val="auto"/>
                      <w:spacing w:val="8"/>
                      <w:sz w:val="21"/>
                      <w:szCs w:val="21"/>
                      <w:lang w:eastAsia="zh-CN"/>
                    </w:rPr>
                    <w:t>升压站</w:t>
                  </w:r>
                  <w:r>
                    <w:rPr>
                      <w:rFonts w:hint="default" w:ascii="Times New Roman" w:hAnsi="Times New Roman" w:cs="Times New Roman"/>
                      <w:color w:val="auto"/>
                      <w:spacing w:val="8"/>
                      <w:sz w:val="21"/>
                      <w:szCs w:val="21"/>
                    </w:rPr>
                    <w:t>（升压站、汇集站）、</w:t>
                  </w:r>
                  <w:r>
                    <w:rPr>
                      <w:rFonts w:hint="default" w:ascii="Times New Roman" w:hAnsi="Times New Roman" w:cs="Times New Roman"/>
                      <w:color w:val="auto"/>
                      <w:spacing w:val="9"/>
                      <w:sz w:val="21"/>
                      <w:szCs w:val="21"/>
                    </w:rPr>
                    <w:t>公路沿线充电基础设施建设的必要永久性设施用地需求纳入用地预审、选址意见书和供地范</w:t>
                  </w:r>
                  <w:r>
                    <w:rPr>
                      <w:rFonts w:hint="default" w:ascii="Times New Roman" w:hAnsi="Times New Roman" w:cs="Times New Roman"/>
                      <w:color w:val="auto"/>
                      <w:spacing w:val="-9"/>
                      <w:sz w:val="21"/>
                      <w:szCs w:val="21"/>
                    </w:rPr>
                    <w:t>围。</w:t>
                  </w:r>
                </w:p>
              </w:tc>
              <w:tc>
                <w:tcPr>
                  <w:tcW w:w="1087" w:type="pct"/>
                  <w:tcBorders>
                    <w:tl2br w:val="nil"/>
                    <w:tr2bl w:val="nil"/>
                  </w:tcBorders>
                  <w:noWrap w:val="0"/>
                  <w:vAlign w:val="center"/>
                </w:tcPr>
                <w:p w14:paraId="0FDF8D15">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项目属于输变</w:t>
                  </w:r>
                  <w:r>
                    <w:rPr>
                      <w:rFonts w:hint="default" w:ascii="Times New Roman" w:hAnsi="Times New Roman" w:cs="Times New Roman"/>
                      <w:color w:val="auto"/>
                      <w:spacing w:val="4"/>
                      <w:sz w:val="21"/>
                      <w:szCs w:val="21"/>
                    </w:rPr>
                    <w:t>电线路架设工程，</w:t>
                  </w:r>
                  <w:r>
                    <w:rPr>
                      <w:rFonts w:hint="default" w:ascii="Times New Roman" w:hAnsi="Times New Roman" w:cs="Times New Roman"/>
                      <w:color w:val="auto"/>
                      <w:spacing w:val="5"/>
                      <w:sz w:val="21"/>
                      <w:szCs w:val="21"/>
                    </w:rPr>
                    <w:t>已取得</w:t>
                  </w:r>
                  <w:r>
                    <w:rPr>
                      <w:rFonts w:hint="default" w:ascii="Times New Roman" w:hAnsi="Times New Roman" w:cs="Times New Roman"/>
                      <w:color w:val="auto"/>
                      <w:spacing w:val="5"/>
                      <w:sz w:val="21"/>
                      <w:szCs w:val="21"/>
                      <w:lang w:val="en-US" w:eastAsia="zh-CN"/>
                    </w:rPr>
                    <w:t>会泽县</w:t>
                  </w:r>
                  <w:r>
                    <w:rPr>
                      <w:rFonts w:hint="default" w:ascii="Times New Roman" w:hAnsi="Times New Roman" w:cs="Times New Roman"/>
                      <w:color w:val="auto"/>
                      <w:spacing w:val="5"/>
                      <w:sz w:val="21"/>
                      <w:szCs w:val="21"/>
                    </w:rPr>
                    <w:t>自然资</w:t>
                  </w:r>
                  <w:r>
                    <w:rPr>
                      <w:rFonts w:hint="default" w:ascii="Times New Roman" w:hAnsi="Times New Roman" w:cs="Times New Roman"/>
                      <w:color w:val="auto"/>
                      <w:spacing w:val="8"/>
                      <w:sz w:val="21"/>
                      <w:szCs w:val="21"/>
                    </w:rPr>
                    <w:t>源局关于同意线</w:t>
                  </w:r>
                  <w:r>
                    <w:rPr>
                      <w:rFonts w:hint="default" w:ascii="Times New Roman" w:hAnsi="Times New Roman" w:cs="Times New Roman"/>
                      <w:color w:val="auto"/>
                      <w:spacing w:val="3"/>
                      <w:sz w:val="21"/>
                      <w:szCs w:val="21"/>
                    </w:rPr>
                    <w:t>路建设的意见；本</w:t>
                  </w:r>
                  <w:r>
                    <w:rPr>
                      <w:rFonts w:hint="default" w:ascii="Times New Roman" w:hAnsi="Times New Roman" w:cs="Times New Roman"/>
                      <w:color w:val="auto"/>
                      <w:spacing w:val="7"/>
                      <w:sz w:val="21"/>
                      <w:szCs w:val="21"/>
                    </w:rPr>
                    <w:t>次评价仅为输变</w:t>
                  </w:r>
                  <w:r>
                    <w:rPr>
                      <w:rFonts w:hint="default" w:ascii="Times New Roman" w:hAnsi="Times New Roman" w:cs="Times New Roman"/>
                      <w:color w:val="auto"/>
                      <w:spacing w:val="1"/>
                      <w:sz w:val="21"/>
                      <w:szCs w:val="21"/>
                    </w:rPr>
                    <w:t>电线路工程，不包</w:t>
                  </w:r>
                  <w:r>
                    <w:rPr>
                      <w:rFonts w:hint="default" w:ascii="Times New Roman" w:hAnsi="Times New Roman" w:cs="Times New Roman"/>
                      <w:color w:val="auto"/>
                      <w:spacing w:val="5"/>
                      <w:sz w:val="21"/>
                      <w:szCs w:val="21"/>
                    </w:rPr>
                    <w:t>括</w:t>
                  </w:r>
                  <w:r>
                    <w:rPr>
                      <w:rFonts w:hint="eastAsia" w:ascii="Times New Roman" w:hAnsi="Times New Roman" w:cs="Times New Roman"/>
                      <w:color w:val="auto"/>
                      <w:spacing w:val="5"/>
                      <w:sz w:val="21"/>
                      <w:szCs w:val="21"/>
                      <w:lang w:eastAsia="zh-CN"/>
                    </w:rPr>
                    <w:t>升压站</w:t>
                  </w:r>
                  <w:r>
                    <w:rPr>
                      <w:rFonts w:hint="default" w:ascii="Times New Roman" w:hAnsi="Times New Roman" w:cs="Times New Roman"/>
                      <w:color w:val="auto"/>
                      <w:spacing w:val="5"/>
                      <w:sz w:val="21"/>
                      <w:szCs w:val="21"/>
                    </w:rPr>
                    <w:t>。</w:t>
                  </w:r>
                </w:p>
              </w:tc>
              <w:tc>
                <w:tcPr>
                  <w:tcW w:w="520" w:type="pct"/>
                  <w:tcBorders>
                    <w:tl2br w:val="nil"/>
                    <w:tr2bl w:val="nil"/>
                  </w:tcBorders>
                  <w:noWrap w:val="0"/>
                  <w:vAlign w:val="center"/>
                </w:tcPr>
                <w:p w14:paraId="2E95C1FF">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符合</w:t>
                  </w:r>
                </w:p>
              </w:tc>
            </w:tr>
            <w:tr w14:paraId="6FB163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411" w:type="pct"/>
                  <w:tcBorders>
                    <w:tl2br w:val="nil"/>
                    <w:tr2bl w:val="nil"/>
                  </w:tcBorders>
                  <w:noWrap w:val="0"/>
                  <w:vAlign w:val="center"/>
                </w:tcPr>
                <w:p w14:paraId="6164292E">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w:t>
                  </w:r>
                </w:p>
              </w:tc>
              <w:tc>
                <w:tcPr>
                  <w:tcW w:w="2980" w:type="pct"/>
                  <w:tcBorders>
                    <w:tl2br w:val="nil"/>
                    <w:tr2bl w:val="nil"/>
                  </w:tcBorders>
                  <w:noWrap w:val="0"/>
                  <w:vAlign w:val="center"/>
                </w:tcPr>
                <w:p w14:paraId="0BC19911">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bCs/>
                      <w:color w:val="auto"/>
                      <w:spacing w:val="7"/>
                      <w:sz w:val="21"/>
                      <w:szCs w:val="21"/>
                    </w:rPr>
                    <w:t>加快办理压覆矿产资源审批备案手续。</w:t>
                  </w:r>
                  <w:r>
                    <w:rPr>
                      <w:rFonts w:hint="default" w:ascii="Times New Roman" w:hAnsi="Times New Roman" w:cs="Times New Roman"/>
                      <w:color w:val="auto"/>
                      <w:spacing w:val="7"/>
                      <w:sz w:val="21"/>
                      <w:szCs w:val="21"/>
                    </w:rPr>
                    <w:t>电力建设</w:t>
                  </w:r>
                  <w:r>
                    <w:rPr>
                      <w:rFonts w:hint="default" w:ascii="Times New Roman" w:hAnsi="Times New Roman" w:cs="Times New Roman"/>
                      <w:color w:val="auto"/>
                      <w:spacing w:val="9"/>
                      <w:sz w:val="21"/>
                      <w:szCs w:val="21"/>
                    </w:rPr>
                    <w:t>单位提交申请材料后，材料不全或者不符合规定</w:t>
                  </w:r>
                  <w:r>
                    <w:rPr>
                      <w:rFonts w:hint="default" w:ascii="Times New Roman" w:hAnsi="Times New Roman" w:cs="Times New Roman"/>
                      <w:color w:val="auto"/>
                      <w:spacing w:val="8"/>
                      <w:sz w:val="21"/>
                      <w:szCs w:val="21"/>
                    </w:rPr>
                    <w:t>要求的，市、县自然资源部门在</w:t>
                  </w:r>
                  <w:r>
                    <w:rPr>
                      <w:rFonts w:hint="default" w:ascii="Times New Roman" w:hAnsi="Times New Roman" w:cs="Times New Roman"/>
                      <w:color w:val="auto"/>
                      <w:spacing w:val="8"/>
                      <w:sz w:val="21"/>
                      <w:szCs w:val="21"/>
                      <w:lang w:val="en-US" w:eastAsia="zh-CN"/>
                    </w:rPr>
                    <w:t>5</w:t>
                  </w:r>
                  <w:r>
                    <w:rPr>
                      <w:rFonts w:hint="default" w:ascii="Times New Roman" w:hAnsi="Times New Roman" w:cs="Times New Roman"/>
                      <w:color w:val="auto"/>
                      <w:spacing w:val="8"/>
                      <w:sz w:val="21"/>
                      <w:szCs w:val="21"/>
                    </w:rPr>
                    <w:t>个工作日内一</w:t>
                  </w:r>
                  <w:r>
                    <w:rPr>
                      <w:rFonts w:hint="default" w:ascii="Times New Roman" w:hAnsi="Times New Roman" w:cs="Times New Roman"/>
                      <w:color w:val="auto"/>
                      <w:spacing w:val="9"/>
                      <w:sz w:val="21"/>
                      <w:szCs w:val="21"/>
                    </w:rPr>
                    <w:t>次性告知需要补正的全部材料。其中，未压覆重</w:t>
                  </w:r>
                  <w:r>
                    <w:rPr>
                      <w:rFonts w:hint="default" w:ascii="Times New Roman" w:hAnsi="Times New Roman" w:cs="Times New Roman"/>
                      <w:color w:val="auto"/>
                      <w:spacing w:val="8"/>
                      <w:sz w:val="21"/>
                      <w:szCs w:val="21"/>
                    </w:rPr>
                    <w:t>要矿产资源的，材料审查通过后</w:t>
                  </w:r>
                  <w:r>
                    <w:rPr>
                      <w:rFonts w:hint="default" w:ascii="Times New Roman" w:hAnsi="Times New Roman" w:eastAsia="Times New Roman" w:cs="Times New Roman"/>
                      <w:color w:val="auto"/>
                      <w:spacing w:val="8"/>
                      <w:sz w:val="21"/>
                      <w:szCs w:val="21"/>
                    </w:rPr>
                    <w:t>5</w:t>
                  </w:r>
                  <w:r>
                    <w:rPr>
                      <w:rFonts w:hint="default" w:ascii="Times New Roman" w:hAnsi="Times New Roman" w:cs="Times New Roman"/>
                      <w:color w:val="auto"/>
                      <w:spacing w:val="8"/>
                      <w:sz w:val="21"/>
                      <w:szCs w:val="21"/>
                    </w:rPr>
                    <w:t>个工作日内办</w:t>
                  </w:r>
                  <w:r>
                    <w:rPr>
                      <w:rFonts w:hint="default" w:ascii="Times New Roman" w:hAnsi="Times New Roman" w:cs="Times New Roman"/>
                      <w:color w:val="auto"/>
                      <w:spacing w:val="9"/>
                      <w:sz w:val="21"/>
                      <w:szCs w:val="21"/>
                    </w:rPr>
                    <w:t>结备案；压覆重要矿产资源的，在完成矿产资源储量核实报告编制及评审备案后，连同其他必备</w:t>
                  </w:r>
                  <w:r>
                    <w:rPr>
                      <w:rFonts w:hint="default" w:ascii="Times New Roman" w:hAnsi="Times New Roman" w:cs="Times New Roman"/>
                      <w:color w:val="auto"/>
                      <w:spacing w:val="11"/>
                      <w:sz w:val="21"/>
                      <w:szCs w:val="21"/>
                    </w:rPr>
                    <w:t>材料审查通过后</w:t>
                  </w:r>
                  <w:r>
                    <w:rPr>
                      <w:rFonts w:hint="default" w:ascii="Times New Roman" w:hAnsi="Times New Roman" w:eastAsia="Times New Roman" w:cs="Times New Roman"/>
                      <w:color w:val="auto"/>
                      <w:spacing w:val="11"/>
                      <w:sz w:val="21"/>
                      <w:szCs w:val="21"/>
                    </w:rPr>
                    <w:t>5</w:t>
                  </w:r>
                  <w:r>
                    <w:rPr>
                      <w:rFonts w:hint="default" w:ascii="Times New Roman" w:hAnsi="Times New Roman" w:cs="Times New Roman"/>
                      <w:color w:val="auto"/>
                      <w:spacing w:val="11"/>
                      <w:sz w:val="21"/>
                      <w:szCs w:val="21"/>
                    </w:rPr>
                    <w:t>个工作日内报请市人民政府审</w:t>
                  </w:r>
                  <w:r>
                    <w:rPr>
                      <w:rFonts w:hint="default" w:ascii="Times New Roman" w:hAnsi="Times New Roman" w:cs="Times New Roman"/>
                      <w:color w:val="auto"/>
                      <w:spacing w:val="10"/>
                      <w:sz w:val="21"/>
                      <w:szCs w:val="21"/>
                    </w:rPr>
                    <w:t>核，市人民政府出具同意意见后，</w:t>
                  </w:r>
                  <w:r>
                    <w:rPr>
                      <w:rFonts w:hint="default" w:ascii="Times New Roman" w:hAnsi="Times New Roman" w:eastAsia="Times New Roman" w:cs="Times New Roman"/>
                      <w:color w:val="auto"/>
                      <w:spacing w:val="10"/>
                      <w:sz w:val="21"/>
                      <w:szCs w:val="21"/>
                    </w:rPr>
                    <w:t>3</w:t>
                  </w:r>
                  <w:r>
                    <w:rPr>
                      <w:rFonts w:hint="default" w:ascii="Times New Roman" w:hAnsi="Times New Roman" w:cs="Times New Roman"/>
                      <w:color w:val="auto"/>
                      <w:spacing w:val="10"/>
                      <w:sz w:val="21"/>
                      <w:szCs w:val="21"/>
                    </w:rPr>
                    <w:t>个工作日内</w:t>
                  </w:r>
                  <w:r>
                    <w:rPr>
                      <w:rFonts w:hint="default" w:ascii="Times New Roman" w:hAnsi="Times New Roman" w:cs="Times New Roman"/>
                      <w:color w:val="auto"/>
                      <w:spacing w:val="5"/>
                      <w:sz w:val="21"/>
                      <w:szCs w:val="21"/>
                    </w:rPr>
                    <w:t>完成批复。</w:t>
                  </w:r>
                </w:p>
              </w:tc>
              <w:tc>
                <w:tcPr>
                  <w:tcW w:w="1087" w:type="pct"/>
                  <w:tcBorders>
                    <w:tl2br w:val="nil"/>
                    <w:tr2bl w:val="nil"/>
                  </w:tcBorders>
                  <w:noWrap w:val="0"/>
                  <w:vAlign w:val="center"/>
                </w:tcPr>
                <w:p w14:paraId="5DCFA226">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本项目线路未压</w:t>
                  </w:r>
                  <w:r>
                    <w:rPr>
                      <w:rFonts w:hint="default" w:ascii="Times New Roman" w:hAnsi="Times New Roman" w:cs="Times New Roman"/>
                      <w:color w:val="auto"/>
                      <w:spacing w:val="6"/>
                      <w:sz w:val="21"/>
                      <w:szCs w:val="21"/>
                    </w:rPr>
                    <w:t>覆矿产资源。</w:t>
                  </w:r>
                </w:p>
              </w:tc>
              <w:tc>
                <w:tcPr>
                  <w:tcW w:w="520" w:type="pct"/>
                  <w:tcBorders>
                    <w:tl2br w:val="nil"/>
                    <w:tr2bl w:val="nil"/>
                  </w:tcBorders>
                  <w:noWrap w:val="0"/>
                  <w:vAlign w:val="center"/>
                </w:tcPr>
                <w:p w14:paraId="20658B0A">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符合</w:t>
                  </w:r>
                </w:p>
              </w:tc>
            </w:tr>
            <w:tr w14:paraId="7301E2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411" w:type="pct"/>
                  <w:tcBorders>
                    <w:tl2br w:val="nil"/>
                    <w:tr2bl w:val="nil"/>
                  </w:tcBorders>
                  <w:noWrap w:val="0"/>
                  <w:vAlign w:val="center"/>
                </w:tcPr>
                <w:p w14:paraId="1F06B619">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p>
              </w:tc>
              <w:tc>
                <w:tcPr>
                  <w:tcW w:w="2980" w:type="pct"/>
                  <w:tcBorders>
                    <w:tl2br w:val="nil"/>
                    <w:tr2bl w:val="nil"/>
                  </w:tcBorders>
                  <w:noWrap w:val="0"/>
                  <w:vAlign w:val="center"/>
                </w:tcPr>
                <w:p w14:paraId="7CFD125E">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bCs/>
                      <w:color w:val="auto"/>
                      <w:spacing w:val="8"/>
                      <w:sz w:val="21"/>
                      <w:szCs w:val="21"/>
                    </w:rPr>
                    <w:t>优化环评审批流程。</w:t>
                  </w:r>
                  <w:r>
                    <w:rPr>
                      <w:rFonts w:hint="default" w:ascii="Times New Roman" w:hAnsi="Times New Roman" w:cs="Times New Roman"/>
                      <w:color w:val="auto"/>
                      <w:spacing w:val="8"/>
                      <w:sz w:val="21"/>
                      <w:szCs w:val="21"/>
                    </w:rPr>
                    <w:t>涉及确需</w:t>
                  </w:r>
                  <w:r>
                    <w:rPr>
                      <w:rFonts w:hint="eastAsia" w:ascii="Times New Roman" w:hAnsi="Times New Roman" w:cs="Times New Roman"/>
                      <w:color w:val="auto"/>
                      <w:spacing w:val="8"/>
                      <w:sz w:val="21"/>
                      <w:szCs w:val="21"/>
                      <w:lang w:eastAsia="zh-CN"/>
                    </w:rPr>
                    <w:t>跨越</w:t>
                  </w:r>
                  <w:r>
                    <w:rPr>
                      <w:rFonts w:hint="default" w:ascii="Times New Roman" w:hAnsi="Times New Roman" w:cs="Times New Roman"/>
                      <w:color w:val="auto"/>
                      <w:spacing w:val="8"/>
                      <w:sz w:val="21"/>
                      <w:szCs w:val="21"/>
                    </w:rPr>
                    <w:t>和占用饮用水</w:t>
                  </w:r>
                  <w:r>
                    <w:rPr>
                      <w:rFonts w:hint="default" w:ascii="Times New Roman" w:hAnsi="Times New Roman" w:cs="Times New Roman"/>
                      <w:color w:val="auto"/>
                      <w:spacing w:val="9"/>
                      <w:sz w:val="21"/>
                      <w:szCs w:val="21"/>
                    </w:rPr>
                    <w:t>水源二级保护区的输配电线性工程项目，由属地人民政府出具不可避让意见后，开辟“绿色通</w:t>
                  </w:r>
                  <w:r>
                    <w:rPr>
                      <w:rFonts w:hint="default" w:ascii="Times New Roman" w:hAnsi="Times New Roman" w:cs="Times New Roman"/>
                      <w:color w:val="auto"/>
                      <w:spacing w:val="8"/>
                      <w:sz w:val="21"/>
                      <w:szCs w:val="21"/>
                    </w:rPr>
                    <w:t>道”，依法依规快速推进环评审批工作。涉及确</w:t>
                  </w:r>
                  <w:r>
                    <w:rPr>
                      <w:rFonts w:hint="default" w:ascii="Times New Roman" w:hAnsi="Times New Roman" w:cs="Times New Roman"/>
                      <w:color w:val="auto"/>
                      <w:spacing w:val="7"/>
                      <w:sz w:val="21"/>
                      <w:szCs w:val="21"/>
                    </w:rPr>
                    <w:t>需</w:t>
                  </w:r>
                  <w:r>
                    <w:rPr>
                      <w:rFonts w:hint="eastAsia" w:ascii="Times New Roman" w:hAnsi="Times New Roman" w:cs="Times New Roman"/>
                      <w:color w:val="auto"/>
                      <w:spacing w:val="7"/>
                      <w:sz w:val="21"/>
                      <w:szCs w:val="21"/>
                      <w:lang w:eastAsia="zh-CN"/>
                    </w:rPr>
                    <w:t>跨越</w:t>
                  </w:r>
                  <w:r>
                    <w:rPr>
                      <w:rFonts w:hint="default" w:ascii="Times New Roman" w:hAnsi="Times New Roman" w:cs="Times New Roman"/>
                      <w:color w:val="auto"/>
                      <w:spacing w:val="7"/>
                      <w:sz w:val="21"/>
                      <w:szCs w:val="21"/>
                    </w:rPr>
                    <w:t>和占用各类生态保护红线、自然保护区、</w:t>
                  </w:r>
                  <w:r>
                    <w:rPr>
                      <w:rFonts w:hint="default" w:ascii="Times New Roman" w:hAnsi="Times New Roman" w:cs="Times New Roman"/>
                      <w:color w:val="auto"/>
                      <w:spacing w:val="9"/>
                      <w:sz w:val="21"/>
                      <w:szCs w:val="21"/>
                    </w:rPr>
                    <w:t>湿地公园、森林公园、地质公园、风景名胜区等法定保护区域的输配电线性工程项目，不再将主管部门的意见作为环评审批前置条件，生态环境部门提醒建设单位向主管部门履行</w:t>
                  </w:r>
                  <w:r>
                    <w:rPr>
                      <w:rFonts w:hint="eastAsia" w:ascii="Times New Roman" w:hAnsi="Times New Roman" w:cs="Times New Roman"/>
                      <w:color w:val="auto"/>
                      <w:spacing w:val="9"/>
                      <w:sz w:val="21"/>
                      <w:szCs w:val="21"/>
                      <w:lang w:eastAsia="zh-CN"/>
                    </w:rPr>
                    <w:t>跨越</w:t>
                  </w:r>
                  <w:r>
                    <w:rPr>
                      <w:rFonts w:hint="default" w:ascii="Times New Roman" w:hAnsi="Times New Roman" w:cs="Times New Roman"/>
                      <w:color w:val="auto"/>
                      <w:spacing w:val="9"/>
                      <w:sz w:val="21"/>
                      <w:szCs w:val="21"/>
                    </w:rPr>
                    <w:t>手续，指导督促建设单位采取无害化穿（跨）越方式。承</w:t>
                  </w:r>
                  <w:r>
                    <w:rPr>
                      <w:rFonts w:hint="default" w:ascii="Times New Roman" w:hAnsi="Times New Roman" w:cs="Times New Roman"/>
                      <w:color w:val="auto"/>
                      <w:spacing w:val="10"/>
                      <w:sz w:val="21"/>
                      <w:szCs w:val="21"/>
                    </w:rPr>
                    <w:t>诺环境影响报告书在</w:t>
                  </w:r>
                  <w:r>
                    <w:rPr>
                      <w:rFonts w:hint="default" w:ascii="Times New Roman" w:hAnsi="Times New Roman" w:eastAsia="Times New Roman" w:cs="Times New Roman"/>
                      <w:color w:val="auto"/>
                      <w:spacing w:val="10"/>
                      <w:sz w:val="21"/>
                      <w:szCs w:val="21"/>
                    </w:rPr>
                    <w:t>24</w:t>
                  </w:r>
                  <w:r>
                    <w:rPr>
                      <w:rFonts w:hint="default" w:ascii="Times New Roman" w:hAnsi="Times New Roman" w:cs="Times New Roman"/>
                      <w:color w:val="auto"/>
                      <w:spacing w:val="10"/>
                      <w:sz w:val="21"/>
                      <w:szCs w:val="21"/>
                    </w:rPr>
                    <w:t>个工作日内，</w:t>
                  </w:r>
                  <w:r>
                    <w:rPr>
                      <w:rFonts w:hint="eastAsia" w:ascii="Times New Roman" w:hAnsi="Times New Roman" w:cs="Times New Roman"/>
                      <w:color w:val="auto"/>
                      <w:spacing w:val="10"/>
                      <w:sz w:val="21"/>
                      <w:szCs w:val="21"/>
                      <w:lang w:val="en-US" w:eastAsia="zh-CN"/>
                    </w:rPr>
                    <w:t>生态</w:t>
                  </w:r>
                  <w:r>
                    <w:rPr>
                      <w:rFonts w:hint="default" w:ascii="Times New Roman" w:hAnsi="Times New Roman" w:cs="Times New Roman"/>
                      <w:color w:val="auto"/>
                      <w:spacing w:val="10"/>
                      <w:sz w:val="21"/>
                      <w:szCs w:val="21"/>
                    </w:rPr>
                    <w:t>环境影响</w:t>
                  </w:r>
                  <w:r>
                    <w:rPr>
                      <w:rFonts w:hint="default" w:ascii="Times New Roman" w:hAnsi="Times New Roman" w:cs="Times New Roman"/>
                      <w:color w:val="auto"/>
                      <w:spacing w:val="6"/>
                      <w:sz w:val="21"/>
                      <w:szCs w:val="21"/>
                    </w:rPr>
                    <w:t>报告表在</w:t>
                  </w:r>
                  <w:r>
                    <w:rPr>
                      <w:rFonts w:hint="default" w:ascii="Times New Roman" w:hAnsi="Times New Roman" w:eastAsia="Times New Roman" w:cs="Times New Roman"/>
                      <w:color w:val="auto"/>
                      <w:spacing w:val="6"/>
                      <w:sz w:val="21"/>
                      <w:szCs w:val="21"/>
                    </w:rPr>
                    <w:t>12</w:t>
                  </w:r>
                  <w:r>
                    <w:rPr>
                      <w:rFonts w:hint="default" w:ascii="Times New Roman" w:hAnsi="Times New Roman" w:cs="Times New Roman"/>
                      <w:color w:val="auto"/>
                      <w:spacing w:val="6"/>
                      <w:sz w:val="21"/>
                      <w:szCs w:val="21"/>
                    </w:rPr>
                    <w:t>个工作日内完成审批。</w:t>
                  </w:r>
                </w:p>
              </w:tc>
              <w:tc>
                <w:tcPr>
                  <w:tcW w:w="1087" w:type="pct"/>
                  <w:tcBorders>
                    <w:tl2br w:val="nil"/>
                    <w:tr2bl w:val="nil"/>
                  </w:tcBorders>
                  <w:noWrap w:val="0"/>
                  <w:vAlign w:val="center"/>
                </w:tcPr>
                <w:p w14:paraId="73F7A4DC">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本项目线路不涉</w:t>
                  </w:r>
                  <w:r>
                    <w:rPr>
                      <w:rFonts w:hint="default" w:ascii="Times New Roman" w:hAnsi="Times New Roman" w:cs="Times New Roman"/>
                      <w:color w:val="auto"/>
                      <w:spacing w:val="20"/>
                      <w:sz w:val="21"/>
                      <w:szCs w:val="21"/>
                    </w:rPr>
                    <w:t>及饮用水源二级</w:t>
                  </w:r>
                  <w:r>
                    <w:rPr>
                      <w:rFonts w:hint="default" w:ascii="Times New Roman" w:hAnsi="Times New Roman" w:cs="Times New Roman"/>
                      <w:color w:val="auto"/>
                      <w:spacing w:val="4"/>
                      <w:sz w:val="21"/>
                      <w:szCs w:val="21"/>
                    </w:rPr>
                    <w:t>保护区，项目已经</w:t>
                  </w:r>
                  <w:r>
                    <w:rPr>
                      <w:rFonts w:hint="default" w:ascii="Times New Roman" w:hAnsi="Times New Roman" w:cs="Times New Roman"/>
                      <w:color w:val="auto"/>
                      <w:spacing w:val="20"/>
                      <w:sz w:val="21"/>
                      <w:szCs w:val="21"/>
                    </w:rPr>
                    <w:t>取得自然资源局</w:t>
                  </w:r>
                  <w:r>
                    <w:rPr>
                      <w:rFonts w:hint="default" w:ascii="Times New Roman" w:hAnsi="Times New Roman" w:cs="Times New Roman"/>
                      <w:color w:val="auto"/>
                      <w:spacing w:val="4"/>
                      <w:sz w:val="21"/>
                      <w:szCs w:val="21"/>
                    </w:rPr>
                    <w:t>同意建设的意见。</w:t>
                  </w:r>
                </w:p>
              </w:tc>
              <w:tc>
                <w:tcPr>
                  <w:tcW w:w="520" w:type="pct"/>
                  <w:tcBorders>
                    <w:tl2br w:val="nil"/>
                    <w:tr2bl w:val="nil"/>
                  </w:tcBorders>
                  <w:noWrap w:val="0"/>
                  <w:vAlign w:val="center"/>
                </w:tcPr>
                <w:p w14:paraId="46FE0FB3">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符合</w:t>
                  </w:r>
                </w:p>
              </w:tc>
            </w:tr>
            <w:tr w14:paraId="1030BB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411" w:type="pct"/>
                  <w:tcBorders>
                    <w:tl2br w:val="nil"/>
                    <w:tr2bl w:val="nil"/>
                  </w:tcBorders>
                  <w:noWrap w:val="0"/>
                  <w:vAlign w:val="center"/>
                </w:tcPr>
                <w:p w14:paraId="6887CFEE">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w:t>
                  </w:r>
                </w:p>
              </w:tc>
              <w:tc>
                <w:tcPr>
                  <w:tcW w:w="2980" w:type="pct"/>
                  <w:tcBorders>
                    <w:tl2br w:val="nil"/>
                    <w:tr2bl w:val="nil"/>
                  </w:tcBorders>
                  <w:noWrap w:val="0"/>
                  <w:vAlign w:val="center"/>
                </w:tcPr>
                <w:p w14:paraId="65AB66EE">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bCs/>
                      <w:color w:val="auto"/>
                      <w:spacing w:val="8"/>
                      <w:sz w:val="21"/>
                      <w:szCs w:val="21"/>
                    </w:rPr>
                    <w:t>优化水土保持审查审批。</w:t>
                  </w:r>
                  <w:r>
                    <w:rPr>
                      <w:rFonts w:hint="default" w:ascii="Times New Roman" w:hAnsi="Times New Roman" w:cs="Times New Roman"/>
                      <w:color w:val="auto"/>
                      <w:spacing w:val="8"/>
                      <w:sz w:val="21"/>
                      <w:szCs w:val="21"/>
                    </w:rPr>
                    <w:t>做好项目建设过程中水</w:t>
                  </w:r>
                  <w:r>
                    <w:rPr>
                      <w:rFonts w:hint="default" w:ascii="Times New Roman" w:hAnsi="Times New Roman" w:cs="Times New Roman"/>
                      <w:color w:val="auto"/>
                      <w:spacing w:val="9"/>
                      <w:sz w:val="21"/>
                      <w:szCs w:val="21"/>
                    </w:rPr>
                    <w:t>土保持工作的服务和技术咨询工作，电力建设企业应按照《中华人民共和国水土保持法》《生产</w:t>
                  </w:r>
                  <w:r>
                    <w:rPr>
                      <w:rFonts w:hint="default" w:ascii="Times New Roman" w:hAnsi="Times New Roman" w:cs="Times New Roman"/>
                      <w:color w:val="auto"/>
                      <w:spacing w:val="6"/>
                      <w:sz w:val="21"/>
                      <w:szCs w:val="21"/>
                    </w:rPr>
                    <w:t>建设项目水土保持方案管理办法》（水利部第</w:t>
                  </w:r>
                  <w:r>
                    <w:rPr>
                      <w:rFonts w:hint="default" w:ascii="Times New Roman" w:hAnsi="Times New Roman" w:eastAsia="Times New Roman" w:cs="Times New Roman"/>
                      <w:color w:val="auto"/>
                      <w:spacing w:val="6"/>
                      <w:sz w:val="21"/>
                      <w:szCs w:val="21"/>
                    </w:rPr>
                    <w:t>53</w:t>
                  </w:r>
                  <w:r>
                    <w:rPr>
                      <w:rFonts w:hint="default" w:ascii="Times New Roman" w:hAnsi="Times New Roman" w:cs="Times New Roman"/>
                      <w:color w:val="auto"/>
                      <w:spacing w:val="9"/>
                      <w:sz w:val="21"/>
                      <w:szCs w:val="21"/>
                    </w:rPr>
                    <w:t>号令）的要求，对有关部门审批、核准、备案的项目，在开工前分级提交水土保持方案报告，水</w:t>
                  </w:r>
                  <w:r>
                    <w:rPr>
                      <w:rFonts w:hint="default" w:ascii="Times New Roman" w:hAnsi="Times New Roman" w:cs="Times New Roman"/>
                      <w:color w:val="auto"/>
                      <w:spacing w:val="14"/>
                      <w:sz w:val="21"/>
                      <w:szCs w:val="21"/>
                    </w:rPr>
                    <w:t>行政审批部门按照审批权限完成审查审批后及</w:t>
                  </w:r>
                  <w:r>
                    <w:rPr>
                      <w:rFonts w:hint="default" w:ascii="Times New Roman" w:hAnsi="Times New Roman" w:cs="Times New Roman"/>
                      <w:color w:val="auto"/>
                      <w:spacing w:val="8"/>
                      <w:sz w:val="21"/>
                      <w:szCs w:val="21"/>
                    </w:rPr>
                    <w:t>时出具水土保持行政许可文件及缴纳水土保持</w:t>
                  </w:r>
                  <w:r>
                    <w:rPr>
                      <w:rFonts w:hint="default" w:ascii="Times New Roman" w:hAnsi="Times New Roman" w:cs="Times New Roman"/>
                      <w:color w:val="auto"/>
                      <w:spacing w:val="9"/>
                      <w:sz w:val="21"/>
                      <w:szCs w:val="21"/>
                    </w:rPr>
                    <w:t>补偿费通知单。根据水土保持报告书和报告表最新规定，做好表土的剥离、保存和利用，强化弃渣综合利用。制定落实弃渣场防护措施，确保弃渣场工程安全，确保不造成新的水土流失危害。对于需编制水土保持方案报告书的项目，购土、弃土协议可采用容缺受理，电力建设企业应当在</w:t>
                  </w:r>
                  <w:r>
                    <w:rPr>
                      <w:rFonts w:hint="default" w:ascii="Times New Roman" w:hAnsi="Times New Roman" w:cs="Times New Roman"/>
                      <w:color w:val="auto"/>
                      <w:spacing w:val="8"/>
                      <w:sz w:val="21"/>
                      <w:szCs w:val="21"/>
                    </w:rPr>
                    <w:t>项目开工前完成有关手续办理。</w:t>
                  </w:r>
                </w:p>
              </w:tc>
              <w:tc>
                <w:tcPr>
                  <w:tcW w:w="1087" w:type="pct"/>
                  <w:tcBorders>
                    <w:tl2br w:val="nil"/>
                    <w:tr2bl w:val="nil"/>
                  </w:tcBorders>
                  <w:noWrap w:val="0"/>
                  <w:vAlign w:val="center"/>
                </w:tcPr>
                <w:p w14:paraId="4AF69BC1">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本项目水土保持</w:t>
                  </w:r>
                  <w:r>
                    <w:rPr>
                      <w:rFonts w:hint="default" w:ascii="Times New Roman" w:hAnsi="Times New Roman" w:cs="Times New Roman"/>
                      <w:color w:val="auto"/>
                      <w:spacing w:val="2"/>
                      <w:sz w:val="21"/>
                      <w:szCs w:val="21"/>
                    </w:rPr>
                    <w:t>方案已编制完成，</w:t>
                  </w:r>
                  <w:r>
                    <w:rPr>
                      <w:rFonts w:hint="default" w:ascii="Times New Roman" w:hAnsi="Times New Roman" w:cs="Times New Roman"/>
                      <w:color w:val="auto"/>
                      <w:spacing w:val="20"/>
                      <w:sz w:val="21"/>
                      <w:szCs w:val="21"/>
                    </w:rPr>
                    <w:t>正在进行审批流</w:t>
                  </w:r>
                  <w:r>
                    <w:rPr>
                      <w:rFonts w:hint="default" w:ascii="Times New Roman" w:hAnsi="Times New Roman" w:cs="Times New Roman"/>
                      <w:color w:val="auto"/>
                      <w:sz w:val="21"/>
                      <w:szCs w:val="21"/>
                    </w:rPr>
                    <w:t>程。</w:t>
                  </w:r>
                </w:p>
              </w:tc>
              <w:tc>
                <w:tcPr>
                  <w:tcW w:w="520" w:type="pct"/>
                  <w:tcBorders>
                    <w:tl2br w:val="nil"/>
                    <w:tr2bl w:val="nil"/>
                  </w:tcBorders>
                  <w:noWrap w:val="0"/>
                  <w:vAlign w:val="center"/>
                </w:tcPr>
                <w:p w14:paraId="58608329">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符合</w:t>
                  </w:r>
                </w:p>
              </w:tc>
            </w:tr>
            <w:tr w14:paraId="232F64C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411" w:type="pct"/>
                  <w:tcBorders>
                    <w:tl2br w:val="nil"/>
                    <w:tr2bl w:val="nil"/>
                  </w:tcBorders>
                  <w:noWrap w:val="0"/>
                  <w:vAlign w:val="center"/>
                </w:tcPr>
                <w:p w14:paraId="318198AB">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w:t>
                  </w:r>
                </w:p>
              </w:tc>
              <w:tc>
                <w:tcPr>
                  <w:tcW w:w="2980" w:type="pct"/>
                  <w:tcBorders>
                    <w:tl2br w:val="nil"/>
                    <w:tr2bl w:val="nil"/>
                  </w:tcBorders>
                  <w:noWrap w:val="0"/>
                  <w:vAlign w:val="center"/>
                </w:tcPr>
                <w:p w14:paraId="50C8DBD3">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bCs/>
                      <w:color w:val="auto"/>
                      <w:spacing w:val="8"/>
                      <w:sz w:val="21"/>
                      <w:szCs w:val="21"/>
                    </w:rPr>
                    <w:t>加快征地补偿及土地报批进度。</w:t>
                  </w:r>
                  <w:r>
                    <w:rPr>
                      <w:rFonts w:hint="default" w:ascii="Times New Roman" w:hAnsi="Times New Roman" w:cs="Times New Roman"/>
                      <w:color w:val="auto"/>
                      <w:spacing w:val="8"/>
                      <w:sz w:val="21"/>
                      <w:szCs w:val="21"/>
                    </w:rPr>
                    <w:t>电力建设企业在</w:t>
                  </w:r>
                  <w:r>
                    <w:rPr>
                      <w:rFonts w:hint="eastAsia" w:ascii="Times New Roman" w:hAnsi="Times New Roman" w:cs="Times New Roman"/>
                      <w:color w:val="auto"/>
                      <w:spacing w:val="9"/>
                      <w:sz w:val="21"/>
                      <w:szCs w:val="21"/>
                      <w:lang w:eastAsia="zh-CN"/>
                    </w:rPr>
                    <w:t>升压站</w:t>
                  </w:r>
                  <w:r>
                    <w:rPr>
                      <w:rFonts w:hint="default" w:ascii="Times New Roman" w:hAnsi="Times New Roman" w:cs="Times New Roman"/>
                      <w:color w:val="auto"/>
                      <w:spacing w:val="9"/>
                      <w:sz w:val="21"/>
                      <w:szCs w:val="21"/>
                    </w:rPr>
                    <w:t>站址征地过程中，征地补偿安置公告后</w:t>
                  </w:r>
                  <w:r>
                    <w:rPr>
                      <w:rFonts w:hint="default" w:ascii="Times New Roman" w:hAnsi="Times New Roman" w:eastAsia="Times New Roman" w:cs="Times New Roman"/>
                      <w:color w:val="auto"/>
                      <w:spacing w:val="9"/>
                      <w:sz w:val="21"/>
                      <w:szCs w:val="21"/>
                    </w:rPr>
                    <w:t>5</w:t>
                  </w:r>
                  <w:r>
                    <w:rPr>
                      <w:rFonts w:hint="default" w:ascii="Times New Roman" w:hAnsi="Times New Roman" w:cs="Times New Roman"/>
                      <w:color w:val="auto"/>
                      <w:spacing w:val="9"/>
                      <w:sz w:val="21"/>
                      <w:szCs w:val="21"/>
                    </w:rPr>
                    <w:t>个工作日内由自然资源部门下发缴费通知单，通</w:t>
                  </w:r>
                  <w:r>
                    <w:rPr>
                      <w:rFonts w:hint="default" w:ascii="Times New Roman" w:hAnsi="Times New Roman" w:cs="Times New Roman"/>
                      <w:color w:val="auto"/>
                      <w:spacing w:val="8"/>
                      <w:sz w:val="21"/>
                      <w:szCs w:val="21"/>
                    </w:rPr>
                    <w:t>知单下发后由建设单位在</w:t>
                  </w:r>
                  <w:r>
                    <w:rPr>
                      <w:rFonts w:hint="default" w:ascii="Times New Roman" w:hAnsi="Times New Roman" w:eastAsia="Times New Roman" w:cs="Times New Roman"/>
                      <w:color w:val="auto"/>
                      <w:spacing w:val="8"/>
                      <w:sz w:val="21"/>
                      <w:szCs w:val="21"/>
                    </w:rPr>
                    <w:t>5</w:t>
                  </w:r>
                  <w:r>
                    <w:rPr>
                      <w:rFonts w:hint="default" w:ascii="Times New Roman" w:hAnsi="Times New Roman" w:cs="Times New Roman"/>
                      <w:color w:val="auto"/>
                      <w:spacing w:val="8"/>
                      <w:sz w:val="21"/>
                      <w:szCs w:val="21"/>
                    </w:rPr>
                    <w:t>个工作日内缴费至预</w:t>
                  </w:r>
                  <w:r>
                    <w:rPr>
                      <w:rFonts w:hint="default" w:ascii="Times New Roman" w:hAnsi="Times New Roman" w:cs="Times New Roman"/>
                      <w:color w:val="auto"/>
                      <w:spacing w:val="9"/>
                      <w:sz w:val="21"/>
                      <w:szCs w:val="21"/>
                    </w:rPr>
                    <w:t>存账户；征地补偿安置公告期满后，由建设单位</w:t>
                  </w:r>
                  <w:r>
                    <w:rPr>
                      <w:rFonts w:hint="default" w:ascii="Times New Roman" w:hAnsi="Times New Roman" w:cs="Times New Roman"/>
                      <w:color w:val="auto"/>
                      <w:spacing w:val="6"/>
                      <w:sz w:val="21"/>
                      <w:szCs w:val="21"/>
                    </w:rPr>
                    <w:t>配合站址所在乡镇（街道）</w:t>
                  </w:r>
                  <w:r>
                    <w:rPr>
                      <w:rFonts w:hint="default" w:ascii="Times New Roman" w:hAnsi="Times New Roman" w:eastAsia="Times New Roman" w:cs="Times New Roman"/>
                      <w:color w:val="auto"/>
                      <w:spacing w:val="6"/>
                      <w:sz w:val="21"/>
                      <w:szCs w:val="21"/>
                    </w:rPr>
                    <w:t>10</w:t>
                  </w:r>
                  <w:r>
                    <w:rPr>
                      <w:rFonts w:hint="default" w:ascii="Times New Roman" w:hAnsi="Times New Roman" w:cs="Times New Roman"/>
                      <w:color w:val="auto"/>
                      <w:spacing w:val="6"/>
                      <w:sz w:val="21"/>
                      <w:szCs w:val="21"/>
                    </w:rPr>
                    <w:t>个工作日内完成征</w:t>
                  </w:r>
                  <w:r>
                    <w:rPr>
                      <w:rFonts w:hint="default" w:ascii="Times New Roman" w:hAnsi="Times New Roman" w:cs="Times New Roman"/>
                      <w:color w:val="auto"/>
                      <w:spacing w:val="9"/>
                      <w:sz w:val="21"/>
                      <w:szCs w:val="21"/>
                    </w:rPr>
                    <w:t>地补偿登记表、征地补偿安置协议等材料签字捺</w:t>
                  </w:r>
                  <w:r>
                    <w:rPr>
                      <w:rFonts w:hint="default" w:ascii="Times New Roman" w:hAnsi="Times New Roman" w:cs="Times New Roman"/>
                      <w:color w:val="auto"/>
                      <w:spacing w:val="8"/>
                      <w:sz w:val="21"/>
                      <w:szCs w:val="21"/>
                    </w:rPr>
                    <w:t>印，满足快速报建要求。如遇到特殊紧急的保障</w:t>
                  </w:r>
                  <w:r>
                    <w:rPr>
                      <w:rFonts w:hint="default" w:ascii="Times New Roman" w:hAnsi="Times New Roman" w:cs="Times New Roman"/>
                      <w:color w:val="auto"/>
                      <w:spacing w:val="9"/>
                      <w:sz w:val="21"/>
                      <w:szCs w:val="21"/>
                    </w:rPr>
                    <w:t>用电项目，在不占用永久基本农田和生态保护红线的前提下，可边建设边报批紧急用地方式保</w:t>
                  </w:r>
                  <w:r>
                    <w:rPr>
                      <w:rFonts w:hint="default" w:ascii="Times New Roman" w:hAnsi="Times New Roman" w:cs="Times New Roman"/>
                      <w:color w:val="auto"/>
                      <w:spacing w:val="7"/>
                      <w:sz w:val="21"/>
                      <w:szCs w:val="21"/>
                    </w:rPr>
                    <w:t>障，同时加快建设用地办理进度。</w:t>
                  </w:r>
                </w:p>
              </w:tc>
              <w:tc>
                <w:tcPr>
                  <w:tcW w:w="1087" w:type="pct"/>
                  <w:tcBorders>
                    <w:tl2br w:val="nil"/>
                    <w:tr2bl w:val="nil"/>
                  </w:tcBorders>
                  <w:noWrap w:val="0"/>
                  <w:vAlign w:val="center"/>
                </w:tcPr>
                <w:p w14:paraId="3C4C182C">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本工程仅包括输</w:t>
                  </w:r>
                  <w:r>
                    <w:rPr>
                      <w:rFonts w:hint="default" w:ascii="Times New Roman" w:hAnsi="Times New Roman" w:cs="Times New Roman"/>
                      <w:color w:val="auto"/>
                      <w:spacing w:val="4"/>
                      <w:sz w:val="21"/>
                      <w:szCs w:val="21"/>
                    </w:rPr>
                    <w:t>变电线路工程，不涉及</w:t>
                  </w:r>
                  <w:r>
                    <w:rPr>
                      <w:rFonts w:hint="eastAsia" w:ascii="Times New Roman" w:hAnsi="Times New Roman" w:cs="Times New Roman"/>
                      <w:color w:val="auto"/>
                      <w:spacing w:val="4"/>
                      <w:sz w:val="21"/>
                      <w:szCs w:val="21"/>
                      <w:lang w:eastAsia="zh-CN"/>
                    </w:rPr>
                    <w:t>升压站</w:t>
                  </w:r>
                  <w:r>
                    <w:rPr>
                      <w:rFonts w:hint="default" w:ascii="Times New Roman" w:hAnsi="Times New Roman" w:cs="Times New Roman"/>
                      <w:color w:val="auto"/>
                      <w:spacing w:val="4"/>
                      <w:sz w:val="21"/>
                      <w:szCs w:val="21"/>
                    </w:rPr>
                    <w:t>建设，</w:t>
                  </w:r>
                  <w:r>
                    <w:rPr>
                      <w:rFonts w:hint="default" w:ascii="Times New Roman" w:hAnsi="Times New Roman" w:cs="Times New Roman"/>
                      <w:color w:val="auto"/>
                      <w:spacing w:val="21"/>
                      <w:sz w:val="21"/>
                      <w:szCs w:val="21"/>
                    </w:rPr>
                    <w:t>项目</w:t>
                  </w:r>
                  <w:r>
                    <w:rPr>
                      <w:rFonts w:hint="eastAsia" w:ascii="Times New Roman" w:hAnsi="Times New Roman" w:cs="Times New Roman"/>
                      <w:color w:val="auto"/>
                      <w:spacing w:val="21"/>
                      <w:sz w:val="21"/>
                      <w:szCs w:val="21"/>
                      <w:lang w:val="en-US" w:eastAsia="zh-CN"/>
                    </w:rPr>
                    <w:t>正在开展</w:t>
                  </w:r>
                  <w:r>
                    <w:rPr>
                      <w:rFonts w:hint="default" w:ascii="Times New Roman" w:hAnsi="Times New Roman" w:cs="Times New Roman"/>
                      <w:color w:val="auto"/>
                      <w:spacing w:val="21"/>
                      <w:sz w:val="21"/>
                      <w:szCs w:val="21"/>
                    </w:rPr>
                    <w:t>征地补</w:t>
                  </w:r>
                  <w:r>
                    <w:rPr>
                      <w:rFonts w:hint="default" w:ascii="Times New Roman" w:hAnsi="Times New Roman" w:cs="Times New Roman"/>
                      <w:color w:val="auto"/>
                      <w:spacing w:val="4"/>
                      <w:sz w:val="21"/>
                      <w:szCs w:val="21"/>
                    </w:rPr>
                    <w:t>偿工作</w:t>
                  </w:r>
                </w:p>
              </w:tc>
              <w:tc>
                <w:tcPr>
                  <w:tcW w:w="520" w:type="pct"/>
                  <w:tcBorders>
                    <w:tl2br w:val="nil"/>
                    <w:tr2bl w:val="nil"/>
                  </w:tcBorders>
                  <w:noWrap w:val="0"/>
                  <w:vAlign w:val="center"/>
                </w:tcPr>
                <w:p w14:paraId="2F5ACE95">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符合</w:t>
                  </w:r>
                </w:p>
              </w:tc>
            </w:tr>
            <w:tr w14:paraId="28F18B5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411" w:type="pct"/>
                  <w:tcBorders>
                    <w:tl2br w:val="nil"/>
                    <w:tr2bl w:val="nil"/>
                  </w:tcBorders>
                  <w:noWrap w:val="0"/>
                  <w:vAlign w:val="center"/>
                </w:tcPr>
                <w:p w14:paraId="6EACEF4C">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w:t>
                  </w:r>
                </w:p>
              </w:tc>
              <w:tc>
                <w:tcPr>
                  <w:tcW w:w="2980" w:type="pct"/>
                  <w:tcBorders>
                    <w:tl2br w:val="nil"/>
                    <w:tr2bl w:val="nil"/>
                  </w:tcBorders>
                  <w:noWrap w:val="0"/>
                  <w:vAlign w:val="center"/>
                </w:tcPr>
                <w:p w14:paraId="78C8F0AA">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bCs/>
                      <w:color w:val="auto"/>
                      <w:spacing w:val="2"/>
                      <w:sz w:val="21"/>
                      <w:szCs w:val="21"/>
                    </w:rPr>
                    <w:t>优化提升农转征及用地审批效率。</w:t>
                  </w:r>
                  <w:r>
                    <w:rPr>
                      <w:rFonts w:hint="default" w:ascii="Times New Roman" w:hAnsi="Times New Roman" w:cs="Times New Roman"/>
                      <w:color w:val="auto"/>
                      <w:spacing w:val="2"/>
                      <w:sz w:val="21"/>
                      <w:szCs w:val="21"/>
                    </w:rPr>
                    <w:t>各县（市、区）</w:t>
                  </w:r>
                  <w:r>
                    <w:rPr>
                      <w:rFonts w:hint="default" w:ascii="Times New Roman" w:hAnsi="Times New Roman" w:cs="Times New Roman"/>
                      <w:color w:val="auto"/>
                      <w:spacing w:val="9"/>
                      <w:sz w:val="21"/>
                      <w:szCs w:val="21"/>
                    </w:rPr>
                    <w:t>自然资源部门根据项目建设用地需求，可同时开</w:t>
                  </w:r>
                  <w:r>
                    <w:rPr>
                      <w:rFonts w:hint="default" w:ascii="Times New Roman" w:hAnsi="Times New Roman" w:cs="Times New Roman"/>
                      <w:color w:val="auto"/>
                      <w:spacing w:val="14"/>
                      <w:sz w:val="21"/>
                      <w:szCs w:val="21"/>
                    </w:rPr>
                    <w:t>展临时使用土地报批与农用地转用及土地征收</w:t>
                  </w:r>
                  <w:r>
                    <w:rPr>
                      <w:rFonts w:hint="default" w:ascii="Times New Roman" w:hAnsi="Times New Roman" w:cs="Times New Roman"/>
                      <w:color w:val="auto"/>
                      <w:spacing w:val="9"/>
                      <w:sz w:val="21"/>
                      <w:szCs w:val="21"/>
                    </w:rPr>
                    <w:t>工作，若临时用地与需农用地转用及土地征收的土地重叠的，获批的临时用地期满后，必须复垦</w:t>
                  </w:r>
                  <w:r>
                    <w:rPr>
                      <w:rFonts w:hint="default" w:ascii="Times New Roman" w:hAnsi="Times New Roman" w:cs="Times New Roman"/>
                      <w:color w:val="auto"/>
                      <w:spacing w:val="8"/>
                      <w:sz w:val="21"/>
                      <w:szCs w:val="21"/>
                    </w:rPr>
                    <w:t>还地后方可开展农用地转用及土地征收。</w:t>
                  </w:r>
                </w:p>
              </w:tc>
              <w:tc>
                <w:tcPr>
                  <w:tcW w:w="1087" w:type="pct"/>
                  <w:tcBorders>
                    <w:tl2br w:val="nil"/>
                    <w:tr2bl w:val="nil"/>
                  </w:tcBorders>
                  <w:noWrap w:val="0"/>
                  <w:vAlign w:val="center"/>
                </w:tcPr>
                <w:p w14:paraId="4C1C2DB5">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项目已取得自然</w:t>
                  </w:r>
                  <w:r>
                    <w:rPr>
                      <w:rFonts w:hint="default" w:ascii="Times New Roman" w:hAnsi="Times New Roman" w:cs="Times New Roman"/>
                      <w:color w:val="auto"/>
                      <w:spacing w:val="20"/>
                      <w:sz w:val="21"/>
                      <w:szCs w:val="21"/>
                    </w:rPr>
                    <w:t>资源局同意选址</w:t>
                  </w:r>
                  <w:r>
                    <w:rPr>
                      <w:rFonts w:hint="default" w:ascii="Times New Roman" w:hAnsi="Times New Roman" w:cs="Times New Roman"/>
                      <w:color w:val="auto"/>
                      <w:spacing w:val="4"/>
                      <w:sz w:val="21"/>
                      <w:szCs w:val="21"/>
                    </w:rPr>
                    <w:t>意见。项目临时用</w:t>
                  </w:r>
                  <w:r>
                    <w:rPr>
                      <w:rFonts w:hint="default" w:ascii="Times New Roman" w:hAnsi="Times New Roman" w:cs="Times New Roman"/>
                      <w:color w:val="auto"/>
                      <w:spacing w:val="20"/>
                      <w:sz w:val="21"/>
                      <w:szCs w:val="21"/>
                    </w:rPr>
                    <w:t>地待施工结束后</w:t>
                  </w:r>
                  <w:r>
                    <w:rPr>
                      <w:rFonts w:hint="default" w:ascii="Times New Roman" w:hAnsi="Times New Roman" w:cs="Times New Roman"/>
                      <w:color w:val="auto"/>
                      <w:spacing w:val="4"/>
                      <w:sz w:val="21"/>
                      <w:szCs w:val="21"/>
                    </w:rPr>
                    <w:t>方可复耕，不涉及</w:t>
                  </w:r>
                  <w:r>
                    <w:rPr>
                      <w:rFonts w:hint="default" w:ascii="Times New Roman" w:hAnsi="Times New Roman" w:cs="Times New Roman"/>
                      <w:color w:val="auto"/>
                      <w:spacing w:val="20"/>
                      <w:sz w:val="21"/>
                      <w:szCs w:val="21"/>
                    </w:rPr>
                    <w:t>临时用地土地报</w:t>
                  </w:r>
                  <w:r>
                    <w:rPr>
                      <w:rFonts w:hint="default" w:ascii="Times New Roman" w:hAnsi="Times New Roman" w:cs="Times New Roman"/>
                      <w:color w:val="auto"/>
                      <w:sz w:val="21"/>
                      <w:szCs w:val="21"/>
                    </w:rPr>
                    <w:t>批。</w:t>
                  </w:r>
                </w:p>
              </w:tc>
              <w:tc>
                <w:tcPr>
                  <w:tcW w:w="520" w:type="pct"/>
                  <w:tcBorders>
                    <w:tl2br w:val="nil"/>
                    <w:tr2bl w:val="nil"/>
                  </w:tcBorders>
                  <w:noWrap w:val="0"/>
                  <w:vAlign w:val="center"/>
                </w:tcPr>
                <w:p w14:paraId="1C8A3C56">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符合</w:t>
                  </w:r>
                </w:p>
              </w:tc>
            </w:tr>
            <w:tr w14:paraId="3CFD1E3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411" w:type="pct"/>
                  <w:tcBorders>
                    <w:tl2br w:val="nil"/>
                    <w:tr2bl w:val="nil"/>
                  </w:tcBorders>
                  <w:noWrap w:val="0"/>
                  <w:vAlign w:val="center"/>
                </w:tcPr>
                <w:p w14:paraId="7785DB80">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w:t>
                  </w:r>
                </w:p>
              </w:tc>
              <w:tc>
                <w:tcPr>
                  <w:tcW w:w="2980" w:type="pct"/>
                  <w:tcBorders>
                    <w:tl2br w:val="nil"/>
                    <w:tr2bl w:val="nil"/>
                  </w:tcBorders>
                  <w:noWrap w:val="0"/>
                  <w:vAlign w:val="center"/>
                </w:tcPr>
                <w:p w14:paraId="526D3E7F">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bCs/>
                      <w:color w:val="auto"/>
                      <w:spacing w:val="7"/>
                      <w:sz w:val="21"/>
                      <w:szCs w:val="21"/>
                    </w:rPr>
                    <w:t>加快审批被征地农民社会保障方案。</w:t>
                  </w:r>
                  <w:r>
                    <w:rPr>
                      <w:rFonts w:hint="default" w:ascii="Times New Roman" w:hAnsi="Times New Roman" w:cs="Times New Roman"/>
                      <w:color w:val="auto"/>
                      <w:spacing w:val="7"/>
                      <w:sz w:val="21"/>
                      <w:szCs w:val="21"/>
                    </w:rPr>
                    <w:t>对于项目征</w:t>
                  </w:r>
                  <w:r>
                    <w:rPr>
                      <w:rFonts w:hint="default" w:ascii="Times New Roman" w:hAnsi="Times New Roman" w:cs="Times New Roman"/>
                      <w:color w:val="auto"/>
                      <w:spacing w:val="9"/>
                      <w:sz w:val="21"/>
                      <w:szCs w:val="21"/>
                    </w:rPr>
                    <w:t>地前期的《社会稳定风险评估报告》评审，由各</w:t>
                  </w:r>
                  <w:r>
                    <w:rPr>
                      <w:rFonts w:hint="default" w:ascii="Times New Roman" w:hAnsi="Times New Roman" w:cs="Times New Roman"/>
                      <w:color w:val="auto"/>
                      <w:spacing w:val="6"/>
                      <w:sz w:val="21"/>
                      <w:szCs w:val="21"/>
                    </w:rPr>
                    <w:t>县（市、区）自然资源部门组织，采用现场评审</w:t>
                  </w:r>
                  <w:r>
                    <w:rPr>
                      <w:rFonts w:hint="default" w:ascii="Times New Roman" w:hAnsi="Times New Roman" w:cs="Times New Roman"/>
                      <w:color w:val="auto"/>
                      <w:spacing w:val="9"/>
                      <w:sz w:val="21"/>
                      <w:szCs w:val="21"/>
                    </w:rPr>
                    <w:t>会、线下收集意见等方式依法依规进行，评审完</w:t>
                  </w:r>
                  <w:r>
                    <w:rPr>
                      <w:rFonts w:hint="default" w:ascii="Times New Roman" w:hAnsi="Times New Roman" w:cs="Times New Roman"/>
                      <w:color w:val="auto"/>
                      <w:spacing w:val="6"/>
                      <w:sz w:val="21"/>
                      <w:szCs w:val="21"/>
                    </w:rPr>
                    <w:t>成后</w:t>
                  </w:r>
                  <w:r>
                    <w:rPr>
                      <w:rFonts w:hint="default" w:ascii="Times New Roman" w:hAnsi="Times New Roman" w:eastAsia="Times New Roman" w:cs="Times New Roman"/>
                      <w:color w:val="auto"/>
                      <w:spacing w:val="6"/>
                      <w:sz w:val="21"/>
                      <w:szCs w:val="21"/>
                    </w:rPr>
                    <w:t>5</w:t>
                  </w:r>
                  <w:r>
                    <w:rPr>
                      <w:rFonts w:hint="default" w:ascii="Times New Roman" w:hAnsi="Times New Roman" w:cs="Times New Roman"/>
                      <w:color w:val="auto"/>
                      <w:spacing w:val="6"/>
                      <w:sz w:val="21"/>
                      <w:szCs w:val="21"/>
                    </w:rPr>
                    <w:t>个工作日内出具评审意见，各县（市、区）</w:t>
                  </w:r>
                  <w:r>
                    <w:rPr>
                      <w:rFonts w:hint="default" w:ascii="Times New Roman" w:hAnsi="Times New Roman" w:cs="Times New Roman"/>
                      <w:color w:val="auto"/>
                      <w:spacing w:val="9"/>
                      <w:sz w:val="21"/>
                      <w:szCs w:val="21"/>
                    </w:rPr>
                    <w:t>社会保障部门应及时出具被征地农民社会保障实施方案，经县（市、区）人民政府上报市社会</w:t>
                  </w:r>
                  <w:r>
                    <w:rPr>
                      <w:rFonts w:hint="default" w:ascii="Times New Roman" w:hAnsi="Times New Roman" w:cs="Times New Roman"/>
                      <w:color w:val="auto"/>
                      <w:spacing w:val="8"/>
                      <w:sz w:val="21"/>
                      <w:szCs w:val="21"/>
                    </w:rPr>
                    <w:t>保障部门进行审批并及时完成方案批复。</w:t>
                  </w:r>
                </w:p>
              </w:tc>
              <w:tc>
                <w:tcPr>
                  <w:tcW w:w="1087" w:type="pct"/>
                  <w:tcBorders>
                    <w:tl2br w:val="nil"/>
                    <w:tr2bl w:val="nil"/>
                  </w:tcBorders>
                  <w:noWrap w:val="0"/>
                  <w:vAlign w:val="center"/>
                </w:tcPr>
                <w:p w14:paraId="2FEDF9F3">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本项目已经完成</w:t>
                  </w:r>
                  <w:r>
                    <w:rPr>
                      <w:rFonts w:hint="default" w:ascii="Times New Roman" w:hAnsi="Times New Roman" w:cs="Times New Roman"/>
                      <w:color w:val="auto"/>
                      <w:spacing w:val="21"/>
                      <w:sz w:val="21"/>
                      <w:szCs w:val="21"/>
                    </w:rPr>
                    <w:t>社会稳定风险评</w:t>
                  </w:r>
                  <w:r>
                    <w:rPr>
                      <w:rFonts w:hint="default" w:ascii="Times New Roman" w:hAnsi="Times New Roman" w:cs="Times New Roman"/>
                      <w:color w:val="auto"/>
                      <w:spacing w:val="4"/>
                      <w:sz w:val="21"/>
                      <w:szCs w:val="21"/>
                    </w:rPr>
                    <w:t>估报告，且已经报</w:t>
                  </w:r>
                  <w:r>
                    <w:rPr>
                      <w:rFonts w:hint="default" w:ascii="Times New Roman" w:hAnsi="Times New Roman" w:cs="Times New Roman"/>
                      <w:color w:val="auto"/>
                      <w:spacing w:val="21"/>
                      <w:sz w:val="21"/>
                      <w:szCs w:val="21"/>
                    </w:rPr>
                    <w:t>至相关部门进行</w:t>
                  </w:r>
                  <w:r>
                    <w:rPr>
                      <w:rFonts w:hint="default" w:ascii="Times New Roman" w:hAnsi="Times New Roman" w:cs="Times New Roman"/>
                      <w:color w:val="auto"/>
                      <w:spacing w:val="2"/>
                      <w:sz w:val="21"/>
                      <w:szCs w:val="21"/>
                    </w:rPr>
                    <w:t>备案。</w:t>
                  </w:r>
                </w:p>
              </w:tc>
              <w:tc>
                <w:tcPr>
                  <w:tcW w:w="520" w:type="pct"/>
                  <w:tcBorders>
                    <w:tl2br w:val="nil"/>
                    <w:tr2bl w:val="nil"/>
                  </w:tcBorders>
                  <w:noWrap w:val="0"/>
                  <w:vAlign w:val="center"/>
                </w:tcPr>
                <w:p w14:paraId="1AE6432E">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符合</w:t>
                  </w:r>
                </w:p>
              </w:tc>
            </w:tr>
            <w:tr w14:paraId="5D10B50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411" w:type="pct"/>
                  <w:tcBorders>
                    <w:tl2br w:val="nil"/>
                    <w:tr2bl w:val="nil"/>
                  </w:tcBorders>
                  <w:noWrap w:val="0"/>
                  <w:vAlign w:val="center"/>
                </w:tcPr>
                <w:p w14:paraId="0F324987">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8</w:t>
                  </w:r>
                </w:p>
              </w:tc>
              <w:tc>
                <w:tcPr>
                  <w:tcW w:w="2980" w:type="pct"/>
                  <w:tcBorders>
                    <w:tl2br w:val="nil"/>
                    <w:tr2bl w:val="nil"/>
                  </w:tcBorders>
                  <w:noWrap w:val="0"/>
                  <w:vAlign w:val="center"/>
                </w:tcPr>
                <w:p w14:paraId="4CA1C712">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bCs/>
                      <w:color w:val="auto"/>
                      <w:spacing w:val="8"/>
                      <w:sz w:val="21"/>
                      <w:szCs w:val="21"/>
                    </w:rPr>
                    <w:t>优化简化林地审批手续。</w:t>
                  </w:r>
                  <w:r>
                    <w:rPr>
                      <w:rFonts w:hint="default" w:ascii="Times New Roman" w:hAnsi="Times New Roman" w:cs="Times New Roman"/>
                      <w:color w:val="auto"/>
                      <w:spacing w:val="8"/>
                      <w:sz w:val="21"/>
                      <w:szCs w:val="21"/>
                    </w:rPr>
                    <w:t>电力建设企业在办理使</w:t>
                  </w:r>
                  <w:r>
                    <w:rPr>
                      <w:rFonts w:hint="default" w:ascii="Times New Roman" w:hAnsi="Times New Roman" w:cs="Times New Roman"/>
                      <w:color w:val="auto"/>
                      <w:spacing w:val="9"/>
                      <w:sz w:val="21"/>
                      <w:szCs w:val="21"/>
                    </w:rPr>
                    <w:t>用林地审批手续时，需要提供以下材料：①使用林地申请表；②申请书；③建设项目批准文件；</w:t>
                  </w:r>
                  <w:r>
                    <w:rPr>
                      <w:rFonts w:hint="default" w:ascii="Times New Roman" w:hAnsi="Times New Roman" w:cs="Times New Roman"/>
                      <w:color w:val="auto"/>
                      <w:spacing w:val="14"/>
                      <w:sz w:val="21"/>
                      <w:szCs w:val="21"/>
                    </w:rPr>
                    <w:t>④使用林地可行性报告或者使用林地现状调查</w:t>
                  </w:r>
                  <w:r>
                    <w:rPr>
                      <w:rFonts w:hint="default" w:ascii="Times New Roman" w:hAnsi="Times New Roman" w:cs="Times New Roman"/>
                      <w:color w:val="auto"/>
                      <w:spacing w:val="9"/>
                      <w:sz w:val="21"/>
                      <w:szCs w:val="21"/>
                    </w:rPr>
                    <w:t>表（临时占用林地需提供临时占用林地恢复林业</w:t>
                  </w:r>
                  <w:r>
                    <w:rPr>
                      <w:rFonts w:hint="default" w:ascii="Times New Roman" w:hAnsi="Times New Roman" w:cs="Times New Roman"/>
                      <w:color w:val="auto"/>
                      <w:spacing w:val="8"/>
                      <w:sz w:val="21"/>
                      <w:szCs w:val="21"/>
                    </w:rPr>
                    <w:t>生产条件和植被的实施方案</w:t>
                  </w:r>
                  <w:r>
                    <w:rPr>
                      <w:rFonts w:hint="default" w:ascii="Times New Roman" w:hAnsi="Times New Roman" w:cs="Times New Roman"/>
                      <w:color w:val="auto"/>
                      <w:spacing w:val="21"/>
                      <w:sz w:val="21"/>
                      <w:szCs w:val="21"/>
                    </w:rPr>
                    <w:t>）；</w:t>
                  </w:r>
                  <w:r>
                    <w:rPr>
                      <w:rFonts w:hint="default" w:ascii="Times New Roman" w:hAnsi="Times New Roman" w:cs="Times New Roman"/>
                      <w:color w:val="auto"/>
                      <w:spacing w:val="8"/>
                      <w:sz w:val="21"/>
                      <w:szCs w:val="21"/>
                    </w:rPr>
                    <w:t>⑤建设单位营业</w:t>
                  </w:r>
                  <w:r>
                    <w:rPr>
                      <w:rFonts w:hint="default" w:ascii="Times New Roman" w:hAnsi="Times New Roman" w:cs="Times New Roman"/>
                      <w:color w:val="auto"/>
                      <w:spacing w:val="9"/>
                      <w:sz w:val="21"/>
                      <w:szCs w:val="21"/>
                    </w:rPr>
                    <w:t>执照及法人证件。电力建设企业应当在项目开工</w:t>
                  </w:r>
                  <w:r>
                    <w:rPr>
                      <w:rFonts w:hint="default" w:ascii="Times New Roman" w:hAnsi="Times New Roman" w:cs="Times New Roman"/>
                      <w:color w:val="auto"/>
                      <w:spacing w:val="8"/>
                      <w:sz w:val="21"/>
                      <w:szCs w:val="21"/>
                    </w:rPr>
                    <w:t>前完成县级林草部门需要的有关手续办理。</w:t>
                  </w:r>
                </w:p>
              </w:tc>
              <w:tc>
                <w:tcPr>
                  <w:tcW w:w="1087" w:type="pct"/>
                  <w:tcBorders>
                    <w:tl2br w:val="nil"/>
                    <w:tr2bl w:val="nil"/>
                  </w:tcBorders>
                  <w:noWrap w:val="0"/>
                  <w:vAlign w:val="center"/>
                </w:tcPr>
                <w:p w14:paraId="44FA380C">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项目</w:t>
                  </w:r>
                  <w:r>
                    <w:rPr>
                      <w:rFonts w:hint="eastAsia" w:ascii="Times New Roman" w:hAnsi="Times New Roman" w:cs="Times New Roman"/>
                      <w:color w:val="auto"/>
                      <w:spacing w:val="8"/>
                      <w:sz w:val="21"/>
                      <w:szCs w:val="21"/>
                      <w:lang w:val="en-US" w:eastAsia="zh-CN"/>
                    </w:rPr>
                    <w:t>正在开展林地审批工作</w:t>
                  </w:r>
                  <w:r>
                    <w:rPr>
                      <w:rFonts w:hint="default" w:ascii="Times New Roman" w:hAnsi="Times New Roman" w:cs="Times New Roman"/>
                      <w:color w:val="auto"/>
                      <w:spacing w:val="6"/>
                      <w:sz w:val="21"/>
                      <w:szCs w:val="21"/>
                    </w:rPr>
                    <w:t>。</w:t>
                  </w:r>
                </w:p>
              </w:tc>
              <w:tc>
                <w:tcPr>
                  <w:tcW w:w="520" w:type="pct"/>
                  <w:tcBorders>
                    <w:tl2br w:val="nil"/>
                    <w:tr2bl w:val="nil"/>
                  </w:tcBorders>
                  <w:noWrap w:val="0"/>
                  <w:vAlign w:val="center"/>
                </w:tcPr>
                <w:p w14:paraId="696CA4EF">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符合</w:t>
                  </w:r>
                </w:p>
              </w:tc>
            </w:tr>
            <w:tr w14:paraId="33621B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411" w:type="pct"/>
                  <w:tcBorders>
                    <w:tl2br w:val="nil"/>
                    <w:tr2bl w:val="nil"/>
                  </w:tcBorders>
                  <w:noWrap w:val="0"/>
                  <w:vAlign w:val="center"/>
                </w:tcPr>
                <w:p w14:paraId="4D1AA44C">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9</w:t>
                  </w:r>
                </w:p>
              </w:tc>
              <w:tc>
                <w:tcPr>
                  <w:tcW w:w="2980" w:type="pct"/>
                  <w:tcBorders>
                    <w:tl2br w:val="nil"/>
                    <w:tr2bl w:val="nil"/>
                  </w:tcBorders>
                  <w:noWrap w:val="0"/>
                  <w:vAlign w:val="center"/>
                </w:tcPr>
                <w:p w14:paraId="6BEF4DD5">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bCs/>
                      <w:color w:val="auto"/>
                      <w:spacing w:val="8"/>
                      <w:sz w:val="21"/>
                      <w:szCs w:val="21"/>
                    </w:rPr>
                    <w:t>及时移交实施林木采伐工作。</w:t>
                  </w:r>
                  <w:r>
                    <w:rPr>
                      <w:rFonts w:hint="default" w:ascii="Times New Roman" w:hAnsi="Times New Roman" w:cs="Times New Roman"/>
                      <w:color w:val="auto"/>
                      <w:spacing w:val="8"/>
                      <w:sz w:val="21"/>
                      <w:szCs w:val="21"/>
                    </w:rPr>
                    <w:t>电力建设项目取得</w:t>
                  </w:r>
                  <w:r>
                    <w:rPr>
                      <w:rFonts w:hint="default" w:ascii="Times New Roman" w:hAnsi="Times New Roman" w:cs="Times New Roman"/>
                      <w:color w:val="auto"/>
                      <w:spacing w:val="9"/>
                      <w:sz w:val="21"/>
                      <w:szCs w:val="21"/>
                    </w:rPr>
                    <w:t>林地审核同意书后，电力建设企业（或与电力建设企业有合同关系的施工企业）可与项目所在乡（镇）人民政府签订项目建设补偿包干协议（建议协议内容包含林地、林木权利人签订分户补偿协议、支付补偿，附着物拆迁，临时占用林地、林木采伐证办理及线路通道砍伐工作，复垦费用</w:t>
                  </w:r>
                  <w:r>
                    <w:rPr>
                      <w:rFonts w:hint="default" w:ascii="Times New Roman" w:hAnsi="Times New Roman" w:cs="Times New Roman"/>
                      <w:color w:val="auto"/>
                      <w:spacing w:val="8"/>
                      <w:sz w:val="21"/>
                      <w:szCs w:val="21"/>
                    </w:rPr>
                    <w:t>及时限等</w:t>
                  </w:r>
                  <w:r>
                    <w:rPr>
                      <w:rFonts w:hint="default" w:ascii="Times New Roman" w:hAnsi="Times New Roman" w:cs="Times New Roman"/>
                      <w:color w:val="auto"/>
                      <w:spacing w:val="23"/>
                      <w:sz w:val="21"/>
                      <w:szCs w:val="21"/>
                    </w:rPr>
                    <w:t>），</w:t>
                  </w:r>
                  <w:r>
                    <w:rPr>
                      <w:rFonts w:hint="default" w:ascii="Times New Roman" w:hAnsi="Times New Roman" w:cs="Times New Roman"/>
                      <w:color w:val="auto"/>
                      <w:spacing w:val="8"/>
                      <w:sz w:val="21"/>
                      <w:szCs w:val="21"/>
                    </w:rPr>
                    <w:t>乡（镇）人民政府履行完协议内容后将林地移交电力建设项目企业施工建设。</w:t>
                  </w:r>
                </w:p>
              </w:tc>
              <w:tc>
                <w:tcPr>
                  <w:tcW w:w="1087" w:type="pct"/>
                  <w:tcBorders>
                    <w:tl2br w:val="nil"/>
                    <w:tr2bl w:val="nil"/>
                  </w:tcBorders>
                  <w:noWrap w:val="0"/>
                  <w:vAlign w:val="center"/>
                </w:tcPr>
                <w:p w14:paraId="74FDFB26">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项目</w:t>
                  </w:r>
                  <w:r>
                    <w:rPr>
                      <w:rFonts w:hint="eastAsia" w:ascii="Times New Roman" w:hAnsi="Times New Roman" w:cs="Times New Roman"/>
                      <w:color w:val="auto"/>
                      <w:spacing w:val="8"/>
                      <w:sz w:val="21"/>
                      <w:szCs w:val="21"/>
                      <w:lang w:val="en-US" w:eastAsia="zh-CN"/>
                    </w:rPr>
                    <w:t>正在</w:t>
                  </w:r>
                  <w:r>
                    <w:rPr>
                      <w:rFonts w:hint="default" w:ascii="Times New Roman" w:hAnsi="Times New Roman" w:cs="Times New Roman"/>
                      <w:color w:val="auto"/>
                      <w:spacing w:val="8"/>
                      <w:sz w:val="21"/>
                      <w:szCs w:val="21"/>
                      <w:lang w:val="en-US" w:eastAsia="zh-CN"/>
                    </w:rPr>
                    <w:t>开展</w:t>
                  </w:r>
                  <w:r>
                    <w:rPr>
                      <w:rFonts w:hint="default" w:ascii="Times New Roman" w:hAnsi="Times New Roman" w:cs="Times New Roman"/>
                      <w:color w:val="auto"/>
                      <w:spacing w:val="8"/>
                      <w:sz w:val="21"/>
                      <w:szCs w:val="21"/>
                    </w:rPr>
                    <w:t>征地</w:t>
                  </w:r>
                  <w:r>
                    <w:rPr>
                      <w:rFonts w:hint="default" w:ascii="Times New Roman" w:hAnsi="Times New Roman" w:cs="Times New Roman"/>
                      <w:color w:val="auto"/>
                      <w:spacing w:val="5"/>
                      <w:sz w:val="21"/>
                      <w:szCs w:val="21"/>
                    </w:rPr>
                    <w:t>补偿工作。</w:t>
                  </w:r>
                </w:p>
              </w:tc>
              <w:tc>
                <w:tcPr>
                  <w:tcW w:w="520" w:type="pct"/>
                  <w:tcBorders>
                    <w:tl2br w:val="nil"/>
                    <w:tr2bl w:val="nil"/>
                  </w:tcBorders>
                  <w:noWrap w:val="0"/>
                  <w:vAlign w:val="center"/>
                </w:tcPr>
                <w:p w14:paraId="5EDC3A02">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符合</w:t>
                  </w:r>
                </w:p>
              </w:tc>
            </w:tr>
            <w:tr w14:paraId="208BC12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411" w:type="pct"/>
                  <w:tcBorders>
                    <w:tl2br w:val="nil"/>
                    <w:tr2bl w:val="nil"/>
                  </w:tcBorders>
                  <w:noWrap w:val="0"/>
                  <w:vAlign w:val="center"/>
                </w:tcPr>
                <w:p w14:paraId="20DF44B3">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7"/>
                      <w:sz w:val="21"/>
                      <w:szCs w:val="21"/>
                    </w:rPr>
                    <w:t>10</w:t>
                  </w:r>
                </w:p>
              </w:tc>
              <w:tc>
                <w:tcPr>
                  <w:tcW w:w="2980" w:type="pct"/>
                  <w:tcBorders>
                    <w:tl2br w:val="nil"/>
                    <w:tr2bl w:val="nil"/>
                  </w:tcBorders>
                  <w:noWrap w:val="0"/>
                  <w:vAlign w:val="center"/>
                </w:tcPr>
                <w:p w14:paraId="2C2FB937">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bCs/>
                      <w:color w:val="auto"/>
                      <w:spacing w:val="8"/>
                      <w:sz w:val="21"/>
                      <w:szCs w:val="21"/>
                    </w:rPr>
                    <w:t>优化消防验收程序。</w:t>
                  </w:r>
                  <w:r>
                    <w:rPr>
                      <w:rFonts w:hint="default" w:ascii="Times New Roman" w:hAnsi="Times New Roman" w:eastAsia="Times New Roman" w:cs="Times New Roman"/>
                      <w:color w:val="auto"/>
                      <w:spacing w:val="8"/>
                      <w:sz w:val="21"/>
                      <w:szCs w:val="21"/>
                    </w:rPr>
                    <w:t>220</w:t>
                  </w:r>
                  <w:r>
                    <w:rPr>
                      <w:rFonts w:hint="default" w:ascii="Times New Roman" w:hAnsi="Times New Roman" w:cs="Times New Roman"/>
                      <w:color w:val="auto"/>
                      <w:spacing w:val="8"/>
                      <w:sz w:val="21"/>
                      <w:szCs w:val="21"/>
                    </w:rPr>
                    <w:t>千伏及以上</w:t>
                  </w:r>
                  <w:r>
                    <w:rPr>
                      <w:rFonts w:hint="eastAsia" w:ascii="Times New Roman" w:hAnsi="Times New Roman" w:cs="Times New Roman"/>
                      <w:color w:val="auto"/>
                      <w:spacing w:val="8"/>
                      <w:sz w:val="21"/>
                      <w:szCs w:val="21"/>
                      <w:lang w:eastAsia="zh-CN"/>
                    </w:rPr>
                    <w:t>升压站</w:t>
                  </w:r>
                  <w:r>
                    <w:rPr>
                      <w:rFonts w:hint="default" w:ascii="Times New Roman" w:hAnsi="Times New Roman" w:cs="Times New Roman"/>
                      <w:color w:val="auto"/>
                      <w:spacing w:val="8"/>
                      <w:sz w:val="21"/>
                      <w:szCs w:val="21"/>
                    </w:rPr>
                    <w:t>（升</w:t>
                  </w:r>
                  <w:r>
                    <w:rPr>
                      <w:rFonts w:hint="default" w:ascii="Times New Roman" w:hAnsi="Times New Roman" w:cs="Times New Roman"/>
                      <w:color w:val="auto"/>
                      <w:spacing w:val="9"/>
                      <w:sz w:val="21"/>
                      <w:szCs w:val="21"/>
                    </w:rPr>
                    <w:t>压站、汇集站）工程应当申请消防设计审查和消</w:t>
                  </w:r>
                  <w:r>
                    <w:rPr>
                      <w:rFonts w:hint="default" w:ascii="Times New Roman" w:hAnsi="Times New Roman" w:cs="Times New Roman"/>
                      <w:color w:val="auto"/>
                      <w:spacing w:val="5"/>
                      <w:sz w:val="21"/>
                      <w:szCs w:val="21"/>
                    </w:rPr>
                    <w:t>防验收，</w:t>
                  </w:r>
                  <w:r>
                    <w:rPr>
                      <w:rFonts w:hint="default" w:ascii="Times New Roman" w:hAnsi="Times New Roman" w:eastAsia="Times New Roman" w:cs="Times New Roman"/>
                      <w:color w:val="auto"/>
                      <w:spacing w:val="5"/>
                      <w:sz w:val="21"/>
                      <w:szCs w:val="21"/>
                    </w:rPr>
                    <w:t>220</w:t>
                  </w:r>
                  <w:r>
                    <w:rPr>
                      <w:rFonts w:hint="default" w:ascii="Times New Roman" w:hAnsi="Times New Roman" w:cs="Times New Roman"/>
                      <w:color w:val="auto"/>
                      <w:spacing w:val="5"/>
                      <w:sz w:val="21"/>
                      <w:szCs w:val="21"/>
                    </w:rPr>
                    <w:t>千伏以下</w:t>
                  </w:r>
                  <w:r>
                    <w:rPr>
                      <w:rFonts w:hint="eastAsia" w:ascii="Times New Roman" w:hAnsi="Times New Roman" w:cs="Times New Roman"/>
                      <w:color w:val="auto"/>
                      <w:spacing w:val="5"/>
                      <w:sz w:val="21"/>
                      <w:szCs w:val="21"/>
                      <w:lang w:eastAsia="zh-CN"/>
                    </w:rPr>
                    <w:t>升压站</w:t>
                  </w:r>
                  <w:r>
                    <w:rPr>
                      <w:rFonts w:hint="default" w:ascii="Times New Roman" w:hAnsi="Times New Roman" w:cs="Times New Roman"/>
                      <w:color w:val="auto"/>
                      <w:spacing w:val="5"/>
                      <w:sz w:val="21"/>
                      <w:szCs w:val="21"/>
                    </w:rPr>
                    <w:t>（升压站、汇集站）</w:t>
                  </w:r>
                  <w:r>
                    <w:rPr>
                      <w:rFonts w:hint="default" w:ascii="Times New Roman" w:hAnsi="Times New Roman" w:cs="Times New Roman"/>
                      <w:color w:val="auto"/>
                      <w:spacing w:val="8"/>
                      <w:sz w:val="21"/>
                      <w:szCs w:val="21"/>
                    </w:rPr>
                    <w:t>工程只需申报消防验收备案。</w:t>
                  </w:r>
                </w:p>
              </w:tc>
              <w:tc>
                <w:tcPr>
                  <w:tcW w:w="1087" w:type="pct"/>
                  <w:tcBorders>
                    <w:tl2br w:val="nil"/>
                    <w:tr2bl w:val="nil"/>
                  </w:tcBorders>
                  <w:noWrap w:val="0"/>
                  <w:vAlign w:val="center"/>
                </w:tcPr>
                <w:p w14:paraId="41B2D406">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本项目为输变电</w:t>
                  </w:r>
                  <w:r>
                    <w:rPr>
                      <w:rFonts w:hint="default" w:ascii="Times New Roman" w:hAnsi="Times New Roman" w:cs="Times New Roman"/>
                      <w:color w:val="auto"/>
                      <w:spacing w:val="3"/>
                      <w:sz w:val="21"/>
                      <w:szCs w:val="21"/>
                    </w:rPr>
                    <w:t>线路工程，不涉及</w:t>
                  </w:r>
                  <w:r>
                    <w:rPr>
                      <w:rFonts w:hint="eastAsia" w:ascii="Times New Roman" w:hAnsi="Times New Roman" w:cs="Times New Roman"/>
                      <w:color w:val="auto"/>
                      <w:spacing w:val="8"/>
                      <w:sz w:val="21"/>
                      <w:szCs w:val="21"/>
                      <w:lang w:eastAsia="zh-CN"/>
                    </w:rPr>
                    <w:t>升压站</w:t>
                  </w:r>
                  <w:r>
                    <w:rPr>
                      <w:rFonts w:hint="default" w:ascii="Times New Roman" w:hAnsi="Times New Roman" w:cs="Times New Roman"/>
                      <w:color w:val="auto"/>
                      <w:spacing w:val="8"/>
                      <w:sz w:val="21"/>
                      <w:szCs w:val="21"/>
                    </w:rPr>
                    <w:t>建设</w:t>
                  </w:r>
                </w:p>
              </w:tc>
              <w:tc>
                <w:tcPr>
                  <w:tcW w:w="520" w:type="pct"/>
                  <w:tcBorders>
                    <w:tl2br w:val="nil"/>
                    <w:tr2bl w:val="nil"/>
                  </w:tcBorders>
                  <w:noWrap w:val="0"/>
                  <w:vAlign w:val="center"/>
                </w:tcPr>
                <w:p w14:paraId="677FE18C">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符合</w:t>
                  </w:r>
                </w:p>
              </w:tc>
            </w:tr>
            <w:tr w14:paraId="0E31CE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411" w:type="pct"/>
                  <w:tcBorders>
                    <w:tl2br w:val="nil"/>
                    <w:tr2bl w:val="nil"/>
                  </w:tcBorders>
                  <w:noWrap w:val="0"/>
                  <w:vAlign w:val="center"/>
                </w:tcPr>
                <w:p w14:paraId="6165C900">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7"/>
                      <w:sz w:val="21"/>
                      <w:szCs w:val="21"/>
                    </w:rPr>
                    <w:t>11</w:t>
                  </w:r>
                </w:p>
              </w:tc>
              <w:tc>
                <w:tcPr>
                  <w:tcW w:w="2980" w:type="pct"/>
                  <w:tcBorders>
                    <w:tl2br w:val="nil"/>
                    <w:tr2bl w:val="nil"/>
                  </w:tcBorders>
                  <w:noWrap w:val="0"/>
                  <w:vAlign w:val="center"/>
                </w:tcPr>
                <w:p w14:paraId="4D77E58E">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bCs/>
                      <w:color w:val="auto"/>
                      <w:spacing w:val="8"/>
                      <w:sz w:val="21"/>
                      <w:szCs w:val="21"/>
                    </w:rPr>
                    <w:t>强化电力工程质量监督。</w:t>
                  </w:r>
                  <w:r>
                    <w:rPr>
                      <w:rFonts w:hint="default" w:ascii="Times New Roman" w:hAnsi="Times New Roman" w:cs="Times New Roman"/>
                      <w:color w:val="auto"/>
                      <w:spacing w:val="8"/>
                      <w:sz w:val="21"/>
                      <w:szCs w:val="21"/>
                    </w:rPr>
                    <w:t>电力建设项目应当</w:t>
                  </w:r>
                  <w:r>
                    <w:rPr>
                      <w:rFonts w:hint="default" w:ascii="Times New Roman" w:hAnsi="Times New Roman" w:cs="Times New Roman"/>
                      <w:color w:val="auto"/>
                      <w:spacing w:val="7"/>
                      <w:sz w:val="21"/>
                      <w:szCs w:val="21"/>
                    </w:rPr>
                    <w:t>开展</w:t>
                  </w:r>
                  <w:r>
                    <w:rPr>
                      <w:rFonts w:hint="default" w:ascii="Times New Roman" w:hAnsi="Times New Roman" w:cs="Times New Roman"/>
                      <w:color w:val="auto"/>
                      <w:spacing w:val="9"/>
                      <w:sz w:val="21"/>
                      <w:szCs w:val="21"/>
                    </w:rPr>
                    <w:t>质量监督管理，监督主体按《国家能源局关于加</w:t>
                  </w:r>
                  <w:r>
                    <w:rPr>
                      <w:rFonts w:hint="default" w:ascii="Times New Roman" w:hAnsi="Times New Roman" w:cs="Times New Roman"/>
                      <w:color w:val="auto"/>
                      <w:spacing w:val="14"/>
                      <w:sz w:val="21"/>
                      <w:szCs w:val="21"/>
                    </w:rPr>
                    <w:t>强电力工程质量监督工作的通知》（国能安全</w:t>
                  </w:r>
                  <w:r>
                    <w:rPr>
                      <w:rFonts w:hint="eastAsia" w:ascii="Times New Roman" w:hAnsi="Times New Roman" w:cs="Times New Roman"/>
                      <w:color w:val="auto"/>
                      <w:spacing w:val="14"/>
                      <w:sz w:val="21"/>
                      <w:szCs w:val="21"/>
                      <w:lang w:eastAsia="zh-CN"/>
                    </w:rPr>
                    <w:t>〔2014〕206号</w:t>
                  </w:r>
                  <w:r>
                    <w:rPr>
                      <w:rFonts w:hint="default" w:ascii="Times New Roman" w:hAnsi="Times New Roman" w:cs="Times New Roman"/>
                      <w:color w:val="auto"/>
                      <w:spacing w:val="9"/>
                      <w:sz w:val="21"/>
                      <w:szCs w:val="21"/>
                    </w:rPr>
                    <w:t>）等有关文件规定执行</w:t>
                  </w:r>
                  <w:r>
                    <w:rPr>
                      <w:rFonts w:hint="default" w:ascii="Times New Roman" w:hAnsi="Times New Roman" w:cs="Times New Roman"/>
                      <w:color w:val="auto"/>
                      <w:spacing w:val="8"/>
                      <w:sz w:val="21"/>
                      <w:szCs w:val="21"/>
                    </w:rPr>
                    <w:t>，项目建</w:t>
                  </w:r>
                  <w:r>
                    <w:rPr>
                      <w:rFonts w:hint="default" w:ascii="Times New Roman" w:hAnsi="Times New Roman" w:cs="Times New Roman"/>
                      <w:color w:val="auto"/>
                      <w:spacing w:val="14"/>
                      <w:sz w:val="21"/>
                      <w:szCs w:val="21"/>
                    </w:rPr>
                    <w:t>成后由电力建设工程质量监督机构核发建设工</w:t>
                  </w:r>
                  <w:r>
                    <w:rPr>
                      <w:rFonts w:hint="default" w:ascii="Times New Roman" w:hAnsi="Times New Roman" w:cs="Times New Roman"/>
                      <w:color w:val="auto"/>
                      <w:spacing w:val="9"/>
                      <w:sz w:val="21"/>
                      <w:szCs w:val="21"/>
                    </w:rPr>
                    <w:t>程竣工验收备案表，作为建设企业办理不动产权</w:t>
                  </w:r>
                  <w:r>
                    <w:rPr>
                      <w:rFonts w:hint="default" w:ascii="Times New Roman" w:hAnsi="Times New Roman" w:cs="Times New Roman"/>
                      <w:color w:val="auto"/>
                      <w:spacing w:val="5"/>
                      <w:sz w:val="21"/>
                      <w:szCs w:val="21"/>
                    </w:rPr>
                    <w:t>证的材料。</w:t>
                  </w:r>
                </w:p>
              </w:tc>
              <w:tc>
                <w:tcPr>
                  <w:tcW w:w="1087" w:type="pct"/>
                  <w:tcBorders>
                    <w:tl2br w:val="nil"/>
                    <w:tr2bl w:val="nil"/>
                  </w:tcBorders>
                  <w:noWrap w:val="0"/>
                  <w:vAlign w:val="center"/>
                </w:tcPr>
                <w:p w14:paraId="55FB0455">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项目建设过程中</w:t>
                  </w:r>
                  <w:r>
                    <w:rPr>
                      <w:rFonts w:hint="default" w:ascii="Times New Roman" w:hAnsi="Times New Roman" w:cs="Times New Roman"/>
                      <w:color w:val="auto"/>
                      <w:spacing w:val="4"/>
                      <w:sz w:val="21"/>
                      <w:szCs w:val="21"/>
                    </w:rPr>
                    <w:t>按《国家能源局关</w:t>
                  </w:r>
                  <w:r>
                    <w:rPr>
                      <w:rFonts w:hint="default" w:ascii="Times New Roman" w:hAnsi="Times New Roman" w:cs="Times New Roman"/>
                      <w:color w:val="auto"/>
                      <w:spacing w:val="21"/>
                      <w:sz w:val="21"/>
                      <w:szCs w:val="21"/>
                    </w:rPr>
                    <w:t>于加强电力工程质量监督工作的</w:t>
                  </w:r>
                  <w:r>
                    <w:rPr>
                      <w:rFonts w:hint="default" w:ascii="Times New Roman" w:hAnsi="Times New Roman" w:cs="Times New Roman"/>
                      <w:color w:val="auto"/>
                      <w:spacing w:val="4"/>
                      <w:sz w:val="21"/>
                      <w:szCs w:val="21"/>
                    </w:rPr>
                    <w:t>通知》（国能安全</w:t>
                  </w:r>
                  <w:r>
                    <w:rPr>
                      <w:rFonts w:hint="eastAsia" w:ascii="Times New Roman" w:hAnsi="Times New Roman" w:cs="Times New Roman"/>
                      <w:color w:val="auto"/>
                      <w:spacing w:val="4"/>
                      <w:sz w:val="21"/>
                      <w:szCs w:val="21"/>
                      <w:lang w:eastAsia="zh-CN"/>
                    </w:rPr>
                    <w:t>〔2014〕206号</w:t>
                  </w:r>
                  <w:r>
                    <w:rPr>
                      <w:rFonts w:hint="default" w:ascii="Times New Roman" w:hAnsi="Times New Roman" w:cs="Times New Roman"/>
                      <w:color w:val="auto"/>
                      <w:spacing w:val="4"/>
                      <w:sz w:val="21"/>
                      <w:szCs w:val="21"/>
                    </w:rPr>
                    <w:t>）</w:t>
                  </w:r>
                  <w:r>
                    <w:rPr>
                      <w:rFonts w:hint="default" w:ascii="Times New Roman" w:hAnsi="Times New Roman" w:cs="Times New Roman"/>
                      <w:color w:val="auto"/>
                      <w:spacing w:val="21"/>
                      <w:sz w:val="21"/>
                      <w:szCs w:val="21"/>
                    </w:rPr>
                    <w:t>有关文件规定执行质量监督管理</w:t>
                  </w:r>
                </w:p>
              </w:tc>
              <w:tc>
                <w:tcPr>
                  <w:tcW w:w="520" w:type="pct"/>
                  <w:tcBorders>
                    <w:tl2br w:val="nil"/>
                    <w:tr2bl w:val="nil"/>
                  </w:tcBorders>
                  <w:noWrap w:val="0"/>
                  <w:vAlign w:val="center"/>
                </w:tcPr>
                <w:p w14:paraId="6DEB2712">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符合</w:t>
                  </w:r>
                </w:p>
              </w:tc>
            </w:tr>
            <w:tr w14:paraId="029BEB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411" w:type="pct"/>
                  <w:tcBorders>
                    <w:tl2br w:val="nil"/>
                    <w:tr2bl w:val="nil"/>
                  </w:tcBorders>
                  <w:noWrap w:val="0"/>
                  <w:vAlign w:val="center"/>
                </w:tcPr>
                <w:p w14:paraId="4A8DBC6D">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7"/>
                      <w:sz w:val="21"/>
                      <w:szCs w:val="21"/>
                    </w:rPr>
                    <w:t>12</w:t>
                  </w:r>
                </w:p>
              </w:tc>
              <w:tc>
                <w:tcPr>
                  <w:tcW w:w="2980" w:type="pct"/>
                  <w:tcBorders>
                    <w:tl2br w:val="nil"/>
                    <w:tr2bl w:val="nil"/>
                  </w:tcBorders>
                  <w:noWrap w:val="0"/>
                  <w:vAlign w:val="center"/>
                </w:tcPr>
                <w:p w14:paraId="3062ACA3">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bCs/>
                      <w:color w:val="auto"/>
                      <w:spacing w:val="8"/>
                      <w:sz w:val="21"/>
                      <w:szCs w:val="21"/>
                    </w:rPr>
                    <w:t>加强施工管理和服务保障。</w:t>
                  </w:r>
                  <w:r>
                    <w:rPr>
                      <w:rFonts w:hint="default" w:ascii="Times New Roman" w:hAnsi="Times New Roman" w:cs="Times New Roman"/>
                      <w:color w:val="auto"/>
                      <w:spacing w:val="8"/>
                      <w:sz w:val="21"/>
                      <w:szCs w:val="21"/>
                    </w:rPr>
                    <w:t>电力建设项目施工过</w:t>
                  </w:r>
                  <w:r>
                    <w:rPr>
                      <w:rFonts w:hint="default" w:ascii="Times New Roman" w:hAnsi="Times New Roman" w:cs="Times New Roman"/>
                      <w:color w:val="auto"/>
                      <w:spacing w:val="9"/>
                      <w:sz w:val="21"/>
                      <w:szCs w:val="21"/>
                    </w:rPr>
                    <w:t>程中，各县（市、区）人民政府、曲靖经开区管委会应当做好协调、服务、保障工作，防范恶意索赔、重复索赔、无理阻挠施工或破坏电网项目</w:t>
                  </w:r>
                  <w:r>
                    <w:rPr>
                      <w:rFonts w:hint="default" w:ascii="Times New Roman" w:hAnsi="Times New Roman" w:cs="Times New Roman"/>
                      <w:color w:val="auto"/>
                      <w:spacing w:val="6"/>
                      <w:sz w:val="21"/>
                      <w:szCs w:val="21"/>
                    </w:rPr>
                    <w:t>建设的行为。</w:t>
                  </w:r>
                </w:p>
              </w:tc>
              <w:tc>
                <w:tcPr>
                  <w:tcW w:w="1087" w:type="pct"/>
                  <w:tcBorders>
                    <w:tl2br w:val="nil"/>
                    <w:tr2bl w:val="nil"/>
                  </w:tcBorders>
                  <w:noWrap w:val="0"/>
                  <w:vAlign w:val="center"/>
                </w:tcPr>
                <w:p w14:paraId="11C72DFB">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项目已经取得</w:t>
                  </w:r>
                  <w:r>
                    <w:rPr>
                      <w:rFonts w:hint="default" w:ascii="Times New Roman" w:hAnsi="Times New Roman" w:cs="Times New Roman"/>
                      <w:color w:val="auto"/>
                      <w:spacing w:val="8"/>
                      <w:sz w:val="21"/>
                      <w:szCs w:val="21"/>
                      <w:lang w:val="en-US" w:eastAsia="zh-CN"/>
                    </w:rPr>
                    <w:t>会泽县</w:t>
                  </w:r>
                  <w:r>
                    <w:rPr>
                      <w:rFonts w:hint="default" w:ascii="Times New Roman" w:hAnsi="Times New Roman" w:cs="Times New Roman"/>
                      <w:color w:val="auto"/>
                      <w:spacing w:val="8"/>
                      <w:sz w:val="21"/>
                      <w:szCs w:val="21"/>
                    </w:rPr>
                    <w:t>各相关部门同意项目</w:t>
                  </w:r>
                  <w:r>
                    <w:rPr>
                      <w:rFonts w:hint="default" w:ascii="Times New Roman" w:hAnsi="Times New Roman" w:cs="Times New Roman"/>
                      <w:color w:val="auto"/>
                      <w:spacing w:val="6"/>
                      <w:sz w:val="21"/>
                      <w:szCs w:val="21"/>
                    </w:rPr>
                    <w:t>建设意见</w:t>
                  </w:r>
                </w:p>
              </w:tc>
              <w:tc>
                <w:tcPr>
                  <w:tcW w:w="520" w:type="pct"/>
                  <w:tcBorders>
                    <w:tl2br w:val="nil"/>
                    <w:tr2bl w:val="nil"/>
                  </w:tcBorders>
                  <w:noWrap w:val="0"/>
                  <w:vAlign w:val="center"/>
                </w:tcPr>
                <w:p w14:paraId="3CD206B0">
                  <w:pPr>
                    <w:pStyle w:val="126"/>
                    <w:keepNext w:val="0"/>
                    <w:keepLines w:val="0"/>
                    <w:pageBreakBefore w:val="0"/>
                    <w:widowControl/>
                    <w:kinsoku/>
                    <w:wordWrap/>
                    <w:overflowPunct w:val="0"/>
                    <w:topLinePunct/>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符合</w:t>
                  </w:r>
                </w:p>
              </w:tc>
            </w:tr>
          </w:tbl>
          <w:p w14:paraId="5BD5CFC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b w:val="0"/>
                <w:bCs w:val="0"/>
                <w:color w:val="auto"/>
                <w:sz w:val="24"/>
                <w:szCs w:val="24"/>
                <w:lang w:val="zh-CN" w:eastAsia="zh-CN"/>
              </w:rPr>
            </w:pPr>
            <w:r>
              <w:rPr>
                <w:rFonts w:hint="default" w:ascii="Times New Roman" w:hAnsi="Times New Roman" w:eastAsia="宋体" w:cs="Times New Roman"/>
                <w:b w:val="0"/>
                <w:bCs w:val="0"/>
                <w:color w:val="auto"/>
                <w:sz w:val="24"/>
                <w:szCs w:val="24"/>
                <w:lang w:val="zh-CN" w:eastAsia="zh-CN"/>
              </w:rPr>
              <w:t>从上表可以看出，本项目符合《曲靖市加快电网规划建设十四条措施（试行）的通知》（曲政办发〔2023〕26号）的相关要求。</w:t>
            </w:r>
          </w:p>
          <w:p w14:paraId="1CC99E7D">
            <w:pPr>
              <w:keepNext w:val="0"/>
              <w:keepLines w:val="0"/>
              <w:pageBreakBefore w:val="0"/>
              <w:widowControl w:val="0"/>
              <w:kinsoku/>
              <w:wordWrap/>
              <w:overflowPunct/>
              <w:topLinePunct w:val="0"/>
              <w:autoSpaceDE w:val="0"/>
              <w:autoSpaceDN w:val="0"/>
              <w:bidi w:val="0"/>
              <w:adjustRightInd w:val="0"/>
              <w:snapToGrid w:val="0"/>
              <w:spacing w:line="440" w:lineRule="exact"/>
              <w:ind w:firstLine="482" w:firstLineChars="200"/>
              <w:textAlignment w:val="auto"/>
              <w:rPr>
                <w:rFonts w:hint="eastAsia" w:ascii="Times New Roman" w:hAnsi="Times New Roman"/>
                <w:b/>
                <w:bCs/>
                <w:color w:val="auto"/>
                <w:sz w:val="24"/>
                <w:szCs w:val="20"/>
                <w:lang w:val="en-US" w:eastAsia="zh-CN"/>
              </w:rPr>
            </w:pPr>
            <w:r>
              <w:rPr>
                <w:rFonts w:hint="eastAsia" w:ascii="Times New Roman" w:hAnsi="Times New Roman"/>
                <w:b/>
                <w:color w:val="auto"/>
                <w:kern w:val="0"/>
                <w:sz w:val="24"/>
                <w:szCs w:val="20"/>
                <w:lang w:val="en-US" w:eastAsia="zh-CN"/>
              </w:rPr>
              <w:t>15、</w:t>
            </w:r>
            <w:r>
              <w:rPr>
                <w:rFonts w:ascii="Times New Roman" w:hAnsi="Times New Roman"/>
                <w:b/>
                <w:color w:val="auto"/>
                <w:kern w:val="0"/>
                <w:sz w:val="24"/>
                <w:szCs w:val="20"/>
              </w:rPr>
              <w:t>与</w:t>
            </w:r>
            <w:r>
              <w:rPr>
                <w:rFonts w:hint="eastAsia" w:ascii="Times New Roman" w:hAnsi="Times New Roman"/>
                <w:b/>
                <w:bCs/>
                <w:color w:val="auto"/>
                <w:sz w:val="24"/>
                <w:szCs w:val="20"/>
                <w:lang w:val="en-US" w:eastAsia="zh-CN"/>
              </w:rPr>
              <w:t>《牛栏江流域（云南部分）水环境保护规划（2009-2030）》（云政复﹝2010﹞21号）符合性</w:t>
            </w:r>
          </w:p>
          <w:p w14:paraId="222DD915">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textAlignment w:val="auto"/>
              <w:rPr>
                <w:rFonts w:ascii="Times New Roman" w:hAnsi="Times New Roman"/>
                <w:color w:val="auto"/>
                <w:sz w:val="24"/>
                <w:szCs w:val="20"/>
              </w:rPr>
            </w:pPr>
            <w:r>
              <w:rPr>
                <w:rFonts w:hint="eastAsia" w:ascii="Times New Roman" w:hAnsi="Times New Roman"/>
                <w:color w:val="auto"/>
                <w:sz w:val="24"/>
                <w:szCs w:val="20"/>
              </w:rPr>
              <w:t>2009年11月，云南省环境保护厅、云南省水利厅联合组织编制完成了《牛栏江流域（云南部分）水环境保护规划（2009-2030）》，2010年5月24日，云南省人民政府以“云</w:t>
            </w:r>
            <w:r>
              <w:rPr>
                <w:rFonts w:ascii="Times New Roman" w:hAnsi="Times New Roman"/>
                <w:color w:val="auto"/>
                <w:sz w:val="24"/>
                <w:szCs w:val="20"/>
              </w:rPr>
              <w:t>政复﹝2010﹞21号</w:t>
            </w:r>
            <w:r>
              <w:rPr>
                <w:rFonts w:hint="eastAsia" w:ascii="Times New Roman" w:hAnsi="Times New Roman"/>
                <w:color w:val="auto"/>
                <w:sz w:val="24"/>
                <w:szCs w:val="20"/>
              </w:rPr>
              <w:t>”批复</w:t>
            </w:r>
            <w:r>
              <w:rPr>
                <w:rFonts w:hint="eastAsia" w:ascii="Times New Roman" w:hAnsi="Times New Roman"/>
                <w:color w:val="auto"/>
                <w:sz w:val="24"/>
                <w:szCs w:val="20"/>
                <w:lang w:eastAsia="zh-CN"/>
              </w:rPr>
              <w:t>了</w:t>
            </w:r>
            <w:r>
              <w:rPr>
                <w:rFonts w:hint="eastAsia" w:ascii="Times New Roman" w:hAnsi="Times New Roman"/>
                <w:color w:val="auto"/>
                <w:sz w:val="24"/>
                <w:szCs w:val="20"/>
              </w:rPr>
              <w:t>规划。</w:t>
            </w:r>
            <w:r>
              <w:rPr>
                <w:rFonts w:hint="eastAsia" w:ascii="Times New Roman" w:hAnsi="Times New Roman"/>
                <w:color w:val="auto"/>
                <w:sz w:val="24"/>
                <w:szCs w:val="20"/>
                <w:lang w:val="en-US" w:eastAsia="zh-CN"/>
              </w:rPr>
              <w:t>根据规划，</w:t>
            </w:r>
            <w:r>
              <w:rPr>
                <w:rFonts w:ascii="Times New Roman" w:hAnsi="Times New Roman"/>
                <w:color w:val="auto"/>
                <w:sz w:val="24"/>
                <w:szCs w:val="20"/>
              </w:rPr>
              <w:t>范围为牛栏江流域（云南部分），干流全长440km，流域面积13675km</w:t>
            </w:r>
            <w:r>
              <w:rPr>
                <w:rFonts w:ascii="Times New Roman" w:hAnsi="Times New Roman"/>
                <w:color w:val="auto"/>
                <w:sz w:val="24"/>
                <w:szCs w:val="20"/>
                <w:vertAlign w:val="superscript"/>
              </w:rPr>
              <w:t>2</w:t>
            </w:r>
            <w:r>
              <w:rPr>
                <w:rFonts w:ascii="Times New Roman" w:hAnsi="Times New Roman"/>
                <w:color w:val="auto"/>
                <w:sz w:val="24"/>
                <w:szCs w:val="20"/>
              </w:rPr>
              <w:t>，包括昆明、曲靖、昭通3市的10个县（市、区）、46个乡镇。其中，牛栏江干流拟建牛栏江—滇池补</w:t>
            </w:r>
            <w:r>
              <w:rPr>
                <w:rFonts w:hint="eastAsia" w:ascii="Times New Roman" w:hAnsi="Times New Roman"/>
                <w:color w:val="auto"/>
                <w:sz w:val="24"/>
                <w:szCs w:val="20"/>
                <w:lang w:eastAsia="zh-CN"/>
              </w:rPr>
              <w:t>水枢</w:t>
            </w:r>
            <w:r>
              <w:rPr>
                <w:rFonts w:ascii="Times New Roman" w:hAnsi="Times New Roman"/>
                <w:color w:val="auto"/>
                <w:sz w:val="24"/>
                <w:szCs w:val="20"/>
              </w:rPr>
              <w:t>纽工程德泽水库坝址上游的流域范围为调水水源区，干流河长172km，流域面积4551km</w:t>
            </w:r>
            <w:r>
              <w:rPr>
                <w:rFonts w:ascii="Times New Roman" w:hAnsi="Times New Roman"/>
                <w:color w:val="auto"/>
                <w:sz w:val="24"/>
                <w:szCs w:val="20"/>
                <w:vertAlign w:val="superscript"/>
              </w:rPr>
              <w:t>2</w:t>
            </w:r>
            <w:r>
              <w:rPr>
                <w:rFonts w:ascii="Times New Roman" w:hAnsi="Times New Roman"/>
                <w:color w:val="auto"/>
                <w:sz w:val="24"/>
                <w:szCs w:val="20"/>
              </w:rPr>
              <w:t>，包括昆明、曲靖2市6县（区）21个乡（镇）；牛栏江干流拟建德泽水库坝址以下的流域范围为下游区，干流河长268km，流域面积9121km</w:t>
            </w:r>
            <w:r>
              <w:rPr>
                <w:rFonts w:ascii="Times New Roman" w:hAnsi="Times New Roman"/>
                <w:color w:val="auto"/>
                <w:sz w:val="24"/>
                <w:szCs w:val="20"/>
                <w:vertAlign w:val="superscript"/>
              </w:rPr>
              <w:t>2</w:t>
            </w:r>
            <w:r>
              <w:rPr>
                <w:rFonts w:ascii="Times New Roman" w:hAnsi="Times New Roman"/>
                <w:color w:val="auto"/>
                <w:sz w:val="24"/>
                <w:szCs w:val="20"/>
              </w:rPr>
              <w:t>，包括宣威市、会泽县、鲁甸县、巧家县、昭阳区2市5县（市、区）25个乡（镇）。其中调水水源区（Ⅰ区）分为水源保护核心区（Ⅰ</w:t>
            </w:r>
            <w:r>
              <w:rPr>
                <w:rFonts w:ascii="Times New Roman" w:hAnsi="Times New Roman"/>
                <w:color w:val="auto"/>
                <w:sz w:val="24"/>
                <w:szCs w:val="20"/>
                <w:vertAlign w:val="subscript"/>
              </w:rPr>
              <w:t>1</w:t>
            </w:r>
            <w:r>
              <w:rPr>
                <w:rFonts w:ascii="Times New Roman" w:hAnsi="Times New Roman"/>
                <w:color w:val="auto"/>
                <w:sz w:val="24"/>
                <w:szCs w:val="20"/>
              </w:rPr>
              <w:t>区）、重点污染控制区（Ⅰ</w:t>
            </w:r>
            <w:r>
              <w:rPr>
                <w:rFonts w:ascii="Times New Roman" w:hAnsi="Times New Roman"/>
                <w:color w:val="auto"/>
                <w:sz w:val="24"/>
                <w:szCs w:val="20"/>
                <w:vertAlign w:val="subscript"/>
              </w:rPr>
              <w:t>2</w:t>
            </w:r>
            <w:r>
              <w:rPr>
                <w:rFonts w:ascii="Times New Roman" w:hAnsi="Times New Roman"/>
                <w:color w:val="auto"/>
                <w:sz w:val="24"/>
                <w:szCs w:val="20"/>
              </w:rPr>
              <w:t>区）、水源涵养区（Ⅰ</w:t>
            </w:r>
            <w:r>
              <w:rPr>
                <w:rFonts w:ascii="Times New Roman" w:hAnsi="Times New Roman"/>
                <w:color w:val="auto"/>
                <w:sz w:val="24"/>
                <w:szCs w:val="20"/>
                <w:vertAlign w:val="subscript"/>
              </w:rPr>
              <w:t>3</w:t>
            </w:r>
            <w:r>
              <w:rPr>
                <w:rFonts w:ascii="Times New Roman" w:hAnsi="Times New Roman"/>
                <w:color w:val="auto"/>
                <w:sz w:val="24"/>
                <w:szCs w:val="20"/>
              </w:rPr>
              <w:t>区），下游区（Ⅱ区）分为污染控制区（Ⅱ</w:t>
            </w:r>
            <w:r>
              <w:rPr>
                <w:rFonts w:ascii="Times New Roman" w:hAnsi="Times New Roman"/>
                <w:color w:val="auto"/>
                <w:sz w:val="24"/>
                <w:szCs w:val="20"/>
                <w:vertAlign w:val="subscript"/>
              </w:rPr>
              <w:t>1</w:t>
            </w:r>
            <w:r>
              <w:rPr>
                <w:rFonts w:ascii="Times New Roman" w:hAnsi="Times New Roman"/>
                <w:color w:val="auto"/>
                <w:sz w:val="24"/>
                <w:szCs w:val="20"/>
              </w:rPr>
              <w:t>区）和水源涵养区（Ⅱ</w:t>
            </w:r>
            <w:r>
              <w:rPr>
                <w:rFonts w:ascii="Times New Roman" w:hAnsi="Times New Roman"/>
                <w:color w:val="auto"/>
                <w:sz w:val="24"/>
                <w:szCs w:val="20"/>
                <w:vertAlign w:val="subscript"/>
              </w:rPr>
              <w:t>2</w:t>
            </w:r>
            <w:r>
              <w:rPr>
                <w:rFonts w:ascii="Times New Roman" w:hAnsi="Times New Roman"/>
                <w:color w:val="auto"/>
                <w:sz w:val="24"/>
                <w:szCs w:val="20"/>
              </w:rPr>
              <w:t>区）。</w:t>
            </w:r>
            <w:r>
              <w:rPr>
                <w:rFonts w:ascii="Times New Roman" w:hAnsi="Times New Roman"/>
                <w:color w:val="auto"/>
                <w:sz w:val="24"/>
                <w:szCs w:val="20"/>
              </w:rPr>
              <w:fldChar w:fldCharType="begin"/>
            </w:r>
            <w:r>
              <w:rPr>
                <w:rFonts w:ascii="Times New Roman" w:hAnsi="Times New Roman"/>
                <w:color w:val="auto"/>
                <w:sz w:val="24"/>
                <w:szCs w:val="20"/>
              </w:rPr>
              <w:instrText xml:space="preserve"> = 2 \* ROMAN </w:instrText>
            </w:r>
            <w:r>
              <w:rPr>
                <w:rFonts w:ascii="Times New Roman" w:hAnsi="Times New Roman"/>
                <w:color w:val="auto"/>
                <w:sz w:val="24"/>
                <w:szCs w:val="20"/>
              </w:rPr>
              <w:fldChar w:fldCharType="separate"/>
            </w:r>
            <w:r>
              <w:rPr>
                <w:rFonts w:hint="eastAsia" w:ascii="Times New Roman" w:hAnsi="Times New Roman"/>
                <w:color w:val="auto"/>
                <w:sz w:val="24"/>
                <w:szCs w:val="20"/>
                <w:lang w:eastAsia="zh-CN"/>
              </w:rPr>
              <w:t>Ⅱ</w:t>
            </w:r>
            <w:r>
              <w:rPr>
                <w:rFonts w:ascii="Times New Roman" w:hAnsi="Times New Roman"/>
                <w:color w:val="auto"/>
                <w:sz w:val="24"/>
                <w:szCs w:val="20"/>
              </w:rPr>
              <w:fldChar w:fldCharType="end"/>
            </w:r>
            <w:r>
              <w:rPr>
                <w:rFonts w:ascii="Times New Roman" w:hAnsi="Times New Roman"/>
                <w:color w:val="auto"/>
                <w:sz w:val="24"/>
                <w:szCs w:val="20"/>
              </w:rPr>
              <w:t>区牛栏江下游</w:t>
            </w:r>
            <w:r>
              <w:rPr>
                <w:rFonts w:hint="eastAsia" w:ascii="Times New Roman" w:hAnsi="Times New Roman"/>
                <w:color w:val="auto"/>
                <w:sz w:val="24"/>
                <w:szCs w:val="20"/>
                <w:lang w:eastAsia="zh-CN"/>
              </w:rPr>
              <w:t>生态功能保护区</w:t>
            </w:r>
            <w:r>
              <w:rPr>
                <w:rFonts w:ascii="Times New Roman" w:hAnsi="Times New Roman"/>
                <w:color w:val="auto"/>
                <w:sz w:val="24"/>
                <w:szCs w:val="20"/>
              </w:rPr>
              <w:t>：为牛栏江流域下游区（德泽水库以下）的牛栏江流域云南段至昭通市昭阳区麻耗村附近注入金沙江区域。</w:t>
            </w:r>
          </w:p>
          <w:p w14:paraId="321C2D21">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textAlignment w:val="auto"/>
              <w:rPr>
                <w:rFonts w:hint="default" w:ascii="Times New Roman" w:hAnsi="Times New Roman" w:cs="Times New Roman"/>
                <w:color w:val="auto"/>
                <w:sz w:val="24"/>
                <w:lang w:val="en-US" w:eastAsia="zh-CN"/>
              </w:rPr>
            </w:pPr>
            <w:r>
              <w:rPr>
                <w:rFonts w:ascii="Times New Roman" w:hAnsi="Times New Roman"/>
                <w:snapToGrid w:val="0"/>
                <w:color w:val="auto"/>
                <w:sz w:val="24"/>
                <w:szCs w:val="20"/>
              </w:rPr>
              <w:t>本项目为输变电工程，位于</w:t>
            </w:r>
            <w:r>
              <w:rPr>
                <w:rFonts w:hint="eastAsia" w:ascii="Times New Roman" w:hAnsi="Times New Roman"/>
                <w:snapToGrid w:val="0"/>
                <w:color w:val="auto"/>
                <w:sz w:val="24"/>
                <w:szCs w:val="20"/>
                <w:lang w:eastAsia="zh-CN"/>
              </w:rPr>
              <w:t>会泽县宝云街道、乐业镇、五星乡境内</w:t>
            </w:r>
            <w:r>
              <w:rPr>
                <w:rFonts w:ascii="Times New Roman" w:hAnsi="Times New Roman"/>
                <w:snapToGrid w:val="0"/>
                <w:color w:val="auto"/>
                <w:sz w:val="24"/>
                <w:szCs w:val="20"/>
              </w:rPr>
              <w:t>，</w:t>
            </w:r>
            <w:r>
              <w:rPr>
                <w:rFonts w:hint="default" w:ascii="Times New Roman" w:hAnsi="Times New Roman" w:cs="Times New Roman"/>
                <w:color w:val="auto"/>
                <w:sz w:val="24"/>
                <w:lang w:val="en-US" w:eastAsia="zh-CN"/>
              </w:rPr>
              <w:t>项目区域涉及地表水主要为</w:t>
            </w:r>
            <w:r>
              <w:rPr>
                <w:rFonts w:hint="eastAsia" w:ascii="Times New Roman" w:hAnsi="Times New Roman" w:cs="Times New Roman"/>
                <w:color w:val="auto"/>
                <w:sz w:val="24"/>
                <w:lang w:val="en-US" w:eastAsia="zh-CN"/>
              </w:rPr>
              <w:t>鲁珠河（为硝厂河支流）</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大麦冲小河（乐业河支流）；本项目所涉及的鲁珠河、大麦冲小河均为牛栏江支流</w:t>
            </w:r>
            <w:r>
              <w:rPr>
                <w:rFonts w:hint="default" w:ascii="Times New Roman" w:hAnsi="Times New Roman" w:cs="Times New Roman"/>
                <w:color w:val="auto"/>
                <w:sz w:val="24"/>
              </w:rPr>
              <w:t>。</w:t>
            </w:r>
            <w:r>
              <w:rPr>
                <w:rFonts w:hint="default" w:ascii="Times New Roman" w:hAnsi="Times New Roman" w:cs="Times New Roman"/>
                <w:color w:val="auto"/>
                <w:sz w:val="24"/>
                <w:lang w:val="en-US" w:eastAsia="zh-CN"/>
              </w:rPr>
              <w:t>线路塔基N</w:t>
            </w:r>
            <w:r>
              <w:rPr>
                <w:rFonts w:hint="eastAsia" w:ascii="Times New Roman" w:hAnsi="Times New Roman" w:cs="Times New Roman"/>
                <w:color w:val="auto"/>
                <w:sz w:val="24"/>
                <w:lang w:val="en-US" w:eastAsia="zh-CN"/>
              </w:rPr>
              <w:t>5</w:t>
            </w:r>
            <w:r>
              <w:rPr>
                <w:rFonts w:hint="default" w:ascii="Times New Roman" w:hAnsi="Times New Roman" w:cs="Times New Roman"/>
                <w:color w:val="auto"/>
                <w:sz w:val="24"/>
                <w:lang w:val="en-US" w:eastAsia="zh-CN"/>
              </w:rPr>
              <w:t>～N</w:t>
            </w:r>
            <w:r>
              <w:rPr>
                <w:rFonts w:hint="eastAsia" w:ascii="Times New Roman" w:hAnsi="Times New Roman" w:cs="Times New Roman"/>
                <w:color w:val="auto"/>
                <w:sz w:val="24"/>
                <w:lang w:val="en-US" w:eastAsia="zh-CN"/>
              </w:rPr>
              <w:t>6</w:t>
            </w:r>
            <w:r>
              <w:rPr>
                <w:rFonts w:hint="default" w:ascii="Times New Roman" w:hAnsi="Times New Roman" w:cs="Times New Roman"/>
                <w:color w:val="auto"/>
                <w:sz w:val="24"/>
                <w:lang w:val="en-US" w:eastAsia="zh-CN"/>
              </w:rPr>
              <w:t>之间跨越</w:t>
            </w:r>
            <w:r>
              <w:rPr>
                <w:rFonts w:hint="eastAsia" w:ascii="Times New Roman" w:hAnsi="Times New Roman" w:cs="Times New Roman"/>
                <w:color w:val="auto"/>
                <w:sz w:val="24"/>
                <w:lang w:val="en-US" w:eastAsia="zh-CN"/>
              </w:rPr>
              <w:t>鲁珠</w:t>
            </w:r>
            <w:r>
              <w:rPr>
                <w:rFonts w:hint="default" w:ascii="Times New Roman" w:hAnsi="Times New Roman" w:cs="Times New Roman"/>
                <w:color w:val="auto"/>
                <w:sz w:val="24"/>
                <w:lang w:val="en-US" w:eastAsia="zh-CN"/>
              </w:rPr>
              <w:t>河</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lang w:val="en-US" w:eastAsia="zh-CN"/>
              </w:rPr>
              <w:t>线路塔基N</w:t>
            </w:r>
            <w:r>
              <w:rPr>
                <w:rFonts w:hint="eastAsia" w:ascii="Times New Roman" w:hAnsi="Times New Roman" w:cs="Times New Roman"/>
                <w:color w:val="auto"/>
                <w:sz w:val="24"/>
                <w:lang w:val="en-US" w:eastAsia="zh-CN"/>
              </w:rPr>
              <w:t>29</w:t>
            </w:r>
            <w:r>
              <w:rPr>
                <w:rFonts w:hint="default" w:ascii="Times New Roman" w:hAnsi="Times New Roman" w:cs="Times New Roman"/>
                <w:color w:val="auto"/>
                <w:sz w:val="24"/>
                <w:lang w:val="en-US" w:eastAsia="zh-CN"/>
              </w:rPr>
              <w:t>～N</w:t>
            </w:r>
            <w:r>
              <w:rPr>
                <w:rFonts w:hint="eastAsia" w:ascii="Times New Roman" w:hAnsi="Times New Roman" w:cs="Times New Roman"/>
                <w:color w:val="auto"/>
                <w:sz w:val="24"/>
                <w:lang w:val="en-US" w:eastAsia="zh-CN"/>
              </w:rPr>
              <w:t>30</w:t>
            </w:r>
            <w:r>
              <w:rPr>
                <w:rFonts w:hint="default" w:ascii="Times New Roman" w:hAnsi="Times New Roman" w:cs="Times New Roman"/>
                <w:color w:val="auto"/>
                <w:sz w:val="24"/>
                <w:lang w:val="en-US" w:eastAsia="zh-CN"/>
              </w:rPr>
              <w:t>之间跨越大麦冲小河</w:t>
            </w:r>
            <w:r>
              <w:rPr>
                <w:rFonts w:hint="eastAsia" w:ascii="Times New Roman" w:hAnsi="Times New Roman" w:cs="Times New Roman"/>
                <w:color w:val="auto"/>
                <w:sz w:val="24"/>
                <w:lang w:val="en-US" w:eastAsia="zh-CN"/>
              </w:rPr>
              <w:t>，</w:t>
            </w:r>
            <w:r>
              <w:rPr>
                <w:rFonts w:hint="eastAsia"/>
                <w:color w:val="auto"/>
                <w:sz w:val="24"/>
                <w:lang w:val="en-US" w:eastAsia="zh-CN"/>
              </w:rPr>
              <w:t>线路塔基（N10~N11）间跨越铜沟，线路塔基（N36~N37）之间跨越冷水沟，</w:t>
            </w:r>
            <w:r>
              <w:rPr>
                <w:rFonts w:hint="eastAsia" w:ascii="Times New Roman" w:hAnsi="Times New Roman" w:cs="Times New Roman"/>
                <w:color w:val="auto"/>
                <w:sz w:val="24"/>
                <w:lang w:val="en-US" w:eastAsia="zh-CN"/>
              </w:rPr>
              <w:t>均为一档跨越。</w:t>
            </w:r>
          </w:p>
          <w:p w14:paraId="101FD491">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textAlignment w:val="auto"/>
              <w:rPr>
                <w:rFonts w:hint="eastAsia" w:ascii="Times New Roman" w:hAnsi="Times New Roman" w:eastAsia="宋体" w:cs="Times New Roman"/>
                <w:snapToGrid w:val="0"/>
                <w:color w:val="auto"/>
                <w:sz w:val="24"/>
                <w:szCs w:val="20"/>
                <w:lang w:val="en-US" w:eastAsia="zh-CN"/>
              </w:rPr>
            </w:pPr>
            <w:r>
              <w:rPr>
                <w:rFonts w:hint="eastAsia" w:ascii="Times New Roman" w:hAnsi="Times New Roman" w:eastAsia="宋体" w:cs="Times New Roman"/>
                <w:snapToGrid w:val="0"/>
                <w:color w:val="auto"/>
                <w:sz w:val="24"/>
                <w:szCs w:val="20"/>
                <w:lang w:val="en-US" w:eastAsia="zh-CN"/>
              </w:rPr>
              <w:t>根据对照牛栏江流域（云南部分）水环境保护规划区，项目位于牛栏江水源涵养区（Ⅱ</w:t>
            </w:r>
            <w:r>
              <w:rPr>
                <w:rFonts w:hint="eastAsia" w:ascii="Times New Roman" w:hAnsi="Times New Roman" w:eastAsia="宋体" w:cs="Times New Roman"/>
                <w:snapToGrid w:val="0"/>
                <w:color w:val="auto"/>
                <w:sz w:val="24"/>
                <w:szCs w:val="20"/>
                <w:vertAlign w:val="subscript"/>
                <w:lang w:val="en-US" w:eastAsia="zh-CN"/>
              </w:rPr>
              <w:t>2</w:t>
            </w:r>
            <w:r>
              <w:rPr>
                <w:rFonts w:hint="eastAsia" w:ascii="Times New Roman" w:hAnsi="Times New Roman" w:eastAsia="宋体" w:cs="Times New Roman"/>
                <w:snapToGrid w:val="0"/>
                <w:color w:val="auto"/>
                <w:sz w:val="24"/>
                <w:szCs w:val="20"/>
                <w:lang w:val="en-US" w:eastAsia="zh-CN"/>
              </w:rPr>
              <w:t>区）。</w:t>
            </w:r>
          </w:p>
          <w:p w14:paraId="7452CF4D">
            <w:pPr>
              <w:pStyle w:val="2"/>
              <w:rPr>
                <w:rFonts w:hint="eastAsia" w:ascii="Times New Roman" w:hAnsi="Times New Roman" w:eastAsia="宋体" w:cs="Times New Roman"/>
                <w:snapToGrid w:val="0"/>
                <w:color w:val="auto"/>
                <w:sz w:val="24"/>
                <w:szCs w:val="20"/>
                <w:lang w:val="en-US" w:eastAsia="zh-CN"/>
              </w:rPr>
            </w:pPr>
          </w:p>
          <w:p w14:paraId="197280EA">
            <w:pPr>
              <w:pStyle w:val="2"/>
              <w:rPr>
                <w:rFonts w:hint="eastAsia" w:ascii="Times New Roman" w:hAnsi="Times New Roman" w:eastAsia="宋体" w:cs="Times New Roman"/>
                <w:snapToGrid w:val="0"/>
                <w:color w:val="auto"/>
                <w:sz w:val="24"/>
                <w:szCs w:val="20"/>
                <w:lang w:val="en-US" w:eastAsia="zh-CN"/>
              </w:rPr>
            </w:pPr>
          </w:p>
          <w:p w14:paraId="3A3D0AE8">
            <w:pPr>
              <w:pStyle w:val="2"/>
              <w:rPr>
                <w:rFonts w:hint="eastAsia" w:ascii="Times New Roman" w:hAnsi="Times New Roman" w:eastAsia="宋体" w:cs="Times New Roman"/>
                <w:snapToGrid w:val="0"/>
                <w:color w:val="auto"/>
                <w:sz w:val="24"/>
                <w:szCs w:val="20"/>
                <w:lang w:val="en-US" w:eastAsia="zh-CN"/>
              </w:rPr>
            </w:pPr>
          </w:p>
          <w:p w14:paraId="436014FF">
            <w:pPr>
              <w:pStyle w:val="2"/>
              <w:rPr>
                <w:rFonts w:hint="eastAsia" w:ascii="Times New Roman" w:hAnsi="Times New Roman" w:eastAsia="宋体" w:cs="Times New Roman"/>
                <w:snapToGrid w:val="0"/>
                <w:color w:val="auto"/>
                <w:sz w:val="24"/>
                <w:szCs w:val="20"/>
                <w:lang w:val="en-US" w:eastAsia="zh-CN"/>
              </w:rPr>
            </w:pPr>
          </w:p>
          <w:p w14:paraId="10902B9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color w:val="auto"/>
                <w:sz w:val="24"/>
                <w:szCs w:val="20"/>
              </w:rPr>
            </w:pPr>
            <w:r>
              <w:rPr>
                <w:color w:val="auto"/>
                <w:sz w:val="21"/>
              </w:rPr>
              <mc:AlternateContent>
                <mc:Choice Requires="wps">
                  <w:drawing>
                    <wp:anchor distT="0" distB="0" distL="114300" distR="114300" simplePos="0" relativeHeight="251666432" behindDoc="0" locked="0" layoutInCell="1" allowOverlap="1">
                      <wp:simplePos x="0" y="0"/>
                      <wp:positionH relativeFrom="column">
                        <wp:posOffset>1005840</wp:posOffset>
                      </wp:positionH>
                      <wp:positionV relativeFrom="paragraph">
                        <wp:posOffset>3002915</wp:posOffset>
                      </wp:positionV>
                      <wp:extent cx="670560" cy="217170"/>
                      <wp:effectExtent l="0" t="61595" r="0" b="121285"/>
                      <wp:wrapNone/>
                      <wp:docPr id="99" name="任意多边形 100"/>
                      <wp:cNvGraphicFramePr/>
                      <a:graphic xmlns:a="http://schemas.openxmlformats.org/drawingml/2006/main">
                        <a:graphicData uri="http://schemas.microsoft.com/office/word/2010/wordprocessingShape">
                          <wps:wsp>
                            <wps:cNvSpPr/>
                            <wps:spPr>
                              <a:xfrm rot="-1260000">
                                <a:off x="0" y="0"/>
                                <a:ext cx="670560" cy="217170"/>
                              </a:xfrm>
                              <a:custGeom>
                                <a:avLst/>
                                <a:gdLst/>
                                <a:ahLst/>
                                <a:cxnLst/>
                                <a:pathLst>
                                  <a:path w="1464" h="495">
                                    <a:moveTo>
                                      <a:pt x="0" y="495"/>
                                    </a:moveTo>
                                    <a:cubicBezTo>
                                      <a:pt x="187" y="410"/>
                                      <a:pt x="699" y="150"/>
                                      <a:pt x="975" y="75"/>
                                    </a:cubicBezTo>
                                    <a:cubicBezTo>
                                      <a:pt x="1251" y="0"/>
                                      <a:pt x="1296" y="102"/>
                                      <a:pt x="1380" y="120"/>
                                    </a:cubicBezTo>
                                    <a:cubicBezTo>
                                      <a:pt x="1464" y="138"/>
                                      <a:pt x="1400" y="157"/>
                                      <a:pt x="1395" y="165"/>
                                    </a:cubicBezTo>
                                  </a:path>
                                </a:pathLst>
                              </a:custGeom>
                              <a:noFill/>
                              <a:ln w="19050" cap="flat" cmpd="sng">
                                <a:solidFill>
                                  <a:srgbClr val="FF0000"/>
                                </a:solidFill>
                                <a:prstDash val="solid"/>
                                <a:headEnd type="none" w="med" len="med"/>
                                <a:tailEnd type="none" w="med" len="med"/>
                              </a:ln>
                            </wps:spPr>
                            <wps:bodyPr vert="horz" wrap="square" anchor="t" anchorCtr="0" upright="1"/>
                          </wps:wsp>
                        </a:graphicData>
                      </a:graphic>
                    </wp:anchor>
                  </w:drawing>
                </mc:Choice>
                <mc:Fallback>
                  <w:pict>
                    <v:shape id="任意多边形 100" o:spid="_x0000_s1026" o:spt="100" style="position:absolute;left:0pt;margin-left:79.2pt;margin-top:236.45pt;height:17.1pt;width:52.8pt;rotation:-1376256f;z-index:251666432;mso-width-relative:page;mso-height-relative:page;" filled="f" stroked="t" coordsize="1464,495" o:gfxdata="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BoAHArZAAAACwEAAA8AAAAA&#10;AAAAAQAgAAAAIgAAAGRycy9kb3ducmV2LnhtbFBLAQIUABQAAAAIAIdO4kDOfpPZvgIAANgFAAAO&#10;AAAAAAAAAAEAIAAAACgBAABkcnMvZTJvRG9jLnhtbFBLBQYAAAAABgAGAFkBAABYBgAAAAA=&#10;" path="m0,495c187,410,699,150,975,75c1251,0,1296,102,1380,120c1464,138,1400,157,1395,165e">
                      <v:fill on="f" focussize="0,0"/>
                      <v:stroke weight="1.5pt" color="#FF0000" joinstyle="round"/>
                      <v:imagedata o:title=""/>
                      <o:lock v:ext="edit" aspectratio="f"/>
                    </v:shape>
                  </w:pict>
                </mc:Fallback>
              </mc:AlternateContent>
            </w:r>
            <w:r>
              <w:rPr>
                <w:rFonts w:ascii="Times New Roman" w:hAnsi="Times New Roman"/>
                <w:color w:val="auto"/>
                <w:sz w:val="24"/>
                <w:szCs w:val="20"/>
              </w:rPr>
              <mc:AlternateContent>
                <mc:Choice Requires="wps">
                  <w:drawing>
                    <wp:anchor distT="0" distB="0" distL="114300" distR="114300" simplePos="0" relativeHeight="251661312" behindDoc="0" locked="0" layoutInCell="1" allowOverlap="1">
                      <wp:simplePos x="0" y="0"/>
                      <wp:positionH relativeFrom="column">
                        <wp:posOffset>3247390</wp:posOffset>
                      </wp:positionH>
                      <wp:positionV relativeFrom="paragraph">
                        <wp:posOffset>2038985</wp:posOffset>
                      </wp:positionV>
                      <wp:extent cx="954405" cy="304800"/>
                      <wp:effectExtent l="1775460" t="4445" r="13335" b="719455"/>
                      <wp:wrapNone/>
                      <wp:docPr id="94" name="圆角矩形标注 12"/>
                      <wp:cNvGraphicFramePr/>
                      <a:graphic xmlns:a="http://schemas.openxmlformats.org/drawingml/2006/main">
                        <a:graphicData uri="http://schemas.microsoft.com/office/word/2010/wordprocessingShape">
                          <wps:wsp>
                            <wps:cNvSpPr/>
                            <wps:spPr>
                              <a:xfrm>
                                <a:off x="0" y="0"/>
                                <a:ext cx="954405" cy="304800"/>
                              </a:xfrm>
                              <a:prstGeom prst="wedgeRoundRectCallout">
                                <a:avLst>
                                  <a:gd name="adj1" fmla="val -232130"/>
                                  <a:gd name="adj2" fmla="val 277500"/>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06B38A46">
                                  <w:pPr>
                                    <w:adjustRightInd w:val="0"/>
                                    <w:snapToGrid w:val="0"/>
                                    <w:rPr>
                                      <w:b/>
                                      <w:bCs/>
                                      <w:color w:val="FF0000"/>
                                    </w:rPr>
                                  </w:pPr>
                                  <w:r>
                                    <w:rPr>
                                      <w:rFonts w:hint="eastAsia"/>
                                      <w:b/>
                                      <w:bCs/>
                                      <w:color w:val="FF0000"/>
                                    </w:rPr>
                                    <w:t>项目位置</w:t>
                                  </w:r>
                                </w:p>
                              </w:txbxContent>
                            </wps:txbx>
                            <wps:bodyPr vert="horz" wrap="square" anchor="t" anchorCtr="0" upright="1"/>
                          </wps:wsp>
                        </a:graphicData>
                      </a:graphic>
                    </wp:anchor>
                  </w:drawing>
                </mc:Choice>
                <mc:Fallback>
                  <w:pict>
                    <v:shape id="圆角矩形标注 12" o:spid="_x0000_s1026" o:spt="62" type="#_x0000_t62" style="position:absolute;left:0pt;margin-left:255.7pt;margin-top:160.55pt;height:24pt;width:75.15pt;z-index:251661312;mso-width-relative:page;mso-height-relative:page;" fillcolor="#FFFFFF" filled="t" stroked="t" coordsize="21600,21600" o:gfxdata="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DpJ9D1wAAAAsBAAAPAAAAAAAAAAEAIAAAACIAAABkcnMvZG93&#10;bnJldi54bWxQSwECFAAUAAAACACHTuJAb3T/dnMCAADyBAAADgAAAAAAAAABACAAAAAmAQAAZHJz&#10;L2Uyb0RvYy54bWxQSwUGAAAAAAYABgBZAQAACwYAAAAA&#10;" adj="-39340,70740,14400">
                      <v:fill on="t" focussize="0,0"/>
                      <v:stroke color="#000000" joinstyle="miter"/>
                      <v:imagedata o:title=""/>
                      <o:lock v:ext="edit" aspectratio="f"/>
                      <v:textbox>
                        <w:txbxContent>
                          <w:p w14:paraId="06B38A46">
                            <w:pPr>
                              <w:adjustRightInd w:val="0"/>
                              <w:snapToGrid w:val="0"/>
                              <w:rPr>
                                <w:b/>
                                <w:bCs/>
                                <w:color w:val="FF0000"/>
                              </w:rPr>
                            </w:pPr>
                            <w:r>
                              <w:rPr>
                                <w:rFonts w:hint="eastAsia"/>
                                <w:b/>
                                <w:bCs/>
                                <w:color w:val="FF0000"/>
                              </w:rPr>
                              <w:t>项目位置</w:t>
                            </w:r>
                          </w:p>
                        </w:txbxContent>
                      </v:textbox>
                    </v:shape>
                  </w:pict>
                </mc:Fallback>
              </mc:AlternateContent>
            </w:r>
            <w:r>
              <w:rPr>
                <w:color w:val="auto"/>
              </w:rPr>
              <w:drawing>
                <wp:inline distT="0" distB="0" distL="114300" distR="114300">
                  <wp:extent cx="4530090" cy="5040630"/>
                  <wp:effectExtent l="0" t="0" r="3810" b="7620"/>
                  <wp:docPr id="113" name="图片 103" descr="附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03" descr="附10-4"/>
                          <pic:cNvPicPr>
                            <a:picLocks noChangeAspect="1"/>
                          </pic:cNvPicPr>
                        </pic:nvPicPr>
                        <pic:blipFill>
                          <a:blip r:embed="rId23"/>
                          <a:srcRect b="4140"/>
                          <a:stretch>
                            <a:fillRect/>
                          </a:stretch>
                        </pic:blipFill>
                        <pic:spPr>
                          <a:xfrm>
                            <a:off x="0" y="0"/>
                            <a:ext cx="4530090" cy="5040630"/>
                          </a:xfrm>
                          <a:prstGeom prst="rect">
                            <a:avLst/>
                          </a:prstGeom>
                          <a:noFill/>
                          <a:ln>
                            <a:noFill/>
                          </a:ln>
                        </pic:spPr>
                      </pic:pic>
                    </a:graphicData>
                  </a:graphic>
                </wp:inline>
              </w:drawing>
            </w:r>
          </w:p>
          <w:p w14:paraId="34D7169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b/>
                <w:color w:val="auto"/>
                <w:sz w:val="24"/>
                <w:szCs w:val="20"/>
              </w:rPr>
            </w:pPr>
            <w:r>
              <w:rPr>
                <w:rFonts w:ascii="Times New Roman" w:hAnsi="Times New Roman"/>
                <w:b/>
                <w:color w:val="auto"/>
                <w:kern w:val="0"/>
                <w:sz w:val="24"/>
                <w:szCs w:val="20"/>
              </w:rPr>
              <w:t>图1-</w:t>
            </w:r>
            <w:r>
              <w:rPr>
                <w:rFonts w:hint="eastAsia" w:ascii="Times New Roman" w:hAnsi="Times New Roman"/>
                <w:b/>
                <w:color w:val="auto"/>
                <w:kern w:val="0"/>
                <w:sz w:val="24"/>
                <w:szCs w:val="20"/>
                <w:lang w:val="en-US" w:eastAsia="zh-CN"/>
              </w:rPr>
              <w:t>8</w:t>
            </w:r>
            <w:r>
              <w:rPr>
                <w:rFonts w:ascii="Times New Roman" w:hAnsi="Times New Roman"/>
                <w:b/>
                <w:color w:val="auto"/>
                <w:kern w:val="0"/>
                <w:sz w:val="24"/>
                <w:szCs w:val="20"/>
              </w:rPr>
              <w:t xml:space="preserve"> 项目与</w:t>
            </w:r>
            <w:r>
              <w:rPr>
                <w:rFonts w:ascii="Times New Roman" w:hAnsi="Times New Roman"/>
                <w:b/>
                <w:color w:val="auto"/>
                <w:sz w:val="24"/>
                <w:szCs w:val="20"/>
              </w:rPr>
              <w:t>牛栏江流域（云南部分）水环境保护规划区位置关系图</w:t>
            </w:r>
          </w:p>
          <w:p w14:paraId="26C75EA5">
            <w:pPr>
              <w:autoSpaceDE w:val="0"/>
              <w:autoSpaceDN w:val="0"/>
              <w:adjustRightInd w:val="0"/>
              <w:snapToGrid w:val="0"/>
              <w:spacing w:line="440" w:lineRule="exact"/>
              <w:ind w:firstLine="480"/>
              <w:rPr>
                <w:rFonts w:hint="eastAsia" w:ascii="Times New Roman" w:hAnsi="Times New Roman"/>
                <w:color w:val="auto"/>
                <w:sz w:val="24"/>
                <w:lang w:val="en-US" w:eastAsia="zh-CN"/>
              </w:rPr>
            </w:pPr>
            <w:r>
              <w:rPr>
                <w:rFonts w:hint="eastAsia" w:ascii="Times New Roman" w:hAnsi="Times New Roman"/>
                <w:color w:val="auto"/>
                <w:sz w:val="24"/>
                <w:lang w:val="en-US" w:eastAsia="zh-CN"/>
              </w:rPr>
              <w:t>本项目与牛栏江水源涵养区相关要求符合性分析详见下表。</w:t>
            </w:r>
          </w:p>
          <w:p w14:paraId="7F9C3970">
            <w:pPr>
              <w:pStyle w:val="2"/>
              <w:adjustRightInd w:val="0"/>
              <w:snapToGrid w:val="0"/>
              <w:spacing w:after="0"/>
              <w:jc w:val="center"/>
              <w:rPr>
                <w:b/>
                <w:bCs/>
                <w:color w:val="auto"/>
                <w:sz w:val="24"/>
              </w:rPr>
            </w:pPr>
            <w:r>
              <w:rPr>
                <w:b/>
                <w:bCs/>
                <w:color w:val="auto"/>
                <w:sz w:val="24"/>
              </w:rPr>
              <w:t>表1-</w:t>
            </w:r>
            <w:r>
              <w:rPr>
                <w:rFonts w:hint="eastAsia"/>
                <w:b/>
                <w:bCs/>
                <w:color w:val="auto"/>
                <w:sz w:val="24"/>
                <w:lang w:val="en-US" w:eastAsia="zh-CN"/>
              </w:rPr>
              <w:t>14</w:t>
            </w:r>
            <w:r>
              <w:rPr>
                <w:b/>
                <w:bCs/>
                <w:color w:val="auto"/>
                <w:sz w:val="24"/>
              </w:rPr>
              <w:t xml:space="preserve">  与《云南省牛栏江保护条例》符合性分析</w:t>
            </w:r>
          </w:p>
          <w:tbl>
            <w:tblPr>
              <w:tblStyle w:val="30"/>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475"/>
              <w:gridCol w:w="3689"/>
              <w:gridCol w:w="1989"/>
              <w:gridCol w:w="696"/>
            </w:tblGrid>
            <w:tr w14:paraId="0CA622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347" w:type="pct"/>
                  <w:tcBorders>
                    <w:tl2br w:val="nil"/>
                    <w:tr2bl w:val="nil"/>
                  </w:tcBorders>
                  <w:noWrap w:val="0"/>
                  <w:vAlign w:val="center"/>
                </w:tcPr>
                <w:p w14:paraId="1EEA39F6">
                  <w:pPr>
                    <w:spacing w:line="276"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序号</w:t>
                  </w:r>
                </w:p>
              </w:tc>
              <w:tc>
                <w:tcPr>
                  <w:tcW w:w="2691" w:type="pct"/>
                  <w:tcBorders>
                    <w:tl2br w:val="nil"/>
                    <w:tr2bl w:val="nil"/>
                  </w:tcBorders>
                  <w:noWrap w:val="0"/>
                  <w:vAlign w:val="center"/>
                </w:tcPr>
                <w:p w14:paraId="7515FB25">
                  <w:pPr>
                    <w:spacing w:line="276"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《云南省牛栏江保护条例》相关内容</w:t>
                  </w:r>
                </w:p>
              </w:tc>
              <w:tc>
                <w:tcPr>
                  <w:tcW w:w="1451" w:type="pct"/>
                  <w:tcBorders>
                    <w:tl2br w:val="nil"/>
                    <w:tr2bl w:val="nil"/>
                  </w:tcBorders>
                  <w:noWrap w:val="0"/>
                  <w:vAlign w:val="center"/>
                </w:tcPr>
                <w:p w14:paraId="01943B4E">
                  <w:pPr>
                    <w:spacing w:line="276" w:lineRule="auto"/>
                    <w:ind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项目建设情况</w:t>
                  </w:r>
                </w:p>
              </w:tc>
              <w:tc>
                <w:tcPr>
                  <w:tcW w:w="508" w:type="pct"/>
                  <w:tcBorders>
                    <w:tl2br w:val="nil"/>
                    <w:tr2bl w:val="nil"/>
                  </w:tcBorders>
                  <w:noWrap w:val="0"/>
                  <w:vAlign w:val="center"/>
                </w:tcPr>
                <w:p w14:paraId="5E4CABB0">
                  <w:pPr>
                    <w:spacing w:line="276" w:lineRule="auto"/>
                    <w:ind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符合性</w:t>
                  </w:r>
                </w:p>
              </w:tc>
            </w:tr>
            <w:tr w14:paraId="4BEAE7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347" w:type="pct"/>
                  <w:tcBorders>
                    <w:tl2br w:val="nil"/>
                    <w:tr2bl w:val="nil"/>
                  </w:tcBorders>
                  <w:noWrap w:val="0"/>
                  <w:vAlign w:val="center"/>
                </w:tcPr>
                <w:p w14:paraId="513DE878">
                  <w:pPr>
                    <w:spacing w:line="276"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2691" w:type="pct"/>
                  <w:tcBorders>
                    <w:tl2br w:val="nil"/>
                    <w:tr2bl w:val="nil"/>
                  </w:tcBorders>
                  <w:noWrap w:val="0"/>
                  <w:vAlign w:val="center"/>
                </w:tcPr>
                <w:p w14:paraId="1E07A699">
                  <w:pPr>
                    <w:spacing w:line="276" w:lineRule="auto"/>
                    <w:ind w:firstLine="0" w:firstLineChars="0"/>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 xml:space="preserve">第四条 </w:t>
                  </w:r>
                  <w:r>
                    <w:rPr>
                      <w:rFonts w:hint="default" w:ascii="Times New Roman" w:hAnsi="Times New Roman" w:cs="Times New Roman"/>
                      <w:color w:val="auto"/>
                      <w:sz w:val="21"/>
                      <w:szCs w:val="21"/>
                    </w:rPr>
                    <w:t>牛栏江流域实行分区保护。</w:t>
                  </w:r>
                </w:p>
                <w:p w14:paraId="3FC7D4B5">
                  <w:pPr>
                    <w:spacing w:line="276" w:lineRule="auto"/>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牛栏江德泽水库坝址以上集水区域为牛栏江流域上游保护区，牛栏江德泽水库坝址以下集水区域为牛栏江流域下游保护区。</w:t>
                  </w:r>
                </w:p>
              </w:tc>
              <w:tc>
                <w:tcPr>
                  <w:tcW w:w="1451" w:type="pct"/>
                  <w:tcBorders>
                    <w:tl2br w:val="nil"/>
                    <w:tr2bl w:val="nil"/>
                  </w:tcBorders>
                  <w:noWrap w:val="0"/>
                  <w:vAlign w:val="center"/>
                </w:tcPr>
                <w:p w14:paraId="011DBD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项目区</w:t>
                  </w:r>
                  <w:r>
                    <w:rPr>
                      <w:rFonts w:hint="default" w:ascii="Times New Roman" w:hAnsi="Times New Roman" w:cs="Times New Roman"/>
                      <w:color w:val="auto"/>
                      <w:sz w:val="21"/>
                      <w:szCs w:val="21"/>
                    </w:rPr>
                    <w:t>属于牛栏江流域</w:t>
                  </w:r>
                  <w:r>
                    <w:rPr>
                      <w:rFonts w:hint="eastAsia" w:ascii="Times New Roman" w:hAnsi="Times New Roman" w:cs="Times New Roman"/>
                      <w:color w:val="auto"/>
                      <w:sz w:val="21"/>
                      <w:szCs w:val="21"/>
                      <w:lang w:val="en-US" w:eastAsia="zh-CN"/>
                    </w:rPr>
                    <w:t>下游</w:t>
                  </w:r>
                  <w:r>
                    <w:rPr>
                      <w:rFonts w:hint="default" w:ascii="Times New Roman" w:hAnsi="Times New Roman" w:cs="Times New Roman"/>
                      <w:color w:val="auto"/>
                      <w:sz w:val="21"/>
                      <w:szCs w:val="21"/>
                    </w:rPr>
                    <w:t>保护区</w:t>
                  </w:r>
                </w:p>
              </w:tc>
              <w:tc>
                <w:tcPr>
                  <w:tcW w:w="508" w:type="pct"/>
                  <w:tcBorders>
                    <w:tl2br w:val="nil"/>
                    <w:tr2bl w:val="nil"/>
                  </w:tcBorders>
                  <w:noWrap w:val="0"/>
                  <w:vAlign w:val="center"/>
                </w:tcPr>
                <w:p w14:paraId="4C98148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w:t>
                  </w:r>
                </w:p>
              </w:tc>
            </w:tr>
            <w:tr w14:paraId="61B4F8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347" w:type="pct"/>
                  <w:tcBorders>
                    <w:tl2br w:val="nil"/>
                    <w:tr2bl w:val="nil"/>
                  </w:tcBorders>
                  <w:noWrap w:val="0"/>
                  <w:vAlign w:val="center"/>
                </w:tcPr>
                <w:p w14:paraId="7FD85DE9">
                  <w:pPr>
                    <w:spacing w:line="276"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w:t>
                  </w:r>
                </w:p>
              </w:tc>
              <w:tc>
                <w:tcPr>
                  <w:tcW w:w="2691" w:type="pct"/>
                  <w:tcBorders>
                    <w:tl2br w:val="nil"/>
                    <w:tr2bl w:val="nil"/>
                  </w:tcBorders>
                  <w:noWrap w:val="0"/>
                  <w:vAlign w:val="center"/>
                </w:tcPr>
                <w:p w14:paraId="35C9B965">
                  <w:pPr>
                    <w:spacing w:line="276" w:lineRule="auto"/>
                    <w:ind w:firstLine="0" w:firstLineChars="0"/>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第五条</w:t>
                  </w:r>
                  <w:r>
                    <w:rPr>
                      <w:rFonts w:hint="default" w:ascii="Times New Roman" w:hAnsi="Times New Roman" w:cs="Times New Roman"/>
                      <w:color w:val="auto"/>
                      <w:sz w:val="21"/>
                      <w:szCs w:val="21"/>
                    </w:rPr>
                    <w:t xml:space="preserve"> 牛栏江流域上游保护区划分为水源保护核心区、重点污染控制区和重点水源涵养区。</w:t>
                  </w:r>
                </w:p>
                <w:p w14:paraId="4AA163DC">
                  <w:pPr>
                    <w:spacing w:line="276" w:lineRule="auto"/>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一）水源保护核心区包括德泽水库库区和德泽水库以上牛栏江干流区。德泽水库库区为德泽水库正常蓄水位1790米水面及沿岸外延2000米的范围，区域范围超过一级山脊线的，按照一级山脊线划定；德泽水库以上牛栏江干流区指德泽水库以上干流（包括干流源头矣纳岔口至嘉丽泽对龙河河段）水域及两岸外延1000米的范围，区域范围超过一级山脊线的，按照一级山脊线划定。</w:t>
                  </w:r>
                </w:p>
                <w:p w14:paraId="35EEA969">
                  <w:pPr>
                    <w:spacing w:line="276" w:lineRule="auto"/>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二）重点污染控制区为水源保护核心区以外，流域范围内的坝区以及花庄河、果马河、普沙河、弥良河、对龙河、杨林河、匡郎河、前进河、马龙河水域及两岸外延3000米的区域，区域范围超过一级山脊线的，按照一级山脊线划定。</w:t>
                  </w:r>
                </w:p>
                <w:p w14:paraId="1659FD0F">
                  <w:pPr>
                    <w:spacing w:line="276" w:lineRule="auto"/>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（三）重点水源涵养区为流域范围内除水源保护核心区、重点污染控制区以外的集水区域。</w:t>
                  </w:r>
                </w:p>
              </w:tc>
              <w:tc>
                <w:tcPr>
                  <w:tcW w:w="1451" w:type="pct"/>
                  <w:tcBorders>
                    <w:tl2br w:val="nil"/>
                    <w:tr2bl w:val="nil"/>
                  </w:tcBorders>
                  <w:noWrap w:val="0"/>
                  <w:vAlign w:val="center"/>
                </w:tcPr>
                <w:p w14:paraId="5E8EA74D">
                  <w:pPr>
                    <w:keepNext w:val="0"/>
                    <w:keepLines w:val="0"/>
                    <w:pageBreakBefore w:val="0"/>
                    <w:widowControl w:val="0"/>
                    <w:kinsoku/>
                    <w:wordWrap/>
                    <w:overflowPunct/>
                    <w:topLinePunct w:val="0"/>
                    <w:autoSpaceDE/>
                    <w:autoSpaceDN/>
                    <w:bidi w:val="0"/>
                    <w:adjustRightInd w:val="0"/>
                    <w:snapToGrid w:val="0"/>
                    <w:spacing w:line="240" w:lineRule="auto"/>
                    <w:ind w:firstLine="210" w:firstLineChars="100"/>
                    <w:jc w:val="center"/>
                    <w:textAlignment w:val="auto"/>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项目</w:t>
                  </w:r>
                  <w:r>
                    <w:rPr>
                      <w:rFonts w:hint="default" w:ascii="Times New Roman" w:hAnsi="Times New Roman" w:cs="Times New Roman"/>
                      <w:color w:val="auto"/>
                      <w:sz w:val="21"/>
                      <w:szCs w:val="21"/>
                    </w:rPr>
                    <w:t>位于重点水源涵养区。</w:t>
                  </w:r>
                  <w:r>
                    <w:rPr>
                      <w:rFonts w:hint="eastAsia" w:ascii="Times New Roman" w:hAnsi="Times New Roman" w:cs="Times New Roman"/>
                      <w:color w:val="auto"/>
                      <w:sz w:val="21"/>
                      <w:szCs w:val="21"/>
                      <w:lang w:val="en-US" w:eastAsia="zh-CN"/>
                    </w:rPr>
                    <w:t>本项目属于输变电工程，不涉及排水，</w:t>
                  </w:r>
                  <w:r>
                    <w:rPr>
                      <w:rFonts w:hint="default" w:ascii="Times New Roman" w:hAnsi="Times New Roman" w:cs="Times New Roman"/>
                      <w:color w:val="auto"/>
                      <w:sz w:val="21"/>
                      <w:szCs w:val="21"/>
                    </w:rPr>
                    <w:t>实施过程中必须按照规划及《云南省牛栏江保护条例</w:t>
                  </w:r>
                  <w:r>
                    <w:rPr>
                      <w:rFonts w:hint="eastAsia" w:ascii="Times New Roman" w:hAnsi="Times New Roman" w:cs="Times New Roman"/>
                      <w:color w:val="auto"/>
                      <w:sz w:val="21"/>
                      <w:szCs w:val="21"/>
                      <w:lang w:eastAsia="zh-CN"/>
                    </w:rPr>
                    <w:t>》实</w:t>
                  </w:r>
                  <w:r>
                    <w:rPr>
                      <w:rFonts w:hint="default" w:ascii="Times New Roman" w:hAnsi="Times New Roman" w:cs="Times New Roman"/>
                      <w:color w:val="auto"/>
                      <w:sz w:val="21"/>
                      <w:szCs w:val="21"/>
                    </w:rPr>
                    <w:t>施。</w:t>
                  </w:r>
                </w:p>
              </w:tc>
              <w:tc>
                <w:tcPr>
                  <w:tcW w:w="508" w:type="pct"/>
                  <w:tcBorders>
                    <w:tl2br w:val="nil"/>
                    <w:tr2bl w:val="nil"/>
                  </w:tcBorders>
                  <w:noWrap w:val="0"/>
                  <w:vAlign w:val="center"/>
                </w:tcPr>
                <w:p w14:paraId="3F24E4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符合</w:t>
                  </w:r>
                </w:p>
              </w:tc>
            </w:tr>
            <w:tr w14:paraId="1F2D93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347" w:type="pct"/>
                  <w:tcBorders>
                    <w:tl2br w:val="nil"/>
                    <w:tr2bl w:val="nil"/>
                  </w:tcBorders>
                  <w:noWrap w:val="0"/>
                  <w:vAlign w:val="center"/>
                </w:tcPr>
                <w:p w14:paraId="6117D277">
                  <w:pPr>
                    <w:spacing w:line="276"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p>
              </w:tc>
              <w:tc>
                <w:tcPr>
                  <w:tcW w:w="2691" w:type="pct"/>
                  <w:tcBorders>
                    <w:tl2br w:val="nil"/>
                    <w:tr2bl w:val="nil"/>
                  </w:tcBorders>
                  <w:noWrap w:val="0"/>
                  <w:vAlign w:val="center"/>
                </w:tcPr>
                <w:p w14:paraId="24BE73FA">
                  <w:pPr>
                    <w:spacing w:line="276" w:lineRule="auto"/>
                    <w:ind w:firstLine="0" w:firstLineChars="0"/>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 xml:space="preserve">第八条 </w:t>
                  </w:r>
                  <w:r>
                    <w:rPr>
                      <w:rFonts w:hint="default" w:ascii="Times New Roman" w:hAnsi="Times New Roman" w:cs="Times New Roman"/>
                      <w:color w:val="auto"/>
                      <w:sz w:val="21"/>
                      <w:szCs w:val="21"/>
                    </w:rPr>
                    <w:t>牛栏江流域水体水质按照《地表水环境质量标准》Ⅲ类水质标准进行保护。</w:t>
                  </w:r>
                </w:p>
              </w:tc>
              <w:tc>
                <w:tcPr>
                  <w:tcW w:w="1451" w:type="pct"/>
                  <w:tcBorders>
                    <w:tl2br w:val="nil"/>
                    <w:tr2bl w:val="nil"/>
                  </w:tcBorders>
                  <w:noWrap w:val="0"/>
                  <w:vAlign w:val="center"/>
                </w:tcPr>
                <w:p w14:paraId="7CC7A402">
                  <w:pPr>
                    <w:keepNext w:val="0"/>
                    <w:keepLines w:val="0"/>
                    <w:pageBreakBefore w:val="0"/>
                    <w:widowControl w:val="0"/>
                    <w:kinsoku/>
                    <w:wordWrap/>
                    <w:overflowPunct/>
                    <w:topLinePunct w:val="0"/>
                    <w:autoSpaceDE/>
                    <w:autoSpaceDN/>
                    <w:bidi w:val="0"/>
                    <w:adjustRightInd w:val="0"/>
                    <w:snapToGrid w:val="0"/>
                    <w:spacing w:line="276"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水环境保护目标不低于《地表水环境质量标准》Ⅲ类水质标准</w:t>
                  </w:r>
                </w:p>
              </w:tc>
              <w:tc>
                <w:tcPr>
                  <w:tcW w:w="508" w:type="pct"/>
                  <w:tcBorders>
                    <w:tl2br w:val="nil"/>
                    <w:tr2bl w:val="nil"/>
                  </w:tcBorders>
                  <w:noWrap w:val="0"/>
                  <w:vAlign w:val="center"/>
                </w:tcPr>
                <w:p w14:paraId="0A066F79">
                  <w:pPr>
                    <w:keepNext w:val="0"/>
                    <w:keepLines w:val="0"/>
                    <w:pageBreakBefore w:val="0"/>
                    <w:widowControl w:val="0"/>
                    <w:kinsoku/>
                    <w:wordWrap/>
                    <w:overflowPunct/>
                    <w:topLinePunct w:val="0"/>
                    <w:autoSpaceDE/>
                    <w:autoSpaceDN/>
                    <w:bidi w:val="0"/>
                    <w:adjustRightInd w:val="0"/>
                    <w:snapToGrid w:val="0"/>
                    <w:spacing w:line="276"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符合</w:t>
                  </w:r>
                </w:p>
              </w:tc>
            </w:tr>
            <w:tr w14:paraId="1DBD73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347" w:type="pct"/>
                  <w:tcBorders>
                    <w:tl2br w:val="nil"/>
                    <w:tr2bl w:val="nil"/>
                  </w:tcBorders>
                  <w:noWrap w:val="0"/>
                  <w:vAlign w:val="center"/>
                </w:tcPr>
                <w:p w14:paraId="5DB45018">
                  <w:pPr>
                    <w:spacing w:line="276"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w:t>
                  </w:r>
                </w:p>
              </w:tc>
              <w:tc>
                <w:tcPr>
                  <w:tcW w:w="2691" w:type="pct"/>
                  <w:tcBorders>
                    <w:tl2br w:val="nil"/>
                    <w:tr2bl w:val="nil"/>
                  </w:tcBorders>
                  <w:noWrap w:val="0"/>
                  <w:vAlign w:val="center"/>
                </w:tcPr>
                <w:p w14:paraId="4130ECE8">
                  <w:pPr>
                    <w:spacing w:line="276" w:lineRule="auto"/>
                    <w:ind w:firstLine="0" w:firstLineChars="0"/>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第二十二条</w:t>
                  </w:r>
                  <w:r>
                    <w:rPr>
                      <w:rFonts w:hint="default" w:ascii="Times New Roman" w:hAnsi="Times New Roman" w:cs="Times New Roman"/>
                      <w:color w:val="auto"/>
                      <w:sz w:val="21"/>
                      <w:szCs w:val="21"/>
                    </w:rPr>
                    <w:t xml:space="preserve"> 县级以上人民政府应当合理规划工业布局，淘汰严重污染水环境的落后工艺和设备，禁止新建、改建、扩建不符合国家产业政策或者严重污染水环境的建设项目。</w:t>
                  </w:r>
                </w:p>
              </w:tc>
              <w:tc>
                <w:tcPr>
                  <w:tcW w:w="1451" w:type="pct"/>
                  <w:tcBorders>
                    <w:tl2br w:val="nil"/>
                    <w:tr2bl w:val="nil"/>
                  </w:tcBorders>
                  <w:noWrap w:val="0"/>
                  <w:vAlign w:val="center"/>
                </w:tcPr>
                <w:p w14:paraId="240FF6A6">
                  <w:pPr>
                    <w:keepNext w:val="0"/>
                    <w:keepLines w:val="0"/>
                    <w:pageBreakBefore w:val="0"/>
                    <w:widowControl w:val="0"/>
                    <w:kinsoku/>
                    <w:wordWrap/>
                    <w:overflowPunct/>
                    <w:topLinePunct w:val="0"/>
                    <w:autoSpaceDE/>
                    <w:autoSpaceDN/>
                    <w:bidi w:val="0"/>
                    <w:adjustRightInd w:val="0"/>
                    <w:snapToGrid w:val="0"/>
                    <w:spacing w:line="276" w:lineRule="auto"/>
                    <w:ind w:firstLine="0" w:firstLineChars="0"/>
                    <w:jc w:val="center"/>
                    <w:textAlignment w:val="auto"/>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项目属于输变电工程，不属于</w:t>
                  </w:r>
                  <w:r>
                    <w:rPr>
                      <w:rFonts w:hint="default" w:ascii="Times New Roman" w:hAnsi="Times New Roman" w:cs="Times New Roman"/>
                      <w:color w:val="auto"/>
                      <w:sz w:val="21"/>
                      <w:szCs w:val="21"/>
                    </w:rPr>
                    <w:t>禁止新建、改建、扩建不符合国家产业政策或者严重污染水环境的建设项目。</w:t>
                  </w:r>
                </w:p>
              </w:tc>
              <w:tc>
                <w:tcPr>
                  <w:tcW w:w="508" w:type="pct"/>
                  <w:tcBorders>
                    <w:tl2br w:val="nil"/>
                    <w:tr2bl w:val="nil"/>
                  </w:tcBorders>
                  <w:noWrap w:val="0"/>
                  <w:vAlign w:val="center"/>
                </w:tcPr>
                <w:p w14:paraId="2E8FE373">
                  <w:pPr>
                    <w:keepNext w:val="0"/>
                    <w:keepLines w:val="0"/>
                    <w:pageBreakBefore w:val="0"/>
                    <w:widowControl w:val="0"/>
                    <w:kinsoku/>
                    <w:wordWrap/>
                    <w:overflowPunct/>
                    <w:topLinePunct w:val="0"/>
                    <w:autoSpaceDE/>
                    <w:autoSpaceDN/>
                    <w:bidi w:val="0"/>
                    <w:adjustRightInd w:val="0"/>
                    <w:snapToGrid w:val="0"/>
                    <w:spacing w:line="276"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符合</w:t>
                  </w:r>
                </w:p>
              </w:tc>
            </w:tr>
            <w:tr w14:paraId="678D52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347" w:type="pct"/>
                  <w:tcBorders>
                    <w:tl2br w:val="nil"/>
                    <w:tr2bl w:val="nil"/>
                  </w:tcBorders>
                  <w:noWrap w:val="0"/>
                  <w:vAlign w:val="center"/>
                </w:tcPr>
                <w:p w14:paraId="317F09F1">
                  <w:pPr>
                    <w:spacing w:line="276"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w:t>
                  </w:r>
                </w:p>
              </w:tc>
              <w:tc>
                <w:tcPr>
                  <w:tcW w:w="2691" w:type="pct"/>
                  <w:tcBorders>
                    <w:tl2br w:val="nil"/>
                    <w:tr2bl w:val="nil"/>
                  </w:tcBorders>
                  <w:noWrap w:val="0"/>
                  <w:vAlign w:val="center"/>
                </w:tcPr>
                <w:p w14:paraId="5547CC47">
                  <w:pPr>
                    <w:spacing w:line="276" w:lineRule="auto"/>
                    <w:ind w:firstLine="0" w:firstLineChars="0"/>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第三十二条</w:t>
                  </w:r>
                  <w:r>
                    <w:rPr>
                      <w:rFonts w:hint="default" w:ascii="Times New Roman" w:hAnsi="Times New Roman" w:cs="Times New Roman"/>
                      <w:color w:val="auto"/>
                      <w:sz w:val="21"/>
                      <w:szCs w:val="21"/>
                    </w:rPr>
                    <w:t xml:space="preserve"> 重点水源涵养区内禁止下列行为：</w:t>
                  </w:r>
                </w:p>
                <w:p w14:paraId="77D5E946">
                  <w:pPr>
                    <w:spacing w:line="276" w:lineRule="auto"/>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（一）盗伐、滥伐林木和破坏草地；</w:t>
                  </w:r>
                </w:p>
                <w:p w14:paraId="1BD65213">
                  <w:pPr>
                    <w:spacing w:line="276" w:lineRule="auto"/>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（二）使用高毒、高残留农药；</w:t>
                  </w:r>
                </w:p>
                <w:p w14:paraId="1F6BAE76">
                  <w:pPr>
                    <w:spacing w:line="276" w:lineRule="auto"/>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（三）利用溶洞、渗井、渗坑、裂隙排放、倾倒含有毒有害物质的废水、废渣；</w:t>
                  </w:r>
                </w:p>
                <w:p w14:paraId="6E66A354">
                  <w:pPr>
                    <w:spacing w:line="276" w:lineRule="auto"/>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（四）向水体排放废水、倾倒工业废渣、城镇垃圾或者其他废弃物；</w:t>
                  </w:r>
                </w:p>
                <w:p w14:paraId="17595461">
                  <w:pPr>
                    <w:spacing w:line="276" w:lineRule="auto"/>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（五）在江河、渠道、水库最高水位线以下的滩地、岸坡堆放、存贮固体废弃物或者其他污染物；</w:t>
                  </w:r>
                </w:p>
                <w:p w14:paraId="4D2880DE">
                  <w:pPr>
                    <w:spacing w:line="276" w:lineRule="auto"/>
                    <w:ind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（六）利用无防渗漏措施的沟渠、坑塘等输送或者存贮含有毒污染物的废水、含病原体的污水或者其他废弃物。</w:t>
                  </w:r>
                </w:p>
              </w:tc>
              <w:tc>
                <w:tcPr>
                  <w:tcW w:w="1451" w:type="pct"/>
                  <w:tcBorders>
                    <w:tl2br w:val="nil"/>
                    <w:tr2bl w:val="nil"/>
                  </w:tcBorders>
                  <w:noWrap w:val="0"/>
                  <w:vAlign w:val="center"/>
                </w:tcPr>
                <w:p w14:paraId="4B2DAE24">
                  <w:pPr>
                    <w:keepNext w:val="0"/>
                    <w:keepLines w:val="0"/>
                    <w:pageBreakBefore w:val="0"/>
                    <w:widowControl w:val="0"/>
                    <w:kinsoku/>
                    <w:wordWrap/>
                    <w:overflowPunct/>
                    <w:topLinePunct w:val="0"/>
                    <w:autoSpaceDE/>
                    <w:autoSpaceDN/>
                    <w:bidi w:val="0"/>
                    <w:adjustRightInd w:val="0"/>
                    <w:snapToGrid w:val="0"/>
                    <w:spacing w:line="276"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项目涉及占用林地及草地，已按照相关要求办理林业手续，无禁止行为</w:t>
                  </w:r>
                </w:p>
              </w:tc>
              <w:tc>
                <w:tcPr>
                  <w:tcW w:w="508" w:type="pct"/>
                  <w:tcBorders>
                    <w:tl2br w:val="nil"/>
                    <w:tr2bl w:val="nil"/>
                  </w:tcBorders>
                  <w:noWrap w:val="0"/>
                  <w:vAlign w:val="center"/>
                </w:tcPr>
                <w:p w14:paraId="2D781A4F">
                  <w:pPr>
                    <w:keepNext w:val="0"/>
                    <w:keepLines w:val="0"/>
                    <w:pageBreakBefore w:val="0"/>
                    <w:widowControl w:val="0"/>
                    <w:kinsoku/>
                    <w:wordWrap/>
                    <w:overflowPunct/>
                    <w:topLinePunct w:val="0"/>
                    <w:autoSpaceDE/>
                    <w:autoSpaceDN/>
                    <w:bidi w:val="0"/>
                    <w:adjustRightInd w:val="0"/>
                    <w:snapToGrid w:val="0"/>
                    <w:spacing w:line="276"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符合</w:t>
                  </w:r>
                </w:p>
              </w:tc>
            </w:tr>
          </w:tbl>
          <w:p w14:paraId="70A1E87C">
            <w:pPr>
              <w:keepNext w:val="0"/>
              <w:keepLines w:val="0"/>
              <w:pageBreakBefore w:val="0"/>
              <w:widowControl w:val="0"/>
              <w:kinsoku/>
              <w:wordWrap/>
              <w:overflowPunct/>
              <w:topLinePunct w:val="0"/>
              <w:autoSpaceDE w:val="0"/>
              <w:autoSpaceDN w:val="0"/>
              <w:bidi w:val="0"/>
              <w:adjustRightInd w:val="0"/>
              <w:snapToGrid w:val="0"/>
              <w:spacing w:line="440" w:lineRule="exact"/>
              <w:ind w:firstLine="482"/>
              <w:textAlignment w:val="auto"/>
              <w:rPr>
                <w:rFonts w:ascii="Times New Roman" w:hAnsi="Times New Roman"/>
                <w:color w:val="auto"/>
                <w:sz w:val="24"/>
                <w:szCs w:val="20"/>
              </w:rPr>
            </w:pPr>
            <w:r>
              <w:rPr>
                <w:rFonts w:hint="eastAsia" w:ascii="Times New Roman" w:hAnsi="Times New Roman"/>
                <w:color w:val="auto"/>
                <w:sz w:val="24"/>
                <w:szCs w:val="20"/>
                <w:lang w:val="en-US" w:eastAsia="zh-CN"/>
              </w:rPr>
              <w:t>综上</w:t>
            </w:r>
            <w:r>
              <w:rPr>
                <w:rFonts w:ascii="Times New Roman" w:hAnsi="Times New Roman"/>
                <w:color w:val="auto"/>
                <w:sz w:val="24"/>
                <w:szCs w:val="20"/>
              </w:rPr>
              <w:t>，</w:t>
            </w:r>
            <w:r>
              <w:rPr>
                <w:rFonts w:hint="eastAsia" w:ascii="Times New Roman" w:hAnsi="Times New Roman"/>
                <w:color w:val="auto"/>
                <w:sz w:val="24"/>
                <w:szCs w:val="20"/>
                <w:lang w:val="en-US" w:eastAsia="zh-CN"/>
              </w:rPr>
              <w:t>经对照分析，</w:t>
            </w:r>
            <w:r>
              <w:rPr>
                <w:rFonts w:ascii="Times New Roman" w:hAnsi="Times New Roman"/>
                <w:color w:val="auto"/>
                <w:sz w:val="24"/>
                <w:szCs w:val="20"/>
              </w:rPr>
              <w:t>项目</w:t>
            </w:r>
            <w:r>
              <w:rPr>
                <w:rFonts w:hint="eastAsia" w:ascii="Times New Roman" w:hAnsi="Times New Roman"/>
                <w:color w:val="auto"/>
                <w:sz w:val="24"/>
                <w:szCs w:val="20"/>
                <w:lang w:val="en-US" w:eastAsia="zh-CN"/>
              </w:rPr>
              <w:t>符合《牛栏江流域（云南部分）水环境保护规划（2009-2030）》（云政复﹝2010﹞21号）相关要求</w:t>
            </w:r>
            <w:r>
              <w:rPr>
                <w:rFonts w:ascii="Times New Roman" w:hAnsi="Times New Roman"/>
                <w:color w:val="auto"/>
                <w:sz w:val="24"/>
                <w:szCs w:val="20"/>
              </w:rPr>
              <w:t>。</w:t>
            </w:r>
          </w:p>
          <w:p w14:paraId="27634DB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eastAsia="宋体" w:cs="Times New Roman"/>
                <w:b w:val="0"/>
                <w:bCs w:val="0"/>
                <w:color w:val="auto"/>
                <w:sz w:val="24"/>
                <w:szCs w:val="24"/>
                <w:lang w:val="zh-CN" w:eastAsia="zh-CN"/>
              </w:rPr>
            </w:pPr>
          </w:p>
        </w:tc>
      </w:tr>
    </w:tbl>
    <w:p w14:paraId="6BD7B8C8">
      <w:pPr>
        <w:ind w:firstLine="600"/>
        <w:outlineLvl w:val="0"/>
        <w:rPr>
          <w:color w:val="auto"/>
          <w:sz w:val="30"/>
        </w:rPr>
        <w:sectPr>
          <w:footerReference r:id="rId8" w:type="default"/>
          <w:pgSz w:w="11906" w:h="16838"/>
          <w:pgMar w:top="1440" w:right="1684" w:bottom="1440" w:left="1684" w:header="794" w:footer="1077" w:gutter="0"/>
          <w:pgBorders>
            <w:top w:val="none" w:sz="0" w:space="0"/>
            <w:left w:val="none" w:sz="0" w:space="0"/>
            <w:bottom w:val="none" w:sz="0" w:space="0"/>
            <w:right w:val="none" w:sz="0" w:space="0"/>
          </w:pgBorders>
          <w:pgNumType w:fmt="decimal" w:start="1"/>
          <w:cols w:space="720" w:num="1"/>
          <w:docGrid w:linePitch="312" w:charSpace="0"/>
        </w:sectPr>
      </w:pPr>
    </w:p>
    <w:p w14:paraId="292F7A83">
      <w:pPr>
        <w:pStyle w:val="25"/>
        <w:widowControl w:val="0"/>
        <w:spacing w:before="0" w:beforeAutospacing="0" w:after="0" w:afterAutospacing="0" w:line="240" w:lineRule="auto"/>
        <w:jc w:val="center"/>
        <w:outlineLvl w:val="0"/>
        <w:rPr>
          <w:rFonts w:ascii="Times New Roman" w:hAnsi="Times New Roman"/>
          <w:b/>
          <w:snapToGrid w:val="0"/>
          <w:color w:val="auto"/>
          <w:sz w:val="30"/>
          <w:szCs w:val="30"/>
        </w:rPr>
      </w:pPr>
      <w:bookmarkStart w:id="13" w:name="_Toc20954"/>
      <w:bookmarkStart w:id="14" w:name="_Toc3772"/>
      <w:r>
        <w:rPr>
          <w:rFonts w:ascii="Times New Roman" w:hAnsi="Times New Roman"/>
          <w:b/>
          <w:snapToGrid w:val="0"/>
          <w:color w:val="auto"/>
          <w:sz w:val="30"/>
          <w:szCs w:val="30"/>
        </w:rPr>
        <w:t>二、建设内容</w:t>
      </w:r>
      <w:bookmarkEnd w:id="13"/>
      <w:bookmarkEnd w:id="14"/>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
        <w:gridCol w:w="8238"/>
      </w:tblGrid>
      <w:tr w14:paraId="5CEAC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3" w:type="pct"/>
            <w:noWrap w:val="0"/>
            <w:vAlign w:val="center"/>
          </w:tcPr>
          <w:p w14:paraId="0BA9A276">
            <w:pPr>
              <w:pStyle w:val="25"/>
              <w:spacing w:before="0" w:beforeAutospacing="0" w:after="0" w:afterAutospacing="0"/>
              <w:jc w:val="center"/>
              <w:rPr>
                <w:rFonts w:ascii="Times New Roman" w:hAnsi="Times New Roman"/>
                <w:color w:val="auto"/>
                <w:szCs w:val="24"/>
              </w:rPr>
            </w:pPr>
            <w:r>
              <w:rPr>
                <w:rFonts w:ascii="Times New Roman" w:hAnsi="Times New Roman"/>
                <w:b/>
                <w:bCs/>
                <w:color w:val="auto"/>
                <w:szCs w:val="24"/>
              </w:rPr>
              <w:t>地理位置</w:t>
            </w:r>
          </w:p>
        </w:tc>
        <w:tc>
          <w:tcPr>
            <w:tcW w:w="4736" w:type="pct"/>
            <w:noWrap w:val="0"/>
            <w:vAlign w:val="center"/>
          </w:tcPr>
          <w:p w14:paraId="6AA8F09B">
            <w:pPr>
              <w:keepNext w:val="0"/>
              <w:keepLines w:val="0"/>
              <w:pageBreakBefore w:val="0"/>
              <w:widowControl w:val="0"/>
              <w:kinsoku/>
              <w:wordWrap/>
              <w:overflowPunct w:val="0"/>
              <w:topLinePunct/>
              <w:autoSpaceDE w:val="0"/>
              <w:autoSpaceDN w:val="0"/>
              <w:bidi w:val="0"/>
              <w:adjustRightInd w:val="0"/>
              <w:snapToGrid w:val="0"/>
              <w:spacing w:line="440" w:lineRule="exact"/>
              <w:ind w:firstLine="480" w:firstLineChars="200"/>
              <w:textAlignment w:val="auto"/>
              <w:rPr>
                <w:snapToGrid w:val="0"/>
                <w:color w:val="auto"/>
                <w:sz w:val="24"/>
              </w:rPr>
            </w:pPr>
            <w:r>
              <w:rPr>
                <w:rFonts w:hint="default" w:ascii="Times New Roman" w:hAnsi="Times New Roman" w:eastAsia="宋体" w:cs="Times New Roman"/>
                <w:snapToGrid w:val="0"/>
                <w:color w:val="auto"/>
                <w:sz w:val="24"/>
              </w:rPr>
              <w:t>项目位于</w:t>
            </w:r>
            <w:r>
              <w:rPr>
                <w:rFonts w:hint="default" w:ascii="Times New Roman" w:hAnsi="Times New Roman" w:eastAsia="宋体" w:cs="Times New Roman"/>
                <w:snapToGrid w:val="0"/>
                <w:color w:val="auto"/>
                <w:sz w:val="24"/>
                <w:lang w:eastAsia="zh-CN"/>
              </w:rPr>
              <w:t>曲靖市会泽县宝云街道、乐业镇、五星乡</w:t>
            </w:r>
            <w:r>
              <w:rPr>
                <w:rFonts w:hint="default" w:ascii="Times New Roman" w:hAnsi="Times New Roman" w:eastAsia="宋体" w:cs="Times New Roman"/>
                <w:snapToGrid w:val="0"/>
                <w:color w:val="auto"/>
                <w:sz w:val="24"/>
              </w:rPr>
              <w:t>，</w:t>
            </w:r>
            <w:r>
              <w:rPr>
                <w:rFonts w:hint="default" w:ascii="Times New Roman" w:hAnsi="Times New Roman" w:eastAsia="宋体" w:cs="Times New Roman"/>
                <w:color w:val="auto"/>
                <w:sz w:val="24"/>
              </w:rPr>
              <w:t>项目新建1回110kV输电线路，其中架空线路</w:t>
            </w:r>
            <w:r>
              <w:rPr>
                <w:rFonts w:hint="default" w:ascii="Times New Roman" w:hAnsi="Times New Roman" w:eastAsia="宋体" w:cs="Times New Roman"/>
                <w:color w:val="auto"/>
                <w:sz w:val="24"/>
                <w:lang w:val="en-US" w:eastAsia="zh-CN"/>
              </w:rPr>
              <w:t>段</w:t>
            </w:r>
            <w:r>
              <w:rPr>
                <w:rFonts w:hint="default" w:ascii="Times New Roman" w:hAnsi="Times New Roman" w:eastAsia="宋体" w:cs="Times New Roman"/>
                <w:color w:val="auto"/>
                <w:sz w:val="24"/>
              </w:rPr>
              <w:t>起点坐标：东经</w:t>
            </w:r>
            <w:r>
              <w:rPr>
                <w:rFonts w:hint="default" w:ascii="Times New Roman" w:hAnsi="Times New Roman" w:eastAsia="宋体" w:cs="Times New Roman"/>
                <w:color w:val="auto"/>
                <w:sz w:val="24"/>
                <w:lang w:eastAsia="zh-CN"/>
              </w:rPr>
              <w:t>103°21′26.894″</w:t>
            </w:r>
            <w:r>
              <w:rPr>
                <w:rFonts w:hint="default" w:ascii="Times New Roman" w:hAnsi="Times New Roman" w:eastAsia="宋体" w:cs="Times New Roman"/>
                <w:color w:val="auto"/>
                <w:sz w:val="24"/>
              </w:rPr>
              <w:t>、北纬</w:t>
            </w:r>
            <w:r>
              <w:rPr>
                <w:rFonts w:hint="default" w:ascii="Times New Roman" w:hAnsi="Times New Roman" w:eastAsia="宋体" w:cs="Times New Roman"/>
                <w:color w:val="auto"/>
                <w:sz w:val="24"/>
                <w:lang w:eastAsia="zh-CN"/>
              </w:rPr>
              <w:t>26°29′58.275″</w:t>
            </w:r>
            <w:r>
              <w:rPr>
                <w:rFonts w:hint="default" w:ascii="Times New Roman" w:hAnsi="Times New Roman" w:eastAsia="宋体" w:cs="Times New Roman"/>
                <w:color w:val="auto"/>
                <w:sz w:val="24"/>
              </w:rPr>
              <w:t>，终点坐标东经</w:t>
            </w:r>
            <w:r>
              <w:rPr>
                <w:rFonts w:hint="default" w:ascii="Times New Roman" w:hAnsi="Times New Roman" w:eastAsia="宋体" w:cs="Times New Roman"/>
                <w:color w:val="auto"/>
                <w:sz w:val="24"/>
                <w:lang w:eastAsia="zh-CN"/>
              </w:rPr>
              <w:t>103°26′59.873″</w:t>
            </w:r>
            <w:r>
              <w:rPr>
                <w:rFonts w:hint="default" w:ascii="Times New Roman" w:hAnsi="Times New Roman" w:eastAsia="宋体" w:cs="Times New Roman"/>
                <w:color w:val="auto"/>
                <w:sz w:val="24"/>
              </w:rPr>
              <w:t>、北纬</w:t>
            </w:r>
            <w:r>
              <w:rPr>
                <w:rFonts w:hint="default" w:ascii="Times New Roman" w:hAnsi="Times New Roman" w:eastAsia="宋体" w:cs="Times New Roman"/>
                <w:color w:val="auto"/>
                <w:sz w:val="24"/>
                <w:lang w:eastAsia="zh-CN"/>
              </w:rPr>
              <w:t>26°34′47.292″</w:t>
            </w:r>
            <w:r>
              <w:rPr>
                <w:rFonts w:hint="default" w:ascii="Times New Roman" w:hAnsi="Times New Roman" w:eastAsia="宋体" w:cs="Times New Roman"/>
                <w:color w:val="auto"/>
                <w:sz w:val="24"/>
              </w:rPr>
              <w:t>；工程线路路径可利用</w:t>
            </w:r>
            <w:r>
              <w:rPr>
                <w:rFonts w:hint="default" w:ascii="Times New Roman" w:hAnsi="Times New Roman" w:eastAsia="宋体" w:cs="Times New Roman"/>
                <w:color w:val="auto"/>
                <w:sz w:val="24"/>
                <w:lang w:val="en-US" w:eastAsia="zh-CN"/>
              </w:rPr>
              <w:t>银昆高速、</w:t>
            </w:r>
            <w:r>
              <w:rPr>
                <w:rFonts w:hint="default" w:ascii="Times New Roman" w:hAnsi="Times New Roman" w:eastAsia="宋体" w:cs="Times New Roman"/>
                <w:color w:val="auto"/>
                <w:sz w:val="24"/>
              </w:rPr>
              <w:t>国道</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G213</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、乡村路及机耕便道，交通条件较好。</w:t>
            </w:r>
            <w:r>
              <w:rPr>
                <w:rFonts w:hint="default" w:ascii="Times New Roman" w:hAnsi="Times New Roman" w:eastAsia="宋体" w:cs="Times New Roman"/>
                <w:snapToGrid w:val="0"/>
                <w:color w:val="auto"/>
                <w:sz w:val="24"/>
              </w:rPr>
              <w:t>具体见交通地理位置图（见附图1）。</w:t>
            </w:r>
          </w:p>
        </w:tc>
      </w:tr>
      <w:tr w14:paraId="73332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3" w:type="pct"/>
            <w:noWrap w:val="0"/>
            <w:vAlign w:val="center"/>
          </w:tcPr>
          <w:p w14:paraId="39BB7652">
            <w:pPr>
              <w:pStyle w:val="25"/>
              <w:spacing w:before="0" w:beforeAutospacing="0" w:after="0" w:afterAutospacing="0"/>
              <w:jc w:val="center"/>
              <w:rPr>
                <w:rFonts w:ascii="Times New Roman" w:hAnsi="Times New Roman"/>
                <w:color w:val="auto"/>
                <w:szCs w:val="24"/>
              </w:rPr>
            </w:pPr>
            <w:r>
              <w:rPr>
                <w:rFonts w:ascii="Times New Roman" w:hAnsi="Times New Roman"/>
                <w:b/>
                <w:bCs/>
                <w:color w:val="auto"/>
                <w:szCs w:val="24"/>
              </w:rPr>
              <w:t>项目组成及规模</w:t>
            </w:r>
          </w:p>
        </w:tc>
        <w:tc>
          <w:tcPr>
            <w:tcW w:w="4736" w:type="pct"/>
            <w:noWrap w:val="0"/>
            <w:vAlign w:val="center"/>
          </w:tcPr>
          <w:p w14:paraId="15B8244D">
            <w:pPr>
              <w:adjustRightInd w:val="0"/>
              <w:snapToGrid w:val="0"/>
              <w:spacing w:line="440" w:lineRule="exact"/>
              <w:rPr>
                <w:b/>
                <w:bCs/>
                <w:color w:val="auto"/>
                <w:sz w:val="28"/>
                <w:szCs w:val="28"/>
              </w:rPr>
            </w:pPr>
            <w:r>
              <w:rPr>
                <w:b/>
                <w:bCs/>
                <w:color w:val="auto"/>
                <w:sz w:val="28"/>
                <w:szCs w:val="28"/>
              </w:rPr>
              <w:t>2.1项目由来</w:t>
            </w:r>
          </w:p>
          <w:p w14:paraId="450A87CA">
            <w:pPr>
              <w:adjustRightInd w:val="0"/>
              <w:snapToGrid w:val="0"/>
              <w:spacing w:line="440" w:lineRule="exact"/>
              <w:ind w:firstLine="482" w:firstLineChars="200"/>
              <w:rPr>
                <w:b/>
                <w:bCs/>
                <w:color w:val="auto"/>
                <w:sz w:val="24"/>
              </w:rPr>
            </w:pPr>
            <w:r>
              <w:rPr>
                <w:rFonts w:hint="eastAsia"/>
                <w:b/>
                <w:bCs/>
                <w:color w:val="auto"/>
                <w:sz w:val="24"/>
              </w:rPr>
              <w:t>2.1.1</w:t>
            </w:r>
            <w:r>
              <w:rPr>
                <w:b/>
                <w:bCs/>
                <w:color w:val="auto"/>
                <w:sz w:val="24"/>
              </w:rPr>
              <w:t>项目建设的必要性</w:t>
            </w:r>
          </w:p>
          <w:p w14:paraId="38304937">
            <w:pPr>
              <w:adjustRightInd w:val="0"/>
              <w:snapToGrid w:val="0"/>
              <w:spacing w:line="440" w:lineRule="exact"/>
              <w:ind w:firstLine="480" w:firstLineChars="200"/>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t>能源是国民经济和社会发展的基础，是人类社会赖以生存和发展的重要物质保障。在国家提出“碳中和、碳顶峰”的能源战略目标的极大影响下，优化能源结构，积极加快可再生能源开发，发展可再生能源，提高风电等可再生能源在能源消耗中的比例是改善能源结构、加强环境保护的必然选择，也符合能源产业战略发展方向。</w:t>
            </w:r>
          </w:p>
          <w:p w14:paraId="0CEA6BCF">
            <w:pPr>
              <w:adjustRightInd w:val="0"/>
              <w:snapToGrid w:val="0"/>
              <w:spacing w:line="440" w:lineRule="exact"/>
              <w:ind w:firstLine="480" w:firstLineChars="200"/>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t>会泽县矿产资源尤为丰富，作为云南省矿产资源大县，成矿地质条件优越，资源潜力巨大，主要矿产有铅、锌、锗、磷、煤炭、水泥用灰岩、天然石英砂、玄武岩等。本项目建成后，可充分利用清洁的可再生能源，有利于改善能源结构，节约煤炭资源，减少煤炭燃烧导致的污染排放量，有利于保护环境，满足低碳经济社会发展的需要。</w:t>
            </w:r>
          </w:p>
          <w:p w14:paraId="00A2965A">
            <w:pPr>
              <w:adjustRightInd w:val="0"/>
              <w:snapToGrid w:val="0"/>
              <w:spacing w:line="440" w:lineRule="exact"/>
              <w:ind w:firstLine="480" w:firstLineChars="200"/>
              <w:rPr>
                <w:rFonts w:hint="eastAsia"/>
                <w:color w:val="auto"/>
                <w:sz w:val="24"/>
              </w:rPr>
            </w:pPr>
            <w:r>
              <w:rPr>
                <w:rFonts w:hint="eastAsia" w:ascii="Times New Roman" w:hAnsi="Times New Roman" w:eastAsia="宋体" w:cs="Times New Roman"/>
                <w:color w:val="auto"/>
                <w:sz w:val="24"/>
                <w:lang w:eastAsia="zh-CN"/>
              </w:rPr>
              <w:t>本项目的建设，符合国家能源产业发展方向，符合云南能源发展战略，有利于缓解地区电网供需矛盾，满足地区电网电力负荷增长的要求，促进近区经济发展，因此建设本项目是十分必要的。随着国家加大对新能源的扶持力度，为会泽县经济和社会发展创造了非常难得的机遇和条件。充分利用该地区清洁、丰富的太阳能资源，大力发展光伏发电产业，以电力发展带动农业生产，促进人民群众物质文化生活水平的提高，推动农村经济以及各项事业的发展，摆脱地区经济落后的局面。</w:t>
            </w:r>
            <w:r>
              <w:rPr>
                <w:rFonts w:hint="eastAsia"/>
                <w:color w:val="auto"/>
                <w:sz w:val="24"/>
              </w:rPr>
              <w:t>因此</w:t>
            </w:r>
            <w:r>
              <w:rPr>
                <w:rFonts w:hint="eastAsia"/>
                <w:color w:val="auto"/>
                <w:sz w:val="24"/>
                <w:lang w:eastAsia="zh-CN"/>
              </w:rPr>
              <w:t>，</w:t>
            </w:r>
            <w:r>
              <w:rPr>
                <w:rFonts w:hint="eastAsia"/>
                <w:color w:val="auto"/>
                <w:sz w:val="24"/>
              </w:rPr>
              <w:t>项目建设是必要的。</w:t>
            </w:r>
          </w:p>
          <w:p w14:paraId="28FE2F7F">
            <w:pPr>
              <w:adjustRightInd w:val="0"/>
              <w:snapToGrid w:val="0"/>
              <w:spacing w:line="440" w:lineRule="exact"/>
              <w:ind w:firstLine="482" w:firstLineChars="200"/>
              <w:rPr>
                <w:b/>
                <w:bCs/>
                <w:color w:val="auto"/>
                <w:sz w:val="24"/>
              </w:rPr>
            </w:pPr>
            <w:r>
              <w:rPr>
                <w:rFonts w:hint="eastAsia"/>
                <w:b/>
                <w:bCs/>
                <w:color w:val="auto"/>
                <w:sz w:val="24"/>
              </w:rPr>
              <w:t>2.1.</w:t>
            </w:r>
            <w:r>
              <w:rPr>
                <w:b/>
                <w:bCs/>
                <w:color w:val="auto"/>
                <w:sz w:val="24"/>
              </w:rPr>
              <w:t>2项目由来</w:t>
            </w:r>
          </w:p>
          <w:p w14:paraId="02B0ADBD">
            <w:pPr>
              <w:adjustRightInd w:val="0"/>
              <w:snapToGrid w:val="0"/>
              <w:spacing w:line="440" w:lineRule="exact"/>
              <w:ind w:firstLine="480" w:firstLineChars="200"/>
              <w:rPr>
                <w:color w:val="auto"/>
                <w:kern w:val="0"/>
                <w:sz w:val="24"/>
              </w:rPr>
            </w:pPr>
            <w:r>
              <w:rPr>
                <w:color w:val="auto"/>
                <w:kern w:val="0"/>
                <w:sz w:val="24"/>
              </w:rPr>
              <w:t>根据《</w:t>
            </w:r>
            <w:r>
              <w:rPr>
                <w:rFonts w:hint="eastAsia"/>
                <w:color w:val="auto"/>
                <w:kern w:val="0"/>
                <w:sz w:val="24"/>
              </w:rPr>
              <w:t>中华人民共和国生态环境法典</w:t>
            </w:r>
            <w:r>
              <w:rPr>
                <w:rFonts w:hint="eastAsia"/>
                <w:color w:val="auto"/>
                <w:kern w:val="0"/>
                <w:sz w:val="24"/>
                <w:lang w:eastAsia="zh-CN"/>
              </w:rPr>
              <w:t>》《</w:t>
            </w:r>
            <w:r>
              <w:rPr>
                <w:color w:val="auto"/>
                <w:kern w:val="0"/>
                <w:sz w:val="24"/>
              </w:rPr>
              <w:t>建设项目环境保护管理条例》（2017年10月1日）国务院令第682号等相关法律法规的有关要求，需对</w:t>
            </w:r>
            <w:r>
              <w:rPr>
                <w:rFonts w:hint="eastAsia"/>
                <w:color w:val="auto"/>
                <w:sz w:val="24"/>
                <w:lang w:eastAsia="zh-CN"/>
              </w:rPr>
              <w:t>大草房至六合一110kV送出线路工程</w:t>
            </w:r>
            <w:r>
              <w:rPr>
                <w:color w:val="auto"/>
                <w:kern w:val="0"/>
                <w:sz w:val="24"/>
              </w:rPr>
              <w:t>进行环境影响评价，</w:t>
            </w:r>
            <w:r>
              <w:rPr>
                <w:bCs/>
                <w:color w:val="auto"/>
                <w:sz w:val="24"/>
              </w:rPr>
              <w:t>根据《建设项目环境影响评价分类管理名录》（2021年版），本项目属于“五十五、核与辐射，第161项输变电工程涉及</w:t>
            </w:r>
            <w:r>
              <w:rPr>
                <w:color w:val="auto"/>
                <w:sz w:val="24"/>
              </w:rPr>
              <w:t>110kV</w:t>
            </w:r>
            <w:r>
              <w:rPr>
                <w:bCs/>
                <w:color w:val="auto"/>
                <w:sz w:val="24"/>
              </w:rPr>
              <w:t>的项目，应</w:t>
            </w:r>
            <w:r>
              <w:rPr>
                <w:color w:val="auto"/>
                <w:kern w:val="0"/>
                <w:sz w:val="24"/>
              </w:rPr>
              <w:t>编制</w:t>
            </w:r>
            <w:r>
              <w:rPr>
                <w:rFonts w:hint="eastAsia"/>
                <w:color w:val="auto"/>
                <w:kern w:val="0"/>
                <w:sz w:val="24"/>
                <w:lang w:val="en-US" w:eastAsia="zh-CN"/>
              </w:rPr>
              <w:t>生态</w:t>
            </w:r>
            <w:r>
              <w:rPr>
                <w:color w:val="auto"/>
                <w:kern w:val="0"/>
                <w:sz w:val="24"/>
              </w:rPr>
              <w:t>环境影响报告表。据此，</w:t>
            </w:r>
            <w:r>
              <w:rPr>
                <w:color w:val="auto"/>
                <w:sz w:val="24"/>
              </w:rPr>
              <w:t>受</w:t>
            </w:r>
            <w:r>
              <w:rPr>
                <w:rFonts w:hint="eastAsia"/>
                <w:color w:val="auto"/>
                <w:sz w:val="24"/>
                <w:lang w:eastAsia="zh-CN"/>
              </w:rPr>
              <w:t>云南华电道成清洁能源有限公司</w:t>
            </w:r>
            <w:r>
              <w:rPr>
                <w:color w:val="auto"/>
                <w:sz w:val="24"/>
              </w:rPr>
              <w:t>的委托</w:t>
            </w:r>
            <w:r>
              <w:rPr>
                <w:rFonts w:hint="eastAsia"/>
                <w:color w:val="auto"/>
                <w:sz w:val="24"/>
                <w:lang w:eastAsia="zh-CN"/>
              </w:rPr>
              <w:t>，</w:t>
            </w:r>
            <w:r>
              <w:rPr>
                <w:rFonts w:hint="eastAsia"/>
                <w:color w:val="auto"/>
                <w:sz w:val="24"/>
                <w:lang w:val="en-US" w:eastAsia="zh-CN"/>
              </w:rPr>
              <w:t>云南江楚环保科技有限公司</w:t>
            </w:r>
            <w:r>
              <w:rPr>
                <w:color w:val="auto"/>
                <w:kern w:val="0"/>
                <w:sz w:val="24"/>
              </w:rPr>
              <w:t>进行报告编制工作，通过现场踏勘、资料收集，按照环境影响评价技术导则的要求，针对该工程可能造成的环境影响进行分析评价，编制《</w:t>
            </w:r>
            <w:r>
              <w:rPr>
                <w:rFonts w:hint="eastAsia"/>
                <w:color w:val="auto"/>
                <w:sz w:val="24"/>
                <w:lang w:eastAsia="zh-CN"/>
              </w:rPr>
              <w:t>大草房至六合一110kV送出线路工程</w:t>
            </w:r>
            <w:r>
              <w:rPr>
                <w:rFonts w:hint="eastAsia"/>
                <w:color w:val="auto"/>
                <w:sz w:val="24"/>
                <w:lang w:val="en-US" w:eastAsia="zh-CN"/>
              </w:rPr>
              <w:t>生态</w:t>
            </w:r>
            <w:r>
              <w:rPr>
                <w:color w:val="auto"/>
                <w:kern w:val="0"/>
                <w:sz w:val="24"/>
              </w:rPr>
              <w:t>环境影响报告表》，供建设单位上报审批。</w:t>
            </w:r>
          </w:p>
          <w:p w14:paraId="6B4EF822">
            <w:pPr>
              <w:adjustRightInd w:val="0"/>
              <w:snapToGrid w:val="0"/>
              <w:spacing w:line="440" w:lineRule="exact"/>
              <w:rPr>
                <w:b/>
                <w:bCs/>
                <w:color w:val="auto"/>
                <w:sz w:val="28"/>
                <w:szCs w:val="28"/>
              </w:rPr>
            </w:pPr>
            <w:r>
              <w:rPr>
                <w:b/>
                <w:bCs/>
                <w:color w:val="auto"/>
                <w:sz w:val="28"/>
                <w:szCs w:val="28"/>
              </w:rPr>
              <w:t>2.2项目组成及规模</w:t>
            </w:r>
          </w:p>
          <w:p w14:paraId="3FCDBE47">
            <w:pPr>
              <w:adjustRightInd w:val="0"/>
              <w:snapToGrid w:val="0"/>
              <w:spacing w:line="440" w:lineRule="exact"/>
              <w:ind w:firstLine="482" w:firstLineChars="200"/>
              <w:rPr>
                <w:color w:val="auto"/>
                <w:sz w:val="24"/>
              </w:rPr>
            </w:pPr>
            <w:r>
              <w:rPr>
                <w:rFonts w:hint="eastAsia"/>
                <w:b/>
                <w:bCs/>
                <w:color w:val="auto"/>
                <w:sz w:val="24"/>
              </w:rPr>
              <w:t>2.2.</w:t>
            </w:r>
            <w:r>
              <w:rPr>
                <w:b/>
                <w:bCs/>
                <w:color w:val="auto"/>
                <w:sz w:val="24"/>
              </w:rPr>
              <w:t>1项目主要建设内容</w:t>
            </w:r>
          </w:p>
          <w:p w14:paraId="103F020B">
            <w:pPr>
              <w:spacing w:line="440" w:lineRule="exact"/>
              <w:ind w:firstLine="480" w:firstLineChars="200"/>
              <w:rPr>
                <w:rFonts w:hint="default" w:eastAsia="宋体"/>
                <w:color w:val="auto"/>
                <w:sz w:val="24"/>
                <w:lang w:val="en-US" w:eastAsia="zh-CN"/>
              </w:rPr>
            </w:pPr>
            <w:r>
              <w:rPr>
                <w:rFonts w:ascii="Times New Roman" w:hAnsi="Times New Roman"/>
                <w:color w:val="auto"/>
                <w:sz w:val="24"/>
                <w:szCs w:val="24"/>
              </w:rPr>
              <w:t>项目110</w:t>
            </w:r>
            <w:r>
              <w:rPr>
                <w:rFonts w:hint="eastAsia" w:ascii="Times New Roman" w:hAnsi="Times New Roman"/>
                <w:color w:val="auto"/>
                <w:sz w:val="24"/>
                <w:szCs w:val="24"/>
                <w:lang w:eastAsia="zh-CN"/>
              </w:rPr>
              <w:t>kV</w:t>
            </w:r>
            <w:r>
              <w:rPr>
                <w:rFonts w:ascii="Times New Roman" w:hAnsi="Times New Roman"/>
                <w:color w:val="auto"/>
                <w:sz w:val="24"/>
                <w:szCs w:val="24"/>
              </w:rPr>
              <w:t>线路位于会泽县</w:t>
            </w:r>
            <w:r>
              <w:rPr>
                <w:rFonts w:hint="eastAsia" w:ascii="Times New Roman" w:hAnsi="Times New Roman"/>
                <w:color w:val="auto"/>
                <w:spacing w:val="-4"/>
                <w:sz w:val="24"/>
                <w:szCs w:val="24"/>
                <w:lang w:val="en-US" w:eastAsia="zh-CN"/>
              </w:rPr>
              <w:t>宝云街道</w:t>
            </w:r>
            <w:r>
              <w:rPr>
                <w:rFonts w:ascii="Times New Roman" w:hAnsi="Times New Roman"/>
                <w:color w:val="auto"/>
                <w:spacing w:val="-4"/>
                <w:sz w:val="24"/>
                <w:szCs w:val="24"/>
              </w:rPr>
              <w:t>、</w:t>
            </w:r>
            <w:r>
              <w:rPr>
                <w:rFonts w:hint="eastAsia" w:ascii="Times New Roman" w:hAnsi="Times New Roman"/>
                <w:color w:val="auto"/>
                <w:spacing w:val="-4"/>
                <w:sz w:val="24"/>
                <w:szCs w:val="24"/>
                <w:lang w:val="en-US" w:eastAsia="zh-CN"/>
              </w:rPr>
              <w:t>乐业镇、五星乡</w:t>
            </w:r>
            <w:r>
              <w:rPr>
                <w:rFonts w:ascii="Times New Roman" w:hAnsi="Times New Roman"/>
                <w:color w:val="auto"/>
                <w:spacing w:val="-4"/>
                <w:sz w:val="24"/>
                <w:szCs w:val="24"/>
              </w:rPr>
              <w:t>境内</w:t>
            </w:r>
            <w:r>
              <w:rPr>
                <w:rFonts w:ascii="Times New Roman" w:hAnsi="Times New Roman"/>
                <w:color w:val="auto"/>
                <w:sz w:val="24"/>
                <w:szCs w:val="24"/>
              </w:rPr>
              <w:t>，单</w:t>
            </w:r>
            <w:r>
              <w:rPr>
                <w:rFonts w:hint="eastAsia" w:ascii="Times New Roman" w:hAnsi="Times New Roman"/>
                <w:color w:val="auto"/>
                <w:sz w:val="24"/>
                <w:szCs w:val="24"/>
                <w:lang w:val="en-US" w:eastAsia="zh-CN"/>
              </w:rPr>
              <w:t>回路</w:t>
            </w:r>
            <w:r>
              <w:rPr>
                <w:rFonts w:ascii="Times New Roman" w:hAnsi="Times New Roman"/>
                <w:color w:val="auto"/>
                <w:sz w:val="24"/>
                <w:szCs w:val="24"/>
              </w:rPr>
              <w:t>架设，</w:t>
            </w:r>
            <w:r>
              <w:rPr>
                <w:rFonts w:hint="eastAsia" w:ascii="Times New Roman" w:hAnsi="Times New Roman"/>
                <w:color w:val="auto"/>
                <w:sz w:val="24"/>
                <w:szCs w:val="24"/>
                <w:lang w:val="en-US" w:eastAsia="zh-CN"/>
              </w:rPr>
              <w:t>起于大草山光伏升压站，讫于六合一光伏升压站，</w:t>
            </w:r>
            <w:r>
              <w:rPr>
                <w:rFonts w:ascii="Times New Roman" w:hAnsi="Times New Roman"/>
                <w:color w:val="auto"/>
                <w:sz w:val="24"/>
                <w:szCs w:val="24"/>
              </w:rPr>
              <w:t>线路全长</w:t>
            </w:r>
            <w:r>
              <w:rPr>
                <w:rFonts w:hint="eastAsia" w:ascii="Times New Roman" w:hAnsi="Times New Roman"/>
                <w:color w:val="auto"/>
                <w:sz w:val="24"/>
                <w:szCs w:val="24"/>
                <w:lang w:val="en-US" w:eastAsia="zh-CN"/>
              </w:rPr>
              <w:t>16</w:t>
            </w:r>
            <w:r>
              <w:rPr>
                <w:rFonts w:ascii="Times New Roman" w:hAnsi="Times New Roman"/>
                <w:color w:val="auto"/>
                <w:sz w:val="24"/>
                <w:szCs w:val="24"/>
              </w:rPr>
              <w:t>km</w:t>
            </w:r>
            <w:r>
              <w:rPr>
                <w:rFonts w:hint="eastAsia" w:ascii="Times New Roman" w:hAnsi="Times New Roman"/>
                <w:color w:val="auto"/>
                <w:sz w:val="24"/>
                <w:szCs w:val="24"/>
                <w:lang w:eastAsia="zh-CN"/>
              </w:rPr>
              <w:t>。</w:t>
            </w:r>
            <w:r>
              <w:rPr>
                <w:rFonts w:hint="eastAsia" w:ascii="Times New Roman" w:hAnsi="Times New Roman"/>
                <w:color w:val="auto"/>
                <w:sz w:val="24"/>
                <w:szCs w:val="24"/>
              </w:rPr>
              <w:t>导线（10mm、20mm冰区）采用JNRLH1/LB20A-400/50型铝包钢芯耐热铝合金绞线，导线（30mm冰区）采用JNRLH1/LB20A-400/</w:t>
            </w:r>
            <w:r>
              <w:rPr>
                <w:rFonts w:hint="eastAsia" w:ascii="Times New Roman" w:hAnsi="Times New Roman"/>
                <w:color w:val="auto"/>
                <w:sz w:val="24"/>
                <w:szCs w:val="24"/>
                <w:lang w:val="en-US" w:eastAsia="zh-CN"/>
              </w:rPr>
              <w:t>65</w:t>
            </w:r>
            <w:r>
              <w:rPr>
                <w:rFonts w:hint="eastAsia" w:ascii="Times New Roman" w:hAnsi="Times New Roman"/>
                <w:color w:val="auto"/>
                <w:sz w:val="24"/>
                <w:szCs w:val="24"/>
              </w:rPr>
              <w:t>型铝包钢芯耐热铝合金绞线；10、20mm冰区地线采用2根OPGW-100光缆（24芯G.652D），30mm冰区地线采用2根OPGW-120光缆（24芯G.652D）</w:t>
            </w:r>
            <w:r>
              <w:rPr>
                <w:rFonts w:hint="eastAsia" w:ascii="Times New Roman" w:hAnsi="Times New Roman"/>
                <w:color w:val="auto"/>
                <w:sz w:val="24"/>
                <w:szCs w:val="24"/>
                <w:lang w:eastAsia="zh-CN"/>
              </w:rPr>
              <w:t>。</w:t>
            </w:r>
            <w:r>
              <w:rPr>
                <w:rFonts w:hint="eastAsia"/>
                <w:color w:val="auto"/>
                <w:sz w:val="24"/>
                <w:lang w:val="zh-CN"/>
              </w:rPr>
              <w:t>新建铁塔</w:t>
            </w:r>
            <w:r>
              <w:rPr>
                <w:rFonts w:hint="eastAsia"/>
                <w:color w:val="auto"/>
                <w:sz w:val="24"/>
                <w:lang w:val="en-US" w:eastAsia="zh-CN"/>
              </w:rPr>
              <w:t>45</w:t>
            </w:r>
            <w:r>
              <w:rPr>
                <w:rFonts w:hint="eastAsia"/>
                <w:color w:val="auto"/>
                <w:sz w:val="24"/>
                <w:lang w:val="zh-CN"/>
              </w:rPr>
              <w:t>基（其中</w:t>
            </w:r>
            <w:r>
              <w:rPr>
                <w:rFonts w:hint="eastAsia"/>
                <w:color w:val="auto"/>
                <w:sz w:val="24"/>
                <w:lang w:val="en-US" w:eastAsia="zh-CN"/>
              </w:rPr>
              <w:t>单回</w:t>
            </w:r>
            <w:r>
              <w:rPr>
                <w:rFonts w:hint="eastAsia"/>
                <w:color w:val="auto"/>
                <w:sz w:val="24"/>
                <w:lang w:val="zh-CN"/>
              </w:rPr>
              <w:t>耐张塔</w:t>
            </w:r>
            <w:r>
              <w:rPr>
                <w:rFonts w:hint="eastAsia"/>
                <w:color w:val="auto"/>
                <w:sz w:val="24"/>
                <w:lang w:val="en-US" w:eastAsia="zh-CN"/>
              </w:rPr>
              <w:t>17</w:t>
            </w:r>
            <w:r>
              <w:rPr>
                <w:rFonts w:hint="eastAsia"/>
                <w:color w:val="auto"/>
                <w:sz w:val="24"/>
                <w:lang w:val="zh-CN"/>
              </w:rPr>
              <w:t>基，</w:t>
            </w:r>
            <w:r>
              <w:rPr>
                <w:rFonts w:hint="eastAsia"/>
                <w:color w:val="auto"/>
                <w:sz w:val="24"/>
                <w:lang w:val="en-US" w:eastAsia="zh-CN"/>
              </w:rPr>
              <w:t>单回塔基</w:t>
            </w:r>
            <w:r>
              <w:rPr>
                <w:rFonts w:hint="eastAsia"/>
                <w:color w:val="auto"/>
                <w:sz w:val="24"/>
                <w:lang w:val="zh-CN"/>
              </w:rPr>
              <w:t>直线塔</w:t>
            </w:r>
            <w:r>
              <w:rPr>
                <w:rFonts w:hint="eastAsia"/>
                <w:color w:val="auto"/>
                <w:sz w:val="24"/>
                <w:lang w:val="en-US" w:eastAsia="zh-CN"/>
              </w:rPr>
              <w:t>28</w:t>
            </w:r>
            <w:r>
              <w:rPr>
                <w:rFonts w:hint="eastAsia"/>
                <w:color w:val="auto"/>
                <w:sz w:val="24"/>
                <w:lang w:val="zh-CN"/>
              </w:rPr>
              <w:t>基），耐张比：</w:t>
            </w:r>
            <w:r>
              <w:rPr>
                <w:rFonts w:hint="eastAsia"/>
                <w:color w:val="auto"/>
                <w:sz w:val="24"/>
                <w:lang w:val="en-US" w:eastAsia="zh-CN"/>
              </w:rPr>
              <w:t>37.78</w:t>
            </w:r>
            <w:r>
              <w:rPr>
                <w:rFonts w:hint="eastAsia"/>
                <w:color w:val="auto"/>
                <w:sz w:val="24"/>
                <w:lang w:val="zh-CN"/>
              </w:rPr>
              <w:t>%。</w:t>
            </w:r>
            <w:r>
              <w:rPr>
                <w:rFonts w:hint="eastAsia"/>
                <w:color w:val="auto"/>
                <w:sz w:val="24"/>
                <w:lang w:val="en-US" w:eastAsia="zh-CN"/>
              </w:rPr>
              <w:t>采用三角排列、水平排列，</w:t>
            </w:r>
            <w:r>
              <w:rPr>
                <w:rFonts w:hint="eastAsia" w:ascii="Times New Roman" w:hAnsi="Times New Roman"/>
                <w:color w:val="auto"/>
                <w:sz w:val="24"/>
                <w:szCs w:val="24"/>
              </w:rPr>
              <w:t>其中线路塔基N</w:t>
            </w:r>
            <w:r>
              <w:rPr>
                <w:rFonts w:hint="eastAsia" w:ascii="Times New Roman" w:hAnsi="Times New Roman"/>
                <w:color w:val="auto"/>
                <w:sz w:val="24"/>
                <w:szCs w:val="24"/>
                <w:lang w:val="en-US" w:eastAsia="zh-CN"/>
              </w:rPr>
              <w:t>1</w:t>
            </w:r>
            <w:r>
              <w:rPr>
                <w:rFonts w:hint="eastAsia" w:ascii="Times New Roman" w:hAnsi="Times New Roman"/>
                <w:color w:val="auto"/>
                <w:sz w:val="24"/>
                <w:szCs w:val="24"/>
              </w:rPr>
              <w:t>-N</w:t>
            </w:r>
            <w:r>
              <w:rPr>
                <w:rFonts w:hint="eastAsia" w:ascii="Times New Roman" w:hAnsi="Times New Roman"/>
                <w:color w:val="auto"/>
                <w:sz w:val="24"/>
                <w:szCs w:val="24"/>
                <w:lang w:val="en-US" w:eastAsia="zh-CN"/>
              </w:rPr>
              <w:t>28</w:t>
            </w:r>
            <w:r>
              <w:rPr>
                <w:rFonts w:hint="eastAsia" w:ascii="Times New Roman" w:hAnsi="Times New Roman"/>
                <w:color w:val="auto"/>
                <w:sz w:val="24"/>
                <w:szCs w:val="24"/>
              </w:rPr>
              <w:t>共2</w:t>
            </w:r>
            <w:r>
              <w:rPr>
                <w:rFonts w:hint="eastAsia" w:ascii="Times New Roman" w:hAnsi="Times New Roman"/>
                <w:color w:val="auto"/>
                <w:sz w:val="24"/>
                <w:szCs w:val="24"/>
                <w:lang w:val="en-US" w:eastAsia="zh-CN"/>
              </w:rPr>
              <w:t>8</w:t>
            </w:r>
            <w:r>
              <w:rPr>
                <w:rFonts w:hint="eastAsia" w:ascii="Times New Roman" w:hAnsi="Times New Roman"/>
                <w:color w:val="auto"/>
                <w:sz w:val="24"/>
                <w:szCs w:val="24"/>
              </w:rPr>
              <w:t>基水平排列，长度</w:t>
            </w:r>
            <w:r>
              <w:rPr>
                <w:rFonts w:hint="eastAsia" w:ascii="Times New Roman" w:hAnsi="Times New Roman"/>
                <w:color w:val="auto"/>
                <w:sz w:val="24"/>
                <w:szCs w:val="24"/>
                <w:lang w:val="en-US" w:eastAsia="zh-CN"/>
              </w:rPr>
              <w:t>7.77</w:t>
            </w:r>
            <w:r>
              <w:rPr>
                <w:rFonts w:hint="eastAsia" w:ascii="Times New Roman" w:hAnsi="Times New Roman"/>
                <w:color w:val="auto"/>
                <w:sz w:val="24"/>
                <w:szCs w:val="24"/>
              </w:rPr>
              <w:t>km；其余</w:t>
            </w:r>
            <w:r>
              <w:rPr>
                <w:rFonts w:ascii="Times New Roman" w:hAnsi="Times New Roman"/>
                <w:color w:val="auto"/>
                <w:sz w:val="24"/>
                <w:szCs w:val="24"/>
              </w:rPr>
              <w:t>线路导线架设为三角排列，长度</w:t>
            </w:r>
            <w:r>
              <w:rPr>
                <w:rFonts w:hint="eastAsia" w:ascii="Times New Roman" w:hAnsi="Times New Roman"/>
                <w:color w:val="auto"/>
                <w:sz w:val="24"/>
                <w:szCs w:val="24"/>
                <w:lang w:val="en-US" w:eastAsia="zh-CN"/>
              </w:rPr>
              <w:t>8.23</w:t>
            </w:r>
            <w:r>
              <w:rPr>
                <w:rFonts w:ascii="Times New Roman" w:hAnsi="Times New Roman"/>
                <w:color w:val="auto"/>
                <w:sz w:val="24"/>
                <w:szCs w:val="24"/>
              </w:rPr>
              <w:t>km，共</w:t>
            </w:r>
            <w:r>
              <w:rPr>
                <w:rFonts w:hint="eastAsia" w:ascii="Times New Roman" w:hAnsi="Times New Roman"/>
                <w:color w:val="auto"/>
                <w:sz w:val="24"/>
                <w:szCs w:val="24"/>
                <w:lang w:val="en-US" w:eastAsia="zh-CN"/>
              </w:rPr>
              <w:t>17</w:t>
            </w:r>
            <w:r>
              <w:rPr>
                <w:rFonts w:ascii="Times New Roman" w:hAnsi="Times New Roman"/>
                <w:color w:val="auto"/>
                <w:sz w:val="24"/>
                <w:szCs w:val="24"/>
              </w:rPr>
              <w:t>基塔。</w:t>
            </w:r>
          </w:p>
          <w:p w14:paraId="7C3FF429">
            <w:pPr>
              <w:spacing w:line="440" w:lineRule="exact"/>
              <w:ind w:firstLine="480" w:firstLineChars="200"/>
              <w:rPr>
                <w:rFonts w:hint="default" w:eastAsia="宋体"/>
                <w:color w:val="auto"/>
                <w:sz w:val="24"/>
                <w:lang w:val="en-US" w:eastAsia="zh-CN"/>
              </w:rPr>
            </w:pPr>
            <w:r>
              <w:rPr>
                <w:rFonts w:hint="eastAsia"/>
                <w:color w:val="auto"/>
                <w:sz w:val="24"/>
              </w:rPr>
              <w:t>项目不涉及</w:t>
            </w:r>
            <w:r>
              <w:rPr>
                <w:rFonts w:hint="eastAsia" w:ascii="Times New Roman" w:hAnsi="Times New Roman"/>
                <w:color w:val="auto"/>
                <w:sz w:val="24"/>
                <w:szCs w:val="24"/>
                <w:lang w:val="en-US" w:eastAsia="zh-CN"/>
              </w:rPr>
              <w:t>大草山光伏升压站</w:t>
            </w:r>
            <w:r>
              <w:rPr>
                <w:rFonts w:hint="eastAsia"/>
                <w:color w:val="auto"/>
                <w:sz w:val="24"/>
              </w:rPr>
              <w:t>、六合一光伏</w:t>
            </w:r>
            <w:r>
              <w:rPr>
                <w:rFonts w:hint="eastAsia"/>
                <w:color w:val="auto"/>
                <w:sz w:val="24"/>
                <w:lang w:eastAsia="zh-CN"/>
              </w:rPr>
              <w:t>升压站</w:t>
            </w:r>
            <w:r>
              <w:rPr>
                <w:rFonts w:hint="eastAsia"/>
                <w:color w:val="auto"/>
                <w:sz w:val="24"/>
                <w:lang w:val="en-US" w:eastAsia="zh-CN"/>
              </w:rPr>
              <w:t>建设</w:t>
            </w:r>
            <w:r>
              <w:rPr>
                <w:rFonts w:hint="eastAsia"/>
                <w:color w:val="auto"/>
                <w:sz w:val="24"/>
              </w:rPr>
              <w:t>工程。</w:t>
            </w:r>
          </w:p>
          <w:p w14:paraId="64535CD3">
            <w:pPr>
              <w:adjustRightInd w:val="0"/>
              <w:snapToGrid w:val="0"/>
              <w:spacing w:line="440" w:lineRule="exact"/>
              <w:ind w:firstLine="482" w:firstLineChars="200"/>
              <w:rPr>
                <w:b/>
                <w:bCs/>
                <w:color w:val="auto"/>
                <w:sz w:val="24"/>
              </w:rPr>
            </w:pPr>
            <w:r>
              <w:rPr>
                <w:rFonts w:hint="eastAsia"/>
                <w:b/>
                <w:bCs/>
                <w:color w:val="auto"/>
                <w:sz w:val="24"/>
              </w:rPr>
              <w:t>2.2.2</w:t>
            </w:r>
            <w:r>
              <w:rPr>
                <w:b/>
                <w:bCs/>
                <w:color w:val="auto"/>
                <w:sz w:val="24"/>
              </w:rPr>
              <w:t>项目组成</w:t>
            </w:r>
          </w:p>
          <w:p w14:paraId="056930AF">
            <w:pPr>
              <w:spacing w:line="240" w:lineRule="auto"/>
              <w:jc w:val="center"/>
              <w:rPr>
                <w:b/>
                <w:bCs/>
                <w:color w:val="auto"/>
                <w:sz w:val="24"/>
              </w:rPr>
            </w:pPr>
            <w:r>
              <w:rPr>
                <w:b/>
                <w:bCs/>
                <w:color w:val="auto"/>
                <w:sz w:val="24"/>
              </w:rPr>
              <w:t>表2-1  项目组成一览表</w:t>
            </w:r>
          </w:p>
          <w:tbl>
            <w:tblPr>
              <w:tblStyle w:val="30"/>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8"/>
              <w:gridCol w:w="1443"/>
              <w:gridCol w:w="4898"/>
              <w:gridCol w:w="895"/>
            </w:tblGrid>
            <w:tr w14:paraId="5D3212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noWrap w:val="0"/>
                  <w:vAlign w:val="center"/>
                </w:tcPr>
                <w:p w14:paraId="40971A4B">
                  <w:pPr>
                    <w:pStyle w:val="87"/>
                    <w:autoSpaceDE/>
                    <w:autoSpaceDN/>
                    <w:jc w:val="center"/>
                    <w:rPr>
                      <w:rFonts w:cs="Times New Roman"/>
                      <w:b/>
                      <w:bCs/>
                      <w:color w:val="auto"/>
                      <w:spacing w:val="0"/>
                    </w:rPr>
                  </w:pPr>
                  <w:r>
                    <w:rPr>
                      <w:rFonts w:cs="Times New Roman"/>
                      <w:b/>
                      <w:bCs/>
                      <w:color w:val="auto"/>
                      <w:spacing w:val="0"/>
                    </w:rPr>
                    <w:t>工程类别</w:t>
                  </w:r>
                </w:p>
              </w:tc>
              <w:tc>
                <w:tcPr>
                  <w:tcW w:w="900" w:type="pct"/>
                  <w:noWrap w:val="0"/>
                  <w:vAlign w:val="center"/>
                </w:tcPr>
                <w:p w14:paraId="7CB70779">
                  <w:pPr>
                    <w:pStyle w:val="87"/>
                    <w:autoSpaceDE/>
                    <w:autoSpaceDN/>
                    <w:jc w:val="center"/>
                    <w:rPr>
                      <w:rFonts w:cs="Times New Roman"/>
                      <w:b/>
                      <w:bCs/>
                      <w:color w:val="auto"/>
                      <w:spacing w:val="0"/>
                    </w:rPr>
                  </w:pPr>
                  <w:r>
                    <w:rPr>
                      <w:rFonts w:cs="Times New Roman"/>
                      <w:b/>
                      <w:bCs/>
                      <w:color w:val="auto"/>
                      <w:spacing w:val="0"/>
                    </w:rPr>
                    <w:t>项目</w:t>
                  </w:r>
                </w:p>
              </w:tc>
              <w:tc>
                <w:tcPr>
                  <w:tcW w:w="3055" w:type="pct"/>
                  <w:noWrap w:val="0"/>
                  <w:vAlign w:val="center"/>
                </w:tcPr>
                <w:p w14:paraId="448D37A0">
                  <w:pPr>
                    <w:pStyle w:val="87"/>
                    <w:autoSpaceDE/>
                    <w:autoSpaceDN/>
                    <w:jc w:val="center"/>
                    <w:rPr>
                      <w:rFonts w:cs="Times New Roman"/>
                      <w:b/>
                      <w:bCs/>
                      <w:color w:val="auto"/>
                      <w:spacing w:val="0"/>
                    </w:rPr>
                  </w:pPr>
                  <w:r>
                    <w:rPr>
                      <w:rFonts w:cs="Times New Roman"/>
                      <w:b/>
                      <w:bCs/>
                      <w:color w:val="auto"/>
                      <w:spacing w:val="0"/>
                    </w:rPr>
                    <w:t>主要建设内容</w:t>
                  </w:r>
                </w:p>
              </w:tc>
              <w:tc>
                <w:tcPr>
                  <w:tcW w:w="558" w:type="pct"/>
                  <w:noWrap w:val="0"/>
                  <w:vAlign w:val="center"/>
                </w:tcPr>
                <w:p w14:paraId="047B4282">
                  <w:pPr>
                    <w:pStyle w:val="87"/>
                    <w:autoSpaceDE/>
                    <w:autoSpaceDN/>
                    <w:jc w:val="center"/>
                    <w:rPr>
                      <w:rFonts w:cs="Times New Roman"/>
                      <w:b/>
                      <w:bCs/>
                      <w:color w:val="auto"/>
                      <w:spacing w:val="0"/>
                    </w:rPr>
                  </w:pPr>
                  <w:r>
                    <w:rPr>
                      <w:rFonts w:cs="Times New Roman"/>
                      <w:b/>
                      <w:bCs/>
                      <w:color w:val="auto"/>
                      <w:spacing w:val="0"/>
                    </w:rPr>
                    <w:t>备注</w:t>
                  </w:r>
                </w:p>
              </w:tc>
            </w:tr>
            <w:tr w14:paraId="516BB4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restart"/>
                  <w:noWrap w:val="0"/>
                  <w:vAlign w:val="center"/>
                </w:tcPr>
                <w:p w14:paraId="7744FAD3">
                  <w:pPr>
                    <w:pStyle w:val="87"/>
                    <w:autoSpaceDE/>
                    <w:autoSpaceDN/>
                    <w:jc w:val="center"/>
                    <w:rPr>
                      <w:rFonts w:cs="Times New Roman"/>
                      <w:color w:val="auto"/>
                      <w:spacing w:val="0"/>
                    </w:rPr>
                  </w:pPr>
                  <w:r>
                    <w:rPr>
                      <w:rFonts w:cs="Times New Roman"/>
                      <w:color w:val="auto"/>
                      <w:spacing w:val="0"/>
                    </w:rPr>
                    <w:t>主体工程</w:t>
                  </w:r>
                </w:p>
              </w:tc>
              <w:tc>
                <w:tcPr>
                  <w:tcW w:w="900" w:type="pct"/>
                  <w:noWrap w:val="0"/>
                  <w:vAlign w:val="center"/>
                </w:tcPr>
                <w:p w14:paraId="5307592B">
                  <w:pPr>
                    <w:pStyle w:val="87"/>
                    <w:autoSpaceDE/>
                    <w:autoSpaceDN/>
                    <w:jc w:val="center"/>
                    <w:rPr>
                      <w:rFonts w:hint="eastAsia" w:eastAsia="宋体" w:cs="Times New Roman"/>
                      <w:color w:val="auto"/>
                      <w:spacing w:val="0"/>
                      <w:lang w:val="en-US" w:eastAsia="zh-CN"/>
                    </w:rPr>
                  </w:pPr>
                  <w:r>
                    <w:rPr>
                      <w:rFonts w:hint="eastAsia" w:cs="Times New Roman"/>
                      <w:color w:val="auto"/>
                      <w:spacing w:val="0"/>
                      <w:lang w:val="en-US" w:eastAsia="zh-CN"/>
                    </w:rPr>
                    <w:t>架空</w:t>
                  </w:r>
                  <w:r>
                    <w:rPr>
                      <w:rFonts w:cs="Times New Roman"/>
                      <w:color w:val="auto"/>
                      <w:spacing w:val="0"/>
                      <w:lang w:val="zh-CN"/>
                    </w:rPr>
                    <w:t>线路</w:t>
                  </w:r>
                  <w:r>
                    <w:rPr>
                      <w:rFonts w:hint="eastAsia" w:cs="Times New Roman"/>
                      <w:color w:val="auto"/>
                      <w:spacing w:val="0"/>
                      <w:lang w:val="en-US" w:eastAsia="zh-CN"/>
                    </w:rPr>
                    <w:t>段</w:t>
                  </w:r>
                </w:p>
              </w:tc>
              <w:tc>
                <w:tcPr>
                  <w:tcW w:w="3055" w:type="pct"/>
                  <w:noWrap w:val="0"/>
                  <w:vAlign w:val="center"/>
                </w:tcPr>
                <w:p w14:paraId="072ED952">
                  <w:pPr>
                    <w:pStyle w:val="87"/>
                    <w:autoSpaceDE/>
                    <w:autoSpaceDN/>
                    <w:jc w:val="center"/>
                    <w:rPr>
                      <w:rFonts w:hint="eastAsia" w:eastAsia="宋体" w:cs="Times New Roman"/>
                      <w:color w:val="auto"/>
                      <w:spacing w:val="0"/>
                      <w:lang w:eastAsia="zh-CN"/>
                    </w:rPr>
                  </w:pPr>
                  <w:r>
                    <w:rPr>
                      <w:rFonts w:cs="Times New Roman"/>
                      <w:color w:val="auto"/>
                      <w:spacing w:val="0"/>
                    </w:rPr>
                    <w:t>新建</w:t>
                  </w:r>
                  <w:r>
                    <w:rPr>
                      <w:rFonts w:hint="eastAsia" w:cs="Times New Roman"/>
                      <w:color w:val="auto"/>
                      <w:spacing w:val="0"/>
                    </w:rPr>
                    <w:t>1</w:t>
                  </w:r>
                  <w:r>
                    <w:rPr>
                      <w:rFonts w:cs="Times New Roman"/>
                      <w:color w:val="auto"/>
                      <w:spacing w:val="0"/>
                    </w:rPr>
                    <w:t>回110kV架空输电线路，</w:t>
                  </w:r>
                  <w:r>
                    <w:rPr>
                      <w:rFonts w:hint="eastAsia" w:cs="Times New Roman"/>
                      <w:color w:val="auto"/>
                      <w:spacing w:val="0"/>
                      <w:lang w:val="zh-CN"/>
                    </w:rPr>
                    <w:t>起于大草山光伏升压站，止于六合一光伏升压站，</w:t>
                  </w:r>
                  <w:r>
                    <w:rPr>
                      <w:rFonts w:cs="Times New Roman"/>
                      <w:color w:val="auto"/>
                      <w:spacing w:val="0"/>
                    </w:rPr>
                    <w:t>长</w:t>
                  </w:r>
                  <w:r>
                    <w:rPr>
                      <w:rFonts w:hint="eastAsia" w:cs="Times New Roman"/>
                      <w:color w:val="auto"/>
                      <w:spacing w:val="0"/>
                      <w:lang w:val="en-US" w:eastAsia="zh-CN"/>
                    </w:rPr>
                    <w:t>16</w:t>
                  </w:r>
                  <w:r>
                    <w:rPr>
                      <w:rFonts w:hint="eastAsia" w:cs="Times New Roman"/>
                      <w:color w:val="auto"/>
                      <w:spacing w:val="0"/>
                    </w:rPr>
                    <w:t>km</w:t>
                  </w:r>
                  <w:r>
                    <w:rPr>
                      <w:rFonts w:cs="Times New Roman"/>
                      <w:color w:val="auto"/>
                      <w:spacing w:val="0"/>
                    </w:rPr>
                    <w:t>，采用单回路架设，</w:t>
                  </w:r>
                  <w:r>
                    <w:rPr>
                      <w:rFonts w:hint="eastAsia" w:cs="Times New Roman"/>
                      <w:color w:val="auto"/>
                      <w:spacing w:val="0"/>
                      <w:lang w:val="zh-CN"/>
                    </w:rPr>
                    <w:t>新建线路导线（10mm、20mm冰区）采用JNRLH1/LB20A-400/50型铝包钢芯耐热铝合金绞线，导线（30mm冰区）采用JNRLH1/LB20A-400/</w:t>
                  </w:r>
                  <w:r>
                    <w:rPr>
                      <w:rFonts w:hint="eastAsia" w:cs="Times New Roman"/>
                      <w:color w:val="auto"/>
                      <w:spacing w:val="0"/>
                      <w:lang w:val="en-US" w:eastAsia="zh-CN"/>
                    </w:rPr>
                    <w:t>65</w:t>
                  </w:r>
                  <w:r>
                    <w:rPr>
                      <w:rFonts w:hint="eastAsia" w:cs="Times New Roman"/>
                      <w:color w:val="auto"/>
                      <w:spacing w:val="0"/>
                      <w:lang w:val="zh-CN"/>
                    </w:rPr>
                    <w:t>型铝包钢芯耐热铝合金绞线；10、20mm冰区地线采用2根OPGW-100光缆（24芯G.652D），30mm冰区地线采用2根OPGW-120光缆（24芯G.652D）</w:t>
                  </w:r>
                  <w:r>
                    <w:rPr>
                      <w:rFonts w:hint="eastAsia" w:cs="Times New Roman"/>
                      <w:color w:val="auto"/>
                      <w:spacing w:val="0"/>
                    </w:rPr>
                    <w:t>。</w:t>
                  </w:r>
                </w:p>
              </w:tc>
              <w:tc>
                <w:tcPr>
                  <w:tcW w:w="558" w:type="pct"/>
                  <w:noWrap w:val="0"/>
                  <w:vAlign w:val="center"/>
                </w:tcPr>
                <w:p w14:paraId="1014DA40">
                  <w:pPr>
                    <w:pStyle w:val="87"/>
                    <w:autoSpaceDE/>
                    <w:autoSpaceDN/>
                    <w:jc w:val="center"/>
                    <w:rPr>
                      <w:rFonts w:cs="Times New Roman"/>
                      <w:color w:val="auto"/>
                      <w:spacing w:val="0"/>
                    </w:rPr>
                  </w:pPr>
                  <w:r>
                    <w:rPr>
                      <w:rFonts w:cs="Times New Roman"/>
                      <w:color w:val="auto"/>
                      <w:spacing w:val="0"/>
                    </w:rPr>
                    <w:t>新建</w:t>
                  </w:r>
                </w:p>
              </w:tc>
            </w:tr>
            <w:tr w14:paraId="7FADB8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continue"/>
                  <w:noWrap w:val="0"/>
                  <w:vAlign w:val="center"/>
                </w:tcPr>
                <w:p w14:paraId="4E4DDEA5">
                  <w:pPr>
                    <w:pStyle w:val="87"/>
                    <w:autoSpaceDE/>
                    <w:autoSpaceDN/>
                    <w:jc w:val="center"/>
                    <w:rPr>
                      <w:rFonts w:cs="Times New Roman"/>
                      <w:color w:val="auto"/>
                      <w:spacing w:val="0"/>
                    </w:rPr>
                  </w:pPr>
                </w:p>
              </w:tc>
              <w:tc>
                <w:tcPr>
                  <w:tcW w:w="900" w:type="pct"/>
                  <w:noWrap w:val="0"/>
                  <w:vAlign w:val="center"/>
                </w:tcPr>
                <w:p w14:paraId="5ED6DA15">
                  <w:pPr>
                    <w:pStyle w:val="87"/>
                    <w:autoSpaceDE/>
                    <w:autoSpaceDN/>
                    <w:jc w:val="center"/>
                    <w:rPr>
                      <w:rFonts w:cs="Times New Roman"/>
                      <w:color w:val="auto"/>
                      <w:spacing w:val="0"/>
                    </w:rPr>
                  </w:pPr>
                  <w:r>
                    <w:rPr>
                      <w:rFonts w:cs="Times New Roman"/>
                      <w:color w:val="auto"/>
                      <w:spacing w:val="0"/>
                    </w:rPr>
                    <w:t>塔基</w:t>
                  </w:r>
                </w:p>
              </w:tc>
              <w:tc>
                <w:tcPr>
                  <w:tcW w:w="3055" w:type="pct"/>
                  <w:noWrap w:val="0"/>
                  <w:vAlign w:val="center"/>
                </w:tcPr>
                <w:p w14:paraId="5881EB0F">
                  <w:pPr>
                    <w:pStyle w:val="87"/>
                    <w:autoSpaceDE/>
                    <w:autoSpaceDN/>
                    <w:jc w:val="center"/>
                    <w:rPr>
                      <w:rFonts w:hint="eastAsia" w:eastAsia="宋体" w:cs="Times New Roman"/>
                      <w:color w:val="auto"/>
                      <w:spacing w:val="0"/>
                      <w:lang w:eastAsia="zh-CN"/>
                    </w:rPr>
                  </w:pPr>
                  <w:r>
                    <w:rPr>
                      <w:rFonts w:cs="Times New Roman"/>
                      <w:color w:val="auto"/>
                      <w:spacing w:val="0"/>
                    </w:rPr>
                    <w:t>项目采用典设塔型，110kV</w:t>
                  </w:r>
                  <w:r>
                    <w:rPr>
                      <w:rFonts w:hint="eastAsia" w:cs="Times New Roman"/>
                      <w:color w:val="auto"/>
                      <w:spacing w:val="0"/>
                    </w:rPr>
                    <w:t>线路选用1D1Y1、2D1Z5</w:t>
                  </w:r>
                  <w:r>
                    <w:rPr>
                      <w:rFonts w:hint="eastAsia" w:cs="Times New Roman"/>
                      <w:color w:val="auto"/>
                      <w:spacing w:val="0"/>
                      <w:lang w:eastAsia="zh-CN"/>
                    </w:rPr>
                    <w:t>、</w:t>
                  </w:r>
                  <w:r>
                    <w:rPr>
                      <w:rFonts w:hint="eastAsia" w:cs="Times New Roman"/>
                      <w:color w:val="auto"/>
                      <w:spacing w:val="0"/>
                    </w:rPr>
                    <w:t>2D1R7</w:t>
                  </w:r>
                  <w:r>
                    <w:rPr>
                      <w:rFonts w:hint="eastAsia" w:cs="Times New Roman"/>
                      <w:color w:val="auto"/>
                      <w:spacing w:val="0"/>
                      <w:lang w:eastAsia="zh-CN"/>
                    </w:rPr>
                    <w:t>、2D1R8</w:t>
                  </w:r>
                  <w:r>
                    <w:rPr>
                      <w:rFonts w:hint="eastAsia" w:cs="Times New Roman"/>
                      <w:color w:val="auto"/>
                      <w:spacing w:val="0"/>
                    </w:rPr>
                    <w:t>模块。</w:t>
                  </w:r>
                  <w:r>
                    <w:rPr>
                      <w:rFonts w:hint="eastAsia" w:cs="Times New Roman"/>
                      <w:color w:val="auto"/>
                      <w:spacing w:val="0"/>
                      <w:lang w:val="zh-CN"/>
                    </w:rPr>
                    <w:t>新建铁塔</w:t>
                  </w:r>
                  <w:r>
                    <w:rPr>
                      <w:rFonts w:hint="eastAsia" w:cs="Times New Roman"/>
                      <w:color w:val="auto"/>
                      <w:spacing w:val="0"/>
                      <w:lang w:val="en-US" w:eastAsia="zh-CN"/>
                    </w:rPr>
                    <w:t>45</w:t>
                  </w:r>
                  <w:r>
                    <w:rPr>
                      <w:rFonts w:hint="eastAsia" w:cs="Times New Roman"/>
                      <w:color w:val="auto"/>
                      <w:spacing w:val="0"/>
                      <w:lang w:val="zh-CN"/>
                    </w:rPr>
                    <w:t>基（其中单回耐张塔1</w:t>
                  </w:r>
                  <w:r>
                    <w:rPr>
                      <w:rFonts w:hint="eastAsia" w:cs="Times New Roman"/>
                      <w:color w:val="auto"/>
                      <w:spacing w:val="0"/>
                      <w:lang w:val="en-US" w:eastAsia="zh-CN"/>
                    </w:rPr>
                    <w:t>7</w:t>
                  </w:r>
                  <w:r>
                    <w:rPr>
                      <w:rFonts w:hint="eastAsia" w:cs="Times New Roman"/>
                      <w:color w:val="auto"/>
                      <w:spacing w:val="0"/>
                      <w:lang w:val="zh-CN"/>
                    </w:rPr>
                    <w:t>基，单回塔基直线塔2</w:t>
                  </w:r>
                  <w:r>
                    <w:rPr>
                      <w:rFonts w:hint="eastAsia" w:cs="Times New Roman"/>
                      <w:color w:val="auto"/>
                      <w:spacing w:val="0"/>
                      <w:lang w:val="en-US" w:eastAsia="zh-CN"/>
                    </w:rPr>
                    <w:t>8</w:t>
                  </w:r>
                  <w:r>
                    <w:rPr>
                      <w:rFonts w:hint="eastAsia" w:cs="Times New Roman"/>
                      <w:color w:val="auto"/>
                      <w:spacing w:val="0"/>
                      <w:lang w:val="zh-CN"/>
                    </w:rPr>
                    <w:t>基），耐张比：</w:t>
                  </w:r>
                  <w:r>
                    <w:rPr>
                      <w:rFonts w:hint="eastAsia" w:cs="Times New Roman"/>
                      <w:color w:val="auto"/>
                      <w:spacing w:val="0"/>
                      <w:lang w:val="en-US" w:eastAsia="zh-CN"/>
                    </w:rPr>
                    <w:t>37.78</w:t>
                  </w:r>
                  <w:r>
                    <w:rPr>
                      <w:rFonts w:hint="eastAsia" w:cs="Times New Roman"/>
                      <w:color w:val="auto"/>
                      <w:spacing w:val="0"/>
                    </w:rPr>
                    <w:t>%</w:t>
                  </w:r>
                  <w:r>
                    <w:rPr>
                      <w:rFonts w:hint="eastAsia" w:cs="Times New Roman"/>
                      <w:color w:val="auto"/>
                      <w:spacing w:val="0"/>
                      <w:lang w:eastAsia="zh-CN"/>
                    </w:rPr>
                    <w:t>。</w:t>
                  </w:r>
                  <w:r>
                    <w:rPr>
                      <w:rFonts w:hint="eastAsia" w:cs="Times New Roman"/>
                      <w:color w:val="auto"/>
                      <w:spacing w:val="0"/>
                      <w:lang w:val="en-US" w:eastAsia="zh-CN"/>
                    </w:rPr>
                    <w:t>采用三角排列、水平排列，</w:t>
                  </w:r>
                  <w:r>
                    <w:rPr>
                      <w:rFonts w:hint="eastAsia" w:cs="Times New Roman"/>
                      <w:color w:val="auto"/>
                      <w:spacing w:val="0"/>
                    </w:rPr>
                    <w:t>其中线路塔基N</w:t>
                  </w:r>
                  <w:r>
                    <w:rPr>
                      <w:rFonts w:hint="eastAsia" w:cs="Times New Roman"/>
                      <w:color w:val="auto"/>
                      <w:spacing w:val="0"/>
                      <w:lang w:val="en-US" w:eastAsia="zh-CN"/>
                    </w:rPr>
                    <w:t>1</w:t>
                  </w:r>
                  <w:r>
                    <w:rPr>
                      <w:rFonts w:hint="eastAsia" w:cs="Times New Roman"/>
                      <w:color w:val="auto"/>
                      <w:spacing w:val="0"/>
                    </w:rPr>
                    <w:t>-N</w:t>
                  </w:r>
                  <w:r>
                    <w:rPr>
                      <w:rFonts w:hint="eastAsia" w:cs="Times New Roman"/>
                      <w:color w:val="auto"/>
                      <w:spacing w:val="0"/>
                      <w:lang w:val="en-US" w:eastAsia="zh-CN"/>
                    </w:rPr>
                    <w:t>28</w:t>
                  </w:r>
                  <w:r>
                    <w:rPr>
                      <w:rFonts w:hint="eastAsia" w:cs="Times New Roman"/>
                      <w:color w:val="auto"/>
                      <w:spacing w:val="0"/>
                    </w:rPr>
                    <w:t>共2</w:t>
                  </w:r>
                  <w:r>
                    <w:rPr>
                      <w:rFonts w:hint="eastAsia" w:cs="Times New Roman"/>
                      <w:color w:val="auto"/>
                      <w:spacing w:val="0"/>
                      <w:lang w:val="en-US" w:eastAsia="zh-CN"/>
                    </w:rPr>
                    <w:t>8</w:t>
                  </w:r>
                  <w:r>
                    <w:rPr>
                      <w:rFonts w:hint="eastAsia" w:cs="Times New Roman"/>
                      <w:color w:val="auto"/>
                      <w:spacing w:val="0"/>
                    </w:rPr>
                    <w:t>基水平排列，长度</w:t>
                  </w:r>
                  <w:r>
                    <w:rPr>
                      <w:rFonts w:hint="eastAsia" w:cs="Times New Roman"/>
                      <w:color w:val="auto"/>
                      <w:spacing w:val="0"/>
                      <w:lang w:val="en-US" w:eastAsia="zh-CN"/>
                    </w:rPr>
                    <w:t>7.77</w:t>
                  </w:r>
                  <w:r>
                    <w:rPr>
                      <w:rFonts w:hint="eastAsia" w:cs="Times New Roman"/>
                      <w:color w:val="auto"/>
                      <w:spacing w:val="0"/>
                    </w:rPr>
                    <w:t>km；其余线路导线架设为三角排列，长度</w:t>
                  </w:r>
                  <w:r>
                    <w:rPr>
                      <w:rFonts w:hint="eastAsia" w:cs="Times New Roman"/>
                      <w:color w:val="auto"/>
                      <w:spacing w:val="0"/>
                      <w:lang w:val="en-US" w:eastAsia="zh-CN"/>
                    </w:rPr>
                    <w:t>8.23</w:t>
                  </w:r>
                  <w:r>
                    <w:rPr>
                      <w:rFonts w:hint="eastAsia" w:cs="Times New Roman"/>
                      <w:color w:val="auto"/>
                      <w:spacing w:val="0"/>
                    </w:rPr>
                    <w:t>km，共</w:t>
                  </w:r>
                  <w:r>
                    <w:rPr>
                      <w:rFonts w:hint="eastAsia" w:cs="Times New Roman"/>
                      <w:color w:val="auto"/>
                      <w:spacing w:val="0"/>
                      <w:lang w:val="en-US" w:eastAsia="zh-CN"/>
                    </w:rPr>
                    <w:t>17</w:t>
                  </w:r>
                  <w:r>
                    <w:rPr>
                      <w:rFonts w:hint="eastAsia" w:cs="Times New Roman"/>
                      <w:color w:val="auto"/>
                      <w:spacing w:val="0"/>
                    </w:rPr>
                    <w:t>基塔</w:t>
                  </w:r>
                  <w:r>
                    <w:rPr>
                      <w:rFonts w:hint="eastAsia" w:cs="Times New Roman"/>
                      <w:color w:val="auto"/>
                      <w:spacing w:val="0"/>
                      <w:lang w:eastAsia="zh-CN"/>
                    </w:rPr>
                    <w:t>。</w:t>
                  </w:r>
                </w:p>
              </w:tc>
              <w:tc>
                <w:tcPr>
                  <w:tcW w:w="558" w:type="pct"/>
                  <w:noWrap w:val="0"/>
                  <w:vAlign w:val="center"/>
                </w:tcPr>
                <w:p w14:paraId="27802F51">
                  <w:pPr>
                    <w:pStyle w:val="87"/>
                    <w:autoSpaceDE/>
                    <w:autoSpaceDN/>
                    <w:jc w:val="center"/>
                    <w:rPr>
                      <w:rFonts w:cs="Times New Roman"/>
                      <w:color w:val="auto"/>
                      <w:spacing w:val="0"/>
                    </w:rPr>
                  </w:pPr>
                  <w:r>
                    <w:rPr>
                      <w:rFonts w:cs="Times New Roman"/>
                      <w:color w:val="auto"/>
                      <w:spacing w:val="0"/>
                    </w:rPr>
                    <w:t>新建</w:t>
                  </w:r>
                </w:p>
              </w:tc>
            </w:tr>
            <w:tr w14:paraId="7DFB1F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continue"/>
                  <w:noWrap w:val="0"/>
                  <w:vAlign w:val="center"/>
                </w:tcPr>
                <w:p w14:paraId="59130669">
                  <w:pPr>
                    <w:pStyle w:val="87"/>
                    <w:autoSpaceDE/>
                    <w:autoSpaceDN/>
                    <w:jc w:val="center"/>
                    <w:rPr>
                      <w:rFonts w:cs="Times New Roman"/>
                      <w:color w:val="auto"/>
                      <w:spacing w:val="0"/>
                    </w:rPr>
                  </w:pPr>
                </w:p>
              </w:tc>
              <w:tc>
                <w:tcPr>
                  <w:tcW w:w="900" w:type="pct"/>
                  <w:noWrap w:val="0"/>
                  <w:vAlign w:val="center"/>
                </w:tcPr>
                <w:p w14:paraId="202C448F">
                  <w:pPr>
                    <w:pStyle w:val="87"/>
                    <w:autoSpaceDE/>
                    <w:autoSpaceDN/>
                    <w:jc w:val="center"/>
                    <w:rPr>
                      <w:rFonts w:cs="Times New Roman"/>
                      <w:color w:val="auto"/>
                      <w:spacing w:val="0"/>
                    </w:rPr>
                  </w:pPr>
                  <w:r>
                    <w:rPr>
                      <w:rFonts w:cs="Times New Roman"/>
                      <w:color w:val="auto"/>
                      <w:spacing w:val="0"/>
                    </w:rPr>
                    <w:t>路径走向</w:t>
                  </w:r>
                </w:p>
              </w:tc>
              <w:tc>
                <w:tcPr>
                  <w:tcW w:w="3055" w:type="pct"/>
                  <w:noWrap w:val="0"/>
                  <w:vAlign w:val="center"/>
                </w:tcPr>
                <w:p w14:paraId="1F38C35E">
                  <w:pPr>
                    <w:pStyle w:val="87"/>
                    <w:autoSpaceDE/>
                    <w:autoSpaceDN/>
                    <w:jc w:val="center"/>
                    <w:rPr>
                      <w:rFonts w:hint="eastAsia" w:eastAsia="宋体" w:cs="Times New Roman"/>
                      <w:color w:val="auto"/>
                      <w:spacing w:val="0"/>
                      <w:lang w:eastAsia="zh-CN"/>
                    </w:rPr>
                  </w:pPr>
                  <w:r>
                    <w:rPr>
                      <w:rFonts w:hint="eastAsia" w:cs="Times New Roman"/>
                      <w:color w:val="auto"/>
                      <w:spacing w:val="0"/>
                    </w:rPr>
                    <w:t>本工程新建线路从大草房光伏电站出线构架架空出线后，向北出线后右转从大山沟北面山脊走线，到达鲁珠河前右转，跨过鲁珠河，在山脊上跨过</w:t>
                  </w:r>
                  <w:r>
                    <w:rPr>
                      <w:rFonts w:hint="eastAsia" w:cs="Times New Roman"/>
                      <w:color w:val="auto"/>
                      <w:spacing w:val="0"/>
                      <w:lang w:eastAsia="zh-CN"/>
                    </w:rPr>
                    <w:t>生态保护红线</w:t>
                  </w:r>
                  <w:r>
                    <w:rPr>
                      <w:rFonts w:hint="eastAsia" w:cs="Times New Roman"/>
                      <w:color w:val="auto"/>
                      <w:spacing w:val="0"/>
                    </w:rPr>
                    <w:t>，在石堆窝北面跨过铜沟河到达水井湾和荒沟中间山顶，</w:t>
                  </w:r>
                  <w:r>
                    <w:rPr>
                      <w:rFonts w:hint="eastAsia" w:cs="Times New Roman"/>
                      <w:color w:val="auto"/>
                      <w:spacing w:val="0"/>
                      <w:lang w:eastAsia="zh-CN"/>
                    </w:rPr>
                    <w:t>左转</w:t>
                  </w:r>
                  <w:r>
                    <w:rPr>
                      <w:rFonts w:hint="eastAsia" w:cs="Times New Roman"/>
                      <w:color w:val="auto"/>
                      <w:spacing w:val="0"/>
                    </w:rPr>
                    <w:t>从水井湾和荒沟之间走线到荒沟北面，右转沿山脊到达马家田北面山脊，</w:t>
                  </w:r>
                  <w:r>
                    <w:rPr>
                      <w:rFonts w:hint="eastAsia" w:cs="Times New Roman"/>
                      <w:color w:val="auto"/>
                      <w:spacing w:val="0"/>
                      <w:lang w:eastAsia="zh-CN"/>
                    </w:rPr>
                    <w:t>左转</w:t>
                  </w:r>
                  <w:r>
                    <w:rPr>
                      <w:rFonts w:hint="eastAsia" w:cs="Times New Roman"/>
                      <w:color w:val="auto"/>
                      <w:spacing w:val="0"/>
                    </w:rPr>
                    <w:t>到达北面山脊，右转</w:t>
                  </w:r>
                  <w:r>
                    <w:rPr>
                      <w:rFonts w:hint="eastAsia" w:cs="Times New Roman"/>
                      <w:color w:val="auto"/>
                      <w:spacing w:val="0"/>
                      <w:lang w:val="en-US" w:eastAsia="zh-CN"/>
                    </w:rPr>
                    <w:t>下</w:t>
                  </w:r>
                  <w:r>
                    <w:rPr>
                      <w:rFonts w:hint="eastAsia" w:cs="Times New Roman"/>
                      <w:color w:val="auto"/>
                      <w:spacing w:val="0"/>
                    </w:rPr>
                    <w:t>穿500kV铜永甲线；</w:t>
                  </w:r>
                  <w:r>
                    <w:rPr>
                      <w:rFonts w:hint="eastAsia" w:cs="Times New Roman"/>
                      <w:color w:val="auto"/>
                      <w:spacing w:val="0"/>
                      <w:lang w:eastAsia="zh-CN"/>
                    </w:rPr>
                    <w:t>到达</w:t>
                  </w:r>
                  <w:r>
                    <w:rPr>
                      <w:rFonts w:hint="eastAsia" w:cs="Times New Roman"/>
                      <w:color w:val="auto"/>
                      <w:spacing w:val="0"/>
                    </w:rPr>
                    <w:t>上寨，右转在上寨、丁家塘、唐家小脑包、箐门前北面走线，在冷水沟前右转，从箐里头和包谷箐之间穿过到达六合一光伏电站西北面，连续右转和六合至乐业变220kV送出线路并排进入六合一光伏电站。曲折系数1.</w:t>
                  </w:r>
                  <w:r>
                    <w:rPr>
                      <w:rFonts w:hint="eastAsia" w:cs="Times New Roman"/>
                      <w:color w:val="auto"/>
                      <w:spacing w:val="0"/>
                      <w:lang w:val="en-US" w:eastAsia="zh-CN"/>
                    </w:rPr>
                    <w:t>25</w:t>
                  </w:r>
                  <w:r>
                    <w:rPr>
                      <w:rFonts w:hint="eastAsia" w:cs="Times New Roman"/>
                      <w:color w:val="auto"/>
                      <w:spacing w:val="0"/>
                    </w:rPr>
                    <w:t>。线路长度1</w:t>
                  </w:r>
                  <w:r>
                    <w:rPr>
                      <w:rFonts w:hint="eastAsia" w:cs="Times New Roman"/>
                      <w:color w:val="auto"/>
                      <w:spacing w:val="0"/>
                      <w:lang w:val="en-US" w:eastAsia="zh-CN"/>
                    </w:rPr>
                    <w:t>6</w:t>
                  </w:r>
                  <w:r>
                    <w:rPr>
                      <w:rFonts w:hint="eastAsia" w:cs="Times New Roman"/>
                      <w:color w:val="auto"/>
                      <w:spacing w:val="0"/>
                    </w:rPr>
                    <w:t>km</w:t>
                  </w:r>
                  <w:r>
                    <w:rPr>
                      <w:rFonts w:hint="eastAsia" w:cs="Times New Roman"/>
                      <w:color w:val="auto"/>
                      <w:spacing w:val="0"/>
                      <w:lang w:eastAsia="zh-CN"/>
                    </w:rPr>
                    <w:t>。</w:t>
                  </w:r>
                </w:p>
              </w:tc>
              <w:tc>
                <w:tcPr>
                  <w:tcW w:w="558" w:type="pct"/>
                  <w:noWrap w:val="0"/>
                  <w:vAlign w:val="center"/>
                </w:tcPr>
                <w:p w14:paraId="150AB915">
                  <w:pPr>
                    <w:pStyle w:val="87"/>
                    <w:autoSpaceDE/>
                    <w:autoSpaceDN/>
                    <w:jc w:val="center"/>
                    <w:rPr>
                      <w:rFonts w:cs="Times New Roman"/>
                      <w:color w:val="auto"/>
                      <w:spacing w:val="0"/>
                    </w:rPr>
                  </w:pPr>
                  <w:r>
                    <w:rPr>
                      <w:rFonts w:cs="Times New Roman"/>
                      <w:color w:val="auto"/>
                      <w:spacing w:val="0"/>
                    </w:rPr>
                    <w:t>新建</w:t>
                  </w:r>
                </w:p>
              </w:tc>
            </w:tr>
            <w:tr w14:paraId="388929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486" w:type="pct"/>
                  <w:noWrap w:val="0"/>
                  <w:vAlign w:val="center"/>
                </w:tcPr>
                <w:p w14:paraId="0A70FC92">
                  <w:pPr>
                    <w:pStyle w:val="87"/>
                    <w:autoSpaceDE/>
                    <w:autoSpaceDN/>
                    <w:jc w:val="center"/>
                    <w:rPr>
                      <w:rFonts w:cs="Times New Roman"/>
                      <w:color w:val="auto"/>
                      <w:spacing w:val="0"/>
                    </w:rPr>
                  </w:pPr>
                  <w:r>
                    <w:rPr>
                      <w:rFonts w:cs="Times New Roman"/>
                      <w:color w:val="auto"/>
                      <w:spacing w:val="0"/>
                    </w:rPr>
                    <w:t>光缆通信工程</w:t>
                  </w:r>
                </w:p>
              </w:tc>
              <w:tc>
                <w:tcPr>
                  <w:tcW w:w="3955" w:type="pct"/>
                  <w:gridSpan w:val="2"/>
                  <w:noWrap w:val="0"/>
                  <w:vAlign w:val="center"/>
                </w:tcPr>
                <w:p w14:paraId="74FC537C">
                  <w:pPr>
                    <w:pStyle w:val="87"/>
                    <w:autoSpaceDE/>
                    <w:autoSpaceDN/>
                    <w:jc w:val="center"/>
                    <w:rPr>
                      <w:rFonts w:hint="default" w:eastAsia="宋体" w:cs="Times New Roman"/>
                      <w:color w:val="auto"/>
                      <w:spacing w:val="0"/>
                      <w:lang w:val="en-US" w:eastAsia="zh-CN"/>
                    </w:rPr>
                  </w:pPr>
                  <w:r>
                    <w:rPr>
                      <w:rFonts w:hint="eastAsia" w:cs="Times New Roman"/>
                      <w:color w:val="auto"/>
                      <w:spacing w:val="0"/>
                      <w:lang w:val="zh-CN"/>
                    </w:rPr>
                    <w:t>采用OPGW-24B1-120光缆</w:t>
                  </w:r>
                  <w:r>
                    <w:rPr>
                      <w:rFonts w:hint="eastAsia" w:cs="Times New Roman"/>
                      <w:color w:val="auto"/>
                      <w:spacing w:val="0"/>
                      <w:lang w:val="en-US" w:eastAsia="zh-CN"/>
                    </w:rPr>
                    <w:t>和OPGW-24B1-100光缆</w:t>
                  </w:r>
                </w:p>
              </w:tc>
              <w:tc>
                <w:tcPr>
                  <w:tcW w:w="558" w:type="pct"/>
                  <w:noWrap w:val="0"/>
                  <w:vAlign w:val="center"/>
                </w:tcPr>
                <w:p w14:paraId="34321C91">
                  <w:pPr>
                    <w:pStyle w:val="87"/>
                    <w:autoSpaceDE/>
                    <w:autoSpaceDN/>
                    <w:jc w:val="center"/>
                    <w:rPr>
                      <w:rFonts w:hint="eastAsia" w:cs="Times New Roman"/>
                      <w:color w:val="auto"/>
                      <w:spacing w:val="0"/>
                    </w:rPr>
                  </w:pPr>
                  <w:r>
                    <w:rPr>
                      <w:rFonts w:hint="eastAsia" w:cs="Times New Roman"/>
                      <w:color w:val="auto"/>
                      <w:spacing w:val="0"/>
                    </w:rPr>
                    <w:t>新建</w:t>
                  </w:r>
                </w:p>
              </w:tc>
            </w:tr>
            <w:tr w14:paraId="7F15D4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restart"/>
                  <w:noWrap w:val="0"/>
                  <w:vAlign w:val="center"/>
                </w:tcPr>
                <w:p w14:paraId="15DEAC6B">
                  <w:pPr>
                    <w:pStyle w:val="87"/>
                    <w:autoSpaceDE/>
                    <w:autoSpaceDN/>
                    <w:jc w:val="center"/>
                    <w:rPr>
                      <w:rFonts w:hint="default" w:eastAsia="宋体" w:cs="Times New Roman"/>
                      <w:color w:val="auto"/>
                      <w:spacing w:val="0"/>
                      <w:lang w:val="en-US" w:eastAsia="zh-CN"/>
                    </w:rPr>
                  </w:pPr>
                  <w:r>
                    <w:rPr>
                      <w:rFonts w:hint="eastAsia" w:cs="Times New Roman"/>
                      <w:color w:val="auto"/>
                      <w:spacing w:val="0"/>
                      <w:lang w:val="en-US" w:eastAsia="zh-CN"/>
                    </w:rPr>
                    <w:t>依托工程</w:t>
                  </w:r>
                </w:p>
              </w:tc>
              <w:tc>
                <w:tcPr>
                  <w:tcW w:w="900" w:type="pct"/>
                  <w:noWrap w:val="0"/>
                  <w:vAlign w:val="center"/>
                </w:tcPr>
                <w:p w14:paraId="44CB7A53">
                  <w:pPr>
                    <w:pStyle w:val="87"/>
                    <w:autoSpaceDE/>
                    <w:autoSpaceDN/>
                    <w:jc w:val="both"/>
                    <w:rPr>
                      <w:rFonts w:cs="Times New Roman"/>
                      <w:color w:val="auto"/>
                      <w:spacing w:val="0"/>
                    </w:rPr>
                  </w:pPr>
                  <w:r>
                    <w:rPr>
                      <w:rFonts w:hint="eastAsia" w:cs="Times New Roman"/>
                      <w:color w:val="auto"/>
                      <w:spacing w:val="0"/>
                    </w:rPr>
                    <w:t>110kV</w:t>
                  </w:r>
                  <w:r>
                    <w:rPr>
                      <w:rFonts w:hint="eastAsia" w:cs="Times New Roman"/>
                      <w:color w:val="auto"/>
                      <w:spacing w:val="0"/>
                      <w:lang w:val="en-US" w:eastAsia="zh-CN"/>
                    </w:rPr>
                    <w:t>大草房光伏升压站</w:t>
                  </w:r>
                </w:p>
              </w:tc>
              <w:tc>
                <w:tcPr>
                  <w:tcW w:w="3055" w:type="pct"/>
                  <w:noWrap w:val="0"/>
                  <w:vAlign w:val="center"/>
                </w:tcPr>
                <w:p w14:paraId="2CB06240">
                  <w:pPr>
                    <w:pStyle w:val="87"/>
                    <w:autoSpaceDE/>
                    <w:autoSpaceDN/>
                    <w:jc w:val="center"/>
                    <w:rPr>
                      <w:rFonts w:cs="Times New Roman"/>
                      <w:color w:val="auto"/>
                      <w:spacing w:val="0"/>
                    </w:rPr>
                  </w:pPr>
                  <w:r>
                    <w:rPr>
                      <w:rFonts w:cs="Times New Roman"/>
                      <w:color w:val="auto"/>
                      <w:spacing w:val="0"/>
                    </w:rPr>
                    <w:t>项目接入的</w:t>
                  </w:r>
                  <w:r>
                    <w:rPr>
                      <w:rFonts w:hint="eastAsia" w:cs="Times New Roman"/>
                      <w:color w:val="auto"/>
                      <w:spacing w:val="0"/>
                    </w:rPr>
                    <w:t>110kV</w:t>
                  </w:r>
                  <w:r>
                    <w:rPr>
                      <w:rFonts w:hint="eastAsia" w:cs="Times New Roman"/>
                      <w:color w:val="auto"/>
                      <w:spacing w:val="0"/>
                      <w:lang w:val="en-US" w:eastAsia="zh-CN"/>
                    </w:rPr>
                    <w:t>大草房光伏升压站</w:t>
                  </w:r>
                  <w:r>
                    <w:rPr>
                      <w:rFonts w:hint="default" w:ascii="Times New Roman" w:hAnsi="Times New Roman" w:eastAsia="宋体" w:cs="Times New Roman"/>
                      <w:color w:val="auto"/>
                      <w:sz w:val="21"/>
                      <w:szCs w:val="21"/>
                    </w:rPr>
                    <w:t>有预留间隔通道，不涉及间隔工程</w:t>
                  </w:r>
                  <w:r>
                    <w:rPr>
                      <w:rFonts w:hint="default" w:ascii="Times New Roman" w:hAnsi="Times New Roman" w:cs="Times New Roman"/>
                      <w:color w:val="auto"/>
                      <w:sz w:val="21"/>
                      <w:szCs w:val="21"/>
                      <w:lang w:val="en-US" w:eastAsia="zh-CN"/>
                    </w:rPr>
                    <w:t>扩建，依托站内前期建设的化粪池、垃圾桶、事故油池等</w:t>
                  </w:r>
                  <w:r>
                    <w:rPr>
                      <w:rFonts w:cs="Times New Roman"/>
                      <w:color w:val="auto"/>
                      <w:spacing w:val="0"/>
                    </w:rPr>
                    <w:t>。</w:t>
                  </w:r>
                </w:p>
              </w:tc>
              <w:tc>
                <w:tcPr>
                  <w:tcW w:w="558" w:type="pct"/>
                  <w:noWrap w:val="0"/>
                  <w:vAlign w:val="center"/>
                </w:tcPr>
                <w:p w14:paraId="36FDE4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Times New Roman"/>
                      <w:color w:val="auto"/>
                      <w:spacing w:val="0"/>
                    </w:rPr>
                  </w:pPr>
                  <w:r>
                    <w:rPr>
                      <w:rFonts w:hint="default" w:ascii="Times New Roman" w:hAnsi="Times New Roman" w:cs="Times New Roman"/>
                      <w:color w:val="auto"/>
                      <w:sz w:val="21"/>
                      <w:szCs w:val="21"/>
                      <w:lang w:val="en-US" w:eastAsia="zh-CN"/>
                    </w:rPr>
                    <w:t>本次在预留位置安装设备</w:t>
                  </w:r>
                </w:p>
              </w:tc>
            </w:tr>
            <w:tr w14:paraId="1A474A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continue"/>
                  <w:noWrap w:val="0"/>
                  <w:vAlign w:val="center"/>
                </w:tcPr>
                <w:p w14:paraId="1A904B13">
                  <w:pPr>
                    <w:pStyle w:val="87"/>
                    <w:autoSpaceDE/>
                    <w:autoSpaceDN/>
                    <w:jc w:val="center"/>
                    <w:rPr>
                      <w:rFonts w:hint="eastAsia" w:cs="Times New Roman"/>
                      <w:color w:val="auto"/>
                      <w:spacing w:val="0"/>
                      <w:lang w:val="en-US" w:eastAsia="zh-CN"/>
                    </w:rPr>
                  </w:pPr>
                </w:p>
              </w:tc>
              <w:tc>
                <w:tcPr>
                  <w:tcW w:w="900" w:type="pct"/>
                  <w:noWrap w:val="0"/>
                  <w:vAlign w:val="center"/>
                </w:tcPr>
                <w:p w14:paraId="09A288CC">
                  <w:pPr>
                    <w:pStyle w:val="87"/>
                    <w:autoSpaceDE/>
                    <w:autoSpaceDN/>
                    <w:jc w:val="center"/>
                    <w:rPr>
                      <w:rFonts w:hint="default" w:eastAsia="宋体" w:cs="Times New Roman"/>
                      <w:color w:val="auto"/>
                      <w:spacing w:val="0"/>
                      <w:lang w:val="en-US" w:eastAsia="zh-CN"/>
                    </w:rPr>
                  </w:pPr>
                  <w:r>
                    <w:rPr>
                      <w:rFonts w:hint="eastAsia" w:cs="Times New Roman"/>
                      <w:color w:val="auto"/>
                      <w:spacing w:val="0"/>
                      <w:lang w:val="en-US" w:eastAsia="zh-CN"/>
                    </w:rPr>
                    <w:t>六合一220kV升压站</w:t>
                  </w:r>
                </w:p>
              </w:tc>
              <w:tc>
                <w:tcPr>
                  <w:tcW w:w="3055" w:type="pct"/>
                  <w:noWrap w:val="0"/>
                  <w:vAlign w:val="center"/>
                </w:tcPr>
                <w:p w14:paraId="7D54FADB">
                  <w:pPr>
                    <w:pStyle w:val="87"/>
                    <w:autoSpaceDE/>
                    <w:autoSpaceDN/>
                    <w:jc w:val="center"/>
                    <w:rPr>
                      <w:rFonts w:hint="eastAsia" w:cs="Times New Roman"/>
                      <w:color w:val="auto"/>
                      <w:spacing w:val="0"/>
                      <w:lang w:val="en-US" w:eastAsia="zh-CN"/>
                    </w:rPr>
                  </w:pPr>
                  <w:r>
                    <w:rPr>
                      <w:rFonts w:hint="eastAsia" w:cs="Times New Roman"/>
                      <w:color w:val="auto"/>
                      <w:spacing w:val="0"/>
                      <w:lang w:val="en-US" w:eastAsia="zh-CN"/>
                    </w:rPr>
                    <w:t>接入六合村一期光伏项目220kV升压站</w:t>
                  </w:r>
                  <w:r>
                    <w:rPr>
                      <w:rFonts w:hint="default" w:ascii="Times New Roman" w:hAnsi="Times New Roman" w:eastAsia="宋体" w:cs="Times New Roman"/>
                      <w:color w:val="auto"/>
                      <w:sz w:val="21"/>
                      <w:szCs w:val="21"/>
                    </w:rPr>
                    <w:t>有预留间隔通道，不涉及间隔工程</w:t>
                  </w:r>
                  <w:r>
                    <w:rPr>
                      <w:rFonts w:hint="default" w:ascii="Times New Roman" w:hAnsi="Times New Roman" w:cs="Times New Roman"/>
                      <w:color w:val="auto"/>
                      <w:sz w:val="21"/>
                      <w:szCs w:val="21"/>
                      <w:lang w:val="en-US" w:eastAsia="zh-CN"/>
                    </w:rPr>
                    <w:t>扩建，依托站内前期建设的化粪池、垃圾桶、事故油池等</w:t>
                  </w:r>
                </w:p>
              </w:tc>
              <w:tc>
                <w:tcPr>
                  <w:tcW w:w="558" w:type="pct"/>
                  <w:noWrap w:val="0"/>
                  <w:vAlign w:val="center"/>
                </w:tcPr>
                <w:p w14:paraId="0E8C86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Times New Roman"/>
                      <w:color w:val="auto"/>
                      <w:spacing w:val="0"/>
                    </w:rPr>
                  </w:pPr>
                  <w:r>
                    <w:rPr>
                      <w:rFonts w:hint="default" w:ascii="Times New Roman" w:hAnsi="Times New Roman" w:cs="Times New Roman"/>
                      <w:color w:val="auto"/>
                      <w:sz w:val="21"/>
                      <w:szCs w:val="21"/>
                      <w:lang w:val="en-US" w:eastAsia="zh-CN"/>
                    </w:rPr>
                    <w:t>本次在预留位置安装设备</w:t>
                  </w:r>
                </w:p>
              </w:tc>
            </w:tr>
            <w:tr w14:paraId="5FA611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restart"/>
                  <w:noWrap w:val="0"/>
                  <w:vAlign w:val="center"/>
                </w:tcPr>
                <w:p w14:paraId="197FA8AA">
                  <w:pPr>
                    <w:pStyle w:val="87"/>
                    <w:autoSpaceDE/>
                    <w:autoSpaceDN/>
                    <w:jc w:val="center"/>
                    <w:rPr>
                      <w:rFonts w:cs="Times New Roman"/>
                      <w:color w:val="auto"/>
                      <w:spacing w:val="0"/>
                    </w:rPr>
                  </w:pPr>
                  <w:r>
                    <w:rPr>
                      <w:rFonts w:cs="Times New Roman"/>
                      <w:color w:val="auto"/>
                      <w:spacing w:val="0"/>
                    </w:rPr>
                    <w:t>公用工程</w:t>
                  </w:r>
                </w:p>
              </w:tc>
              <w:tc>
                <w:tcPr>
                  <w:tcW w:w="900" w:type="pct"/>
                  <w:noWrap w:val="0"/>
                  <w:vAlign w:val="center"/>
                </w:tcPr>
                <w:p w14:paraId="51B11339">
                  <w:pPr>
                    <w:pStyle w:val="87"/>
                    <w:autoSpaceDE/>
                    <w:autoSpaceDN/>
                    <w:jc w:val="center"/>
                    <w:rPr>
                      <w:rFonts w:cs="Times New Roman"/>
                      <w:color w:val="auto"/>
                      <w:spacing w:val="0"/>
                    </w:rPr>
                  </w:pPr>
                  <w:r>
                    <w:rPr>
                      <w:rFonts w:cs="Times New Roman"/>
                      <w:color w:val="auto"/>
                      <w:spacing w:val="0"/>
                    </w:rPr>
                    <w:t>供电</w:t>
                  </w:r>
                </w:p>
              </w:tc>
              <w:tc>
                <w:tcPr>
                  <w:tcW w:w="3055" w:type="pct"/>
                  <w:noWrap w:val="0"/>
                  <w:vAlign w:val="center"/>
                </w:tcPr>
                <w:p w14:paraId="731EB916">
                  <w:pPr>
                    <w:pStyle w:val="87"/>
                    <w:autoSpaceDE/>
                    <w:autoSpaceDN/>
                    <w:jc w:val="center"/>
                    <w:rPr>
                      <w:rFonts w:cs="Times New Roman"/>
                      <w:color w:val="auto"/>
                      <w:spacing w:val="0"/>
                    </w:rPr>
                  </w:pPr>
                  <w:r>
                    <w:rPr>
                      <w:rFonts w:cs="Times New Roman"/>
                      <w:color w:val="auto"/>
                      <w:spacing w:val="0"/>
                    </w:rPr>
                    <w:t>线路工程施工过程中用电根据周边设施情况安排，周围已有用电用户区，可按照安全用电规定引接用于施工用电</w:t>
                  </w:r>
                </w:p>
              </w:tc>
              <w:tc>
                <w:tcPr>
                  <w:tcW w:w="558" w:type="pct"/>
                  <w:noWrap w:val="0"/>
                  <w:vAlign w:val="center"/>
                </w:tcPr>
                <w:p w14:paraId="5BB72A35">
                  <w:pPr>
                    <w:pStyle w:val="87"/>
                    <w:autoSpaceDE/>
                    <w:autoSpaceDN/>
                    <w:jc w:val="center"/>
                    <w:rPr>
                      <w:rFonts w:cs="Times New Roman"/>
                      <w:color w:val="auto"/>
                      <w:spacing w:val="0"/>
                    </w:rPr>
                  </w:pPr>
                  <w:r>
                    <w:rPr>
                      <w:rFonts w:cs="Times New Roman"/>
                      <w:color w:val="auto"/>
                      <w:spacing w:val="0"/>
                    </w:rPr>
                    <w:t>依托周边已有用电设施</w:t>
                  </w:r>
                </w:p>
              </w:tc>
            </w:tr>
            <w:tr w14:paraId="76992D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continue"/>
                  <w:noWrap w:val="0"/>
                  <w:vAlign w:val="center"/>
                </w:tcPr>
                <w:p w14:paraId="725B312D">
                  <w:pPr>
                    <w:pStyle w:val="87"/>
                    <w:autoSpaceDE/>
                    <w:autoSpaceDN/>
                    <w:jc w:val="center"/>
                    <w:rPr>
                      <w:rFonts w:cs="Times New Roman"/>
                      <w:color w:val="auto"/>
                      <w:spacing w:val="0"/>
                    </w:rPr>
                  </w:pPr>
                </w:p>
              </w:tc>
              <w:tc>
                <w:tcPr>
                  <w:tcW w:w="900" w:type="pct"/>
                  <w:noWrap w:val="0"/>
                  <w:vAlign w:val="center"/>
                </w:tcPr>
                <w:p w14:paraId="4C7BFDB5">
                  <w:pPr>
                    <w:pStyle w:val="87"/>
                    <w:autoSpaceDE/>
                    <w:autoSpaceDN/>
                    <w:jc w:val="center"/>
                    <w:rPr>
                      <w:rFonts w:cs="Times New Roman"/>
                      <w:color w:val="auto"/>
                      <w:spacing w:val="0"/>
                    </w:rPr>
                  </w:pPr>
                  <w:r>
                    <w:rPr>
                      <w:rFonts w:cs="Times New Roman"/>
                      <w:color w:val="auto"/>
                      <w:spacing w:val="0"/>
                    </w:rPr>
                    <w:t>供水</w:t>
                  </w:r>
                </w:p>
              </w:tc>
              <w:tc>
                <w:tcPr>
                  <w:tcW w:w="3055" w:type="pct"/>
                  <w:noWrap w:val="0"/>
                  <w:vAlign w:val="center"/>
                </w:tcPr>
                <w:p w14:paraId="3D7269CB">
                  <w:pPr>
                    <w:pStyle w:val="87"/>
                    <w:autoSpaceDE/>
                    <w:autoSpaceDN/>
                    <w:jc w:val="center"/>
                    <w:rPr>
                      <w:rFonts w:cs="Times New Roman"/>
                      <w:color w:val="auto"/>
                      <w:spacing w:val="0"/>
                    </w:rPr>
                  </w:pPr>
                  <w:r>
                    <w:rPr>
                      <w:rFonts w:cs="Times New Roman"/>
                      <w:color w:val="auto"/>
                      <w:spacing w:val="0"/>
                    </w:rPr>
                    <w:t>线路工程每个塔基施工用水量较少，采用水车就近输送水源来满足施工用水。</w:t>
                  </w:r>
                </w:p>
              </w:tc>
              <w:tc>
                <w:tcPr>
                  <w:tcW w:w="558" w:type="pct"/>
                  <w:noWrap w:val="0"/>
                  <w:vAlign w:val="center"/>
                </w:tcPr>
                <w:p w14:paraId="2E59053D">
                  <w:pPr>
                    <w:pStyle w:val="87"/>
                    <w:autoSpaceDE/>
                    <w:autoSpaceDN/>
                    <w:jc w:val="center"/>
                    <w:rPr>
                      <w:rFonts w:cs="Times New Roman"/>
                      <w:color w:val="auto"/>
                      <w:spacing w:val="0"/>
                    </w:rPr>
                  </w:pPr>
                  <w:r>
                    <w:rPr>
                      <w:rFonts w:cs="Times New Roman"/>
                      <w:color w:val="auto"/>
                      <w:spacing w:val="0"/>
                    </w:rPr>
                    <w:t>新建</w:t>
                  </w:r>
                </w:p>
              </w:tc>
            </w:tr>
            <w:tr w14:paraId="2C2D73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continue"/>
                  <w:noWrap w:val="0"/>
                  <w:vAlign w:val="center"/>
                </w:tcPr>
                <w:p w14:paraId="1FC9B6BA">
                  <w:pPr>
                    <w:pStyle w:val="87"/>
                    <w:autoSpaceDE/>
                    <w:autoSpaceDN/>
                    <w:jc w:val="center"/>
                    <w:rPr>
                      <w:rFonts w:cs="Times New Roman"/>
                      <w:color w:val="auto"/>
                      <w:spacing w:val="0"/>
                    </w:rPr>
                  </w:pPr>
                </w:p>
              </w:tc>
              <w:tc>
                <w:tcPr>
                  <w:tcW w:w="900" w:type="pct"/>
                  <w:noWrap w:val="0"/>
                  <w:vAlign w:val="center"/>
                </w:tcPr>
                <w:p w14:paraId="7A6FBD9A">
                  <w:pPr>
                    <w:pStyle w:val="87"/>
                    <w:autoSpaceDE/>
                    <w:autoSpaceDN/>
                    <w:jc w:val="center"/>
                    <w:rPr>
                      <w:rFonts w:cs="Times New Roman"/>
                      <w:color w:val="auto"/>
                      <w:spacing w:val="0"/>
                    </w:rPr>
                  </w:pPr>
                  <w:r>
                    <w:rPr>
                      <w:rFonts w:cs="Times New Roman"/>
                      <w:color w:val="auto"/>
                      <w:spacing w:val="0"/>
                    </w:rPr>
                    <w:t>排水</w:t>
                  </w:r>
                </w:p>
              </w:tc>
              <w:tc>
                <w:tcPr>
                  <w:tcW w:w="3055" w:type="pct"/>
                  <w:noWrap w:val="0"/>
                  <w:vAlign w:val="center"/>
                </w:tcPr>
                <w:p w14:paraId="7BD564B8">
                  <w:pPr>
                    <w:pStyle w:val="87"/>
                    <w:autoSpaceDE/>
                    <w:autoSpaceDN/>
                    <w:jc w:val="center"/>
                    <w:rPr>
                      <w:rFonts w:cs="Times New Roman"/>
                      <w:color w:val="auto"/>
                      <w:spacing w:val="0"/>
                    </w:rPr>
                  </w:pPr>
                  <w:r>
                    <w:rPr>
                      <w:rFonts w:cs="Times New Roman"/>
                      <w:color w:val="auto"/>
                      <w:spacing w:val="0"/>
                    </w:rPr>
                    <w:t>施工期废水不外排；运营期无废水产生。</w:t>
                  </w:r>
                </w:p>
              </w:tc>
              <w:tc>
                <w:tcPr>
                  <w:tcW w:w="558" w:type="pct"/>
                  <w:noWrap w:val="0"/>
                  <w:vAlign w:val="center"/>
                </w:tcPr>
                <w:p w14:paraId="3135498E">
                  <w:pPr>
                    <w:pStyle w:val="87"/>
                    <w:autoSpaceDE/>
                    <w:autoSpaceDN/>
                    <w:jc w:val="center"/>
                    <w:rPr>
                      <w:rFonts w:cs="Times New Roman"/>
                      <w:color w:val="auto"/>
                      <w:spacing w:val="0"/>
                    </w:rPr>
                  </w:pPr>
                  <w:r>
                    <w:rPr>
                      <w:rFonts w:cs="Times New Roman"/>
                      <w:color w:val="auto"/>
                      <w:spacing w:val="0"/>
                    </w:rPr>
                    <w:t>/</w:t>
                  </w:r>
                </w:p>
              </w:tc>
            </w:tr>
            <w:tr w14:paraId="1F5D6E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restart"/>
                  <w:noWrap w:val="0"/>
                  <w:vAlign w:val="center"/>
                </w:tcPr>
                <w:p w14:paraId="530BE7BB">
                  <w:pPr>
                    <w:pStyle w:val="87"/>
                    <w:autoSpaceDE/>
                    <w:autoSpaceDN/>
                    <w:jc w:val="center"/>
                    <w:rPr>
                      <w:rFonts w:cs="Times New Roman"/>
                      <w:color w:val="auto"/>
                      <w:spacing w:val="0"/>
                    </w:rPr>
                  </w:pPr>
                  <w:r>
                    <w:rPr>
                      <w:rFonts w:cs="Times New Roman"/>
                      <w:color w:val="auto"/>
                      <w:spacing w:val="0"/>
                    </w:rPr>
                    <w:t>临时工程</w:t>
                  </w:r>
                </w:p>
              </w:tc>
              <w:tc>
                <w:tcPr>
                  <w:tcW w:w="900" w:type="pct"/>
                  <w:noWrap w:val="0"/>
                  <w:vAlign w:val="center"/>
                </w:tcPr>
                <w:p w14:paraId="03308BBB">
                  <w:pPr>
                    <w:pStyle w:val="87"/>
                    <w:autoSpaceDE/>
                    <w:autoSpaceDN/>
                    <w:jc w:val="center"/>
                    <w:rPr>
                      <w:rFonts w:cs="Times New Roman"/>
                      <w:color w:val="auto"/>
                      <w:spacing w:val="0"/>
                    </w:rPr>
                  </w:pPr>
                  <w:r>
                    <w:rPr>
                      <w:rFonts w:cs="Times New Roman"/>
                      <w:color w:val="auto"/>
                      <w:spacing w:val="0"/>
                    </w:rPr>
                    <w:t>塔基施工场地</w:t>
                  </w:r>
                </w:p>
              </w:tc>
              <w:tc>
                <w:tcPr>
                  <w:tcW w:w="3055" w:type="pct"/>
                  <w:noWrap w:val="0"/>
                  <w:vAlign w:val="center"/>
                </w:tcPr>
                <w:p w14:paraId="420DAB76">
                  <w:pPr>
                    <w:pStyle w:val="87"/>
                    <w:autoSpaceDE/>
                    <w:autoSpaceDN/>
                    <w:jc w:val="center"/>
                    <w:rPr>
                      <w:rFonts w:cs="Times New Roman"/>
                      <w:color w:val="auto"/>
                      <w:spacing w:val="0"/>
                    </w:rPr>
                  </w:pPr>
                  <w:r>
                    <w:rPr>
                      <w:rFonts w:cs="Times New Roman"/>
                      <w:color w:val="auto"/>
                      <w:spacing w:val="0"/>
                    </w:rPr>
                    <w:t>塔基施工场地布置在塔基附近，用于进行塔材堆放、工具堆放等以及进行施工作业的场地。每个塔位处均需设置施工场地，共设</w:t>
                  </w:r>
                  <w:r>
                    <w:rPr>
                      <w:rFonts w:hint="eastAsia" w:cs="Times New Roman"/>
                      <w:color w:val="auto"/>
                      <w:spacing w:val="0"/>
                      <w:lang w:val="en-US" w:eastAsia="zh-CN"/>
                    </w:rPr>
                    <w:t>45</w:t>
                  </w:r>
                  <w:r>
                    <w:rPr>
                      <w:rFonts w:cs="Times New Roman"/>
                      <w:color w:val="auto"/>
                      <w:spacing w:val="0"/>
                    </w:rPr>
                    <w:t>个</w:t>
                  </w:r>
                  <w:r>
                    <w:rPr>
                      <w:rFonts w:hint="default" w:ascii="Times New Roman" w:hAnsi="Times New Roman" w:cs="Times New Roman"/>
                      <w:color w:val="auto"/>
                      <w:spacing w:val="0"/>
                    </w:rPr>
                    <w:t>，</w:t>
                  </w:r>
                  <w:r>
                    <w:rPr>
                      <w:rFonts w:hint="eastAsia" w:ascii="Times New Roman" w:hAnsi="Times New Roman" w:cs="Times New Roman"/>
                      <w:color w:val="auto"/>
                      <w:spacing w:val="0"/>
                      <w:lang w:val="en-US" w:eastAsia="zh-CN"/>
                    </w:rPr>
                    <w:t>每个</w:t>
                  </w:r>
                  <w:r>
                    <w:rPr>
                      <w:rFonts w:hint="default" w:ascii="Times New Roman" w:hAnsi="Times New Roman" w:cs="Times New Roman"/>
                      <w:color w:val="auto"/>
                      <w:spacing w:val="0"/>
                    </w:rPr>
                    <w:t>占地</w:t>
                  </w:r>
                  <w:r>
                    <w:rPr>
                      <w:rFonts w:hint="eastAsia" w:ascii="Times New Roman" w:hAnsi="Times New Roman" w:cs="Times New Roman"/>
                      <w:color w:val="auto"/>
                      <w:spacing w:val="0"/>
                      <w:lang w:val="en-US" w:eastAsia="zh-CN"/>
                    </w:rPr>
                    <w:t>约</w:t>
                  </w:r>
                  <w:r>
                    <w:rPr>
                      <w:rFonts w:hint="default" w:ascii="Times New Roman" w:hAnsi="Times New Roman" w:cs="Times New Roman"/>
                      <w:color w:val="auto"/>
                      <w:spacing w:val="0"/>
                    </w:rPr>
                    <w:t>30m</w:t>
                  </w:r>
                  <w:r>
                    <w:rPr>
                      <w:rFonts w:hint="default" w:ascii="Times New Roman" w:hAnsi="Times New Roman" w:cs="Times New Roman"/>
                      <w:color w:val="auto"/>
                      <w:spacing w:val="0"/>
                      <w:vertAlign w:val="superscript"/>
                    </w:rPr>
                    <w:t>2</w:t>
                  </w:r>
                  <w:r>
                    <w:rPr>
                      <w:rFonts w:hint="default" w:ascii="Times New Roman" w:hAnsi="Times New Roman" w:cs="Times New Roman"/>
                      <w:color w:val="auto"/>
                      <w:spacing w:val="0"/>
                    </w:rPr>
                    <w:t>，</w:t>
                  </w:r>
                  <w:r>
                    <w:rPr>
                      <w:rFonts w:cs="Times New Roman"/>
                      <w:color w:val="auto"/>
                      <w:spacing w:val="0"/>
                    </w:rPr>
                    <w:t>塔基施工临时占地面积共计约</w:t>
                  </w:r>
                  <w:r>
                    <w:rPr>
                      <w:rFonts w:hint="eastAsia" w:cs="Times New Roman"/>
                      <w:color w:val="auto"/>
                      <w:spacing w:val="0"/>
                      <w:lang w:val="en-US" w:eastAsia="zh-CN"/>
                    </w:rPr>
                    <w:t>0.135</w:t>
                  </w:r>
                  <w:r>
                    <w:rPr>
                      <w:rFonts w:cs="Times New Roman"/>
                      <w:color w:val="auto"/>
                      <w:spacing w:val="0"/>
                    </w:rPr>
                    <w:t>hm</w:t>
                  </w:r>
                  <w:r>
                    <w:rPr>
                      <w:rFonts w:cs="Times New Roman"/>
                      <w:color w:val="auto"/>
                      <w:spacing w:val="0"/>
                      <w:vertAlign w:val="superscript"/>
                    </w:rPr>
                    <w:t>2</w:t>
                  </w:r>
                  <w:r>
                    <w:rPr>
                      <w:rFonts w:cs="Times New Roman"/>
                      <w:color w:val="auto"/>
                      <w:spacing w:val="0"/>
                    </w:rPr>
                    <w:t>。</w:t>
                  </w:r>
                  <w:r>
                    <w:rPr>
                      <w:rFonts w:hint="eastAsia" w:cs="Times New Roman"/>
                      <w:color w:val="auto"/>
                      <w:spacing w:val="0"/>
                    </w:rPr>
                    <w:t>塔基区剥离表土堆存于塔基占地红线范围内，采取临时覆盖，施工结束后回填恢复</w:t>
                  </w:r>
                </w:p>
              </w:tc>
              <w:tc>
                <w:tcPr>
                  <w:tcW w:w="558" w:type="pct"/>
                  <w:noWrap w:val="0"/>
                  <w:vAlign w:val="center"/>
                </w:tcPr>
                <w:p w14:paraId="51D29752">
                  <w:pPr>
                    <w:pStyle w:val="87"/>
                    <w:autoSpaceDE/>
                    <w:autoSpaceDN/>
                    <w:jc w:val="center"/>
                    <w:rPr>
                      <w:rFonts w:cs="Times New Roman"/>
                      <w:color w:val="auto"/>
                      <w:spacing w:val="0"/>
                    </w:rPr>
                  </w:pPr>
                  <w:r>
                    <w:rPr>
                      <w:rFonts w:cs="Times New Roman"/>
                      <w:color w:val="auto"/>
                      <w:spacing w:val="0"/>
                    </w:rPr>
                    <w:t>新建</w:t>
                  </w:r>
                </w:p>
              </w:tc>
            </w:tr>
            <w:tr w14:paraId="0FD916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continue"/>
                  <w:noWrap w:val="0"/>
                  <w:vAlign w:val="center"/>
                </w:tcPr>
                <w:p w14:paraId="26A08DA3">
                  <w:pPr>
                    <w:pStyle w:val="87"/>
                    <w:autoSpaceDE/>
                    <w:autoSpaceDN/>
                    <w:jc w:val="center"/>
                    <w:rPr>
                      <w:rFonts w:cs="Times New Roman"/>
                      <w:color w:val="auto"/>
                      <w:spacing w:val="0"/>
                    </w:rPr>
                  </w:pPr>
                </w:p>
              </w:tc>
              <w:tc>
                <w:tcPr>
                  <w:tcW w:w="900" w:type="pct"/>
                  <w:noWrap w:val="0"/>
                  <w:vAlign w:val="center"/>
                </w:tcPr>
                <w:p w14:paraId="0BACE1EB">
                  <w:pPr>
                    <w:pStyle w:val="87"/>
                    <w:autoSpaceDE/>
                    <w:autoSpaceDN/>
                    <w:jc w:val="center"/>
                    <w:rPr>
                      <w:rFonts w:cs="Times New Roman"/>
                      <w:color w:val="auto"/>
                      <w:spacing w:val="0"/>
                    </w:rPr>
                  </w:pPr>
                  <w:r>
                    <w:rPr>
                      <w:rFonts w:cs="Times New Roman"/>
                      <w:color w:val="auto"/>
                      <w:spacing w:val="0"/>
                    </w:rPr>
                    <w:t>人抬道路</w:t>
                  </w:r>
                </w:p>
              </w:tc>
              <w:tc>
                <w:tcPr>
                  <w:tcW w:w="3055" w:type="pct"/>
                  <w:noWrap w:val="0"/>
                  <w:vAlign w:val="center"/>
                </w:tcPr>
                <w:p w14:paraId="61590401">
                  <w:pPr>
                    <w:pStyle w:val="87"/>
                    <w:autoSpaceDE/>
                    <w:autoSpaceDN/>
                    <w:jc w:val="center"/>
                    <w:rPr>
                      <w:rFonts w:cs="Times New Roman"/>
                      <w:color w:val="auto"/>
                      <w:spacing w:val="0"/>
                    </w:rPr>
                  </w:pPr>
                  <w:r>
                    <w:rPr>
                      <w:rFonts w:cs="Times New Roman"/>
                      <w:color w:val="auto"/>
                      <w:spacing w:val="0"/>
                    </w:rPr>
                    <w:t>工程沿线周边有</w:t>
                  </w:r>
                  <w:r>
                    <w:rPr>
                      <w:rFonts w:hint="eastAsia" w:cs="Times New Roman"/>
                      <w:color w:val="auto"/>
                      <w:spacing w:val="0"/>
                      <w:lang w:val="en-US" w:eastAsia="zh-CN"/>
                    </w:rPr>
                    <w:t>银昆</w:t>
                  </w:r>
                  <w:r>
                    <w:rPr>
                      <w:rFonts w:cs="Times New Roman"/>
                      <w:color w:val="auto"/>
                      <w:spacing w:val="0"/>
                    </w:rPr>
                    <w:t>高速、国道G21</w:t>
                  </w:r>
                  <w:r>
                    <w:rPr>
                      <w:rFonts w:hint="eastAsia" w:cs="Times New Roman"/>
                      <w:color w:val="auto"/>
                      <w:spacing w:val="0"/>
                      <w:lang w:val="en-US" w:eastAsia="zh-CN"/>
                    </w:rPr>
                    <w:t>3</w:t>
                  </w:r>
                  <w:r>
                    <w:rPr>
                      <w:rFonts w:cs="Times New Roman"/>
                      <w:color w:val="auto"/>
                      <w:spacing w:val="0"/>
                    </w:rPr>
                    <w:t>及乡村道路等，基本满足工程需要，塔基施工区可利用现有村道、机耕道等将铁塔组件及其基础施工材料运抵铁塔附近或铁塔附近的山脚处，再通过人抬的方式运至铁塔下部施工场地内，</w:t>
                  </w:r>
                  <w:r>
                    <w:rPr>
                      <w:rFonts w:ascii="Times New Roman" w:hAnsi="Times New Roman" w:cs="Times New Roman"/>
                      <w:color w:val="auto"/>
                      <w:spacing w:val="0"/>
                    </w:rPr>
                    <w:t>需人抬道路约</w:t>
                  </w:r>
                  <w:r>
                    <w:rPr>
                      <w:rFonts w:hint="eastAsia" w:ascii="Times New Roman" w:hAnsi="Times New Roman" w:cs="Times New Roman"/>
                      <w:color w:val="auto"/>
                      <w:spacing w:val="0"/>
                      <w:lang w:val="en-US" w:eastAsia="zh-CN"/>
                    </w:rPr>
                    <w:t>86</w:t>
                  </w:r>
                  <w:r>
                    <w:rPr>
                      <w:rFonts w:hint="eastAsia" w:ascii="Times New Roman" w:hAnsi="Times New Roman" w:cs="Times New Roman"/>
                      <w:color w:val="auto"/>
                      <w:spacing w:val="0"/>
                    </w:rPr>
                    <w:t>0</w:t>
                  </w:r>
                  <w:r>
                    <w:rPr>
                      <w:rFonts w:ascii="Times New Roman" w:hAnsi="Times New Roman" w:cs="Times New Roman"/>
                      <w:color w:val="auto"/>
                      <w:spacing w:val="0"/>
                    </w:rPr>
                    <w:t>m，宽1.</w:t>
                  </w:r>
                  <w:r>
                    <w:rPr>
                      <w:rFonts w:hint="eastAsia" w:ascii="Times New Roman" w:hAnsi="Times New Roman" w:cs="Times New Roman"/>
                      <w:color w:val="auto"/>
                      <w:spacing w:val="0"/>
                    </w:rPr>
                    <w:t>5</w:t>
                  </w:r>
                  <w:r>
                    <w:rPr>
                      <w:rFonts w:ascii="Times New Roman" w:hAnsi="Times New Roman" w:cs="Times New Roman"/>
                      <w:color w:val="auto"/>
                      <w:spacing w:val="0"/>
                    </w:rPr>
                    <w:t>m，总占地面积为</w:t>
                  </w:r>
                  <w:r>
                    <w:rPr>
                      <w:rFonts w:hint="eastAsia" w:ascii="Times New Roman" w:hAnsi="Times New Roman" w:cs="Times New Roman"/>
                      <w:color w:val="auto"/>
                      <w:spacing w:val="0"/>
                      <w:lang w:val="en-US" w:eastAsia="zh-CN"/>
                    </w:rPr>
                    <w:t>0.129</w:t>
                  </w:r>
                  <w:r>
                    <w:rPr>
                      <w:rFonts w:ascii="Times New Roman" w:hAnsi="Times New Roman" w:cs="Times New Roman"/>
                      <w:color w:val="auto"/>
                      <w:spacing w:val="0"/>
                    </w:rPr>
                    <w:t>hm</w:t>
                  </w:r>
                  <w:r>
                    <w:rPr>
                      <w:rFonts w:ascii="Times New Roman" w:hAnsi="Times New Roman" w:cs="Times New Roman"/>
                      <w:color w:val="auto"/>
                      <w:spacing w:val="0"/>
                      <w:vertAlign w:val="superscript"/>
                    </w:rPr>
                    <w:t>2</w:t>
                  </w:r>
                  <w:r>
                    <w:rPr>
                      <w:rFonts w:ascii="Times New Roman" w:hAnsi="Times New Roman" w:cs="Times New Roman"/>
                      <w:color w:val="auto"/>
                      <w:spacing w:val="0"/>
                    </w:rPr>
                    <w:t>。</w:t>
                  </w:r>
                  <w:r>
                    <w:rPr>
                      <w:rFonts w:cs="Times New Roman"/>
                      <w:color w:val="auto"/>
                      <w:spacing w:val="0"/>
                    </w:rPr>
                    <w:t>人抬道路不进行表土剥离，施工结束后撒草恢复。</w:t>
                  </w:r>
                </w:p>
              </w:tc>
              <w:tc>
                <w:tcPr>
                  <w:tcW w:w="558" w:type="pct"/>
                  <w:noWrap w:val="0"/>
                  <w:vAlign w:val="center"/>
                </w:tcPr>
                <w:p w14:paraId="2B9C5C9E">
                  <w:pPr>
                    <w:pStyle w:val="87"/>
                    <w:autoSpaceDE/>
                    <w:autoSpaceDN/>
                    <w:jc w:val="center"/>
                    <w:rPr>
                      <w:rFonts w:cs="Times New Roman"/>
                      <w:color w:val="auto"/>
                      <w:spacing w:val="0"/>
                    </w:rPr>
                  </w:pPr>
                  <w:r>
                    <w:rPr>
                      <w:rFonts w:cs="Times New Roman"/>
                      <w:color w:val="auto"/>
                      <w:spacing w:val="0"/>
                    </w:rPr>
                    <w:t>依托</w:t>
                  </w:r>
                </w:p>
              </w:tc>
            </w:tr>
            <w:tr w14:paraId="224245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continue"/>
                  <w:noWrap w:val="0"/>
                  <w:vAlign w:val="center"/>
                </w:tcPr>
                <w:p w14:paraId="63449E16">
                  <w:pPr>
                    <w:pStyle w:val="87"/>
                    <w:autoSpaceDE/>
                    <w:autoSpaceDN/>
                    <w:jc w:val="center"/>
                    <w:rPr>
                      <w:rFonts w:cs="Times New Roman"/>
                      <w:color w:val="auto"/>
                      <w:spacing w:val="0"/>
                    </w:rPr>
                  </w:pPr>
                </w:p>
              </w:tc>
              <w:tc>
                <w:tcPr>
                  <w:tcW w:w="900" w:type="pct"/>
                  <w:noWrap w:val="0"/>
                  <w:vAlign w:val="center"/>
                </w:tcPr>
                <w:p w14:paraId="7A6A6CA4">
                  <w:pPr>
                    <w:pStyle w:val="87"/>
                    <w:autoSpaceDE/>
                    <w:autoSpaceDN/>
                    <w:jc w:val="center"/>
                    <w:rPr>
                      <w:rFonts w:cs="Times New Roman"/>
                      <w:color w:val="auto"/>
                      <w:spacing w:val="0"/>
                    </w:rPr>
                  </w:pPr>
                  <w:r>
                    <w:rPr>
                      <w:rFonts w:cs="Times New Roman"/>
                      <w:color w:val="auto"/>
                      <w:spacing w:val="0"/>
                    </w:rPr>
                    <w:t>跨越施工场地</w:t>
                  </w:r>
                </w:p>
              </w:tc>
              <w:tc>
                <w:tcPr>
                  <w:tcW w:w="3055" w:type="pct"/>
                  <w:noWrap w:val="0"/>
                  <w:vAlign w:val="center"/>
                </w:tcPr>
                <w:p w14:paraId="6CBD70D5">
                  <w:pPr>
                    <w:pStyle w:val="87"/>
                    <w:autoSpaceDE/>
                    <w:autoSpaceDN/>
                    <w:jc w:val="center"/>
                    <w:rPr>
                      <w:rFonts w:cs="Times New Roman"/>
                      <w:color w:val="auto"/>
                      <w:spacing w:val="0"/>
                    </w:rPr>
                  </w:pPr>
                  <w:r>
                    <w:rPr>
                      <w:rFonts w:cs="Times New Roman"/>
                      <w:color w:val="auto"/>
                      <w:spacing w:val="0"/>
                    </w:rPr>
                    <w:t>线路</w:t>
                  </w:r>
                  <w:r>
                    <w:rPr>
                      <w:rFonts w:hint="eastAsia" w:cs="Times New Roman"/>
                      <w:color w:val="auto"/>
                      <w:spacing w:val="0"/>
                      <w:lang w:val="en-US" w:eastAsia="zh-CN"/>
                    </w:rPr>
                    <w:t>下穿</w:t>
                  </w:r>
                  <w:r>
                    <w:rPr>
                      <w:rFonts w:hint="eastAsia" w:cs="Times New Roman"/>
                      <w:color w:val="auto"/>
                      <w:spacing w:val="0"/>
                    </w:rPr>
                    <w:t>500kV铜永甲线1次，跨越35kV无名线2次，35kV集电线路1次，10kV线路2次，低压线3次，通信线3次，按要求，</w:t>
                  </w:r>
                  <w:r>
                    <w:rPr>
                      <w:rFonts w:cs="Times New Roman"/>
                      <w:color w:val="auto"/>
                      <w:spacing w:val="0"/>
                    </w:rPr>
                    <w:t>设置跨越施工场地</w:t>
                  </w:r>
                  <w:r>
                    <w:rPr>
                      <w:rFonts w:hint="eastAsia" w:cs="Times New Roman"/>
                      <w:color w:val="auto"/>
                      <w:spacing w:val="0"/>
                    </w:rPr>
                    <w:t>1</w:t>
                  </w:r>
                  <w:r>
                    <w:rPr>
                      <w:rFonts w:hint="eastAsia" w:cs="Times New Roman"/>
                      <w:color w:val="auto"/>
                      <w:spacing w:val="0"/>
                      <w:lang w:val="en-US" w:eastAsia="zh-CN"/>
                    </w:rPr>
                    <w:t>2</w:t>
                  </w:r>
                  <w:r>
                    <w:rPr>
                      <w:rFonts w:cs="Times New Roman"/>
                      <w:color w:val="auto"/>
                      <w:spacing w:val="0"/>
                    </w:rPr>
                    <w:t>个，每处占地约</w:t>
                  </w:r>
                  <w:r>
                    <w:rPr>
                      <w:rFonts w:hint="eastAsia" w:cs="Times New Roman"/>
                      <w:color w:val="auto"/>
                      <w:spacing w:val="0"/>
                      <w:lang w:val="en-US" w:eastAsia="zh-CN"/>
                    </w:rPr>
                    <w:t>25</w:t>
                  </w:r>
                  <w:r>
                    <w:rPr>
                      <w:rFonts w:cs="Times New Roman"/>
                      <w:color w:val="auto"/>
                      <w:spacing w:val="0"/>
                    </w:rPr>
                    <w:t>m</w:t>
                  </w:r>
                  <w:r>
                    <w:rPr>
                      <w:rFonts w:cs="Times New Roman"/>
                      <w:color w:val="auto"/>
                      <w:spacing w:val="0"/>
                      <w:vertAlign w:val="superscript"/>
                    </w:rPr>
                    <w:t>2</w:t>
                  </w:r>
                  <w:r>
                    <w:rPr>
                      <w:rFonts w:cs="Times New Roman"/>
                      <w:color w:val="auto"/>
                      <w:spacing w:val="0"/>
                    </w:rPr>
                    <w:t>，总占地面积为</w:t>
                  </w:r>
                  <w:r>
                    <w:rPr>
                      <w:rFonts w:hint="eastAsia" w:cs="Times New Roman"/>
                      <w:color w:val="auto"/>
                      <w:spacing w:val="0"/>
                    </w:rPr>
                    <w:t>0.</w:t>
                  </w:r>
                  <w:r>
                    <w:rPr>
                      <w:rFonts w:hint="eastAsia" w:cs="Times New Roman"/>
                      <w:color w:val="auto"/>
                      <w:spacing w:val="0"/>
                      <w:lang w:val="en-US" w:eastAsia="zh-CN"/>
                    </w:rPr>
                    <w:t>03</w:t>
                  </w:r>
                  <w:r>
                    <w:rPr>
                      <w:rFonts w:cs="Times New Roman"/>
                      <w:color w:val="auto"/>
                      <w:spacing w:val="0"/>
                    </w:rPr>
                    <w:t>hm</w:t>
                  </w:r>
                  <w:r>
                    <w:rPr>
                      <w:rFonts w:cs="Times New Roman"/>
                      <w:color w:val="auto"/>
                      <w:spacing w:val="0"/>
                      <w:vertAlign w:val="superscript"/>
                    </w:rPr>
                    <w:t>2</w:t>
                  </w:r>
                  <w:r>
                    <w:rPr>
                      <w:rFonts w:cs="Times New Roman"/>
                      <w:color w:val="auto"/>
                      <w:spacing w:val="0"/>
                    </w:rPr>
                    <w:t>。为临时占地，选择地形平缓的场地</w:t>
                  </w:r>
                  <w:r>
                    <w:rPr>
                      <w:rFonts w:hint="eastAsia" w:cs="Times New Roman"/>
                      <w:color w:val="auto"/>
                      <w:spacing w:val="0"/>
                    </w:rPr>
                    <w:t>，用于摆放机械，不进行表土剥离。</w:t>
                  </w:r>
                </w:p>
              </w:tc>
              <w:tc>
                <w:tcPr>
                  <w:tcW w:w="558" w:type="pct"/>
                  <w:noWrap w:val="0"/>
                  <w:vAlign w:val="center"/>
                </w:tcPr>
                <w:p w14:paraId="7A8FD248">
                  <w:pPr>
                    <w:pStyle w:val="87"/>
                    <w:autoSpaceDE/>
                    <w:autoSpaceDN/>
                    <w:jc w:val="center"/>
                    <w:rPr>
                      <w:rFonts w:cs="Times New Roman"/>
                      <w:color w:val="auto"/>
                      <w:spacing w:val="0"/>
                    </w:rPr>
                  </w:pPr>
                  <w:r>
                    <w:rPr>
                      <w:rFonts w:cs="Times New Roman"/>
                      <w:color w:val="auto"/>
                      <w:spacing w:val="0"/>
                    </w:rPr>
                    <w:t>新建</w:t>
                  </w:r>
                </w:p>
              </w:tc>
            </w:tr>
            <w:tr w14:paraId="4A0881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continue"/>
                  <w:noWrap w:val="0"/>
                  <w:vAlign w:val="center"/>
                </w:tcPr>
                <w:p w14:paraId="64A1D44A">
                  <w:pPr>
                    <w:pStyle w:val="87"/>
                    <w:autoSpaceDE/>
                    <w:autoSpaceDN/>
                    <w:jc w:val="center"/>
                    <w:rPr>
                      <w:rFonts w:cs="Times New Roman"/>
                      <w:color w:val="auto"/>
                      <w:spacing w:val="0"/>
                    </w:rPr>
                  </w:pPr>
                </w:p>
              </w:tc>
              <w:tc>
                <w:tcPr>
                  <w:tcW w:w="900" w:type="pct"/>
                  <w:noWrap w:val="0"/>
                  <w:vAlign w:val="center"/>
                </w:tcPr>
                <w:p w14:paraId="13F34A63">
                  <w:pPr>
                    <w:pStyle w:val="87"/>
                    <w:autoSpaceDE/>
                    <w:autoSpaceDN/>
                    <w:jc w:val="center"/>
                    <w:rPr>
                      <w:rFonts w:cs="Times New Roman"/>
                      <w:color w:val="auto"/>
                      <w:spacing w:val="0"/>
                    </w:rPr>
                  </w:pPr>
                  <w:r>
                    <w:rPr>
                      <w:rFonts w:hint="eastAsia" w:cs="Times New Roman"/>
                      <w:color w:val="auto"/>
                      <w:spacing w:val="0"/>
                    </w:rPr>
                    <w:t>临时表土堆场</w:t>
                  </w:r>
                </w:p>
              </w:tc>
              <w:tc>
                <w:tcPr>
                  <w:tcW w:w="3055" w:type="pct"/>
                  <w:noWrap w:val="0"/>
                  <w:vAlign w:val="center"/>
                </w:tcPr>
                <w:p w14:paraId="508535A0">
                  <w:pPr>
                    <w:pStyle w:val="87"/>
                    <w:autoSpaceDE/>
                    <w:autoSpaceDN/>
                    <w:jc w:val="center"/>
                    <w:rPr>
                      <w:rFonts w:cs="Times New Roman"/>
                      <w:color w:val="auto"/>
                      <w:spacing w:val="0"/>
                    </w:rPr>
                  </w:pPr>
                  <w:r>
                    <w:rPr>
                      <w:rFonts w:hint="eastAsia" w:cs="Times New Roman"/>
                      <w:color w:val="auto"/>
                      <w:spacing w:val="0"/>
                    </w:rPr>
                    <w:t>不单独设置表土堆场，施工期塔基区剥离表土堆存于塔基占地红线范围内，采取临时覆盖，施工结束后回填、整地恢复，撒草绿化等。</w:t>
                  </w:r>
                </w:p>
              </w:tc>
              <w:tc>
                <w:tcPr>
                  <w:tcW w:w="558" w:type="pct"/>
                  <w:noWrap w:val="0"/>
                  <w:vAlign w:val="center"/>
                </w:tcPr>
                <w:p w14:paraId="2FD6F70D">
                  <w:pPr>
                    <w:pStyle w:val="87"/>
                    <w:autoSpaceDE/>
                    <w:autoSpaceDN/>
                    <w:jc w:val="center"/>
                    <w:rPr>
                      <w:rFonts w:hint="eastAsia" w:cs="Times New Roman"/>
                      <w:color w:val="auto"/>
                      <w:spacing w:val="0"/>
                    </w:rPr>
                  </w:pPr>
                  <w:r>
                    <w:rPr>
                      <w:rFonts w:hint="eastAsia" w:cs="Times New Roman"/>
                      <w:color w:val="auto"/>
                      <w:spacing w:val="0"/>
                    </w:rPr>
                    <w:t>新建</w:t>
                  </w:r>
                </w:p>
              </w:tc>
            </w:tr>
            <w:tr w14:paraId="7932BD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continue"/>
                  <w:noWrap w:val="0"/>
                  <w:vAlign w:val="center"/>
                </w:tcPr>
                <w:p w14:paraId="5EC611A4">
                  <w:pPr>
                    <w:pStyle w:val="87"/>
                    <w:autoSpaceDE/>
                    <w:autoSpaceDN/>
                    <w:jc w:val="center"/>
                    <w:rPr>
                      <w:rFonts w:cs="Times New Roman"/>
                      <w:color w:val="auto"/>
                      <w:spacing w:val="0"/>
                    </w:rPr>
                  </w:pPr>
                </w:p>
              </w:tc>
              <w:tc>
                <w:tcPr>
                  <w:tcW w:w="900" w:type="pct"/>
                  <w:noWrap w:val="0"/>
                  <w:vAlign w:val="center"/>
                </w:tcPr>
                <w:p w14:paraId="13096B9E">
                  <w:pPr>
                    <w:pStyle w:val="87"/>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cs="Times New Roman"/>
                      <w:color w:val="auto"/>
                      <w:spacing w:val="0"/>
                    </w:rPr>
                  </w:pPr>
                  <w:r>
                    <w:rPr>
                      <w:rFonts w:hint="default" w:ascii="Times New Roman" w:hAnsi="Times New Roman" w:cs="Times New Roman"/>
                      <w:color w:val="auto"/>
                      <w:spacing w:val="0"/>
                    </w:rPr>
                    <w:t>牵张场</w:t>
                  </w:r>
                </w:p>
              </w:tc>
              <w:tc>
                <w:tcPr>
                  <w:tcW w:w="3055" w:type="pct"/>
                  <w:noWrap w:val="0"/>
                  <w:vAlign w:val="center"/>
                </w:tcPr>
                <w:p w14:paraId="667C3374">
                  <w:pPr>
                    <w:pStyle w:val="87"/>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cs="Times New Roman"/>
                      <w:color w:val="auto"/>
                      <w:spacing w:val="0"/>
                    </w:rPr>
                  </w:pPr>
                  <w:r>
                    <w:rPr>
                      <w:rFonts w:hint="default" w:ascii="Times New Roman" w:hAnsi="Times New Roman" w:cs="Times New Roman"/>
                      <w:color w:val="auto"/>
                      <w:spacing w:val="0"/>
                    </w:rPr>
                    <w:t>本项目沿线设置牵张场</w:t>
                  </w:r>
                  <w:r>
                    <w:rPr>
                      <w:rFonts w:hint="eastAsia" w:ascii="Times New Roman" w:hAnsi="Times New Roman" w:cs="Times New Roman"/>
                      <w:color w:val="auto"/>
                      <w:spacing w:val="0"/>
                      <w:lang w:val="en-US" w:eastAsia="zh-CN"/>
                    </w:rPr>
                    <w:t>3</w:t>
                  </w:r>
                  <w:r>
                    <w:rPr>
                      <w:rFonts w:hint="default" w:ascii="Times New Roman" w:hAnsi="Times New Roman" w:cs="Times New Roman"/>
                      <w:color w:val="auto"/>
                      <w:spacing w:val="0"/>
                    </w:rPr>
                    <w:t>处，分别设置于塔</w:t>
                  </w:r>
                  <w:r>
                    <w:rPr>
                      <w:rFonts w:hint="default" w:ascii="Times New Roman" w:hAnsi="Times New Roman" w:cs="Times New Roman"/>
                      <w:color w:val="auto"/>
                      <w:spacing w:val="0"/>
                      <w:highlight w:val="none"/>
                    </w:rPr>
                    <w:t>基N</w:t>
                  </w:r>
                  <w:r>
                    <w:rPr>
                      <w:rFonts w:hint="eastAsia" w:ascii="Times New Roman" w:hAnsi="Times New Roman" w:cs="Times New Roman"/>
                      <w:color w:val="auto"/>
                      <w:spacing w:val="0"/>
                      <w:highlight w:val="none"/>
                      <w:lang w:val="en-US" w:eastAsia="zh-CN"/>
                    </w:rPr>
                    <w:t>1</w:t>
                  </w:r>
                  <w:r>
                    <w:rPr>
                      <w:rFonts w:hint="default" w:ascii="Times New Roman" w:hAnsi="Times New Roman" w:cs="Times New Roman"/>
                      <w:color w:val="auto"/>
                      <w:spacing w:val="0"/>
                      <w:highlight w:val="none"/>
                    </w:rPr>
                    <w:t>、N</w:t>
                  </w:r>
                  <w:r>
                    <w:rPr>
                      <w:rFonts w:hint="default" w:ascii="Times New Roman" w:hAnsi="Times New Roman" w:cs="Times New Roman"/>
                      <w:color w:val="auto"/>
                      <w:spacing w:val="0"/>
                      <w:highlight w:val="none"/>
                      <w:lang w:val="en-US" w:eastAsia="zh-CN"/>
                    </w:rPr>
                    <w:t>1</w:t>
                  </w:r>
                  <w:r>
                    <w:rPr>
                      <w:rFonts w:hint="eastAsia" w:ascii="Times New Roman" w:hAnsi="Times New Roman" w:cs="Times New Roman"/>
                      <w:color w:val="auto"/>
                      <w:spacing w:val="0"/>
                      <w:highlight w:val="none"/>
                      <w:lang w:val="en-US" w:eastAsia="zh-CN"/>
                    </w:rPr>
                    <w:t>7、N30</w:t>
                  </w:r>
                  <w:r>
                    <w:rPr>
                      <w:rFonts w:hint="default" w:ascii="Times New Roman" w:hAnsi="Times New Roman" w:cs="Times New Roman"/>
                      <w:color w:val="auto"/>
                      <w:spacing w:val="0"/>
                      <w:highlight w:val="none"/>
                    </w:rPr>
                    <w:t>处</w:t>
                  </w:r>
                  <w:r>
                    <w:rPr>
                      <w:rFonts w:hint="default" w:ascii="Times New Roman" w:hAnsi="Times New Roman" w:cs="Times New Roman"/>
                      <w:color w:val="auto"/>
                      <w:spacing w:val="0"/>
                    </w:rPr>
                    <w:t>，每处牵张场占地约</w:t>
                  </w:r>
                  <w:r>
                    <w:rPr>
                      <w:rFonts w:hint="eastAsia" w:ascii="Times New Roman" w:hAnsi="Times New Roman" w:cs="Times New Roman"/>
                      <w:color w:val="auto"/>
                      <w:spacing w:val="0"/>
                      <w:lang w:val="en-US" w:eastAsia="zh-CN"/>
                    </w:rPr>
                    <w:t>200</w:t>
                  </w:r>
                  <w:r>
                    <w:rPr>
                      <w:rFonts w:hint="default" w:ascii="Times New Roman" w:hAnsi="Times New Roman" w:cs="Times New Roman"/>
                      <w:color w:val="auto"/>
                      <w:spacing w:val="0"/>
                    </w:rPr>
                    <w:t>m</w:t>
                  </w:r>
                  <w:r>
                    <w:rPr>
                      <w:rFonts w:hint="default" w:ascii="Times New Roman" w:hAnsi="Times New Roman" w:cs="Times New Roman"/>
                      <w:color w:val="auto"/>
                      <w:spacing w:val="0"/>
                      <w:vertAlign w:val="superscript"/>
                    </w:rPr>
                    <w:t>2</w:t>
                  </w:r>
                  <w:r>
                    <w:rPr>
                      <w:rFonts w:hint="default" w:ascii="Times New Roman" w:hAnsi="Times New Roman" w:cs="Times New Roman"/>
                      <w:color w:val="auto"/>
                      <w:spacing w:val="0"/>
                    </w:rPr>
                    <w:t>，总占地面积为0.0</w:t>
                  </w:r>
                  <w:r>
                    <w:rPr>
                      <w:rFonts w:hint="eastAsia" w:ascii="Times New Roman" w:hAnsi="Times New Roman" w:cs="Times New Roman"/>
                      <w:color w:val="auto"/>
                      <w:spacing w:val="0"/>
                      <w:lang w:val="en-US" w:eastAsia="zh-CN"/>
                    </w:rPr>
                    <w:t>6</w:t>
                  </w:r>
                  <w:r>
                    <w:rPr>
                      <w:rFonts w:hint="default" w:ascii="Times New Roman" w:hAnsi="Times New Roman" w:cs="Times New Roman"/>
                      <w:color w:val="auto"/>
                      <w:spacing w:val="0"/>
                    </w:rPr>
                    <w:t>hm</w:t>
                  </w:r>
                  <w:r>
                    <w:rPr>
                      <w:rFonts w:hint="default" w:ascii="Times New Roman" w:hAnsi="Times New Roman" w:cs="Times New Roman"/>
                      <w:color w:val="auto"/>
                      <w:spacing w:val="0"/>
                      <w:vertAlign w:val="superscript"/>
                    </w:rPr>
                    <w:t>2</w:t>
                  </w:r>
                  <w:r>
                    <w:rPr>
                      <w:rFonts w:hint="default" w:ascii="Times New Roman" w:hAnsi="Times New Roman" w:cs="Times New Roman"/>
                      <w:color w:val="auto"/>
                      <w:spacing w:val="0"/>
                    </w:rPr>
                    <w:t>，全部为临时占地，选择地形平缓的场地，用于摆放牵引机械，不进行表土剥离，施工结束后及时整地、植被恢复等</w:t>
                  </w:r>
                </w:p>
              </w:tc>
              <w:tc>
                <w:tcPr>
                  <w:tcW w:w="558" w:type="pct"/>
                  <w:noWrap w:val="0"/>
                  <w:vAlign w:val="center"/>
                </w:tcPr>
                <w:p w14:paraId="58EB9CEB">
                  <w:pPr>
                    <w:pStyle w:val="87"/>
                    <w:autoSpaceDE/>
                    <w:autoSpaceDN/>
                    <w:jc w:val="center"/>
                    <w:rPr>
                      <w:rFonts w:hint="eastAsia" w:eastAsia="宋体" w:cs="Times New Roman"/>
                      <w:color w:val="auto"/>
                      <w:spacing w:val="0"/>
                      <w:lang w:val="en-US" w:eastAsia="zh-CN"/>
                    </w:rPr>
                  </w:pPr>
                  <w:r>
                    <w:rPr>
                      <w:rFonts w:hint="eastAsia" w:cs="Times New Roman"/>
                      <w:color w:val="auto"/>
                      <w:spacing w:val="0"/>
                      <w:lang w:val="en-US" w:eastAsia="zh-CN"/>
                    </w:rPr>
                    <w:t>新建</w:t>
                  </w:r>
                </w:p>
              </w:tc>
            </w:tr>
            <w:tr w14:paraId="138DD5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restart"/>
                  <w:noWrap w:val="0"/>
                  <w:vAlign w:val="center"/>
                </w:tcPr>
                <w:p w14:paraId="75F66AD6">
                  <w:pPr>
                    <w:pStyle w:val="87"/>
                    <w:jc w:val="center"/>
                    <w:rPr>
                      <w:rFonts w:cs="Times New Roman"/>
                      <w:color w:val="auto"/>
                      <w:spacing w:val="0"/>
                    </w:rPr>
                  </w:pPr>
                  <w:r>
                    <w:rPr>
                      <w:rFonts w:cs="Times New Roman"/>
                      <w:color w:val="auto"/>
                      <w:spacing w:val="0"/>
                    </w:rPr>
                    <w:t>环保工程</w:t>
                  </w:r>
                </w:p>
              </w:tc>
              <w:tc>
                <w:tcPr>
                  <w:tcW w:w="900" w:type="pct"/>
                  <w:noWrap w:val="0"/>
                  <w:vAlign w:val="center"/>
                </w:tcPr>
                <w:p w14:paraId="67FCF79A">
                  <w:pPr>
                    <w:pStyle w:val="87"/>
                    <w:jc w:val="center"/>
                    <w:rPr>
                      <w:rFonts w:hint="eastAsia" w:cs="Times New Roman"/>
                      <w:color w:val="auto"/>
                      <w:spacing w:val="0"/>
                    </w:rPr>
                  </w:pPr>
                  <w:r>
                    <w:rPr>
                      <w:rFonts w:hint="eastAsia" w:cs="Times New Roman"/>
                      <w:color w:val="auto"/>
                      <w:spacing w:val="0"/>
                    </w:rPr>
                    <w:t>废气</w:t>
                  </w:r>
                </w:p>
              </w:tc>
              <w:tc>
                <w:tcPr>
                  <w:tcW w:w="3055" w:type="pct"/>
                  <w:noWrap w:val="0"/>
                  <w:vAlign w:val="center"/>
                </w:tcPr>
                <w:p w14:paraId="687386EC">
                  <w:pPr>
                    <w:pStyle w:val="87"/>
                    <w:jc w:val="center"/>
                    <w:rPr>
                      <w:rFonts w:hint="eastAsia" w:cs="Times New Roman"/>
                      <w:color w:val="auto"/>
                      <w:spacing w:val="0"/>
                    </w:rPr>
                  </w:pPr>
                  <w:r>
                    <w:rPr>
                      <w:rFonts w:hint="eastAsia" w:cs="Times New Roman"/>
                      <w:color w:val="auto"/>
                      <w:spacing w:val="0"/>
                    </w:rPr>
                    <w:t>施工期粉尘采取洒水降尘、篷布覆盖等措施；运营期不产生废气</w:t>
                  </w:r>
                </w:p>
              </w:tc>
              <w:tc>
                <w:tcPr>
                  <w:tcW w:w="558" w:type="pct"/>
                  <w:noWrap w:val="0"/>
                  <w:vAlign w:val="center"/>
                </w:tcPr>
                <w:p w14:paraId="4AECBE3A">
                  <w:pPr>
                    <w:pStyle w:val="87"/>
                    <w:jc w:val="center"/>
                    <w:rPr>
                      <w:rFonts w:cs="Times New Roman"/>
                      <w:color w:val="auto"/>
                      <w:spacing w:val="0"/>
                    </w:rPr>
                  </w:pPr>
                  <w:r>
                    <w:rPr>
                      <w:rFonts w:hint="eastAsia" w:cs="Times New Roman"/>
                      <w:color w:val="auto"/>
                      <w:spacing w:val="0"/>
                    </w:rPr>
                    <w:t>新建</w:t>
                  </w:r>
                </w:p>
              </w:tc>
            </w:tr>
            <w:tr w14:paraId="6A3EA6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continue"/>
                  <w:noWrap w:val="0"/>
                  <w:vAlign w:val="top"/>
                </w:tcPr>
                <w:p w14:paraId="6539C793">
                  <w:pPr>
                    <w:pStyle w:val="87"/>
                    <w:autoSpaceDE/>
                    <w:autoSpaceDN/>
                    <w:jc w:val="center"/>
                    <w:rPr>
                      <w:rFonts w:cs="Times New Roman"/>
                      <w:color w:val="auto"/>
                      <w:spacing w:val="0"/>
                    </w:rPr>
                  </w:pPr>
                </w:p>
              </w:tc>
              <w:tc>
                <w:tcPr>
                  <w:tcW w:w="900" w:type="pct"/>
                  <w:noWrap w:val="0"/>
                  <w:vAlign w:val="center"/>
                </w:tcPr>
                <w:p w14:paraId="36E90E99">
                  <w:pPr>
                    <w:pStyle w:val="87"/>
                    <w:jc w:val="center"/>
                    <w:rPr>
                      <w:rFonts w:hint="eastAsia" w:cs="Times New Roman"/>
                      <w:color w:val="auto"/>
                      <w:spacing w:val="0"/>
                    </w:rPr>
                  </w:pPr>
                  <w:r>
                    <w:rPr>
                      <w:rFonts w:hint="eastAsia" w:cs="Times New Roman"/>
                      <w:color w:val="auto"/>
                      <w:spacing w:val="0"/>
                    </w:rPr>
                    <w:t>废水</w:t>
                  </w:r>
                </w:p>
              </w:tc>
              <w:tc>
                <w:tcPr>
                  <w:tcW w:w="3055" w:type="pct"/>
                  <w:noWrap w:val="0"/>
                  <w:vAlign w:val="center"/>
                </w:tcPr>
                <w:p w14:paraId="24B7D2C9">
                  <w:pPr>
                    <w:pStyle w:val="87"/>
                    <w:jc w:val="center"/>
                    <w:rPr>
                      <w:rFonts w:hint="eastAsia" w:cs="Times New Roman"/>
                      <w:color w:val="auto"/>
                      <w:spacing w:val="0"/>
                    </w:rPr>
                  </w:pPr>
                  <w:r>
                    <w:rPr>
                      <w:rFonts w:cs="Times New Roman"/>
                      <w:color w:val="auto"/>
                      <w:spacing w:val="0"/>
                    </w:rPr>
                    <w:t>施工期废水经临时沉淀池沉淀后</w:t>
                  </w:r>
                  <w:r>
                    <w:rPr>
                      <w:rFonts w:hint="eastAsia" w:cs="Times New Roman"/>
                      <w:color w:val="auto"/>
                      <w:spacing w:val="0"/>
                    </w:rPr>
                    <w:t>全部</w:t>
                  </w:r>
                  <w:r>
                    <w:rPr>
                      <w:rFonts w:cs="Times New Roman"/>
                      <w:color w:val="auto"/>
                      <w:spacing w:val="0"/>
                    </w:rPr>
                    <w:t>回用，不外排。运营期</w:t>
                  </w:r>
                  <w:r>
                    <w:rPr>
                      <w:rFonts w:hint="eastAsia" w:cs="Times New Roman"/>
                      <w:color w:val="auto"/>
                      <w:spacing w:val="0"/>
                    </w:rPr>
                    <w:t>无</w:t>
                  </w:r>
                  <w:r>
                    <w:rPr>
                      <w:rFonts w:cs="Times New Roman"/>
                      <w:color w:val="auto"/>
                      <w:spacing w:val="0"/>
                    </w:rPr>
                    <w:t>废水产生</w:t>
                  </w:r>
                  <w:r>
                    <w:rPr>
                      <w:rFonts w:hint="eastAsia" w:cs="Times New Roman"/>
                      <w:color w:val="auto"/>
                      <w:spacing w:val="0"/>
                    </w:rPr>
                    <w:t>。</w:t>
                  </w:r>
                </w:p>
              </w:tc>
              <w:tc>
                <w:tcPr>
                  <w:tcW w:w="558" w:type="pct"/>
                  <w:noWrap w:val="0"/>
                  <w:vAlign w:val="center"/>
                </w:tcPr>
                <w:p w14:paraId="2668FCEB">
                  <w:pPr>
                    <w:autoSpaceDE w:val="0"/>
                    <w:autoSpaceDN w:val="0"/>
                    <w:adjustRightInd w:val="0"/>
                    <w:snapToGrid w:val="0"/>
                    <w:spacing w:line="240" w:lineRule="auto"/>
                    <w:jc w:val="center"/>
                    <w:rPr>
                      <w:color w:val="auto"/>
                      <w:szCs w:val="21"/>
                    </w:rPr>
                  </w:pPr>
                  <w:r>
                    <w:rPr>
                      <w:rFonts w:hint="eastAsia"/>
                      <w:color w:val="auto"/>
                      <w:kern w:val="0"/>
                      <w:szCs w:val="21"/>
                    </w:rPr>
                    <w:t>新建</w:t>
                  </w:r>
                </w:p>
              </w:tc>
            </w:tr>
            <w:tr w14:paraId="675DFD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continue"/>
                  <w:noWrap w:val="0"/>
                  <w:vAlign w:val="top"/>
                </w:tcPr>
                <w:p w14:paraId="4DF57FB7">
                  <w:pPr>
                    <w:pStyle w:val="87"/>
                    <w:autoSpaceDE/>
                    <w:autoSpaceDN/>
                    <w:jc w:val="center"/>
                    <w:rPr>
                      <w:rFonts w:cs="Times New Roman"/>
                      <w:color w:val="auto"/>
                      <w:spacing w:val="0"/>
                    </w:rPr>
                  </w:pPr>
                </w:p>
              </w:tc>
              <w:tc>
                <w:tcPr>
                  <w:tcW w:w="900" w:type="pct"/>
                  <w:noWrap w:val="0"/>
                  <w:vAlign w:val="center"/>
                </w:tcPr>
                <w:p w14:paraId="3526876C">
                  <w:pPr>
                    <w:pStyle w:val="87"/>
                    <w:jc w:val="center"/>
                    <w:rPr>
                      <w:rFonts w:hint="eastAsia" w:cs="Times New Roman"/>
                      <w:color w:val="auto"/>
                      <w:spacing w:val="0"/>
                    </w:rPr>
                  </w:pPr>
                  <w:r>
                    <w:rPr>
                      <w:rFonts w:hint="eastAsia" w:cs="Times New Roman"/>
                      <w:color w:val="auto"/>
                      <w:spacing w:val="0"/>
                    </w:rPr>
                    <w:t>噪声</w:t>
                  </w:r>
                </w:p>
              </w:tc>
              <w:tc>
                <w:tcPr>
                  <w:tcW w:w="3055" w:type="pct"/>
                  <w:noWrap w:val="0"/>
                  <w:vAlign w:val="center"/>
                </w:tcPr>
                <w:p w14:paraId="3014369D">
                  <w:pPr>
                    <w:pStyle w:val="87"/>
                    <w:jc w:val="center"/>
                    <w:rPr>
                      <w:rFonts w:hint="eastAsia" w:cs="Times New Roman"/>
                      <w:color w:val="auto"/>
                      <w:spacing w:val="0"/>
                    </w:rPr>
                  </w:pPr>
                  <w:r>
                    <w:rPr>
                      <w:rFonts w:cs="Times New Roman"/>
                      <w:color w:val="auto"/>
                      <w:spacing w:val="0"/>
                    </w:rPr>
                    <w:t>施工期采用低噪声设备</w:t>
                  </w:r>
                  <w:r>
                    <w:rPr>
                      <w:rFonts w:hint="eastAsia" w:cs="Times New Roman"/>
                      <w:color w:val="auto"/>
                      <w:spacing w:val="0"/>
                    </w:rPr>
                    <w:t>；运营期加强对设备的维护</w:t>
                  </w:r>
                </w:p>
              </w:tc>
              <w:tc>
                <w:tcPr>
                  <w:tcW w:w="558" w:type="pct"/>
                  <w:noWrap w:val="0"/>
                  <w:vAlign w:val="center"/>
                </w:tcPr>
                <w:p w14:paraId="6455C950">
                  <w:pPr>
                    <w:autoSpaceDE w:val="0"/>
                    <w:autoSpaceDN w:val="0"/>
                    <w:adjustRightInd w:val="0"/>
                    <w:snapToGrid w:val="0"/>
                    <w:spacing w:line="240" w:lineRule="auto"/>
                    <w:jc w:val="center"/>
                    <w:rPr>
                      <w:color w:val="auto"/>
                      <w:kern w:val="0"/>
                      <w:szCs w:val="21"/>
                    </w:rPr>
                  </w:pPr>
                  <w:r>
                    <w:rPr>
                      <w:rFonts w:hint="eastAsia"/>
                      <w:color w:val="auto"/>
                      <w:kern w:val="0"/>
                      <w:szCs w:val="21"/>
                    </w:rPr>
                    <w:t>新建</w:t>
                  </w:r>
                </w:p>
              </w:tc>
            </w:tr>
            <w:tr w14:paraId="587143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continue"/>
                  <w:noWrap w:val="0"/>
                  <w:vAlign w:val="top"/>
                </w:tcPr>
                <w:p w14:paraId="29D74794">
                  <w:pPr>
                    <w:pStyle w:val="87"/>
                    <w:autoSpaceDE/>
                    <w:autoSpaceDN/>
                    <w:jc w:val="center"/>
                    <w:rPr>
                      <w:rFonts w:cs="Times New Roman"/>
                      <w:color w:val="auto"/>
                      <w:spacing w:val="0"/>
                    </w:rPr>
                  </w:pPr>
                </w:p>
              </w:tc>
              <w:tc>
                <w:tcPr>
                  <w:tcW w:w="900" w:type="pct"/>
                  <w:noWrap w:val="0"/>
                  <w:vAlign w:val="center"/>
                </w:tcPr>
                <w:p w14:paraId="46FBDFF7">
                  <w:pPr>
                    <w:pStyle w:val="87"/>
                    <w:jc w:val="center"/>
                    <w:rPr>
                      <w:rFonts w:hint="eastAsia" w:cs="Times New Roman"/>
                      <w:color w:val="auto"/>
                      <w:spacing w:val="0"/>
                    </w:rPr>
                  </w:pPr>
                  <w:r>
                    <w:rPr>
                      <w:rFonts w:hint="eastAsia" w:cs="Times New Roman"/>
                      <w:color w:val="auto"/>
                      <w:spacing w:val="0"/>
                    </w:rPr>
                    <w:t>固体废物</w:t>
                  </w:r>
                </w:p>
              </w:tc>
              <w:tc>
                <w:tcPr>
                  <w:tcW w:w="3055" w:type="pct"/>
                  <w:noWrap w:val="0"/>
                  <w:vAlign w:val="center"/>
                </w:tcPr>
                <w:p w14:paraId="46D538E1">
                  <w:pPr>
                    <w:pStyle w:val="87"/>
                    <w:jc w:val="center"/>
                    <w:rPr>
                      <w:rFonts w:hint="eastAsia" w:cs="Times New Roman"/>
                      <w:color w:val="auto"/>
                      <w:spacing w:val="0"/>
                    </w:rPr>
                  </w:pPr>
                  <w:r>
                    <w:rPr>
                      <w:rFonts w:cs="Times New Roman"/>
                      <w:color w:val="auto"/>
                      <w:spacing w:val="0"/>
                    </w:rPr>
                    <w:t>在施工点设置生活垃圾收集桶，对施工人员产生的生活垃圾统一收集后由施工单位定期运至</w:t>
                  </w:r>
                  <w:r>
                    <w:rPr>
                      <w:rFonts w:hint="eastAsia" w:cs="Times New Roman"/>
                      <w:color w:val="auto"/>
                      <w:spacing w:val="0"/>
                      <w:lang w:val="en-US" w:eastAsia="zh-CN"/>
                    </w:rPr>
                    <w:t>周边村镇</w:t>
                  </w:r>
                  <w:r>
                    <w:rPr>
                      <w:rFonts w:cs="Times New Roman"/>
                      <w:color w:val="auto"/>
                      <w:spacing w:val="0"/>
                    </w:rPr>
                    <w:t>环卫部门指定地点堆放，由环卫部门负责清运处置</w:t>
                  </w:r>
                  <w:r>
                    <w:rPr>
                      <w:rFonts w:hint="eastAsia" w:cs="Times New Roman"/>
                      <w:color w:val="auto"/>
                      <w:spacing w:val="0"/>
                    </w:rPr>
                    <w:t>；土石方全部回填，建筑垃圾收集后交由有资质单位处置；运营期更换的废旧绝缘子串、电气设备由建设单位物资部门回收处理。</w:t>
                  </w:r>
                </w:p>
              </w:tc>
              <w:tc>
                <w:tcPr>
                  <w:tcW w:w="558" w:type="pct"/>
                  <w:noWrap w:val="0"/>
                  <w:vAlign w:val="center"/>
                </w:tcPr>
                <w:p w14:paraId="130AFA61">
                  <w:pPr>
                    <w:autoSpaceDE w:val="0"/>
                    <w:autoSpaceDN w:val="0"/>
                    <w:adjustRightInd w:val="0"/>
                    <w:snapToGrid w:val="0"/>
                    <w:spacing w:line="240" w:lineRule="auto"/>
                    <w:jc w:val="center"/>
                    <w:rPr>
                      <w:rFonts w:hint="eastAsia"/>
                      <w:color w:val="auto"/>
                      <w:szCs w:val="21"/>
                    </w:rPr>
                  </w:pPr>
                  <w:r>
                    <w:rPr>
                      <w:rFonts w:hint="eastAsia"/>
                      <w:color w:val="auto"/>
                      <w:kern w:val="0"/>
                      <w:szCs w:val="21"/>
                    </w:rPr>
                    <w:t>新建</w:t>
                  </w:r>
                </w:p>
              </w:tc>
            </w:tr>
            <w:tr w14:paraId="12E594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continue"/>
                  <w:noWrap w:val="0"/>
                  <w:vAlign w:val="top"/>
                </w:tcPr>
                <w:p w14:paraId="4E7C18DE">
                  <w:pPr>
                    <w:pStyle w:val="87"/>
                    <w:autoSpaceDE/>
                    <w:autoSpaceDN/>
                    <w:jc w:val="center"/>
                    <w:rPr>
                      <w:rFonts w:cs="Times New Roman"/>
                      <w:color w:val="auto"/>
                      <w:spacing w:val="0"/>
                    </w:rPr>
                  </w:pPr>
                </w:p>
              </w:tc>
              <w:tc>
                <w:tcPr>
                  <w:tcW w:w="900" w:type="pct"/>
                  <w:noWrap w:val="0"/>
                  <w:vAlign w:val="center"/>
                </w:tcPr>
                <w:p w14:paraId="6B369FBE">
                  <w:pPr>
                    <w:pStyle w:val="87"/>
                    <w:jc w:val="center"/>
                    <w:rPr>
                      <w:rFonts w:hint="eastAsia" w:cs="Times New Roman"/>
                      <w:color w:val="auto"/>
                      <w:spacing w:val="0"/>
                    </w:rPr>
                  </w:pPr>
                  <w:r>
                    <w:rPr>
                      <w:rFonts w:hint="eastAsia" w:cs="Times New Roman"/>
                      <w:color w:val="auto"/>
                      <w:spacing w:val="0"/>
                    </w:rPr>
                    <w:t>电磁环境</w:t>
                  </w:r>
                </w:p>
              </w:tc>
              <w:tc>
                <w:tcPr>
                  <w:tcW w:w="3055" w:type="pct"/>
                  <w:noWrap w:val="0"/>
                  <w:vAlign w:val="center"/>
                </w:tcPr>
                <w:p w14:paraId="744592FF">
                  <w:pPr>
                    <w:pStyle w:val="87"/>
                    <w:jc w:val="center"/>
                    <w:rPr>
                      <w:rFonts w:hint="eastAsia" w:cs="Times New Roman"/>
                      <w:color w:val="auto"/>
                      <w:spacing w:val="0"/>
                    </w:rPr>
                  </w:pPr>
                  <w:r>
                    <w:rPr>
                      <w:rFonts w:cs="Times New Roman"/>
                      <w:color w:val="auto"/>
                      <w:spacing w:val="0"/>
                    </w:rPr>
                    <w:t>输电线路导线距地高度按照《110kV～750kV架空输电线路设计规范》（GB50545-2010）规定的</w:t>
                  </w:r>
                  <w:r>
                    <w:rPr>
                      <w:rFonts w:hint="eastAsia" w:cs="Times New Roman"/>
                      <w:color w:val="auto"/>
                      <w:spacing w:val="0"/>
                    </w:rPr>
                    <w:t>11</w:t>
                  </w:r>
                  <w:r>
                    <w:rPr>
                      <w:rFonts w:cs="Times New Roman"/>
                      <w:color w:val="auto"/>
                      <w:spacing w:val="0"/>
                    </w:rPr>
                    <w:t>0kV线路经过非居民区导线对地面最小距离6</w:t>
                  </w:r>
                  <w:r>
                    <w:rPr>
                      <w:rFonts w:hint="eastAsia" w:cs="Times New Roman"/>
                      <w:color w:val="auto"/>
                      <w:spacing w:val="0"/>
                    </w:rPr>
                    <w:t>.0</w:t>
                  </w:r>
                  <w:r>
                    <w:rPr>
                      <w:rFonts w:cs="Times New Roman"/>
                      <w:color w:val="auto"/>
                      <w:spacing w:val="0"/>
                    </w:rPr>
                    <w:t>m，居民区导线对地面最小距离7.</w:t>
                  </w:r>
                  <w:r>
                    <w:rPr>
                      <w:rFonts w:hint="eastAsia" w:cs="Times New Roman"/>
                      <w:color w:val="auto"/>
                      <w:spacing w:val="0"/>
                    </w:rPr>
                    <w:t>0</w:t>
                  </w:r>
                  <w:r>
                    <w:rPr>
                      <w:rFonts w:cs="Times New Roman"/>
                      <w:color w:val="auto"/>
                      <w:spacing w:val="0"/>
                    </w:rPr>
                    <w:t>m，交通困难区对地面最小距离5m的要求进行架设。则项目线路运行期产生的电磁环境影响均满足相应评价标准限值要求。塔基安全警示牌、电力设施保护标识牌</w:t>
                  </w:r>
                  <w:r>
                    <w:rPr>
                      <w:rFonts w:hint="eastAsia" w:cs="Times New Roman"/>
                      <w:color w:val="auto"/>
                      <w:spacing w:val="0"/>
                    </w:rPr>
                    <w:t>。</w:t>
                  </w:r>
                </w:p>
              </w:tc>
              <w:tc>
                <w:tcPr>
                  <w:tcW w:w="558" w:type="pct"/>
                  <w:noWrap w:val="0"/>
                  <w:vAlign w:val="center"/>
                </w:tcPr>
                <w:p w14:paraId="6ADC2538">
                  <w:pPr>
                    <w:autoSpaceDE w:val="0"/>
                    <w:autoSpaceDN w:val="0"/>
                    <w:adjustRightInd w:val="0"/>
                    <w:snapToGrid w:val="0"/>
                    <w:spacing w:line="240" w:lineRule="auto"/>
                    <w:jc w:val="center"/>
                    <w:rPr>
                      <w:color w:val="auto"/>
                      <w:szCs w:val="21"/>
                    </w:rPr>
                  </w:pPr>
                  <w:r>
                    <w:rPr>
                      <w:rFonts w:hint="eastAsia"/>
                      <w:color w:val="auto"/>
                      <w:kern w:val="0"/>
                      <w:szCs w:val="21"/>
                    </w:rPr>
                    <w:t>新建</w:t>
                  </w:r>
                </w:p>
              </w:tc>
            </w:tr>
            <w:tr w14:paraId="50B931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continue"/>
                  <w:noWrap w:val="0"/>
                  <w:vAlign w:val="top"/>
                </w:tcPr>
                <w:p w14:paraId="5348C06D">
                  <w:pPr>
                    <w:pStyle w:val="87"/>
                    <w:autoSpaceDE/>
                    <w:autoSpaceDN/>
                    <w:jc w:val="center"/>
                    <w:rPr>
                      <w:rFonts w:cs="Times New Roman"/>
                      <w:color w:val="auto"/>
                      <w:spacing w:val="0"/>
                    </w:rPr>
                  </w:pPr>
                </w:p>
              </w:tc>
              <w:tc>
                <w:tcPr>
                  <w:tcW w:w="900" w:type="pct"/>
                  <w:noWrap w:val="0"/>
                  <w:vAlign w:val="center"/>
                </w:tcPr>
                <w:p w14:paraId="35124D2F">
                  <w:pPr>
                    <w:pStyle w:val="87"/>
                    <w:jc w:val="center"/>
                    <w:rPr>
                      <w:rFonts w:hint="eastAsia" w:cs="Times New Roman"/>
                      <w:color w:val="auto"/>
                      <w:spacing w:val="0"/>
                    </w:rPr>
                  </w:pPr>
                  <w:r>
                    <w:rPr>
                      <w:rFonts w:hint="eastAsia" w:cs="Times New Roman"/>
                      <w:color w:val="auto"/>
                      <w:spacing w:val="0"/>
                    </w:rPr>
                    <w:t>水土保持</w:t>
                  </w:r>
                </w:p>
              </w:tc>
              <w:tc>
                <w:tcPr>
                  <w:tcW w:w="3055" w:type="pct"/>
                  <w:noWrap w:val="0"/>
                  <w:vAlign w:val="center"/>
                </w:tcPr>
                <w:p w14:paraId="6E292FC7">
                  <w:pPr>
                    <w:pStyle w:val="87"/>
                    <w:jc w:val="center"/>
                    <w:rPr>
                      <w:rFonts w:hint="eastAsia" w:cs="Times New Roman"/>
                      <w:color w:val="auto"/>
                      <w:spacing w:val="0"/>
                    </w:rPr>
                  </w:pPr>
                  <w:r>
                    <w:rPr>
                      <w:rFonts w:cs="Times New Roman"/>
                      <w:color w:val="auto"/>
                      <w:spacing w:val="0"/>
                    </w:rPr>
                    <w:t>施工物料采用篷布覆盖、遮挡；陡坡塔基设置的浆砌石挡土墙、护坡、排水沟</w:t>
                  </w:r>
                  <w:r>
                    <w:rPr>
                      <w:rFonts w:hint="eastAsia" w:cs="Times New Roman"/>
                      <w:color w:val="auto"/>
                      <w:spacing w:val="0"/>
                    </w:rPr>
                    <w:t>等</w:t>
                  </w:r>
                </w:p>
              </w:tc>
              <w:tc>
                <w:tcPr>
                  <w:tcW w:w="558" w:type="pct"/>
                  <w:noWrap w:val="0"/>
                  <w:vAlign w:val="center"/>
                </w:tcPr>
                <w:p w14:paraId="507F8A65">
                  <w:pPr>
                    <w:pStyle w:val="87"/>
                    <w:jc w:val="center"/>
                    <w:rPr>
                      <w:rFonts w:hint="eastAsia" w:cs="Times New Roman"/>
                      <w:color w:val="auto"/>
                      <w:spacing w:val="0"/>
                    </w:rPr>
                  </w:pPr>
                  <w:r>
                    <w:rPr>
                      <w:rFonts w:hint="eastAsia" w:cs="Times New Roman"/>
                      <w:color w:val="auto"/>
                      <w:spacing w:val="0"/>
                    </w:rPr>
                    <w:t>新建</w:t>
                  </w:r>
                </w:p>
              </w:tc>
            </w:tr>
            <w:tr w14:paraId="5FC6D1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continue"/>
                  <w:noWrap w:val="0"/>
                  <w:vAlign w:val="top"/>
                </w:tcPr>
                <w:p w14:paraId="451B2463">
                  <w:pPr>
                    <w:pStyle w:val="87"/>
                    <w:autoSpaceDE/>
                    <w:autoSpaceDN/>
                    <w:jc w:val="center"/>
                    <w:rPr>
                      <w:rFonts w:cs="Times New Roman"/>
                      <w:color w:val="auto"/>
                      <w:spacing w:val="0"/>
                    </w:rPr>
                  </w:pPr>
                </w:p>
              </w:tc>
              <w:tc>
                <w:tcPr>
                  <w:tcW w:w="900" w:type="pct"/>
                  <w:noWrap w:val="0"/>
                  <w:vAlign w:val="center"/>
                </w:tcPr>
                <w:p w14:paraId="0991901F">
                  <w:pPr>
                    <w:pStyle w:val="87"/>
                    <w:jc w:val="center"/>
                    <w:rPr>
                      <w:rFonts w:hint="eastAsia" w:cs="Times New Roman"/>
                      <w:color w:val="auto"/>
                      <w:spacing w:val="0"/>
                    </w:rPr>
                  </w:pPr>
                  <w:r>
                    <w:rPr>
                      <w:rFonts w:hint="eastAsia" w:cs="Times New Roman"/>
                      <w:color w:val="auto"/>
                      <w:spacing w:val="0"/>
                    </w:rPr>
                    <w:t>生态措施</w:t>
                  </w:r>
                </w:p>
              </w:tc>
              <w:tc>
                <w:tcPr>
                  <w:tcW w:w="3055" w:type="pct"/>
                  <w:noWrap w:val="0"/>
                  <w:vAlign w:val="center"/>
                </w:tcPr>
                <w:p w14:paraId="4873F82F">
                  <w:pPr>
                    <w:pStyle w:val="87"/>
                    <w:jc w:val="center"/>
                    <w:rPr>
                      <w:rFonts w:hint="eastAsia" w:cs="Times New Roman"/>
                      <w:color w:val="auto"/>
                      <w:spacing w:val="0"/>
                    </w:rPr>
                  </w:pPr>
                  <w:r>
                    <w:rPr>
                      <w:rFonts w:hint="eastAsia" w:cs="Times New Roman"/>
                      <w:color w:val="auto"/>
                      <w:spacing w:val="0"/>
                    </w:rPr>
                    <w:t>严格控制施工范围，</w:t>
                  </w:r>
                  <w:r>
                    <w:rPr>
                      <w:rFonts w:cs="Times New Roman"/>
                      <w:color w:val="auto"/>
                      <w:spacing w:val="0"/>
                    </w:rPr>
                    <w:t>塔基施工区、跨越施工场地</w:t>
                  </w:r>
                  <w:r>
                    <w:rPr>
                      <w:rFonts w:hint="eastAsia" w:cs="Times New Roman"/>
                      <w:color w:val="auto"/>
                      <w:spacing w:val="0"/>
                    </w:rPr>
                    <w:t>等</w:t>
                  </w:r>
                  <w:r>
                    <w:rPr>
                      <w:rFonts w:cs="Times New Roman"/>
                      <w:color w:val="auto"/>
                      <w:spacing w:val="0"/>
                    </w:rPr>
                    <w:t>施工结束后进行植被恢复。</w:t>
                  </w:r>
                </w:p>
              </w:tc>
              <w:tc>
                <w:tcPr>
                  <w:tcW w:w="558" w:type="pct"/>
                  <w:noWrap w:val="0"/>
                  <w:vAlign w:val="center"/>
                </w:tcPr>
                <w:p w14:paraId="7F7B7C0D">
                  <w:pPr>
                    <w:pStyle w:val="87"/>
                    <w:jc w:val="center"/>
                    <w:rPr>
                      <w:rFonts w:cs="Times New Roman"/>
                      <w:color w:val="auto"/>
                      <w:spacing w:val="0"/>
                    </w:rPr>
                  </w:pPr>
                  <w:r>
                    <w:rPr>
                      <w:rFonts w:hint="eastAsia" w:cs="Times New Roman"/>
                      <w:color w:val="auto"/>
                      <w:spacing w:val="0"/>
                    </w:rPr>
                    <w:t>新建</w:t>
                  </w:r>
                </w:p>
              </w:tc>
            </w:tr>
          </w:tbl>
          <w:p w14:paraId="1D3BE6D9">
            <w:pPr>
              <w:pageBreakBefore w:val="0"/>
              <w:kinsoku/>
              <w:wordWrap/>
              <w:topLinePunct w:val="0"/>
              <w:bidi w:val="0"/>
              <w:spacing w:line="240" w:lineRule="auto"/>
              <w:jc w:val="center"/>
              <w:rPr>
                <w:rFonts w:hint="default" w:ascii="Times New Roman" w:hAnsi="Times New Roman" w:cs="Times New Roman"/>
                <w:b/>
                <w:color w:val="auto"/>
                <w:sz w:val="24"/>
                <w:szCs w:val="24"/>
              </w:rPr>
            </w:pPr>
          </w:p>
          <w:p w14:paraId="317CBF6F">
            <w:pPr>
              <w:pageBreakBefore w:val="0"/>
              <w:kinsoku/>
              <w:wordWrap/>
              <w:topLinePunct w:val="0"/>
              <w:bidi w:val="0"/>
              <w:spacing w:line="240" w:lineRule="auto"/>
              <w:jc w:val="center"/>
              <w:rPr>
                <w:rFonts w:hint="default" w:ascii="Times New Roman" w:hAnsi="Times New Roman" w:cs="Times New Roman"/>
                <w:b/>
                <w:color w:val="auto"/>
                <w:sz w:val="24"/>
                <w:szCs w:val="22"/>
              </w:rPr>
            </w:pPr>
            <w:r>
              <w:rPr>
                <w:rFonts w:hint="default" w:ascii="Times New Roman" w:hAnsi="Times New Roman" w:cs="Times New Roman"/>
                <w:b/>
                <w:color w:val="auto"/>
                <w:sz w:val="24"/>
                <w:szCs w:val="24"/>
              </w:rPr>
              <w:t>表2-</w:t>
            </w:r>
            <w:r>
              <w:rPr>
                <w:rFonts w:hint="default" w:ascii="Times New Roman" w:hAnsi="Times New Roman" w:cs="Times New Roman"/>
                <w:b/>
                <w:color w:val="auto"/>
                <w:sz w:val="24"/>
                <w:szCs w:val="24"/>
                <w:lang w:val="en-US" w:eastAsia="zh-CN"/>
              </w:rPr>
              <w:t>2</w:t>
            </w:r>
            <w:r>
              <w:rPr>
                <w:rFonts w:hint="default" w:ascii="Times New Roman" w:hAnsi="Times New Roman" w:cs="Times New Roman"/>
                <w:b/>
                <w:color w:val="auto"/>
                <w:sz w:val="24"/>
                <w:szCs w:val="24"/>
              </w:rPr>
              <w:t xml:space="preserve">  </w:t>
            </w:r>
            <w:r>
              <w:rPr>
                <w:rFonts w:hint="default" w:ascii="Times New Roman" w:hAnsi="Times New Roman" w:cs="Times New Roman"/>
                <w:b/>
                <w:color w:val="auto"/>
                <w:sz w:val="24"/>
              </w:rPr>
              <w:t>项目输电线路主要技术参数</w:t>
            </w:r>
          </w:p>
          <w:tbl>
            <w:tblPr>
              <w:tblStyle w:val="3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66"/>
              <w:gridCol w:w="6456"/>
            </w:tblGrid>
            <w:tr w14:paraId="347276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76" w:type="pct"/>
                  <w:vMerge w:val="restart"/>
                  <w:tcBorders>
                    <w:tl2br w:val="nil"/>
                    <w:tr2bl w:val="nil"/>
                  </w:tcBorders>
                  <w:noWrap w:val="0"/>
                  <w:vAlign w:val="center"/>
                </w:tcPr>
                <w:p w14:paraId="1BD831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szCs w:val="21"/>
                    </w:rPr>
                  </w:pPr>
                  <w:r>
                    <w:rPr>
                      <w:rFonts w:hint="default" w:ascii="Times New Roman" w:hAnsi="Times New Roman" w:cs="Times New Roman"/>
                      <w:b/>
                      <w:bCs/>
                      <w:color w:val="auto"/>
                    </w:rPr>
                    <mc:AlternateContent>
                      <mc:Choice Requires="wps">
                        <w:drawing>
                          <wp:anchor distT="0" distB="0" distL="114300" distR="114300" simplePos="0" relativeHeight="251662336" behindDoc="0" locked="0" layoutInCell="1" allowOverlap="1">
                            <wp:simplePos x="0" y="0"/>
                            <wp:positionH relativeFrom="column">
                              <wp:posOffset>-57785</wp:posOffset>
                            </wp:positionH>
                            <wp:positionV relativeFrom="paragraph">
                              <wp:posOffset>9525</wp:posOffset>
                            </wp:positionV>
                            <wp:extent cx="987425" cy="410845"/>
                            <wp:effectExtent l="1905" t="4445" r="20320" b="22860"/>
                            <wp:wrapNone/>
                            <wp:docPr id="95" name="直接连接符 33"/>
                            <wp:cNvGraphicFramePr/>
                            <a:graphic xmlns:a="http://schemas.openxmlformats.org/drawingml/2006/main">
                              <a:graphicData uri="http://schemas.microsoft.com/office/word/2010/wordprocessingShape">
                                <wps:wsp>
                                  <wps:cNvCnPr/>
                                  <wps:spPr>
                                    <a:xfrm>
                                      <a:off x="0" y="0"/>
                                      <a:ext cx="987425" cy="410845"/>
                                    </a:xfrm>
                                    <a:prstGeom prst="straightConnector1">
                                      <a:avLst/>
                                    </a:prstGeom>
                                    <a:ln w="6350" cap="flat" cmpd="sng">
                                      <a:solidFill>
                                        <a:srgbClr val="000000"/>
                                      </a:solidFill>
                                      <a:prstDash val="solid"/>
                                      <a:round/>
                                      <a:headEnd type="none" w="med" len="med"/>
                                      <a:tailEnd type="none" w="med" len="med"/>
                                    </a:ln>
                                  </wps:spPr>
                                  <wps:bodyPr/>
                                </wps:wsp>
                              </a:graphicData>
                            </a:graphic>
                          </wp:anchor>
                        </w:drawing>
                      </mc:Choice>
                      <mc:Fallback>
                        <w:pict>
                          <v:shape id="直接连接符 33" o:spid="_x0000_s1026" o:spt="32" type="#_x0000_t32" style="position:absolute;left:0pt;margin-left:-4.55pt;margin-top:0.75pt;height:32.35pt;width:77.75pt;z-index:251662336;mso-width-relative:page;mso-height-relative:page;" filled="f" stroked="t" coordsize="21600,21600" o:gfxdata="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PhJpPDVAAAABwEAAA8AAAAAAAAAAQAgAAAAIgAAAGRycy9kb3ducmV2&#10;LnhtbFBLAQIUABQAAAAIAIdO4kDKa71b/wEAAPYDAAAOAAAAAAAAAAEAIAAAACQBAABkcnMvZTJv&#10;RG9jLnhtbFBLBQYAAAAABgAGAFkBAACVBQAAAAA=&#10;">
                            <v:fill on="f" focussize="0,0"/>
                            <v:stroke weight="0.5pt" color="#000000" joinstyle="round"/>
                            <v:imagedata o:title=""/>
                            <o:lock v:ext="edit" aspectratio="f"/>
                          </v:shape>
                        </w:pict>
                      </mc:Fallback>
                    </mc:AlternateContent>
                  </w:r>
                  <w:r>
                    <w:rPr>
                      <w:rFonts w:hint="eastAsia" w:ascii="Times New Roman" w:hAnsi="Times New Roman" w:cs="Times New Roman"/>
                      <w:b/>
                      <w:bCs/>
                      <w:color w:val="auto"/>
                      <w:lang w:val="en-US" w:eastAsia="zh-CN"/>
                    </w:rPr>
                    <w:t xml:space="preserve">    </w:t>
                  </w:r>
                  <w:r>
                    <w:rPr>
                      <w:rFonts w:hint="default" w:ascii="Times New Roman" w:hAnsi="Times New Roman" w:cs="Times New Roman"/>
                      <w:b/>
                      <w:bCs/>
                      <w:color w:val="auto"/>
                      <w:szCs w:val="21"/>
                    </w:rPr>
                    <w:t>名称</w:t>
                  </w:r>
                </w:p>
                <w:p w14:paraId="71F82120">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cs="Times New Roman"/>
                      <w:b/>
                      <w:bCs/>
                      <w:color w:val="auto"/>
                      <w:szCs w:val="21"/>
                    </w:rPr>
                  </w:pPr>
                  <w:r>
                    <w:rPr>
                      <w:rFonts w:hint="default" w:ascii="Times New Roman" w:hAnsi="Times New Roman" w:cs="Times New Roman"/>
                      <w:b/>
                      <w:bCs/>
                      <w:color w:val="auto"/>
                      <w:szCs w:val="21"/>
                    </w:rPr>
                    <w:t>项目</w:t>
                  </w:r>
                </w:p>
              </w:tc>
              <w:tc>
                <w:tcPr>
                  <w:tcW w:w="4023" w:type="pct"/>
                  <w:vMerge w:val="restart"/>
                  <w:tcBorders>
                    <w:tl2br w:val="nil"/>
                    <w:tr2bl w:val="nil"/>
                  </w:tcBorders>
                  <w:noWrap w:val="0"/>
                  <w:vAlign w:val="center"/>
                </w:tcPr>
                <w:p w14:paraId="20C66D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Cs w:val="21"/>
                      <w:lang w:eastAsia="zh-CN"/>
                    </w:rPr>
                  </w:pPr>
                  <w:r>
                    <w:rPr>
                      <w:rFonts w:hint="eastAsia" w:ascii="Times New Roman" w:hAnsi="Times New Roman" w:cs="Times New Roman"/>
                      <w:b/>
                      <w:bCs/>
                      <w:color w:val="auto"/>
                      <w:szCs w:val="21"/>
                      <w:lang w:val="en-US" w:eastAsia="zh-CN"/>
                    </w:rPr>
                    <w:t>大草房至六合一110</w:t>
                  </w:r>
                  <w:r>
                    <w:rPr>
                      <w:rFonts w:hint="eastAsia" w:ascii="Times New Roman" w:hAnsi="Times New Roman" w:cs="Times New Roman"/>
                      <w:b/>
                      <w:bCs/>
                      <w:color w:val="auto"/>
                      <w:szCs w:val="21"/>
                      <w:lang w:eastAsia="zh-CN"/>
                    </w:rPr>
                    <w:t>kV送出线路工程</w:t>
                  </w:r>
                </w:p>
              </w:tc>
            </w:tr>
            <w:tr w14:paraId="79096D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76" w:type="pct"/>
                  <w:vMerge w:val="continue"/>
                  <w:tcBorders>
                    <w:tl2br w:val="nil"/>
                    <w:tr2bl w:val="nil"/>
                  </w:tcBorders>
                  <w:noWrap w:val="0"/>
                  <w:vAlign w:val="center"/>
                </w:tcPr>
                <w:p w14:paraId="72BE41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p>
              </w:tc>
              <w:tc>
                <w:tcPr>
                  <w:tcW w:w="4023" w:type="pct"/>
                  <w:vMerge w:val="continue"/>
                  <w:tcBorders>
                    <w:tl2br w:val="nil"/>
                    <w:tr2bl w:val="nil"/>
                  </w:tcBorders>
                  <w:noWrap w:val="0"/>
                  <w:vAlign w:val="center"/>
                </w:tcPr>
                <w:p w14:paraId="675738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p>
              </w:tc>
            </w:tr>
            <w:tr w14:paraId="441A0B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6" w:type="pct"/>
                  <w:tcBorders>
                    <w:tl2br w:val="nil"/>
                    <w:tr2bl w:val="nil"/>
                  </w:tcBorders>
                  <w:noWrap w:val="0"/>
                  <w:vAlign w:val="center"/>
                </w:tcPr>
                <w:p w14:paraId="7047614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导线选型</w:t>
                  </w:r>
                </w:p>
              </w:tc>
              <w:tc>
                <w:tcPr>
                  <w:tcW w:w="4023" w:type="pct"/>
                  <w:tcBorders>
                    <w:tl2br w:val="nil"/>
                    <w:tr2bl w:val="nil"/>
                  </w:tcBorders>
                  <w:noWrap w:val="0"/>
                  <w:vAlign w:val="center"/>
                </w:tcPr>
                <w:p w14:paraId="74AE6D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lang w:val="en-US" w:eastAsia="zh-CN"/>
                    </w:rPr>
                    <w:t>导线（10mm、20mm冰区）采用JNRLH1/LB20A-400/50型铝包钢芯耐热铝合金绞线</w:t>
                  </w:r>
                  <w:r>
                    <w:rPr>
                      <w:rFonts w:hint="eastAsia" w:ascii="Times New Roman" w:hAnsi="Times New Roman" w:cs="Times New Roman"/>
                      <w:color w:val="auto"/>
                      <w:szCs w:val="21"/>
                      <w:lang w:val="en-US" w:eastAsia="zh-CN"/>
                    </w:rPr>
                    <w:t>；</w:t>
                  </w:r>
                  <w:r>
                    <w:rPr>
                      <w:rFonts w:hint="default" w:ascii="Times New Roman" w:hAnsi="Times New Roman" w:cs="Times New Roman"/>
                      <w:color w:val="auto"/>
                      <w:szCs w:val="21"/>
                      <w:lang w:val="en-US" w:eastAsia="zh-CN"/>
                    </w:rPr>
                    <w:t>导线（30mm冰区）采用JNRLH1/LB20A-400/65型铝包钢芯耐热铝合金绞线</w:t>
                  </w:r>
                </w:p>
              </w:tc>
            </w:tr>
            <w:tr w14:paraId="74505F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6" w:type="pct"/>
                  <w:tcBorders>
                    <w:tl2br w:val="nil"/>
                    <w:tr2bl w:val="nil"/>
                  </w:tcBorders>
                  <w:noWrap w:val="0"/>
                  <w:vAlign w:val="center"/>
                </w:tcPr>
                <w:p w14:paraId="61CE7D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地线选型</w:t>
                  </w:r>
                </w:p>
              </w:tc>
              <w:tc>
                <w:tcPr>
                  <w:tcW w:w="4023" w:type="pct"/>
                  <w:tcBorders>
                    <w:tl2br w:val="nil"/>
                    <w:tr2bl w:val="nil"/>
                  </w:tcBorders>
                  <w:noWrap w:val="0"/>
                  <w:vAlign w:val="center"/>
                </w:tcPr>
                <w:p w14:paraId="296E4A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eastAsia" w:ascii="Times New Roman" w:hAnsi="Times New Roman"/>
                      <w:color w:val="auto"/>
                      <w:sz w:val="21"/>
                      <w:szCs w:val="21"/>
                    </w:rPr>
                    <w:t>10、20mm冰区地线</w:t>
                  </w:r>
                  <w:r>
                    <w:rPr>
                      <w:rFonts w:hint="default" w:ascii="Times New Roman" w:hAnsi="Times New Roman" w:eastAsia="宋体" w:cs="Times New Roman"/>
                      <w:color w:val="auto"/>
                      <w:sz w:val="21"/>
                      <w:szCs w:val="21"/>
                    </w:rPr>
                    <w:t>新建线路采用2根OPGW-100光缆（24芯G.652D），30mm冰区地线采用2根OPGW-120光缆（24芯G.652D）</w:t>
                  </w:r>
                </w:p>
              </w:tc>
            </w:tr>
            <w:tr w14:paraId="0E1930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6" w:type="pct"/>
                  <w:tcBorders>
                    <w:tl2br w:val="nil"/>
                    <w:tr2bl w:val="nil"/>
                  </w:tcBorders>
                  <w:noWrap w:val="0"/>
                  <w:vAlign w:val="center"/>
                </w:tcPr>
                <w:p w14:paraId="0A98E3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导线截面（mm</w:t>
                  </w:r>
                  <w:r>
                    <w:rPr>
                      <w:rFonts w:hint="default" w:ascii="Times New Roman" w:hAnsi="Times New Roman" w:cs="Times New Roman"/>
                      <w:color w:val="auto"/>
                      <w:szCs w:val="21"/>
                      <w:vertAlign w:val="superscript"/>
                    </w:rPr>
                    <w:t>2</w:t>
                  </w:r>
                  <w:r>
                    <w:rPr>
                      <w:rFonts w:hint="default" w:ascii="Times New Roman" w:hAnsi="Times New Roman" w:cs="Times New Roman"/>
                      <w:color w:val="auto"/>
                      <w:szCs w:val="21"/>
                    </w:rPr>
                    <w:t>）</w:t>
                  </w:r>
                </w:p>
              </w:tc>
              <w:tc>
                <w:tcPr>
                  <w:tcW w:w="4023" w:type="pct"/>
                  <w:tcBorders>
                    <w:tl2br w:val="nil"/>
                    <w:tr2bl w:val="nil"/>
                  </w:tcBorders>
                  <w:noWrap w:val="0"/>
                  <w:vAlign w:val="center"/>
                </w:tcPr>
                <w:p w14:paraId="0769A5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eastAsia" w:ascii="Times New Roman" w:hAnsi="Times New Roman" w:cs="Times New Roman"/>
                      <w:color w:val="auto"/>
                      <w:szCs w:val="21"/>
                      <w:lang w:val="en-US" w:eastAsia="zh-CN"/>
                    </w:rPr>
                    <w:t>4</w:t>
                  </w:r>
                  <w:r>
                    <w:rPr>
                      <w:rFonts w:hint="default" w:ascii="Times New Roman" w:hAnsi="Times New Roman" w:cs="Times New Roman"/>
                      <w:color w:val="auto"/>
                      <w:szCs w:val="21"/>
                      <w:lang w:val="en-US" w:eastAsia="zh-CN"/>
                    </w:rPr>
                    <w:t>0</w:t>
                  </w:r>
                  <w:r>
                    <w:rPr>
                      <w:rFonts w:hint="default" w:ascii="Times New Roman" w:hAnsi="Times New Roman" w:cs="Times New Roman"/>
                      <w:color w:val="auto"/>
                      <w:szCs w:val="21"/>
                    </w:rPr>
                    <w:t>0</w:t>
                  </w:r>
                </w:p>
              </w:tc>
            </w:tr>
            <w:tr w14:paraId="1225FD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6" w:type="pct"/>
                  <w:tcBorders>
                    <w:tl2br w:val="nil"/>
                    <w:tr2bl w:val="nil"/>
                  </w:tcBorders>
                  <w:noWrap w:val="0"/>
                  <w:vAlign w:val="center"/>
                </w:tcPr>
                <w:p w14:paraId="75E9A1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线路长度（km）</w:t>
                  </w:r>
                </w:p>
              </w:tc>
              <w:tc>
                <w:tcPr>
                  <w:tcW w:w="4023" w:type="pct"/>
                  <w:tcBorders>
                    <w:tl2br w:val="nil"/>
                    <w:tr2bl w:val="nil"/>
                  </w:tcBorders>
                  <w:noWrap w:val="0"/>
                  <w:vAlign w:val="center"/>
                </w:tcPr>
                <w:p w14:paraId="3A2C4C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eastAsia" w:ascii="Times New Roman" w:hAnsi="Times New Roman" w:cs="Times New Roman"/>
                      <w:color w:val="auto"/>
                      <w:sz w:val="21"/>
                      <w:szCs w:val="21"/>
                      <w:lang w:val="en-US" w:eastAsia="zh-CN"/>
                    </w:rPr>
                    <w:t>11</w:t>
                  </w:r>
                  <w:r>
                    <w:rPr>
                      <w:rFonts w:hint="default" w:ascii="Times New Roman" w:hAnsi="Times New Roman" w:eastAsia="宋体" w:cs="Times New Roman"/>
                      <w:color w:val="auto"/>
                      <w:sz w:val="21"/>
                      <w:szCs w:val="21"/>
                      <w:lang w:val="en-US" w:eastAsia="zh-CN"/>
                    </w:rPr>
                    <w:t>0kV架空输电线路，长</w:t>
                  </w:r>
                  <w:r>
                    <w:rPr>
                      <w:rFonts w:hint="eastAsia" w:ascii="Times New Roman" w:hAnsi="Times New Roman" w:cs="Times New Roman"/>
                      <w:color w:val="auto"/>
                      <w:sz w:val="21"/>
                      <w:szCs w:val="21"/>
                      <w:lang w:val="en-US" w:eastAsia="zh-CN"/>
                    </w:rPr>
                    <w:t>16</w:t>
                  </w:r>
                  <w:r>
                    <w:rPr>
                      <w:rFonts w:hint="default" w:ascii="Times New Roman" w:hAnsi="Times New Roman" w:eastAsia="宋体" w:cs="Times New Roman"/>
                      <w:color w:val="auto"/>
                      <w:sz w:val="21"/>
                      <w:szCs w:val="21"/>
                      <w:lang w:val="en-US" w:eastAsia="zh-CN"/>
                    </w:rPr>
                    <w:t>km，采用单回路架设</w:t>
                  </w:r>
                </w:p>
              </w:tc>
            </w:tr>
            <w:tr w14:paraId="55E6A1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6" w:type="pct"/>
                  <w:tcBorders>
                    <w:tl2br w:val="nil"/>
                    <w:tr2bl w:val="nil"/>
                  </w:tcBorders>
                  <w:noWrap w:val="0"/>
                  <w:vAlign w:val="center"/>
                </w:tcPr>
                <w:p w14:paraId="402272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共用杆塔（基）</w:t>
                  </w:r>
                </w:p>
              </w:tc>
              <w:tc>
                <w:tcPr>
                  <w:tcW w:w="4023" w:type="pct"/>
                  <w:tcBorders>
                    <w:tl2br w:val="nil"/>
                    <w:tr2bl w:val="nil"/>
                  </w:tcBorders>
                  <w:noWrap w:val="0"/>
                  <w:vAlign w:val="center"/>
                </w:tcPr>
                <w:p w14:paraId="6C0FCB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新建</w:t>
                  </w:r>
                  <w:r>
                    <w:rPr>
                      <w:rFonts w:hint="eastAsia" w:ascii="Times New Roman" w:hAnsi="Times New Roman" w:cs="Times New Roman"/>
                      <w:color w:val="auto"/>
                      <w:szCs w:val="21"/>
                      <w:lang w:val="en-US" w:eastAsia="zh-CN"/>
                    </w:rPr>
                    <w:t>45</w:t>
                  </w:r>
                  <w:r>
                    <w:rPr>
                      <w:rFonts w:hint="default" w:ascii="Times New Roman" w:hAnsi="Times New Roman" w:cs="Times New Roman"/>
                      <w:color w:val="auto"/>
                      <w:szCs w:val="21"/>
                      <w:lang w:val="en-US" w:eastAsia="zh-CN"/>
                    </w:rPr>
                    <w:t>基塔（直线塔</w:t>
                  </w:r>
                  <w:r>
                    <w:rPr>
                      <w:rFonts w:hint="eastAsia" w:ascii="Times New Roman" w:hAnsi="Times New Roman" w:cs="Times New Roman"/>
                      <w:color w:val="auto"/>
                      <w:szCs w:val="21"/>
                      <w:lang w:val="en-US" w:eastAsia="zh-CN"/>
                    </w:rPr>
                    <w:t>28</w:t>
                  </w:r>
                  <w:r>
                    <w:rPr>
                      <w:rFonts w:hint="default" w:ascii="Times New Roman" w:hAnsi="Times New Roman" w:cs="Times New Roman"/>
                      <w:color w:val="auto"/>
                      <w:szCs w:val="21"/>
                      <w:lang w:val="en-US" w:eastAsia="zh-CN"/>
                    </w:rPr>
                    <w:t>基，耐张塔1</w:t>
                  </w:r>
                  <w:r>
                    <w:rPr>
                      <w:rFonts w:hint="eastAsia" w:ascii="Times New Roman" w:hAnsi="Times New Roman" w:cs="Times New Roman"/>
                      <w:color w:val="auto"/>
                      <w:szCs w:val="21"/>
                      <w:lang w:val="en-US" w:eastAsia="zh-CN"/>
                    </w:rPr>
                    <w:t>7</w:t>
                  </w:r>
                  <w:r>
                    <w:rPr>
                      <w:rFonts w:hint="default" w:ascii="Times New Roman" w:hAnsi="Times New Roman" w:cs="Times New Roman"/>
                      <w:color w:val="auto"/>
                      <w:szCs w:val="21"/>
                      <w:lang w:val="en-US" w:eastAsia="zh-CN"/>
                    </w:rPr>
                    <w:t>基），采用单回塔布设</w:t>
                  </w:r>
                </w:p>
              </w:tc>
            </w:tr>
            <w:tr w14:paraId="78BFF4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6" w:type="pct"/>
                  <w:tcBorders>
                    <w:tl2br w:val="nil"/>
                    <w:tr2bl w:val="nil"/>
                  </w:tcBorders>
                  <w:noWrap w:val="0"/>
                  <w:vAlign w:val="center"/>
                </w:tcPr>
                <w:p w14:paraId="5EC39E2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平均档距（m）</w:t>
                  </w:r>
                </w:p>
              </w:tc>
              <w:tc>
                <w:tcPr>
                  <w:tcW w:w="4023" w:type="pct"/>
                  <w:tcBorders>
                    <w:tl2br w:val="nil"/>
                    <w:tr2bl w:val="nil"/>
                  </w:tcBorders>
                  <w:noWrap w:val="0"/>
                  <w:vAlign w:val="center"/>
                </w:tcPr>
                <w:p w14:paraId="1A9790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300</w:t>
                  </w:r>
                </w:p>
              </w:tc>
            </w:tr>
            <w:tr w14:paraId="769CAD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6" w:type="pct"/>
                  <w:tcBorders>
                    <w:tl2br w:val="nil"/>
                    <w:tr2bl w:val="nil"/>
                  </w:tcBorders>
                  <w:noWrap w:val="0"/>
                  <w:vAlign w:val="center"/>
                </w:tcPr>
                <w:p w14:paraId="15765B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耐张比例（%）</w:t>
                  </w:r>
                </w:p>
              </w:tc>
              <w:tc>
                <w:tcPr>
                  <w:tcW w:w="4023" w:type="pct"/>
                  <w:tcBorders>
                    <w:tl2br w:val="nil"/>
                    <w:tr2bl w:val="nil"/>
                  </w:tcBorders>
                  <w:noWrap w:val="0"/>
                  <w:vAlign w:val="center"/>
                </w:tcPr>
                <w:p w14:paraId="462054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3</w:t>
                  </w:r>
                  <w:r>
                    <w:rPr>
                      <w:rFonts w:hint="eastAsia" w:ascii="Times New Roman" w:hAnsi="Times New Roman" w:cs="Times New Roman"/>
                      <w:color w:val="auto"/>
                      <w:sz w:val="21"/>
                      <w:szCs w:val="21"/>
                      <w:lang w:val="en-US" w:eastAsia="zh-CN"/>
                    </w:rPr>
                    <w:t>7.78</w:t>
                  </w:r>
                  <w:r>
                    <w:rPr>
                      <w:rFonts w:hint="default" w:ascii="Times New Roman" w:hAnsi="Times New Roman" w:cs="Times New Roman"/>
                      <w:color w:val="auto"/>
                      <w:sz w:val="21"/>
                      <w:szCs w:val="21"/>
                      <w:lang w:val="en-US" w:eastAsia="zh-CN"/>
                    </w:rPr>
                    <w:t>%</w:t>
                  </w:r>
                </w:p>
              </w:tc>
            </w:tr>
            <w:tr w14:paraId="0019B4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6" w:type="pct"/>
                  <w:tcBorders>
                    <w:tl2br w:val="nil"/>
                    <w:tr2bl w:val="nil"/>
                  </w:tcBorders>
                  <w:noWrap w:val="0"/>
                  <w:vAlign w:val="center"/>
                </w:tcPr>
                <w:p w14:paraId="3F124B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冰区（mm）</w:t>
                  </w:r>
                </w:p>
              </w:tc>
              <w:tc>
                <w:tcPr>
                  <w:tcW w:w="4023" w:type="pct"/>
                  <w:tcBorders>
                    <w:tl2br w:val="nil"/>
                    <w:tr2bl w:val="nil"/>
                  </w:tcBorders>
                  <w:noWrap w:val="0"/>
                  <w:vAlign w:val="center"/>
                </w:tcPr>
                <w:p w14:paraId="2E6042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10mm、20mm</w:t>
                  </w:r>
                  <w:r>
                    <w:rPr>
                      <w:rFonts w:hint="eastAsia" w:ascii="Times New Roman" w:hAnsi="Times New Roman" w:cs="Times New Roman"/>
                      <w:color w:val="auto"/>
                      <w:sz w:val="21"/>
                      <w:szCs w:val="21"/>
                      <w:lang w:val="en-US" w:eastAsia="zh-CN"/>
                    </w:rPr>
                    <w:t>、30mm</w:t>
                  </w:r>
                </w:p>
              </w:tc>
            </w:tr>
            <w:tr w14:paraId="519002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6" w:type="pct"/>
                  <w:tcBorders>
                    <w:tl2br w:val="nil"/>
                    <w:tr2bl w:val="nil"/>
                  </w:tcBorders>
                  <w:noWrap w:val="0"/>
                  <w:vAlign w:val="center"/>
                </w:tcPr>
                <w:p w14:paraId="49CCAB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曲折系数</w:t>
                  </w:r>
                </w:p>
              </w:tc>
              <w:tc>
                <w:tcPr>
                  <w:tcW w:w="4023" w:type="pct"/>
                  <w:tcBorders>
                    <w:tl2br w:val="nil"/>
                    <w:tr2bl w:val="nil"/>
                  </w:tcBorders>
                  <w:noWrap w:val="0"/>
                  <w:vAlign w:val="center"/>
                </w:tcPr>
                <w:p w14:paraId="3250BB7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r>
                    <w:rPr>
                      <w:rFonts w:hint="eastAsia" w:ascii="Times New Roman" w:hAnsi="Times New Roman" w:cs="Times New Roman"/>
                      <w:color w:val="auto"/>
                      <w:sz w:val="21"/>
                      <w:szCs w:val="21"/>
                      <w:lang w:val="en-US" w:eastAsia="zh-CN"/>
                    </w:rPr>
                    <w:t>25</w:t>
                  </w:r>
                </w:p>
              </w:tc>
            </w:tr>
            <w:tr w14:paraId="295D6D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6" w:type="pct"/>
                  <w:tcBorders>
                    <w:tl2br w:val="nil"/>
                    <w:tr2bl w:val="nil"/>
                  </w:tcBorders>
                  <w:noWrap w:val="0"/>
                  <w:vAlign w:val="center"/>
                </w:tcPr>
                <w:p w14:paraId="6ED1B8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导线排列方式</w:t>
                  </w:r>
                </w:p>
              </w:tc>
              <w:tc>
                <w:tcPr>
                  <w:tcW w:w="4023" w:type="pct"/>
                  <w:tcBorders>
                    <w:tl2br w:val="nil"/>
                    <w:tr2bl w:val="nil"/>
                  </w:tcBorders>
                  <w:noWrap w:val="0"/>
                  <w:vAlign w:val="center"/>
                </w:tcPr>
                <w:p w14:paraId="4DAC57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三角</w:t>
                  </w:r>
                  <w:r>
                    <w:rPr>
                      <w:rFonts w:hint="eastAsia" w:ascii="Times New Roman" w:hAnsi="Times New Roman" w:cs="Times New Roman"/>
                      <w:color w:val="auto"/>
                      <w:sz w:val="21"/>
                      <w:szCs w:val="21"/>
                      <w:lang w:val="en-US" w:eastAsia="zh-CN"/>
                    </w:rPr>
                    <w:t>、水平</w:t>
                  </w:r>
                  <w:r>
                    <w:rPr>
                      <w:rFonts w:hint="default" w:ascii="Times New Roman" w:hAnsi="Times New Roman" w:cs="Times New Roman"/>
                      <w:color w:val="auto"/>
                      <w:sz w:val="21"/>
                      <w:szCs w:val="21"/>
                      <w:lang w:val="en-US" w:eastAsia="zh-CN"/>
                    </w:rPr>
                    <w:t>排列</w:t>
                  </w:r>
                  <w:r>
                    <w:rPr>
                      <w:rFonts w:hint="default" w:ascii="Times New Roman" w:hAnsi="Times New Roman" w:eastAsia="宋体" w:cs="Times New Roman"/>
                      <w:color w:val="auto"/>
                      <w:sz w:val="21"/>
                      <w:szCs w:val="21"/>
                      <w:lang w:val="en-US" w:eastAsia="zh-CN"/>
                    </w:rPr>
                    <w:t>布置</w:t>
                  </w:r>
                </w:p>
              </w:tc>
            </w:tr>
            <w:tr w14:paraId="5BFAB8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6" w:type="pct"/>
                  <w:tcBorders>
                    <w:tl2br w:val="nil"/>
                    <w:tr2bl w:val="nil"/>
                  </w:tcBorders>
                  <w:noWrap w:val="0"/>
                  <w:vAlign w:val="center"/>
                </w:tcPr>
                <w:p w14:paraId="313855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铁塔</w:t>
                  </w:r>
                </w:p>
              </w:tc>
              <w:tc>
                <w:tcPr>
                  <w:tcW w:w="4023" w:type="pct"/>
                  <w:tcBorders>
                    <w:tl2br w:val="nil"/>
                    <w:tr2bl w:val="nil"/>
                  </w:tcBorders>
                  <w:noWrap w:val="0"/>
                  <w:vAlign w:val="center"/>
                </w:tcPr>
                <w:p w14:paraId="153F6A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铁塔采用1D1Y1、2D1Z5、2D1R7、2D1R8模块。</w:t>
                  </w:r>
                </w:p>
              </w:tc>
            </w:tr>
            <w:tr w14:paraId="367F3B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6" w:type="pct"/>
                  <w:tcBorders>
                    <w:tl2br w:val="nil"/>
                    <w:tr2bl w:val="nil"/>
                  </w:tcBorders>
                  <w:noWrap w:val="0"/>
                  <w:vAlign w:val="center"/>
                </w:tcPr>
                <w:p w14:paraId="1D8962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基础</w:t>
                  </w:r>
                </w:p>
              </w:tc>
              <w:tc>
                <w:tcPr>
                  <w:tcW w:w="4023" w:type="pct"/>
                  <w:tcBorders>
                    <w:tl2br w:val="nil"/>
                    <w:tr2bl w:val="nil"/>
                  </w:tcBorders>
                  <w:noWrap w:val="0"/>
                  <w:vAlign w:val="center"/>
                </w:tcPr>
                <w:p w14:paraId="2B66D9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全线采用掏挖基础及人工挖孔基础，采用地脚螺栓与塔脚板连接</w:t>
                  </w:r>
                </w:p>
              </w:tc>
            </w:tr>
          </w:tbl>
          <w:p w14:paraId="510BA22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共用</w:t>
            </w:r>
            <w:r>
              <w:rPr>
                <w:rFonts w:hint="default" w:ascii="Times New Roman" w:hAnsi="Times New Roman" w:cs="Times New Roman"/>
                <w:color w:val="auto"/>
                <w:sz w:val="24"/>
                <w:szCs w:val="24"/>
              </w:rPr>
              <w:t>铁塔</w:t>
            </w:r>
            <w:r>
              <w:rPr>
                <w:rFonts w:hint="eastAsia" w:ascii="Times New Roman" w:hAnsi="Times New Roman" w:cs="Times New Roman"/>
                <w:color w:val="auto"/>
                <w:sz w:val="24"/>
                <w:szCs w:val="24"/>
                <w:lang w:val="en-US" w:eastAsia="zh-CN"/>
              </w:rPr>
              <w:t>45</w:t>
            </w:r>
            <w:r>
              <w:rPr>
                <w:rFonts w:hint="default" w:ascii="Times New Roman" w:hAnsi="Times New Roman" w:cs="Times New Roman"/>
                <w:color w:val="auto"/>
                <w:sz w:val="24"/>
                <w:szCs w:val="24"/>
              </w:rPr>
              <w:t>基</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根据主体设计的塔杆基础面积，塔基占地面积为</w:t>
            </w:r>
            <w:r>
              <w:rPr>
                <w:rFonts w:hint="default" w:ascii="Times New Roman" w:hAnsi="Times New Roman" w:cs="Times New Roman"/>
                <w:color w:val="auto"/>
                <w:sz w:val="24"/>
                <w:szCs w:val="24"/>
                <w:lang w:val="en-US" w:eastAsia="zh-CN"/>
              </w:rPr>
              <w:t>0.</w:t>
            </w:r>
            <w:r>
              <w:rPr>
                <w:rFonts w:hint="eastAsia" w:ascii="Times New Roman" w:hAnsi="Times New Roman" w:cs="Times New Roman"/>
                <w:color w:val="auto"/>
                <w:sz w:val="24"/>
                <w:szCs w:val="24"/>
                <w:lang w:val="en-US" w:eastAsia="zh-CN"/>
              </w:rPr>
              <w:t>25494</w:t>
            </w:r>
            <w:r>
              <w:rPr>
                <w:rFonts w:hint="default" w:ascii="Times New Roman" w:hAnsi="Times New Roman" w:cs="Times New Roman"/>
                <w:color w:val="auto"/>
                <w:sz w:val="24"/>
                <w:szCs w:val="24"/>
              </w:rPr>
              <w:t>hm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。其中单回塔基直线</w:t>
            </w:r>
            <w:r>
              <w:rPr>
                <w:rFonts w:hint="eastAsia" w:ascii="Times New Roman" w:hAnsi="Times New Roman" w:cs="Times New Roman"/>
                <w:color w:val="auto"/>
                <w:sz w:val="24"/>
                <w:szCs w:val="24"/>
                <w:lang w:val="en-US" w:eastAsia="zh-CN"/>
              </w:rPr>
              <w:t>28</w:t>
            </w:r>
            <w:r>
              <w:rPr>
                <w:rFonts w:hint="default" w:ascii="Times New Roman" w:hAnsi="Times New Roman" w:cs="Times New Roman"/>
                <w:color w:val="auto"/>
                <w:sz w:val="24"/>
                <w:szCs w:val="24"/>
              </w:rPr>
              <w:t>基、单回耐张</w:t>
            </w:r>
            <w:r>
              <w:rPr>
                <w:rFonts w:hint="default" w:ascii="Times New Roman" w:hAnsi="Times New Roman" w:cs="Times New Roman"/>
                <w:color w:val="auto"/>
                <w:sz w:val="24"/>
                <w:szCs w:val="24"/>
                <w:lang w:val="en-US" w:eastAsia="zh-CN"/>
              </w:rPr>
              <w:t>1</w:t>
            </w:r>
            <w:r>
              <w:rPr>
                <w:rFonts w:hint="eastAsia" w:ascii="Times New Roman" w:hAnsi="Times New Roman" w:cs="Times New Roman"/>
                <w:color w:val="auto"/>
                <w:sz w:val="24"/>
                <w:szCs w:val="24"/>
                <w:lang w:val="en-US" w:eastAsia="zh-CN"/>
              </w:rPr>
              <w:t>7</w:t>
            </w:r>
            <w:r>
              <w:rPr>
                <w:rFonts w:hint="default" w:ascii="Times New Roman" w:hAnsi="Times New Roman" w:cs="Times New Roman"/>
                <w:color w:val="auto"/>
                <w:sz w:val="24"/>
                <w:szCs w:val="24"/>
              </w:rPr>
              <w:t>基，比例为直线</w:t>
            </w:r>
            <w:r>
              <w:rPr>
                <w:rFonts w:hint="eastAsia" w:ascii="Times New Roman" w:hAnsi="Times New Roman" w:cs="Times New Roman"/>
                <w:color w:val="auto"/>
                <w:sz w:val="24"/>
                <w:szCs w:val="24"/>
                <w:lang w:val="en-US" w:eastAsia="zh-CN"/>
              </w:rPr>
              <w:t>62.22</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单回耐张</w:t>
            </w:r>
            <w:r>
              <w:rPr>
                <w:rFonts w:hint="default" w:ascii="Times New Roman" w:hAnsi="Times New Roman" w:cs="Times New Roman"/>
                <w:color w:val="auto"/>
                <w:sz w:val="24"/>
                <w:szCs w:val="24"/>
                <w:lang w:val="en-US" w:eastAsia="zh-CN"/>
              </w:rPr>
              <w:t>3</w:t>
            </w:r>
            <w:r>
              <w:rPr>
                <w:rFonts w:hint="eastAsia" w:ascii="Times New Roman" w:hAnsi="Times New Roman" w:cs="Times New Roman"/>
                <w:color w:val="auto"/>
                <w:sz w:val="24"/>
                <w:szCs w:val="24"/>
                <w:lang w:val="en-US" w:eastAsia="zh-CN"/>
              </w:rPr>
              <w:t>7.78</w:t>
            </w:r>
            <w:r>
              <w:rPr>
                <w:rFonts w:hint="default" w:ascii="Times New Roman" w:hAnsi="Times New Roman" w:cs="Times New Roman"/>
                <w:color w:val="auto"/>
                <w:sz w:val="24"/>
                <w:szCs w:val="24"/>
              </w:rPr>
              <w:t>%。</w:t>
            </w:r>
          </w:p>
          <w:p w14:paraId="052D4541">
            <w:pPr>
              <w:adjustRightInd w:val="0"/>
              <w:snapToGrid w:val="0"/>
              <w:spacing w:line="440" w:lineRule="exact"/>
              <w:ind w:firstLine="482" w:firstLineChars="200"/>
              <w:rPr>
                <w:b/>
                <w:bCs/>
                <w:color w:val="auto"/>
                <w:sz w:val="24"/>
              </w:rPr>
            </w:pPr>
            <w:r>
              <w:rPr>
                <w:rFonts w:hint="eastAsia"/>
                <w:b/>
                <w:bCs/>
                <w:color w:val="auto"/>
                <w:sz w:val="24"/>
              </w:rPr>
              <w:t>2.2.</w:t>
            </w:r>
            <w:r>
              <w:rPr>
                <w:b/>
                <w:bCs/>
                <w:color w:val="auto"/>
                <w:sz w:val="24"/>
              </w:rPr>
              <w:t>3杆塔使用情况</w:t>
            </w:r>
          </w:p>
          <w:p w14:paraId="2468DCCB">
            <w:pPr>
              <w:adjustRightInd w:val="0"/>
              <w:snapToGrid w:val="0"/>
              <w:spacing w:line="440" w:lineRule="exact"/>
              <w:ind w:firstLine="480" w:firstLineChars="200"/>
              <w:rPr>
                <w:bCs/>
                <w:color w:val="auto"/>
                <w:sz w:val="24"/>
              </w:rPr>
            </w:pPr>
            <w:r>
              <w:rPr>
                <w:bCs/>
                <w:color w:val="auto"/>
                <w:sz w:val="24"/>
              </w:rPr>
              <w:t>项目采用典设塔型</w:t>
            </w:r>
            <w:r>
              <w:rPr>
                <w:rFonts w:hint="eastAsia"/>
                <w:bCs/>
                <w:color w:val="auto"/>
                <w:sz w:val="24"/>
              </w:rPr>
              <w:t>。</w:t>
            </w:r>
            <w:r>
              <w:rPr>
                <w:bCs/>
                <w:color w:val="auto"/>
                <w:sz w:val="24"/>
              </w:rPr>
              <w:t>110kV使用</w:t>
            </w:r>
            <w:r>
              <w:rPr>
                <w:rFonts w:hint="eastAsia"/>
                <w:color w:val="auto"/>
                <w:sz w:val="24"/>
                <w:lang w:val="zh-CN"/>
              </w:rPr>
              <w:t>铁塔</w:t>
            </w:r>
            <w:r>
              <w:rPr>
                <w:rFonts w:hint="eastAsia"/>
                <w:color w:val="auto"/>
                <w:sz w:val="24"/>
                <w:lang w:val="en-US" w:eastAsia="zh-CN"/>
              </w:rPr>
              <w:t>45</w:t>
            </w:r>
            <w:r>
              <w:rPr>
                <w:rFonts w:hint="eastAsia"/>
                <w:color w:val="auto"/>
                <w:sz w:val="24"/>
                <w:lang w:val="zh-CN"/>
              </w:rPr>
              <w:t>基（其中</w:t>
            </w:r>
            <w:r>
              <w:rPr>
                <w:rFonts w:hint="eastAsia"/>
                <w:color w:val="auto"/>
                <w:sz w:val="24"/>
                <w:lang w:val="en-US" w:eastAsia="zh-CN"/>
              </w:rPr>
              <w:t>单回</w:t>
            </w:r>
            <w:r>
              <w:rPr>
                <w:rFonts w:hint="eastAsia"/>
                <w:color w:val="auto"/>
                <w:sz w:val="24"/>
                <w:lang w:val="zh-CN"/>
              </w:rPr>
              <w:t>耐张塔</w:t>
            </w:r>
            <w:r>
              <w:rPr>
                <w:rFonts w:hint="eastAsia"/>
                <w:color w:val="auto"/>
                <w:sz w:val="24"/>
                <w:lang w:val="en-US" w:eastAsia="zh-CN"/>
              </w:rPr>
              <w:t>17</w:t>
            </w:r>
            <w:r>
              <w:rPr>
                <w:rFonts w:hint="eastAsia"/>
                <w:color w:val="auto"/>
                <w:sz w:val="24"/>
                <w:lang w:val="zh-CN"/>
              </w:rPr>
              <w:t>基，</w:t>
            </w:r>
            <w:r>
              <w:rPr>
                <w:rFonts w:hint="eastAsia"/>
                <w:color w:val="auto"/>
                <w:sz w:val="24"/>
                <w:lang w:val="en-US" w:eastAsia="zh-CN"/>
              </w:rPr>
              <w:t>单回塔基</w:t>
            </w:r>
            <w:r>
              <w:rPr>
                <w:rFonts w:hint="eastAsia"/>
                <w:color w:val="auto"/>
                <w:sz w:val="24"/>
                <w:lang w:val="zh-CN"/>
              </w:rPr>
              <w:t>直线塔</w:t>
            </w:r>
            <w:r>
              <w:rPr>
                <w:rFonts w:hint="eastAsia"/>
                <w:color w:val="auto"/>
                <w:sz w:val="24"/>
                <w:lang w:val="en-US" w:eastAsia="zh-CN"/>
              </w:rPr>
              <w:t>28</w:t>
            </w:r>
            <w:r>
              <w:rPr>
                <w:rFonts w:hint="eastAsia"/>
                <w:color w:val="auto"/>
                <w:sz w:val="24"/>
                <w:lang w:val="zh-CN"/>
              </w:rPr>
              <w:t>基），耐张比：</w:t>
            </w:r>
            <w:r>
              <w:rPr>
                <w:rFonts w:hint="eastAsia"/>
                <w:color w:val="auto"/>
                <w:sz w:val="24"/>
                <w:lang w:val="en-US" w:eastAsia="zh-CN"/>
              </w:rPr>
              <w:t>37.78</w:t>
            </w:r>
            <w:r>
              <w:rPr>
                <w:rFonts w:hint="eastAsia"/>
                <w:color w:val="auto"/>
                <w:sz w:val="24"/>
                <w:lang w:val="zh-CN"/>
              </w:rPr>
              <w:t>%</w:t>
            </w:r>
            <w:r>
              <w:rPr>
                <w:rFonts w:hint="eastAsia"/>
                <w:bCs/>
                <w:color w:val="auto"/>
                <w:sz w:val="24"/>
              </w:rPr>
              <w:t>；平均档距约为3</w:t>
            </w:r>
            <w:r>
              <w:rPr>
                <w:rFonts w:hint="eastAsia"/>
                <w:bCs/>
                <w:color w:val="auto"/>
                <w:sz w:val="24"/>
                <w:lang w:val="en-US" w:eastAsia="zh-CN"/>
              </w:rPr>
              <w:t>00</w:t>
            </w:r>
            <w:r>
              <w:rPr>
                <w:rFonts w:hint="eastAsia"/>
                <w:bCs/>
                <w:color w:val="auto"/>
                <w:sz w:val="24"/>
              </w:rPr>
              <w:t>m。</w:t>
            </w:r>
          </w:p>
          <w:p w14:paraId="24E75F0D">
            <w:pPr>
              <w:spacing w:line="240" w:lineRule="auto"/>
              <w:jc w:val="center"/>
              <w:rPr>
                <w:b/>
                <w:color w:val="auto"/>
                <w:sz w:val="24"/>
              </w:rPr>
            </w:pPr>
            <w:r>
              <w:rPr>
                <w:b/>
                <w:color w:val="auto"/>
                <w:sz w:val="24"/>
              </w:rPr>
              <w:t>表2-</w:t>
            </w:r>
            <w:r>
              <w:rPr>
                <w:rFonts w:hint="eastAsia"/>
                <w:b/>
                <w:color w:val="auto"/>
                <w:sz w:val="24"/>
                <w:lang w:val="en-US" w:eastAsia="zh-CN"/>
              </w:rPr>
              <w:t>3</w:t>
            </w:r>
            <w:r>
              <w:rPr>
                <w:b/>
                <w:color w:val="auto"/>
                <w:sz w:val="24"/>
              </w:rPr>
              <w:t xml:space="preserve">  110kV新建线路杆塔使用情况</w:t>
            </w:r>
          </w:p>
          <w:tbl>
            <w:tblPr>
              <w:tblStyle w:val="30"/>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86"/>
              <w:gridCol w:w="646"/>
              <w:gridCol w:w="1665"/>
              <w:gridCol w:w="598"/>
              <w:gridCol w:w="1066"/>
              <w:gridCol w:w="1100"/>
              <w:gridCol w:w="853"/>
              <w:gridCol w:w="707"/>
              <w:gridCol w:w="895"/>
            </w:tblGrid>
            <w:tr w14:paraId="110108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0693E857">
                  <w:pPr>
                    <w:keepNext w:val="0"/>
                    <w:keepLines w:val="0"/>
                    <w:pageBreakBefore w:val="0"/>
                    <w:kinsoku/>
                    <w:wordWrap/>
                    <w:overflowPunct w:val="0"/>
                    <w:topLinePunct/>
                    <w:autoSpaceDE w:val="0"/>
                    <w:autoSpaceDN w:val="0"/>
                    <w:bidi w:val="0"/>
                    <w:adjustRightInd w:val="0"/>
                    <w:snapToGrid w:val="0"/>
                    <w:spacing w:line="240" w:lineRule="auto"/>
                    <w:jc w:val="center"/>
                    <w:rPr>
                      <w:rFonts w:hint="default" w:ascii="Times New Roman" w:hAnsi="Times New Roman" w:eastAsia="宋体" w:cs="Times New Roman"/>
                      <w:b/>
                      <w:bCs/>
                      <w:color w:val="auto"/>
                      <w:kern w:val="0"/>
                      <w:sz w:val="20"/>
                      <w:szCs w:val="20"/>
                      <w:lang w:val="en-US" w:eastAsia="zh-CN"/>
                    </w:rPr>
                  </w:pPr>
                  <w:r>
                    <w:rPr>
                      <w:rFonts w:hint="default" w:ascii="Times New Roman" w:hAnsi="Times New Roman" w:eastAsia="宋体" w:cs="Times New Roman"/>
                      <w:b/>
                      <w:bCs/>
                      <w:color w:val="auto"/>
                      <w:kern w:val="0"/>
                      <w:sz w:val="20"/>
                      <w:szCs w:val="20"/>
                      <w:lang w:val="en-US" w:eastAsia="zh-CN"/>
                    </w:rPr>
                    <w:t>序号</w:t>
                  </w:r>
                </w:p>
              </w:tc>
              <w:tc>
                <w:tcPr>
                  <w:tcW w:w="403" w:type="pct"/>
                  <w:noWrap w:val="0"/>
                  <w:vAlign w:val="center"/>
                </w:tcPr>
                <w:p w14:paraId="01C2C66E">
                  <w:pPr>
                    <w:keepNext w:val="0"/>
                    <w:keepLines w:val="0"/>
                    <w:pageBreakBefore w:val="0"/>
                    <w:kinsoku/>
                    <w:wordWrap/>
                    <w:overflowPunct w:val="0"/>
                    <w:topLinePunct/>
                    <w:autoSpaceDE w:val="0"/>
                    <w:autoSpaceDN w:val="0"/>
                    <w:bidi w:val="0"/>
                    <w:adjustRightInd w:val="0"/>
                    <w:snapToGrid w:val="0"/>
                    <w:spacing w:line="240" w:lineRule="auto"/>
                    <w:jc w:val="center"/>
                    <w:rPr>
                      <w:rFonts w:hint="default" w:ascii="Times New Roman" w:hAnsi="Times New Roman" w:eastAsia="宋体" w:cs="Times New Roman"/>
                      <w:b/>
                      <w:bCs/>
                      <w:color w:val="auto"/>
                      <w:sz w:val="20"/>
                      <w:szCs w:val="20"/>
                    </w:rPr>
                  </w:pPr>
                  <w:r>
                    <w:rPr>
                      <w:rFonts w:hint="default" w:ascii="Times New Roman" w:hAnsi="Times New Roman" w:eastAsia="宋体" w:cs="Times New Roman"/>
                      <w:b/>
                      <w:bCs/>
                      <w:color w:val="auto"/>
                      <w:kern w:val="0"/>
                      <w:sz w:val="20"/>
                      <w:szCs w:val="20"/>
                    </w:rPr>
                    <w:t>杆塔编号</w:t>
                  </w:r>
                </w:p>
              </w:tc>
              <w:tc>
                <w:tcPr>
                  <w:tcW w:w="1038" w:type="pct"/>
                  <w:noWrap w:val="0"/>
                  <w:vAlign w:val="center"/>
                </w:tcPr>
                <w:p w14:paraId="20561DE3">
                  <w:pPr>
                    <w:keepNext w:val="0"/>
                    <w:keepLines w:val="0"/>
                    <w:pageBreakBefore w:val="0"/>
                    <w:kinsoku/>
                    <w:wordWrap/>
                    <w:overflowPunct w:val="0"/>
                    <w:topLinePunct/>
                    <w:autoSpaceDE w:val="0"/>
                    <w:autoSpaceDN w:val="0"/>
                    <w:bidi w:val="0"/>
                    <w:adjustRightInd w:val="0"/>
                    <w:snapToGrid w:val="0"/>
                    <w:spacing w:line="240" w:lineRule="auto"/>
                    <w:jc w:val="center"/>
                    <w:rPr>
                      <w:rFonts w:hint="default" w:ascii="Times New Roman" w:hAnsi="Times New Roman" w:eastAsia="宋体" w:cs="Times New Roman"/>
                      <w:b/>
                      <w:bCs/>
                      <w:color w:val="auto"/>
                      <w:sz w:val="20"/>
                      <w:szCs w:val="20"/>
                    </w:rPr>
                  </w:pPr>
                  <w:r>
                    <w:rPr>
                      <w:rFonts w:hint="default" w:ascii="Times New Roman" w:hAnsi="Times New Roman" w:eastAsia="宋体" w:cs="Times New Roman"/>
                      <w:b/>
                      <w:bCs/>
                      <w:color w:val="auto"/>
                      <w:kern w:val="0"/>
                      <w:sz w:val="20"/>
                      <w:szCs w:val="20"/>
                    </w:rPr>
                    <w:t>杆塔型号</w:t>
                  </w:r>
                </w:p>
              </w:tc>
              <w:tc>
                <w:tcPr>
                  <w:tcW w:w="373" w:type="pct"/>
                  <w:noWrap w:val="0"/>
                  <w:vAlign w:val="center"/>
                </w:tcPr>
                <w:p w14:paraId="07FC41D2">
                  <w:pPr>
                    <w:keepNext w:val="0"/>
                    <w:keepLines w:val="0"/>
                    <w:pageBreakBefore w:val="0"/>
                    <w:kinsoku/>
                    <w:wordWrap/>
                    <w:overflowPunct w:val="0"/>
                    <w:topLinePunct/>
                    <w:autoSpaceDE w:val="0"/>
                    <w:autoSpaceDN w:val="0"/>
                    <w:bidi w:val="0"/>
                    <w:adjustRightInd w:val="0"/>
                    <w:snapToGrid w:val="0"/>
                    <w:spacing w:line="240" w:lineRule="auto"/>
                    <w:jc w:val="center"/>
                    <w:rPr>
                      <w:rFonts w:hint="default" w:ascii="Times New Roman" w:hAnsi="Times New Roman" w:eastAsia="宋体" w:cs="Times New Roman"/>
                      <w:b/>
                      <w:bCs/>
                      <w:color w:val="auto"/>
                      <w:sz w:val="20"/>
                      <w:szCs w:val="20"/>
                    </w:rPr>
                  </w:pPr>
                  <w:r>
                    <w:rPr>
                      <w:rFonts w:hint="default" w:ascii="Times New Roman" w:hAnsi="Times New Roman" w:eastAsia="宋体" w:cs="Times New Roman"/>
                      <w:b/>
                      <w:bCs/>
                      <w:color w:val="auto"/>
                      <w:sz w:val="20"/>
                      <w:szCs w:val="20"/>
                      <w:highlight w:val="none"/>
                    </w:rPr>
                    <w:t>呼称高</w:t>
                  </w:r>
                </w:p>
              </w:tc>
              <w:tc>
                <w:tcPr>
                  <w:tcW w:w="665" w:type="pct"/>
                  <w:noWrap w:val="0"/>
                  <w:vAlign w:val="center"/>
                </w:tcPr>
                <w:p w14:paraId="72D226C8">
                  <w:pPr>
                    <w:keepNext w:val="0"/>
                    <w:keepLines w:val="0"/>
                    <w:pageBreakBefore w:val="0"/>
                    <w:kinsoku/>
                    <w:wordWrap/>
                    <w:overflowPunct w:val="0"/>
                    <w:topLinePunct/>
                    <w:autoSpaceDE w:val="0"/>
                    <w:autoSpaceDN w:val="0"/>
                    <w:bidi w:val="0"/>
                    <w:adjustRightInd w:val="0"/>
                    <w:snapToGrid w:val="0"/>
                    <w:spacing w:line="240" w:lineRule="auto"/>
                    <w:jc w:val="center"/>
                    <w:rPr>
                      <w:rFonts w:hint="default" w:ascii="Times New Roman" w:hAnsi="Times New Roman" w:eastAsia="宋体" w:cs="Times New Roman"/>
                      <w:b/>
                      <w:bCs/>
                      <w:color w:val="auto"/>
                      <w:sz w:val="20"/>
                      <w:szCs w:val="20"/>
                      <w:highlight w:val="none"/>
                    </w:rPr>
                  </w:pPr>
                  <w:r>
                    <w:rPr>
                      <w:rFonts w:hint="default" w:ascii="Times New Roman" w:hAnsi="Times New Roman" w:eastAsia="宋体" w:cs="Times New Roman"/>
                      <w:b/>
                      <w:bCs/>
                      <w:color w:val="auto"/>
                      <w:sz w:val="20"/>
                      <w:szCs w:val="20"/>
                    </w:rPr>
                    <w:t>导线最大间距(m)</w:t>
                  </w:r>
                </w:p>
              </w:tc>
              <w:tc>
                <w:tcPr>
                  <w:tcW w:w="686" w:type="pct"/>
                  <w:noWrap w:val="0"/>
                  <w:vAlign w:val="center"/>
                </w:tcPr>
                <w:p w14:paraId="3C85D862">
                  <w:pPr>
                    <w:keepNext w:val="0"/>
                    <w:keepLines w:val="0"/>
                    <w:pageBreakBefore w:val="0"/>
                    <w:kinsoku/>
                    <w:wordWrap/>
                    <w:overflowPunct w:val="0"/>
                    <w:topLinePunct/>
                    <w:autoSpaceDE w:val="0"/>
                    <w:autoSpaceDN w:val="0"/>
                    <w:bidi w:val="0"/>
                    <w:adjustRightInd w:val="0"/>
                    <w:snapToGrid w:val="0"/>
                    <w:spacing w:line="240" w:lineRule="auto"/>
                    <w:jc w:val="center"/>
                    <w:rPr>
                      <w:rFonts w:hint="default" w:ascii="Times New Roman" w:hAnsi="Times New Roman" w:eastAsia="宋体" w:cs="Times New Roman"/>
                      <w:b/>
                      <w:bCs/>
                      <w:color w:val="auto"/>
                      <w:sz w:val="20"/>
                      <w:szCs w:val="20"/>
                    </w:rPr>
                  </w:pPr>
                  <w:r>
                    <w:rPr>
                      <w:rFonts w:hint="default" w:ascii="Times New Roman" w:hAnsi="Times New Roman" w:eastAsia="宋体" w:cs="Times New Roman"/>
                      <w:b/>
                      <w:bCs/>
                      <w:color w:val="auto"/>
                      <w:sz w:val="20"/>
                      <w:szCs w:val="20"/>
                      <w:highlight w:val="none"/>
                    </w:rPr>
                    <w:t>塔形</w:t>
                  </w:r>
                </w:p>
              </w:tc>
              <w:tc>
                <w:tcPr>
                  <w:tcW w:w="529" w:type="pct"/>
                  <w:noWrap w:val="0"/>
                  <w:vAlign w:val="center"/>
                </w:tcPr>
                <w:p w14:paraId="40F97FDC">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b/>
                      <w:bCs/>
                      <w:color w:val="auto"/>
                      <w:sz w:val="20"/>
                      <w:szCs w:val="20"/>
                    </w:rPr>
                  </w:pPr>
                  <w:r>
                    <w:rPr>
                      <w:rFonts w:hint="default" w:ascii="Times New Roman" w:hAnsi="Times New Roman" w:eastAsia="宋体" w:cs="Times New Roman"/>
                      <w:b/>
                      <w:bCs/>
                      <w:color w:val="auto"/>
                      <w:sz w:val="20"/>
                      <w:szCs w:val="20"/>
                      <w:highlight w:val="none"/>
                    </w:rPr>
                    <w:t>铁塔基础</w:t>
                  </w:r>
                </w:p>
              </w:tc>
              <w:tc>
                <w:tcPr>
                  <w:tcW w:w="441" w:type="pct"/>
                  <w:noWrap w:val="0"/>
                  <w:vAlign w:val="center"/>
                </w:tcPr>
                <w:p w14:paraId="0F850EC2">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b/>
                      <w:bCs/>
                      <w:color w:val="auto"/>
                      <w:sz w:val="20"/>
                      <w:szCs w:val="20"/>
                      <w:lang w:val="en-US" w:eastAsia="zh-CN"/>
                    </w:rPr>
                  </w:pPr>
                  <w:r>
                    <w:rPr>
                      <w:rFonts w:hint="eastAsia" w:ascii="Times New Roman" w:hAnsi="Times New Roman" w:eastAsia="宋体" w:cs="Times New Roman"/>
                      <w:b/>
                      <w:bCs/>
                      <w:color w:val="auto"/>
                      <w:sz w:val="20"/>
                      <w:szCs w:val="20"/>
                      <w:lang w:val="en-US" w:eastAsia="zh-CN"/>
                    </w:rPr>
                    <w:t>占地类型</w:t>
                  </w:r>
                </w:p>
              </w:tc>
              <w:tc>
                <w:tcPr>
                  <w:tcW w:w="558" w:type="pct"/>
                  <w:noWrap w:val="0"/>
                  <w:vAlign w:val="center"/>
                </w:tcPr>
                <w:p w14:paraId="5B39EC66">
                  <w:pPr>
                    <w:keepNext w:val="0"/>
                    <w:keepLines w:val="0"/>
                    <w:pageBreakBefore w:val="0"/>
                    <w:kinsoku/>
                    <w:wordWrap/>
                    <w:overflowPunct w:val="0"/>
                    <w:topLinePunct/>
                    <w:autoSpaceDE w:val="0"/>
                    <w:autoSpaceDN w:val="0"/>
                    <w:bidi w:val="0"/>
                    <w:adjustRightInd w:val="0"/>
                    <w:snapToGrid w:val="0"/>
                    <w:spacing w:line="240" w:lineRule="auto"/>
                    <w:jc w:val="center"/>
                    <w:rPr>
                      <w:rFonts w:hint="default" w:ascii="Times New Roman" w:hAnsi="Times New Roman" w:eastAsia="宋体" w:cs="Times New Roman"/>
                      <w:b/>
                      <w:bCs/>
                      <w:color w:val="auto"/>
                      <w:sz w:val="20"/>
                      <w:szCs w:val="20"/>
                    </w:rPr>
                  </w:pPr>
                  <w:r>
                    <w:rPr>
                      <w:rFonts w:hint="eastAsia" w:ascii="Times New Roman" w:hAnsi="Times New Roman" w:eastAsia="宋体" w:cs="Times New Roman"/>
                      <w:b/>
                      <w:bCs/>
                      <w:color w:val="auto"/>
                      <w:sz w:val="20"/>
                      <w:szCs w:val="20"/>
                      <w:lang w:val="en-US" w:eastAsia="zh-CN"/>
                    </w:rPr>
                    <w:t>占地</w:t>
                  </w:r>
                  <w:r>
                    <w:rPr>
                      <w:rFonts w:hint="default" w:ascii="Times New Roman" w:hAnsi="Times New Roman" w:eastAsia="宋体" w:cs="Times New Roman"/>
                      <w:b/>
                      <w:bCs/>
                      <w:color w:val="auto"/>
                      <w:sz w:val="20"/>
                      <w:szCs w:val="20"/>
                    </w:rPr>
                    <w:t>面积（</w:t>
                  </w:r>
                  <w:r>
                    <w:rPr>
                      <w:rFonts w:hint="eastAsia" w:ascii="Times New Roman" w:hAnsi="Times New Roman" w:eastAsia="宋体" w:cs="Times New Roman"/>
                      <w:b/>
                      <w:bCs/>
                      <w:color w:val="auto"/>
                      <w:sz w:val="20"/>
                      <w:szCs w:val="20"/>
                      <w:lang w:val="en-US" w:eastAsia="zh-CN"/>
                    </w:rPr>
                    <w:t>h</w:t>
                  </w:r>
                  <w:r>
                    <w:rPr>
                      <w:rFonts w:hint="default" w:ascii="Times New Roman" w:hAnsi="Times New Roman" w:eastAsia="宋体" w:cs="Times New Roman"/>
                      <w:b/>
                      <w:bCs/>
                      <w:color w:val="auto"/>
                      <w:sz w:val="20"/>
                      <w:szCs w:val="20"/>
                    </w:rPr>
                    <w:t>m</w:t>
                  </w:r>
                  <w:r>
                    <w:rPr>
                      <w:rFonts w:hint="default" w:ascii="Times New Roman" w:hAnsi="Times New Roman" w:eastAsia="宋体" w:cs="Times New Roman"/>
                      <w:b/>
                      <w:bCs/>
                      <w:color w:val="auto"/>
                      <w:sz w:val="20"/>
                      <w:szCs w:val="20"/>
                      <w:vertAlign w:val="superscript"/>
                    </w:rPr>
                    <w:t>2</w:t>
                  </w:r>
                  <w:r>
                    <w:rPr>
                      <w:rFonts w:hint="default" w:ascii="Times New Roman" w:hAnsi="Times New Roman" w:eastAsia="宋体" w:cs="Times New Roman"/>
                      <w:b/>
                      <w:bCs/>
                      <w:color w:val="auto"/>
                      <w:sz w:val="20"/>
                      <w:szCs w:val="20"/>
                    </w:rPr>
                    <w:t>）</w:t>
                  </w:r>
                </w:p>
              </w:tc>
            </w:tr>
            <w:tr w14:paraId="696C50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303" w:type="pct"/>
                  <w:noWrap w:val="0"/>
                  <w:vAlign w:val="center"/>
                </w:tcPr>
                <w:p w14:paraId="69D5E599">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1</w:t>
                  </w:r>
                </w:p>
              </w:tc>
              <w:tc>
                <w:tcPr>
                  <w:tcW w:w="403" w:type="pct"/>
                  <w:noWrap w:val="0"/>
                  <w:vAlign w:val="center"/>
                </w:tcPr>
                <w:p w14:paraId="47B54BB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i w:val="0"/>
                      <w:iCs w:val="0"/>
                      <w:color w:val="auto"/>
                      <w:kern w:val="0"/>
                      <w:sz w:val="20"/>
                      <w:szCs w:val="20"/>
                      <w:u w:val="none"/>
                      <w:lang w:val="en-US" w:eastAsia="zh-CN" w:bidi="ar"/>
                    </w:rPr>
                    <w:t>N1</w:t>
                  </w:r>
                </w:p>
              </w:tc>
              <w:tc>
                <w:tcPr>
                  <w:tcW w:w="1038" w:type="pct"/>
                  <w:noWrap w:val="0"/>
                  <w:vAlign w:val="center"/>
                </w:tcPr>
                <w:p w14:paraId="5763009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2D1R8-JB3-27</w:t>
                  </w:r>
                </w:p>
              </w:tc>
              <w:tc>
                <w:tcPr>
                  <w:tcW w:w="373" w:type="pct"/>
                  <w:noWrap w:val="0"/>
                  <w:vAlign w:val="center"/>
                </w:tcPr>
                <w:p w14:paraId="3A2725D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27</w:t>
                  </w:r>
                </w:p>
              </w:tc>
              <w:tc>
                <w:tcPr>
                  <w:tcW w:w="665" w:type="pct"/>
                  <w:noWrap w:val="0"/>
                  <w:vAlign w:val="center"/>
                </w:tcPr>
                <w:p w14:paraId="1F843FD3">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20.2</w:t>
                  </w:r>
                </w:p>
              </w:tc>
              <w:tc>
                <w:tcPr>
                  <w:tcW w:w="686" w:type="pct"/>
                  <w:noWrap w:val="0"/>
                  <w:vAlign w:val="center"/>
                </w:tcPr>
                <w:p w14:paraId="62BD7532">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单回路转角塔</w:t>
                  </w:r>
                </w:p>
              </w:tc>
              <w:tc>
                <w:tcPr>
                  <w:tcW w:w="529" w:type="pct"/>
                  <w:noWrap w:val="0"/>
                  <w:vAlign w:val="center"/>
                </w:tcPr>
                <w:p w14:paraId="2213BA2D">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TWJ2445</w:t>
                  </w:r>
                </w:p>
              </w:tc>
              <w:tc>
                <w:tcPr>
                  <w:tcW w:w="441" w:type="pct"/>
                  <w:noWrap w:val="0"/>
                  <w:vAlign w:val="center"/>
                </w:tcPr>
                <w:p w14:paraId="29A9129A">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荒地</w:t>
                  </w:r>
                </w:p>
              </w:tc>
              <w:tc>
                <w:tcPr>
                  <w:tcW w:w="558" w:type="pct"/>
                  <w:noWrap w:val="0"/>
                  <w:vAlign w:val="center"/>
                </w:tcPr>
                <w:p w14:paraId="75F6987C">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0.00497</w:t>
                  </w:r>
                </w:p>
              </w:tc>
            </w:tr>
            <w:tr w14:paraId="1EE14D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7BE4AF4D">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2</w:t>
                  </w:r>
                </w:p>
              </w:tc>
              <w:tc>
                <w:tcPr>
                  <w:tcW w:w="403" w:type="pct"/>
                  <w:noWrap w:val="0"/>
                  <w:vAlign w:val="center"/>
                </w:tcPr>
                <w:p w14:paraId="06BC5E5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i w:val="0"/>
                      <w:iCs w:val="0"/>
                      <w:color w:val="auto"/>
                      <w:kern w:val="0"/>
                      <w:sz w:val="20"/>
                      <w:szCs w:val="20"/>
                      <w:u w:val="none"/>
                      <w:lang w:val="en-US" w:eastAsia="zh-CN" w:bidi="ar"/>
                    </w:rPr>
                    <w:t>N2</w:t>
                  </w:r>
                </w:p>
              </w:tc>
              <w:tc>
                <w:tcPr>
                  <w:tcW w:w="1038" w:type="pct"/>
                  <w:noWrap w:val="0"/>
                  <w:vAlign w:val="center"/>
                </w:tcPr>
                <w:p w14:paraId="4E2B3BB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2D1R8-JB3-24</w:t>
                  </w:r>
                </w:p>
              </w:tc>
              <w:tc>
                <w:tcPr>
                  <w:tcW w:w="373" w:type="pct"/>
                  <w:noWrap w:val="0"/>
                  <w:vAlign w:val="center"/>
                </w:tcPr>
                <w:p w14:paraId="1A83245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24</w:t>
                  </w:r>
                </w:p>
              </w:tc>
              <w:tc>
                <w:tcPr>
                  <w:tcW w:w="665" w:type="pct"/>
                  <w:noWrap w:val="0"/>
                  <w:vAlign w:val="center"/>
                </w:tcPr>
                <w:p w14:paraId="4C6BF7C1">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20.2</w:t>
                  </w:r>
                </w:p>
              </w:tc>
              <w:tc>
                <w:tcPr>
                  <w:tcW w:w="686" w:type="pct"/>
                  <w:noWrap w:val="0"/>
                  <w:vAlign w:val="center"/>
                </w:tcPr>
                <w:p w14:paraId="63CD2B3B">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单回路转角塔</w:t>
                  </w:r>
                </w:p>
              </w:tc>
              <w:tc>
                <w:tcPr>
                  <w:tcW w:w="529" w:type="pct"/>
                  <w:noWrap w:val="0"/>
                  <w:vAlign w:val="center"/>
                </w:tcPr>
                <w:p w14:paraId="5ECBEDF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TWZ1833</w:t>
                  </w:r>
                </w:p>
              </w:tc>
              <w:tc>
                <w:tcPr>
                  <w:tcW w:w="441" w:type="pct"/>
                  <w:noWrap w:val="0"/>
                  <w:vAlign w:val="center"/>
                </w:tcPr>
                <w:p w14:paraId="048D69B7">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5E5EBB04">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0.00416</w:t>
                  </w:r>
                </w:p>
              </w:tc>
            </w:tr>
            <w:tr w14:paraId="6952EF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0E2B3C7B">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3</w:t>
                  </w:r>
                </w:p>
              </w:tc>
              <w:tc>
                <w:tcPr>
                  <w:tcW w:w="403" w:type="pct"/>
                  <w:noWrap w:val="0"/>
                  <w:vAlign w:val="center"/>
                </w:tcPr>
                <w:p w14:paraId="37CB1CF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i w:val="0"/>
                      <w:iCs w:val="0"/>
                      <w:color w:val="auto"/>
                      <w:kern w:val="0"/>
                      <w:sz w:val="20"/>
                      <w:szCs w:val="20"/>
                      <w:u w:val="none"/>
                      <w:lang w:val="en-US" w:eastAsia="zh-CN" w:bidi="ar"/>
                    </w:rPr>
                    <w:t>N3</w:t>
                  </w:r>
                </w:p>
              </w:tc>
              <w:tc>
                <w:tcPr>
                  <w:tcW w:w="1038" w:type="pct"/>
                  <w:noWrap w:val="0"/>
                  <w:vAlign w:val="center"/>
                </w:tcPr>
                <w:p w14:paraId="1006AF3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2D1R8-Z2-36</w:t>
                  </w:r>
                </w:p>
              </w:tc>
              <w:tc>
                <w:tcPr>
                  <w:tcW w:w="373" w:type="pct"/>
                  <w:noWrap w:val="0"/>
                  <w:vAlign w:val="center"/>
                </w:tcPr>
                <w:p w14:paraId="426432A9">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36</w:t>
                  </w:r>
                </w:p>
              </w:tc>
              <w:tc>
                <w:tcPr>
                  <w:tcW w:w="665" w:type="pct"/>
                  <w:noWrap w:val="0"/>
                  <w:vAlign w:val="center"/>
                </w:tcPr>
                <w:p w14:paraId="21CBC952">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18.9</w:t>
                  </w:r>
                </w:p>
              </w:tc>
              <w:tc>
                <w:tcPr>
                  <w:tcW w:w="686" w:type="pct"/>
                  <w:noWrap w:val="0"/>
                  <w:vAlign w:val="center"/>
                </w:tcPr>
                <w:p w14:paraId="6A1BBCEC">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6061CD79">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TWZ1833</w:t>
                  </w:r>
                </w:p>
              </w:tc>
              <w:tc>
                <w:tcPr>
                  <w:tcW w:w="441" w:type="pct"/>
                  <w:noWrap w:val="0"/>
                  <w:vAlign w:val="center"/>
                </w:tcPr>
                <w:p w14:paraId="2AAE9BDE">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1A604C39">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0.0063</w:t>
                  </w:r>
                </w:p>
              </w:tc>
            </w:tr>
            <w:tr w14:paraId="2BB07D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0BD8FC91">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4</w:t>
                  </w:r>
                </w:p>
              </w:tc>
              <w:tc>
                <w:tcPr>
                  <w:tcW w:w="403" w:type="pct"/>
                  <w:noWrap w:val="0"/>
                  <w:vAlign w:val="center"/>
                </w:tcPr>
                <w:p w14:paraId="5E37FBA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i w:val="0"/>
                      <w:iCs w:val="0"/>
                      <w:color w:val="auto"/>
                      <w:kern w:val="0"/>
                      <w:sz w:val="20"/>
                      <w:szCs w:val="20"/>
                      <w:u w:val="none"/>
                      <w:lang w:val="en-US" w:eastAsia="zh-CN" w:bidi="ar"/>
                    </w:rPr>
                    <w:t>N4</w:t>
                  </w:r>
                </w:p>
              </w:tc>
              <w:tc>
                <w:tcPr>
                  <w:tcW w:w="1038" w:type="pct"/>
                  <w:noWrap w:val="0"/>
                  <w:vAlign w:val="center"/>
                </w:tcPr>
                <w:p w14:paraId="3218E4B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2D1R8-Z2-42</w:t>
                  </w:r>
                </w:p>
              </w:tc>
              <w:tc>
                <w:tcPr>
                  <w:tcW w:w="373" w:type="pct"/>
                  <w:noWrap w:val="0"/>
                  <w:vAlign w:val="center"/>
                </w:tcPr>
                <w:p w14:paraId="3F817068">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42</w:t>
                  </w:r>
                </w:p>
              </w:tc>
              <w:tc>
                <w:tcPr>
                  <w:tcW w:w="665" w:type="pct"/>
                  <w:noWrap w:val="0"/>
                  <w:vAlign w:val="center"/>
                </w:tcPr>
                <w:p w14:paraId="250CE3C7">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18.9</w:t>
                  </w:r>
                </w:p>
              </w:tc>
              <w:tc>
                <w:tcPr>
                  <w:tcW w:w="686" w:type="pct"/>
                  <w:noWrap w:val="0"/>
                  <w:vAlign w:val="center"/>
                </w:tcPr>
                <w:p w14:paraId="20AA105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26230EAE">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TWZ1833</w:t>
                  </w:r>
                </w:p>
              </w:tc>
              <w:tc>
                <w:tcPr>
                  <w:tcW w:w="441" w:type="pct"/>
                  <w:noWrap w:val="0"/>
                  <w:vAlign w:val="center"/>
                </w:tcPr>
                <w:p w14:paraId="75E1DE3A">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33D1BC9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0.00814</w:t>
                  </w:r>
                </w:p>
              </w:tc>
            </w:tr>
            <w:tr w14:paraId="240EB1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7B2B3033">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5</w:t>
                  </w:r>
                </w:p>
              </w:tc>
              <w:tc>
                <w:tcPr>
                  <w:tcW w:w="403" w:type="pct"/>
                  <w:noWrap w:val="0"/>
                  <w:vAlign w:val="center"/>
                </w:tcPr>
                <w:p w14:paraId="0235539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i w:val="0"/>
                      <w:iCs w:val="0"/>
                      <w:color w:val="auto"/>
                      <w:kern w:val="0"/>
                      <w:sz w:val="20"/>
                      <w:szCs w:val="20"/>
                      <w:u w:val="none"/>
                      <w:lang w:val="en-US" w:eastAsia="zh-CN" w:bidi="ar"/>
                    </w:rPr>
                    <w:t>N5</w:t>
                  </w:r>
                </w:p>
              </w:tc>
              <w:tc>
                <w:tcPr>
                  <w:tcW w:w="1038" w:type="pct"/>
                  <w:noWrap w:val="0"/>
                  <w:vAlign w:val="center"/>
                </w:tcPr>
                <w:p w14:paraId="3FFDB05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2D1R8-JB3-33</w:t>
                  </w:r>
                </w:p>
              </w:tc>
              <w:tc>
                <w:tcPr>
                  <w:tcW w:w="373" w:type="pct"/>
                  <w:noWrap w:val="0"/>
                  <w:vAlign w:val="center"/>
                </w:tcPr>
                <w:p w14:paraId="5F665381">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33</w:t>
                  </w:r>
                </w:p>
              </w:tc>
              <w:tc>
                <w:tcPr>
                  <w:tcW w:w="665" w:type="pct"/>
                  <w:noWrap w:val="0"/>
                  <w:vAlign w:val="center"/>
                </w:tcPr>
                <w:p w14:paraId="5E65B44C">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20.6</w:t>
                  </w:r>
                </w:p>
              </w:tc>
              <w:tc>
                <w:tcPr>
                  <w:tcW w:w="686" w:type="pct"/>
                  <w:noWrap w:val="0"/>
                  <w:vAlign w:val="center"/>
                </w:tcPr>
                <w:p w14:paraId="11EABAEE">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单回路转角塔</w:t>
                  </w:r>
                </w:p>
              </w:tc>
              <w:tc>
                <w:tcPr>
                  <w:tcW w:w="529" w:type="pct"/>
                  <w:noWrap w:val="0"/>
                  <w:vAlign w:val="center"/>
                </w:tcPr>
                <w:p w14:paraId="5C38AB1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TWZ1833</w:t>
                  </w:r>
                </w:p>
              </w:tc>
              <w:tc>
                <w:tcPr>
                  <w:tcW w:w="441" w:type="pct"/>
                  <w:noWrap w:val="0"/>
                  <w:vAlign w:val="center"/>
                </w:tcPr>
                <w:p w14:paraId="1F08AC32">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049F65FA">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0.00679</w:t>
                  </w:r>
                </w:p>
              </w:tc>
            </w:tr>
            <w:tr w14:paraId="7668B2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05DA6414">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6</w:t>
                  </w:r>
                </w:p>
              </w:tc>
              <w:tc>
                <w:tcPr>
                  <w:tcW w:w="403" w:type="pct"/>
                  <w:noWrap w:val="0"/>
                  <w:vAlign w:val="center"/>
                </w:tcPr>
                <w:p w14:paraId="54F6FD7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i w:val="0"/>
                      <w:iCs w:val="0"/>
                      <w:color w:val="auto"/>
                      <w:kern w:val="0"/>
                      <w:sz w:val="20"/>
                      <w:szCs w:val="20"/>
                      <w:u w:val="none"/>
                      <w:lang w:val="en-US" w:eastAsia="zh-CN" w:bidi="ar"/>
                    </w:rPr>
                    <w:t>N6</w:t>
                  </w:r>
                </w:p>
              </w:tc>
              <w:tc>
                <w:tcPr>
                  <w:tcW w:w="1038" w:type="pct"/>
                  <w:noWrap w:val="0"/>
                  <w:vAlign w:val="center"/>
                </w:tcPr>
                <w:p w14:paraId="272AD63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2D1R8-JB1-24</w:t>
                  </w:r>
                </w:p>
              </w:tc>
              <w:tc>
                <w:tcPr>
                  <w:tcW w:w="373" w:type="pct"/>
                  <w:noWrap w:val="0"/>
                  <w:vAlign w:val="center"/>
                </w:tcPr>
                <w:p w14:paraId="4C6A2AE8">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24</w:t>
                  </w:r>
                </w:p>
              </w:tc>
              <w:tc>
                <w:tcPr>
                  <w:tcW w:w="665" w:type="pct"/>
                  <w:noWrap w:val="0"/>
                  <w:vAlign w:val="center"/>
                </w:tcPr>
                <w:p w14:paraId="6C29DEBC">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19.6</w:t>
                  </w:r>
                </w:p>
              </w:tc>
              <w:tc>
                <w:tcPr>
                  <w:tcW w:w="686" w:type="pct"/>
                  <w:noWrap w:val="0"/>
                  <w:vAlign w:val="center"/>
                </w:tcPr>
                <w:p w14:paraId="0929CB54">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单回路转角塔</w:t>
                  </w:r>
                </w:p>
              </w:tc>
              <w:tc>
                <w:tcPr>
                  <w:tcW w:w="529" w:type="pct"/>
                  <w:noWrap w:val="0"/>
                  <w:vAlign w:val="center"/>
                </w:tcPr>
                <w:p w14:paraId="73E0158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WK1070</w:t>
                  </w:r>
                </w:p>
              </w:tc>
              <w:tc>
                <w:tcPr>
                  <w:tcW w:w="441" w:type="pct"/>
                  <w:noWrap w:val="0"/>
                  <w:vAlign w:val="center"/>
                </w:tcPr>
                <w:p w14:paraId="7FE29B9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032811E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0.00402</w:t>
                  </w:r>
                </w:p>
              </w:tc>
            </w:tr>
            <w:tr w14:paraId="276475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1208272C">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7</w:t>
                  </w:r>
                </w:p>
              </w:tc>
              <w:tc>
                <w:tcPr>
                  <w:tcW w:w="403" w:type="pct"/>
                  <w:noWrap w:val="0"/>
                  <w:vAlign w:val="center"/>
                </w:tcPr>
                <w:p w14:paraId="7636327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i w:val="0"/>
                      <w:iCs w:val="0"/>
                      <w:color w:val="auto"/>
                      <w:kern w:val="0"/>
                      <w:sz w:val="20"/>
                      <w:szCs w:val="20"/>
                      <w:u w:val="none"/>
                      <w:lang w:val="en-US" w:eastAsia="zh-CN" w:bidi="ar"/>
                    </w:rPr>
                    <w:t>N7</w:t>
                  </w:r>
                </w:p>
              </w:tc>
              <w:tc>
                <w:tcPr>
                  <w:tcW w:w="1038" w:type="pct"/>
                  <w:noWrap w:val="0"/>
                  <w:vAlign w:val="center"/>
                </w:tcPr>
                <w:p w14:paraId="17DDDE3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2D1R8-Z2-36</w:t>
                  </w:r>
                </w:p>
              </w:tc>
              <w:tc>
                <w:tcPr>
                  <w:tcW w:w="373" w:type="pct"/>
                  <w:noWrap w:val="0"/>
                  <w:vAlign w:val="center"/>
                </w:tcPr>
                <w:p w14:paraId="4634558A">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36</w:t>
                  </w:r>
                </w:p>
              </w:tc>
              <w:tc>
                <w:tcPr>
                  <w:tcW w:w="665" w:type="pct"/>
                  <w:noWrap w:val="0"/>
                  <w:vAlign w:val="center"/>
                </w:tcPr>
                <w:p w14:paraId="75C54893">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18.9</w:t>
                  </w:r>
                </w:p>
              </w:tc>
              <w:tc>
                <w:tcPr>
                  <w:tcW w:w="686" w:type="pct"/>
                  <w:noWrap w:val="0"/>
                  <w:vAlign w:val="center"/>
                </w:tcPr>
                <w:p w14:paraId="695188BB">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5C04CB8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WK1070</w:t>
                  </w:r>
                </w:p>
              </w:tc>
              <w:tc>
                <w:tcPr>
                  <w:tcW w:w="441" w:type="pct"/>
                  <w:noWrap w:val="0"/>
                  <w:vAlign w:val="center"/>
                </w:tcPr>
                <w:p w14:paraId="15C462D9">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26E4A8B0">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0.0063</w:t>
                  </w:r>
                </w:p>
              </w:tc>
            </w:tr>
            <w:tr w14:paraId="52D812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591B4F5A">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8</w:t>
                  </w:r>
                </w:p>
              </w:tc>
              <w:tc>
                <w:tcPr>
                  <w:tcW w:w="403" w:type="pct"/>
                  <w:noWrap w:val="0"/>
                  <w:vAlign w:val="center"/>
                </w:tcPr>
                <w:p w14:paraId="787D683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i w:val="0"/>
                      <w:iCs w:val="0"/>
                      <w:color w:val="auto"/>
                      <w:kern w:val="0"/>
                      <w:sz w:val="20"/>
                      <w:szCs w:val="20"/>
                      <w:u w:val="none"/>
                      <w:lang w:val="en-US" w:eastAsia="zh-CN" w:bidi="ar"/>
                    </w:rPr>
                    <w:t>N8</w:t>
                  </w:r>
                </w:p>
              </w:tc>
              <w:tc>
                <w:tcPr>
                  <w:tcW w:w="1038" w:type="pct"/>
                  <w:noWrap w:val="0"/>
                  <w:vAlign w:val="center"/>
                </w:tcPr>
                <w:p w14:paraId="48A52CD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2D1R8-Z2-42</w:t>
                  </w:r>
                </w:p>
              </w:tc>
              <w:tc>
                <w:tcPr>
                  <w:tcW w:w="373" w:type="pct"/>
                  <w:noWrap w:val="0"/>
                  <w:vAlign w:val="center"/>
                </w:tcPr>
                <w:p w14:paraId="2D22E31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42</w:t>
                  </w:r>
                </w:p>
              </w:tc>
              <w:tc>
                <w:tcPr>
                  <w:tcW w:w="665" w:type="pct"/>
                  <w:noWrap w:val="0"/>
                  <w:vAlign w:val="center"/>
                </w:tcPr>
                <w:p w14:paraId="4CA27A0C">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18.9</w:t>
                  </w:r>
                </w:p>
              </w:tc>
              <w:tc>
                <w:tcPr>
                  <w:tcW w:w="686" w:type="pct"/>
                  <w:noWrap w:val="0"/>
                  <w:vAlign w:val="center"/>
                </w:tcPr>
                <w:p w14:paraId="2960F922">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171B9042">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WK1070</w:t>
                  </w:r>
                </w:p>
              </w:tc>
              <w:tc>
                <w:tcPr>
                  <w:tcW w:w="441" w:type="pct"/>
                  <w:noWrap w:val="0"/>
                  <w:vAlign w:val="center"/>
                </w:tcPr>
                <w:p w14:paraId="0EEED917">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510412E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0.00814</w:t>
                  </w:r>
                </w:p>
              </w:tc>
            </w:tr>
            <w:tr w14:paraId="774991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57B51EF8">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9</w:t>
                  </w:r>
                </w:p>
              </w:tc>
              <w:tc>
                <w:tcPr>
                  <w:tcW w:w="403" w:type="pct"/>
                  <w:noWrap w:val="0"/>
                  <w:vAlign w:val="center"/>
                </w:tcPr>
                <w:p w14:paraId="256373F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i w:val="0"/>
                      <w:iCs w:val="0"/>
                      <w:color w:val="auto"/>
                      <w:kern w:val="0"/>
                      <w:sz w:val="20"/>
                      <w:szCs w:val="20"/>
                      <w:u w:val="none"/>
                      <w:lang w:val="en-US" w:eastAsia="zh-CN" w:bidi="ar"/>
                    </w:rPr>
                    <w:t>N9</w:t>
                  </w:r>
                </w:p>
              </w:tc>
              <w:tc>
                <w:tcPr>
                  <w:tcW w:w="1038" w:type="pct"/>
                  <w:noWrap w:val="0"/>
                  <w:vAlign w:val="center"/>
                </w:tcPr>
                <w:p w14:paraId="0E7FA88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2D1R8-Z1-36</w:t>
                  </w:r>
                </w:p>
              </w:tc>
              <w:tc>
                <w:tcPr>
                  <w:tcW w:w="373" w:type="pct"/>
                  <w:noWrap w:val="0"/>
                  <w:vAlign w:val="center"/>
                </w:tcPr>
                <w:p w14:paraId="4F042DB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36</w:t>
                  </w:r>
                </w:p>
              </w:tc>
              <w:tc>
                <w:tcPr>
                  <w:tcW w:w="665" w:type="pct"/>
                  <w:noWrap w:val="0"/>
                  <w:vAlign w:val="center"/>
                </w:tcPr>
                <w:p w14:paraId="1040A3D0">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18.6</w:t>
                  </w:r>
                </w:p>
              </w:tc>
              <w:tc>
                <w:tcPr>
                  <w:tcW w:w="686" w:type="pct"/>
                  <w:noWrap w:val="0"/>
                  <w:vAlign w:val="center"/>
                </w:tcPr>
                <w:p w14:paraId="59C2277A">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6C18A0AC">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WK1070</w:t>
                  </w:r>
                </w:p>
              </w:tc>
              <w:tc>
                <w:tcPr>
                  <w:tcW w:w="441" w:type="pct"/>
                  <w:noWrap w:val="0"/>
                  <w:vAlign w:val="center"/>
                </w:tcPr>
                <w:p w14:paraId="79CED71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eastAsia"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荒地</w:t>
                  </w:r>
                </w:p>
              </w:tc>
              <w:tc>
                <w:tcPr>
                  <w:tcW w:w="558" w:type="pct"/>
                  <w:noWrap w:val="0"/>
                  <w:vAlign w:val="center"/>
                </w:tcPr>
                <w:p w14:paraId="00D271E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0.00599</w:t>
                  </w:r>
                </w:p>
              </w:tc>
            </w:tr>
            <w:tr w14:paraId="192415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66D101D4">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10</w:t>
                  </w:r>
                </w:p>
              </w:tc>
              <w:tc>
                <w:tcPr>
                  <w:tcW w:w="403" w:type="pct"/>
                  <w:noWrap w:val="0"/>
                  <w:vAlign w:val="center"/>
                </w:tcPr>
                <w:p w14:paraId="28BEADC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i w:val="0"/>
                      <w:iCs w:val="0"/>
                      <w:color w:val="auto"/>
                      <w:kern w:val="0"/>
                      <w:sz w:val="20"/>
                      <w:szCs w:val="20"/>
                      <w:u w:val="none"/>
                      <w:lang w:val="en-US" w:eastAsia="zh-CN" w:bidi="ar"/>
                    </w:rPr>
                    <w:t>N10</w:t>
                  </w:r>
                </w:p>
              </w:tc>
              <w:tc>
                <w:tcPr>
                  <w:tcW w:w="1038" w:type="pct"/>
                  <w:noWrap w:val="0"/>
                  <w:vAlign w:val="center"/>
                </w:tcPr>
                <w:p w14:paraId="2351DA3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2D1R8-JB1-27</w:t>
                  </w:r>
                </w:p>
              </w:tc>
              <w:tc>
                <w:tcPr>
                  <w:tcW w:w="373" w:type="pct"/>
                  <w:noWrap w:val="0"/>
                  <w:vAlign w:val="center"/>
                </w:tcPr>
                <w:p w14:paraId="53674FC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27</w:t>
                  </w:r>
                </w:p>
              </w:tc>
              <w:tc>
                <w:tcPr>
                  <w:tcW w:w="665" w:type="pct"/>
                  <w:noWrap w:val="0"/>
                  <w:vAlign w:val="center"/>
                </w:tcPr>
                <w:p w14:paraId="33E1739A">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19.6</w:t>
                  </w:r>
                </w:p>
              </w:tc>
              <w:tc>
                <w:tcPr>
                  <w:tcW w:w="686" w:type="pct"/>
                  <w:noWrap w:val="0"/>
                  <w:vAlign w:val="center"/>
                </w:tcPr>
                <w:p w14:paraId="11577C13">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w:t>
                  </w:r>
                  <w:r>
                    <w:rPr>
                      <w:rFonts w:hint="eastAsia" w:ascii="Times New Roman" w:hAnsi="Times New Roman" w:eastAsia="宋体" w:cs="Times New Roman"/>
                      <w:color w:val="auto"/>
                      <w:kern w:val="0"/>
                      <w:sz w:val="20"/>
                      <w:szCs w:val="20"/>
                      <w:lang w:val="en-US" w:eastAsia="zh-CN" w:bidi="ar"/>
                    </w:rPr>
                    <w:t>转角</w:t>
                  </w:r>
                  <w:r>
                    <w:rPr>
                      <w:rFonts w:hint="default" w:ascii="Times New Roman" w:hAnsi="Times New Roman" w:eastAsia="宋体" w:cs="Times New Roman"/>
                      <w:color w:val="auto"/>
                      <w:kern w:val="0"/>
                      <w:sz w:val="20"/>
                      <w:szCs w:val="20"/>
                      <w:lang w:bidi="ar"/>
                    </w:rPr>
                    <w:t>塔</w:t>
                  </w:r>
                </w:p>
              </w:tc>
              <w:tc>
                <w:tcPr>
                  <w:tcW w:w="529" w:type="pct"/>
                  <w:noWrap w:val="0"/>
                  <w:vAlign w:val="center"/>
                </w:tcPr>
                <w:p w14:paraId="08DE097B">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TWZ2033</w:t>
                  </w:r>
                </w:p>
              </w:tc>
              <w:tc>
                <w:tcPr>
                  <w:tcW w:w="441" w:type="pct"/>
                  <w:noWrap w:val="0"/>
                  <w:vAlign w:val="center"/>
                </w:tcPr>
                <w:p w14:paraId="4ED26064">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eastAsia"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荒地</w:t>
                  </w:r>
                </w:p>
              </w:tc>
              <w:tc>
                <w:tcPr>
                  <w:tcW w:w="558" w:type="pct"/>
                  <w:noWrap w:val="0"/>
                  <w:vAlign w:val="center"/>
                </w:tcPr>
                <w:p w14:paraId="67B291AA">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0.00482</w:t>
                  </w:r>
                </w:p>
              </w:tc>
            </w:tr>
            <w:tr w14:paraId="21DA97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3302353C">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11</w:t>
                  </w:r>
                </w:p>
              </w:tc>
              <w:tc>
                <w:tcPr>
                  <w:tcW w:w="403" w:type="pct"/>
                  <w:noWrap w:val="0"/>
                  <w:vAlign w:val="center"/>
                </w:tcPr>
                <w:p w14:paraId="50C0856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i w:val="0"/>
                      <w:iCs w:val="0"/>
                      <w:color w:val="auto"/>
                      <w:kern w:val="0"/>
                      <w:sz w:val="20"/>
                      <w:szCs w:val="20"/>
                      <w:u w:val="none"/>
                      <w:lang w:val="en-US" w:eastAsia="zh-CN" w:bidi="ar"/>
                    </w:rPr>
                    <w:t>N11</w:t>
                  </w:r>
                </w:p>
              </w:tc>
              <w:tc>
                <w:tcPr>
                  <w:tcW w:w="1038" w:type="pct"/>
                  <w:noWrap w:val="0"/>
                  <w:vAlign w:val="center"/>
                </w:tcPr>
                <w:p w14:paraId="5324317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2D1R8-Z2-21</w:t>
                  </w:r>
                </w:p>
              </w:tc>
              <w:tc>
                <w:tcPr>
                  <w:tcW w:w="373" w:type="pct"/>
                  <w:noWrap w:val="0"/>
                  <w:vAlign w:val="center"/>
                </w:tcPr>
                <w:p w14:paraId="5A507C3A">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21</w:t>
                  </w:r>
                </w:p>
              </w:tc>
              <w:tc>
                <w:tcPr>
                  <w:tcW w:w="665" w:type="pct"/>
                  <w:noWrap w:val="0"/>
                  <w:vAlign w:val="center"/>
                </w:tcPr>
                <w:p w14:paraId="624A92E0">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18.9</w:t>
                  </w:r>
                </w:p>
              </w:tc>
              <w:tc>
                <w:tcPr>
                  <w:tcW w:w="686" w:type="pct"/>
                  <w:noWrap w:val="0"/>
                  <w:vAlign w:val="center"/>
                </w:tcPr>
                <w:p w14:paraId="2B8E294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629653DC">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TWZ2036</w:t>
                  </w:r>
                </w:p>
              </w:tc>
              <w:tc>
                <w:tcPr>
                  <w:tcW w:w="441" w:type="pct"/>
                  <w:noWrap w:val="0"/>
                  <w:vAlign w:val="center"/>
                </w:tcPr>
                <w:p w14:paraId="4E22B1F7">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0B1CC3E9">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0.00275</w:t>
                  </w:r>
                </w:p>
              </w:tc>
            </w:tr>
            <w:tr w14:paraId="5890AD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4380FA5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12</w:t>
                  </w:r>
                </w:p>
              </w:tc>
              <w:tc>
                <w:tcPr>
                  <w:tcW w:w="403" w:type="pct"/>
                  <w:noWrap w:val="0"/>
                  <w:vAlign w:val="center"/>
                </w:tcPr>
                <w:p w14:paraId="475B3E2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i w:val="0"/>
                      <w:iCs w:val="0"/>
                      <w:color w:val="auto"/>
                      <w:kern w:val="0"/>
                      <w:sz w:val="20"/>
                      <w:szCs w:val="20"/>
                      <w:u w:val="none"/>
                      <w:lang w:val="en-US" w:eastAsia="zh-CN" w:bidi="ar"/>
                    </w:rPr>
                    <w:t>N1</w:t>
                  </w:r>
                  <w:r>
                    <w:rPr>
                      <w:rFonts w:hint="eastAsia" w:ascii="Times New Roman" w:hAnsi="Times New Roman" w:eastAsia="宋体" w:cs="Times New Roman"/>
                      <w:i w:val="0"/>
                      <w:iCs w:val="0"/>
                      <w:color w:val="auto"/>
                      <w:kern w:val="0"/>
                      <w:sz w:val="20"/>
                      <w:szCs w:val="20"/>
                      <w:u w:val="none"/>
                      <w:lang w:val="en-US" w:eastAsia="zh-CN" w:bidi="ar"/>
                    </w:rPr>
                    <w:t>2</w:t>
                  </w:r>
                </w:p>
              </w:tc>
              <w:tc>
                <w:tcPr>
                  <w:tcW w:w="1038" w:type="pct"/>
                  <w:noWrap w:val="0"/>
                  <w:vAlign w:val="center"/>
                </w:tcPr>
                <w:p w14:paraId="5A712A6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2D1R8-Z2-33</w:t>
                  </w:r>
                </w:p>
              </w:tc>
              <w:tc>
                <w:tcPr>
                  <w:tcW w:w="373" w:type="pct"/>
                  <w:noWrap w:val="0"/>
                  <w:vAlign w:val="center"/>
                </w:tcPr>
                <w:p w14:paraId="1AC00FD2">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33</w:t>
                  </w:r>
                </w:p>
              </w:tc>
              <w:tc>
                <w:tcPr>
                  <w:tcW w:w="665" w:type="pct"/>
                  <w:noWrap w:val="0"/>
                  <w:vAlign w:val="center"/>
                </w:tcPr>
                <w:p w14:paraId="5C0005A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18.2</w:t>
                  </w:r>
                </w:p>
              </w:tc>
              <w:tc>
                <w:tcPr>
                  <w:tcW w:w="686" w:type="pct"/>
                  <w:noWrap w:val="0"/>
                  <w:vAlign w:val="center"/>
                </w:tcPr>
                <w:p w14:paraId="672C35B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27AC7C9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TWZ2242</w:t>
                  </w:r>
                </w:p>
              </w:tc>
              <w:tc>
                <w:tcPr>
                  <w:tcW w:w="441" w:type="pct"/>
                  <w:noWrap w:val="0"/>
                  <w:vAlign w:val="center"/>
                </w:tcPr>
                <w:p w14:paraId="5BA2B368">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6B95CF6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0.00548</w:t>
                  </w:r>
                </w:p>
              </w:tc>
            </w:tr>
            <w:tr w14:paraId="27FEC6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37875EA0">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13</w:t>
                  </w:r>
                </w:p>
              </w:tc>
              <w:tc>
                <w:tcPr>
                  <w:tcW w:w="403" w:type="pct"/>
                  <w:noWrap w:val="0"/>
                  <w:vAlign w:val="center"/>
                </w:tcPr>
                <w:p w14:paraId="676DC2F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i w:val="0"/>
                      <w:iCs w:val="0"/>
                      <w:color w:val="auto"/>
                      <w:kern w:val="0"/>
                      <w:sz w:val="20"/>
                      <w:szCs w:val="20"/>
                      <w:u w:val="none"/>
                      <w:lang w:val="en-US" w:eastAsia="zh-CN" w:bidi="ar"/>
                    </w:rPr>
                    <w:t>N1</w:t>
                  </w:r>
                  <w:r>
                    <w:rPr>
                      <w:rFonts w:hint="eastAsia" w:ascii="Times New Roman" w:hAnsi="Times New Roman" w:eastAsia="宋体" w:cs="Times New Roman"/>
                      <w:i w:val="0"/>
                      <w:iCs w:val="0"/>
                      <w:color w:val="auto"/>
                      <w:kern w:val="0"/>
                      <w:sz w:val="20"/>
                      <w:szCs w:val="20"/>
                      <w:u w:val="none"/>
                      <w:lang w:val="en-US" w:eastAsia="zh-CN" w:bidi="ar"/>
                    </w:rPr>
                    <w:t>3</w:t>
                  </w:r>
                </w:p>
              </w:tc>
              <w:tc>
                <w:tcPr>
                  <w:tcW w:w="1038" w:type="pct"/>
                  <w:noWrap w:val="0"/>
                  <w:vAlign w:val="center"/>
                </w:tcPr>
                <w:p w14:paraId="61030DC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2D1R8-Z2-42</w:t>
                  </w:r>
                </w:p>
              </w:tc>
              <w:tc>
                <w:tcPr>
                  <w:tcW w:w="373" w:type="pct"/>
                  <w:noWrap w:val="0"/>
                  <w:vAlign w:val="center"/>
                </w:tcPr>
                <w:p w14:paraId="73C7CABE">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42</w:t>
                  </w:r>
                </w:p>
              </w:tc>
              <w:tc>
                <w:tcPr>
                  <w:tcW w:w="665" w:type="pct"/>
                  <w:noWrap w:val="0"/>
                  <w:vAlign w:val="center"/>
                </w:tcPr>
                <w:p w14:paraId="619F2042">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18.2</w:t>
                  </w:r>
                </w:p>
              </w:tc>
              <w:tc>
                <w:tcPr>
                  <w:tcW w:w="686" w:type="pct"/>
                  <w:noWrap w:val="0"/>
                  <w:vAlign w:val="center"/>
                </w:tcPr>
                <w:p w14:paraId="207A18E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3DA7EFF1">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WK1295</w:t>
                  </w:r>
                </w:p>
              </w:tc>
              <w:tc>
                <w:tcPr>
                  <w:tcW w:w="441" w:type="pct"/>
                  <w:noWrap w:val="0"/>
                  <w:vAlign w:val="center"/>
                </w:tcPr>
                <w:p w14:paraId="34BB5D53">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公益林地</w:t>
                  </w:r>
                </w:p>
              </w:tc>
              <w:tc>
                <w:tcPr>
                  <w:tcW w:w="558" w:type="pct"/>
                  <w:noWrap w:val="0"/>
                  <w:vAlign w:val="center"/>
                </w:tcPr>
                <w:p w14:paraId="4B31F39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0.00814</w:t>
                  </w:r>
                </w:p>
              </w:tc>
            </w:tr>
            <w:tr w14:paraId="3BBACA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2F565250">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14</w:t>
                  </w:r>
                </w:p>
              </w:tc>
              <w:tc>
                <w:tcPr>
                  <w:tcW w:w="403" w:type="pct"/>
                  <w:noWrap w:val="0"/>
                  <w:vAlign w:val="center"/>
                </w:tcPr>
                <w:p w14:paraId="5940A0F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i w:val="0"/>
                      <w:iCs w:val="0"/>
                      <w:color w:val="auto"/>
                      <w:kern w:val="0"/>
                      <w:sz w:val="20"/>
                      <w:szCs w:val="20"/>
                      <w:u w:val="none"/>
                      <w:lang w:val="en-US" w:eastAsia="zh-CN" w:bidi="ar"/>
                    </w:rPr>
                    <w:t>N1</w:t>
                  </w:r>
                  <w:r>
                    <w:rPr>
                      <w:rFonts w:hint="eastAsia" w:ascii="Times New Roman" w:hAnsi="Times New Roman" w:eastAsia="宋体" w:cs="Times New Roman"/>
                      <w:i w:val="0"/>
                      <w:iCs w:val="0"/>
                      <w:color w:val="auto"/>
                      <w:kern w:val="0"/>
                      <w:sz w:val="20"/>
                      <w:szCs w:val="20"/>
                      <w:u w:val="none"/>
                      <w:lang w:val="en-US" w:eastAsia="zh-CN" w:bidi="ar"/>
                    </w:rPr>
                    <w:t>4</w:t>
                  </w:r>
                </w:p>
              </w:tc>
              <w:tc>
                <w:tcPr>
                  <w:tcW w:w="1038" w:type="pct"/>
                  <w:noWrap w:val="0"/>
                  <w:vAlign w:val="center"/>
                </w:tcPr>
                <w:p w14:paraId="17DD34C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2D1R8-Z1-36</w:t>
                  </w:r>
                </w:p>
              </w:tc>
              <w:tc>
                <w:tcPr>
                  <w:tcW w:w="373" w:type="pct"/>
                  <w:noWrap w:val="0"/>
                  <w:vAlign w:val="center"/>
                </w:tcPr>
                <w:p w14:paraId="0BA3B17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36</w:t>
                  </w:r>
                </w:p>
              </w:tc>
              <w:tc>
                <w:tcPr>
                  <w:tcW w:w="665" w:type="pct"/>
                  <w:noWrap w:val="0"/>
                  <w:vAlign w:val="center"/>
                </w:tcPr>
                <w:p w14:paraId="3F34B700">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18.6</w:t>
                  </w:r>
                </w:p>
              </w:tc>
              <w:tc>
                <w:tcPr>
                  <w:tcW w:w="686" w:type="pct"/>
                  <w:noWrap w:val="0"/>
                  <w:vAlign w:val="center"/>
                </w:tcPr>
                <w:p w14:paraId="2F2955ED">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59D3DB77">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WK1290</w:t>
                  </w:r>
                </w:p>
              </w:tc>
              <w:tc>
                <w:tcPr>
                  <w:tcW w:w="441" w:type="pct"/>
                  <w:noWrap w:val="0"/>
                  <w:vAlign w:val="center"/>
                </w:tcPr>
                <w:p w14:paraId="28CA04F9">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公益林地</w:t>
                  </w:r>
                </w:p>
              </w:tc>
              <w:tc>
                <w:tcPr>
                  <w:tcW w:w="558" w:type="pct"/>
                  <w:noWrap w:val="0"/>
                  <w:vAlign w:val="center"/>
                </w:tcPr>
                <w:p w14:paraId="4392B71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0.00599</w:t>
                  </w:r>
                </w:p>
              </w:tc>
            </w:tr>
            <w:tr w14:paraId="682B43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3B77DFF1">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15</w:t>
                  </w:r>
                </w:p>
              </w:tc>
              <w:tc>
                <w:tcPr>
                  <w:tcW w:w="403" w:type="pct"/>
                  <w:noWrap w:val="0"/>
                  <w:vAlign w:val="center"/>
                </w:tcPr>
                <w:p w14:paraId="2483872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N15</w:t>
                  </w:r>
                </w:p>
              </w:tc>
              <w:tc>
                <w:tcPr>
                  <w:tcW w:w="1038" w:type="pct"/>
                  <w:noWrap w:val="0"/>
                  <w:vAlign w:val="center"/>
                </w:tcPr>
                <w:p w14:paraId="7956419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2D1R8-Z2-33</w:t>
                  </w:r>
                </w:p>
              </w:tc>
              <w:tc>
                <w:tcPr>
                  <w:tcW w:w="373" w:type="pct"/>
                  <w:noWrap w:val="0"/>
                  <w:vAlign w:val="center"/>
                </w:tcPr>
                <w:p w14:paraId="41C61CC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33</w:t>
                  </w:r>
                </w:p>
              </w:tc>
              <w:tc>
                <w:tcPr>
                  <w:tcW w:w="665" w:type="pct"/>
                  <w:noWrap w:val="0"/>
                  <w:vAlign w:val="center"/>
                </w:tcPr>
                <w:p w14:paraId="547CD20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18.4</w:t>
                  </w:r>
                </w:p>
              </w:tc>
              <w:tc>
                <w:tcPr>
                  <w:tcW w:w="686" w:type="pct"/>
                  <w:noWrap w:val="0"/>
                  <w:vAlign w:val="center"/>
                </w:tcPr>
                <w:p w14:paraId="5A2A2740">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6A343EEA">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WK1280</w:t>
                  </w:r>
                </w:p>
              </w:tc>
              <w:tc>
                <w:tcPr>
                  <w:tcW w:w="441" w:type="pct"/>
                  <w:noWrap w:val="0"/>
                  <w:vAlign w:val="center"/>
                </w:tcPr>
                <w:p w14:paraId="397BC6F2">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54EE13C9">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0.00548</w:t>
                  </w:r>
                </w:p>
              </w:tc>
            </w:tr>
            <w:tr w14:paraId="1BD166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30ECEFD1">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16</w:t>
                  </w:r>
                </w:p>
              </w:tc>
              <w:tc>
                <w:tcPr>
                  <w:tcW w:w="403" w:type="pct"/>
                  <w:noWrap w:val="0"/>
                  <w:vAlign w:val="center"/>
                </w:tcPr>
                <w:p w14:paraId="3BCAD84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N16</w:t>
                  </w:r>
                </w:p>
              </w:tc>
              <w:tc>
                <w:tcPr>
                  <w:tcW w:w="1038" w:type="pct"/>
                  <w:noWrap w:val="0"/>
                  <w:vAlign w:val="center"/>
                </w:tcPr>
                <w:p w14:paraId="1AC06F2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2D1R8-JB3-24</w:t>
                  </w:r>
                </w:p>
              </w:tc>
              <w:tc>
                <w:tcPr>
                  <w:tcW w:w="373" w:type="pct"/>
                  <w:noWrap w:val="0"/>
                  <w:vAlign w:val="center"/>
                </w:tcPr>
                <w:p w14:paraId="5CDA5E1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24</w:t>
                  </w:r>
                </w:p>
              </w:tc>
              <w:tc>
                <w:tcPr>
                  <w:tcW w:w="665" w:type="pct"/>
                  <w:noWrap w:val="0"/>
                  <w:vAlign w:val="center"/>
                </w:tcPr>
                <w:p w14:paraId="2814D02D">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20.2</w:t>
                  </w:r>
                </w:p>
              </w:tc>
              <w:tc>
                <w:tcPr>
                  <w:tcW w:w="686" w:type="pct"/>
                  <w:noWrap w:val="0"/>
                  <w:vAlign w:val="center"/>
                </w:tcPr>
                <w:p w14:paraId="53C58310">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单回路转角塔</w:t>
                  </w:r>
                </w:p>
              </w:tc>
              <w:tc>
                <w:tcPr>
                  <w:tcW w:w="529" w:type="pct"/>
                  <w:noWrap w:val="0"/>
                  <w:vAlign w:val="center"/>
                </w:tcPr>
                <w:p w14:paraId="2986A679">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TWJ2445</w:t>
                  </w:r>
                </w:p>
              </w:tc>
              <w:tc>
                <w:tcPr>
                  <w:tcW w:w="441" w:type="pct"/>
                  <w:noWrap w:val="0"/>
                  <w:vAlign w:val="center"/>
                </w:tcPr>
                <w:p w14:paraId="3791FA73">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3ECF533A">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0.00416</w:t>
                  </w:r>
                </w:p>
              </w:tc>
            </w:tr>
            <w:tr w14:paraId="7A69B6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4AB03473">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17</w:t>
                  </w:r>
                </w:p>
              </w:tc>
              <w:tc>
                <w:tcPr>
                  <w:tcW w:w="403" w:type="pct"/>
                  <w:noWrap w:val="0"/>
                  <w:vAlign w:val="center"/>
                </w:tcPr>
                <w:p w14:paraId="100023F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N17</w:t>
                  </w:r>
                </w:p>
              </w:tc>
              <w:tc>
                <w:tcPr>
                  <w:tcW w:w="1038" w:type="pct"/>
                  <w:noWrap w:val="0"/>
                  <w:vAlign w:val="center"/>
                </w:tcPr>
                <w:p w14:paraId="6BD121A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2D1R8-JB1-36</w:t>
                  </w:r>
                </w:p>
              </w:tc>
              <w:tc>
                <w:tcPr>
                  <w:tcW w:w="373" w:type="pct"/>
                  <w:noWrap w:val="0"/>
                  <w:vAlign w:val="center"/>
                </w:tcPr>
                <w:p w14:paraId="1B55E6F0">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36</w:t>
                  </w:r>
                </w:p>
              </w:tc>
              <w:tc>
                <w:tcPr>
                  <w:tcW w:w="665" w:type="pct"/>
                  <w:noWrap w:val="0"/>
                  <w:vAlign w:val="center"/>
                </w:tcPr>
                <w:p w14:paraId="4FDFF810">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19.6</w:t>
                  </w:r>
                </w:p>
              </w:tc>
              <w:tc>
                <w:tcPr>
                  <w:tcW w:w="686" w:type="pct"/>
                  <w:noWrap w:val="0"/>
                  <w:vAlign w:val="center"/>
                </w:tcPr>
                <w:p w14:paraId="2ACDBBF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w:t>
                  </w:r>
                  <w:r>
                    <w:rPr>
                      <w:rFonts w:hint="eastAsia" w:ascii="Times New Roman" w:hAnsi="Times New Roman" w:eastAsia="宋体" w:cs="Times New Roman"/>
                      <w:color w:val="auto"/>
                      <w:kern w:val="0"/>
                      <w:sz w:val="20"/>
                      <w:szCs w:val="20"/>
                      <w:lang w:val="en-US" w:eastAsia="zh-CN" w:bidi="ar"/>
                    </w:rPr>
                    <w:t>转角</w:t>
                  </w:r>
                  <w:r>
                    <w:rPr>
                      <w:rFonts w:hint="default" w:ascii="Times New Roman" w:hAnsi="Times New Roman" w:eastAsia="宋体" w:cs="Times New Roman"/>
                      <w:color w:val="auto"/>
                      <w:kern w:val="0"/>
                      <w:sz w:val="20"/>
                      <w:szCs w:val="20"/>
                      <w:lang w:bidi="ar"/>
                    </w:rPr>
                    <w:t>塔</w:t>
                  </w:r>
                </w:p>
              </w:tc>
              <w:tc>
                <w:tcPr>
                  <w:tcW w:w="529" w:type="pct"/>
                  <w:noWrap w:val="0"/>
                  <w:vAlign w:val="center"/>
                </w:tcPr>
                <w:p w14:paraId="6E2DBA94">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TWZ1833</w:t>
                  </w:r>
                </w:p>
              </w:tc>
              <w:tc>
                <w:tcPr>
                  <w:tcW w:w="441" w:type="pct"/>
                  <w:noWrap w:val="0"/>
                  <w:vAlign w:val="center"/>
                </w:tcPr>
                <w:p w14:paraId="3A07401D">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5505FDBE">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0.00764</w:t>
                  </w:r>
                </w:p>
              </w:tc>
            </w:tr>
            <w:tr w14:paraId="2F1EB2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7062CE31">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18</w:t>
                  </w:r>
                </w:p>
              </w:tc>
              <w:tc>
                <w:tcPr>
                  <w:tcW w:w="403" w:type="pct"/>
                  <w:noWrap w:val="0"/>
                  <w:vAlign w:val="center"/>
                </w:tcPr>
                <w:p w14:paraId="350AAC7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N18</w:t>
                  </w:r>
                </w:p>
              </w:tc>
              <w:tc>
                <w:tcPr>
                  <w:tcW w:w="1038" w:type="pct"/>
                  <w:noWrap w:val="0"/>
                  <w:vAlign w:val="center"/>
                </w:tcPr>
                <w:p w14:paraId="0421BEC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eastAsia" w:ascii="Times New Roman" w:hAnsi="Times New Roman" w:eastAsia="宋体" w:cs="Times New Roman"/>
                      <w:color w:val="auto"/>
                      <w:kern w:val="0"/>
                      <w:sz w:val="20"/>
                      <w:szCs w:val="20"/>
                      <w:lang w:eastAsia="zh-CN" w:bidi="ar"/>
                    </w:rPr>
                  </w:pPr>
                  <w:r>
                    <w:rPr>
                      <w:rFonts w:hint="eastAsia"/>
                      <w:color w:val="auto"/>
                      <w:sz w:val="20"/>
                      <w:szCs w:val="22"/>
                    </w:rPr>
                    <w:t>2D1R</w:t>
                  </w:r>
                  <w:r>
                    <w:rPr>
                      <w:rFonts w:hint="eastAsia"/>
                      <w:color w:val="auto"/>
                      <w:sz w:val="20"/>
                      <w:szCs w:val="22"/>
                      <w:lang w:val="en-US" w:eastAsia="zh-CN"/>
                    </w:rPr>
                    <w:t>7</w:t>
                  </w:r>
                  <w:r>
                    <w:rPr>
                      <w:rFonts w:hint="eastAsia"/>
                      <w:color w:val="auto"/>
                      <w:sz w:val="20"/>
                      <w:szCs w:val="22"/>
                    </w:rPr>
                    <w:t>-J2-2</w:t>
                  </w:r>
                  <w:r>
                    <w:rPr>
                      <w:rFonts w:hint="eastAsia"/>
                      <w:color w:val="auto"/>
                      <w:sz w:val="20"/>
                      <w:szCs w:val="22"/>
                      <w:lang w:val="en-US" w:eastAsia="zh-CN"/>
                    </w:rPr>
                    <w:t>7</w:t>
                  </w:r>
                </w:p>
              </w:tc>
              <w:tc>
                <w:tcPr>
                  <w:tcW w:w="373" w:type="pct"/>
                  <w:noWrap w:val="0"/>
                  <w:vAlign w:val="center"/>
                </w:tcPr>
                <w:p w14:paraId="41BC3A1C">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27</w:t>
                  </w:r>
                </w:p>
              </w:tc>
              <w:tc>
                <w:tcPr>
                  <w:tcW w:w="665" w:type="pct"/>
                  <w:noWrap w:val="0"/>
                  <w:vAlign w:val="center"/>
                </w:tcPr>
                <w:p w14:paraId="0FFF84C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13</w:t>
                  </w:r>
                </w:p>
              </w:tc>
              <w:tc>
                <w:tcPr>
                  <w:tcW w:w="686" w:type="pct"/>
                  <w:noWrap w:val="0"/>
                  <w:vAlign w:val="center"/>
                </w:tcPr>
                <w:p w14:paraId="579448FB">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w:t>
                  </w:r>
                  <w:r>
                    <w:rPr>
                      <w:rFonts w:hint="eastAsia" w:ascii="Times New Roman" w:hAnsi="Times New Roman" w:eastAsia="宋体" w:cs="Times New Roman"/>
                      <w:color w:val="auto"/>
                      <w:kern w:val="0"/>
                      <w:sz w:val="20"/>
                      <w:szCs w:val="20"/>
                      <w:lang w:val="en-US" w:eastAsia="zh-CN" w:bidi="ar"/>
                    </w:rPr>
                    <w:t>转角</w:t>
                  </w:r>
                  <w:r>
                    <w:rPr>
                      <w:rFonts w:hint="default" w:ascii="Times New Roman" w:hAnsi="Times New Roman" w:eastAsia="宋体" w:cs="Times New Roman"/>
                      <w:color w:val="auto"/>
                      <w:kern w:val="0"/>
                      <w:sz w:val="20"/>
                      <w:szCs w:val="20"/>
                      <w:lang w:bidi="ar"/>
                    </w:rPr>
                    <w:t>塔</w:t>
                  </w:r>
                </w:p>
              </w:tc>
              <w:tc>
                <w:tcPr>
                  <w:tcW w:w="529" w:type="pct"/>
                  <w:noWrap w:val="0"/>
                  <w:vAlign w:val="center"/>
                </w:tcPr>
                <w:p w14:paraId="324DC59E">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TWZ1833</w:t>
                  </w:r>
                </w:p>
              </w:tc>
              <w:tc>
                <w:tcPr>
                  <w:tcW w:w="441" w:type="pct"/>
                  <w:noWrap w:val="0"/>
                  <w:vAlign w:val="center"/>
                </w:tcPr>
                <w:p w14:paraId="61593E08">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5125FE78">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0.00902</w:t>
                  </w:r>
                </w:p>
              </w:tc>
            </w:tr>
            <w:tr w14:paraId="539A06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35C0BF88">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19</w:t>
                  </w:r>
                </w:p>
              </w:tc>
              <w:tc>
                <w:tcPr>
                  <w:tcW w:w="403" w:type="pct"/>
                  <w:noWrap w:val="0"/>
                  <w:vAlign w:val="center"/>
                </w:tcPr>
                <w:p w14:paraId="315BC67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N19</w:t>
                  </w:r>
                </w:p>
              </w:tc>
              <w:tc>
                <w:tcPr>
                  <w:tcW w:w="1038" w:type="pct"/>
                  <w:noWrap w:val="0"/>
                  <w:vAlign w:val="center"/>
                </w:tcPr>
                <w:p w14:paraId="31A57EC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2D1R7-Z2-48</w:t>
                  </w:r>
                </w:p>
              </w:tc>
              <w:tc>
                <w:tcPr>
                  <w:tcW w:w="373" w:type="pct"/>
                  <w:noWrap w:val="0"/>
                  <w:vAlign w:val="center"/>
                </w:tcPr>
                <w:p w14:paraId="13646869">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48</w:t>
                  </w:r>
                </w:p>
              </w:tc>
              <w:tc>
                <w:tcPr>
                  <w:tcW w:w="665" w:type="pct"/>
                  <w:noWrap w:val="0"/>
                  <w:vAlign w:val="center"/>
                </w:tcPr>
                <w:p w14:paraId="5D7A86B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18.4</w:t>
                  </w:r>
                </w:p>
              </w:tc>
              <w:tc>
                <w:tcPr>
                  <w:tcW w:w="686" w:type="pct"/>
                  <w:noWrap w:val="0"/>
                  <w:vAlign w:val="center"/>
                </w:tcPr>
                <w:p w14:paraId="4649DC62">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638803EE">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TWZ1833</w:t>
                  </w:r>
                </w:p>
              </w:tc>
              <w:tc>
                <w:tcPr>
                  <w:tcW w:w="441" w:type="pct"/>
                  <w:noWrap w:val="0"/>
                  <w:vAlign w:val="center"/>
                </w:tcPr>
                <w:p w14:paraId="7C06A233">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4B986832">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0.01124</w:t>
                  </w:r>
                </w:p>
              </w:tc>
            </w:tr>
            <w:tr w14:paraId="2C1A48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5E2D74A7">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20</w:t>
                  </w:r>
                </w:p>
              </w:tc>
              <w:tc>
                <w:tcPr>
                  <w:tcW w:w="403" w:type="pct"/>
                  <w:noWrap w:val="0"/>
                  <w:vAlign w:val="center"/>
                </w:tcPr>
                <w:p w14:paraId="39C2958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N20</w:t>
                  </w:r>
                </w:p>
              </w:tc>
              <w:tc>
                <w:tcPr>
                  <w:tcW w:w="1038" w:type="pct"/>
                  <w:noWrap w:val="0"/>
                  <w:vAlign w:val="center"/>
                </w:tcPr>
                <w:p w14:paraId="7584ACC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2D1R7-Z2-45</w:t>
                  </w:r>
                </w:p>
              </w:tc>
              <w:tc>
                <w:tcPr>
                  <w:tcW w:w="373" w:type="pct"/>
                  <w:noWrap w:val="0"/>
                  <w:vAlign w:val="center"/>
                </w:tcPr>
                <w:p w14:paraId="6F4E1FC4">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45</w:t>
                  </w:r>
                </w:p>
              </w:tc>
              <w:tc>
                <w:tcPr>
                  <w:tcW w:w="665" w:type="pct"/>
                  <w:noWrap w:val="0"/>
                  <w:vAlign w:val="center"/>
                </w:tcPr>
                <w:p w14:paraId="405A6DEB">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18.4</w:t>
                  </w:r>
                </w:p>
              </w:tc>
              <w:tc>
                <w:tcPr>
                  <w:tcW w:w="686" w:type="pct"/>
                  <w:noWrap w:val="0"/>
                  <w:vAlign w:val="center"/>
                </w:tcPr>
                <w:p w14:paraId="2C2BAA53">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47F84103">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TWZ1833</w:t>
                  </w:r>
                </w:p>
              </w:tc>
              <w:tc>
                <w:tcPr>
                  <w:tcW w:w="441" w:type="pct"/>
                  <w:noWrap w:val="0"/>
                  <w:vAlign w:val="center"/>
                </w:tcPr>
                <w:p w14:paraId="622C3C5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3F96C808">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0.01012</w:t>
                  </w:r>
                </w:p>
              </w:tc>
            </w:tr>
            <w:tr w14:paraId="62619C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5860E161">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21</w:t>
                  </w:r>
                </w:p>
              </w:tc>
              <w:tc>
                <w:tcPr>
                  <w:tcW w:w="403" w:type="pct"/>
                  <w:noWrap w:val="0"/>
                  <w:vAlign w:val="center"/>
                </w:tcPr>
                <w:p w14:paraId="0A5A58F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N21</w:t>
                  </w:r>
                </w:p>
              </w:tc>
              <w:tc>
                <w:tcPr>
                  <w:tcW w:w="1038" w:type="pct"/>
                  <w:noWrap w:val="0"/>
                  <w:vAlign w:val="center"/>
                </w:tcPr>
                <w:p w14:paraId="113573C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2D1R7-Z2-48</w:t>
                  </w:r>
                </w:p>
              </w:tc>
              <w:tc>
                <w:tcPr>
                  <w:tcW w:w="373" w:type="pct"/>
                  <w:noWrap w:val="0"/>
                  <w:vAlign w:val="center"/>
                </w:tcPr>
                <w:p w14:paraId="30287B5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48</w:t>
                  </w:r>
                </w:p>
              </w:tc>
              <w:tc>
                <w:tcPr>
                  <w:tcW w:w="665" w:type="pct"/>
                  <w:noWrap w:val="0"/>
                  <w:vAlign w:val="center"/>
                </w:tcPr>
                <w:p w14:paraId="253CE3D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18.2</w:t>
                  </w:r>
                </w:p>
              </w:tc>
              <w:tc>
                <w:tcPr>
                  <w:tcW w:w="686" w:type="pct"/>
                  <w:noWrap w:val="0"/>
                  <w:vAlign w:val="center"/>
                </w:tcPr>
                <w:p w14:paraId="08BFD00A">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37310559">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WK1070</w:t>
                  </w:r>
                </w:p>
              </w:tc>
              <w:tc>
                <w:tcPr>
                  <w:tcW w:w="441" w:type="pct"/>
                  <w:noWrap w:val="0"/>
                  <w:vAlign w:val="center"/>
                </w:tcPr>
                <w:p w14:paraId="0DD06BF1">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4F5545A4">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0.01124</w:t>
                  </w:r>
                </w:p>
              </w:tc>
            </w:tr>
            <w:tr w14:paraId="62EAC7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16109BF4">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22</w:t>
                  </w:r>
                </w:p>
              </w:tc>
              <w:tc>
                <w:tcPr>
                  <w:tcW w:w="403" w:type="pct"/>
                  <w:noWrap w:val="0"/>
                  <w:vAlign w:val="center"/>
                </w:tcPr>
                <w:p w14:paraId="4C85391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N22</w:t>
                  </w:r>
                </w:p>
              </w:tc>
              <w:tc>
                <w:tcPr>
                  <w:tcW w:w="1038" w:type="pct"/>
                  <w:noWrap w:val="0"/>
                  <w:vAlign w:val="center"/>
                </w:tcPr>
                <w:p w14:paraId="6960BB1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2D1R7-Z2-42</w:t>
                  </w:r>
                </w:p>
              </w:tc>
              <w:tc>
                <w:tcPr>
                  <w:tcW w:w="373" w:type="pct"/>
                  <w:noWrap w:val="0"/>
                  <w:vAlign w:val="center"/>
                </w:tcPr>
                <w:p w14:paraId="56D1B97E">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42</w:t>
                  </w:r>
                </w:p>
              </w:tc>
              <w:tc>
                <w:tcPr>
                  <w:tcW w:w="665" w:type="pct"/>
                  <w:noWrap w:val="0"/>
                  <w:vAlign w:val="center"/>
                </w:tcPr>
                <w:p w14:paraId="5E90BAA2">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18.2</w:t>
                  </w:r>
                </w:p>
              </w:tc>
              <w:tc>
                <w:tcPr>
                  <w:tcW w:w="686" w:type="pct"/>
                  <w:noWrap w:val="0"/>
                  <w:vAlign w:val="center"/>
                </w:tcPr>
                <w:p w14:paraId="250372E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081EA42B">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WK1070</w:t>
                  </w:r>
                </w:p>
              </w:tc>
              <w:tc>
                <w:tcPr>
                  <w:tcW w:w="441" w:type="pct"/>
                  <w:noWrap w:val="0"/>
                  <w:vAlign w:val="center"/>
                </w:tcPr>
                <w:p w14:paraId="5FC967E0">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056674C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0.00906</w:t>
                  </w:r>
                </w:p>
              </w:tc>
            </w:tr>
            <w:tr w14:paraId="209C0B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0A61EC3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23</w:t>
                  </w:r>
                </w:p>
              </w:tc>
              <w:tc>
                <w:tcPr>
                  <w:tcW w:w="403" w:type="pct"/>
                  <w:noWrap w:val="0"/>
                  <w:vAlign w:val="center"/>
                </w:tcPr>
                <w:p w14:paraId="0F7A488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N23</w:t>
                  </w:r>
                </w:p>
              </w:tc>
              <w:tc>
                <w:tcPr>
                  <w:tcW w:w="1038" w:type="pct"/>
                  <w:noWrap w:val="0"/>
                  <w:vAlign w:val="center"/>
                </w:tcPr>
                <w:p w14:paraId="30C1CC9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2D1R7-Z2-24</w:t>
                  </w:r>
                </w:p>
              </w:tc>
              <w:tc>
                <w:tcPr>
                  <w:tcW w:w="373" w:type="pct"/>
                  <w:noWrap w:val="0"/>
                  <w:vAlign w:val="center"/>
                </w:tcPr>
                <w:p w14:paraId="009EE7A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24</w:t>
                  </w:r>
                </w:p>
              </w:tc>
              <w:tc>
                <w:tcPr>
                  <w:tcW w:w="665" w:type="pct"/>
                  <w:noWrap w:val="0"/>
                  <w:vAlign w:val="center"/>
                </w:tcPr>
                <w:p w14:paraId="23FDF07B">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18.2</w:t>
                  </w:r>
                </w:p>
              </w:tc>
              <w:tc>
                <w:tcPr>
                  <w:tcW w:w="686" w:type="pct"/>
                  <w:noWrap w:val="0"/>
                  <w:vAlign w:val="center"/>
                </w:tcPr>
                <w:p w14:paraId="3EEF23B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208BECDE">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WK1070</w:t>
                  </w:r>
                </w:p>
              </w:tc>
              <w:tc>
                <w:tcPr>
                  <w:tcW w:w="441" w:type="pct"/>
                  <w:noWrap w:val="0"/>
                  <w:vAlign w:val="center"/>
                </w:tcPr>
                <w:p w14:paraId="0DD6BEC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7525705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0.00902</w:t>
                  </w:r>
                </w:p>
              </w:tc>
            </w:tr>
            <w:tr w14:paraId="60A035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5F2F1FB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24</w:t>
                  </w:r>
                </w:p>
              </w:tc>
              <w:tc>
                <w:tcPr>
                  <w:tcW w:w="403" w:type="pct"/>
                  <w:noWrap w:val="0"/>
                  <w:vAlign w:val="center"/>
                </w:tcPr>
                <w:p w14:paraId="5B73A7E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N24</w:t>
                  </w:r>
                </w:p>
              </w:tc>
              <w:tc>
                <w:tcPr>
                  <w:tcW w:w="1038" w:type="pct"/>
                  <w:noWrap w:val="0"/>
                  <w:vAlign w:val="center"/>
                </w:tcPr>
                <w:p w14:paraId="6A91ABA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2D1R7-Z1-27</w:t>
                  </w:r>
                </w:p>
              </w:tc>
              <w:tc>
                <w:tcPr>
                  <w:tcW w:w="373" w:type="pct"/>
                  <w:noWrap w:val="0"/>
                  <w:vAlign w:val="center"/>
                </w:tcPr>
                <w:p w14:paraId="09572CC3">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27</w:t>
                  </w:r>
                </w:p>
              </w:tc>
              <w:tc>
                <w:tcPr>
                  <w:tcW w:w="665" w:type="pct"/>
                  <w:noWrap w:val="0"/>
                  <w:vAlign w:val="center"/>
                </w:tcPr>
                <w:p w14:paraId="1B3CF55D">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15.1</w:t>
                  </w:r>
                </w:p>
              </w:tc>
              <w:tc>
                <w:tcPr>
                  <w:tcW w:w="686" w:type="pct"/>
                  <w:noWrap w:val="0"/>
                  <w:vAlign w:val="center"/>
                </w:tcPr>
                <w:p w14:paraId="0EB5B663">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2ACC9D1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WK1070</w:t>
                  </w:r>
                </w:p>
              </w:tc>
              <w:tc>
                <w:tcPr>
                  <w:tcW w:w="441" w:type="pct"/>
                  <w:noWrap w:val="0"/>
                  <w:vAlign w:val="center"/>
                </w:tcPr>
                <w:p w14:paraId="026E55EB">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0997A470">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0.0045</w:t>
                  </w:r>
                </w:p>
              </w:tc>
            </w:tr>
            <w:tr w14:paraId="5B3A80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32B8964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25</w:t>
                  </w:r>
                </w:p>
              </w:tc>
              <w:tc>
                <w:tcPr>
                  <w:tcW w:w="403" w:type="pct"/>
                  <w:noWrap w:val="0"/>
                  <w:vAlign w:val="center"/>
                </w:tcPr>
                <w:p w14:paraId="73C80A1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N25</w:t>
                  </w:r>
                </w:p>
              </w:tc>
              <w:tc>
                <w:tcPr>
                  <w:tcW w:w="1038" w:type="pct"/>
                  <w:noWrap w:val="0"/>
                  <w:vAlign w:val="center"/>
                </w:tcPr>
                <w:p w14:paraId="436E44C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2D1R7-Z1-27</w:t>
                  </w:r>
                </w:p>
              </w:tc>
              <w:tc>
                <w:tcPr>
                  <w:tcW w:w="373" w:type="pct"/>
                  <w:noWrap w:val="0"/>
                  <w:vAlign w:val="center"/>
                </w:tcPr>
                <w:p w14:paraId="6A7C6627">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27</w:t>
                  </w:r>
                </w:p>
              </w:tc>
              <w:tc>
                <w:tcPr>
                  <w:tcW w:w="665" w:type="pct"/>
                  <w:noWrap w:val="0"/>
                  <w:vAlign w:val="center"/>
                </w:tcPr>
                <w:p w14:paraId="1CE58298">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15.1</w:t>
                  </w:r>
                </w:p>
              </w:tc>
              <w:tc>
                <w:tcPr>
                  <w:tcW w:w="686" w:type="pct"/>
                  <w:noWrap w:val="0"/>
                  <w:vAlign w:val="center"/>
                </w:tcPr>
                <w:p w14:paraId="384F00F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51EF9974">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TWZ2033</w:t>
                  </w:r>
                </w:p>
              </w:tc>
              <w:tc>
                <w:tcPr>
                  <w:tcW w:w="441" w:type="pct"/>
                  <w:noWrap w:val="0"/>
                  <w:vAlign w:val="center"/>
                </w:tcPr>
                <w:p w14:paraId="039265C1">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04815093">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0.00451</w:t>
                  </w:r>
                </w:p>
              </w:tc>
            </w:tr>
            <w:tr w14:paraId="73703E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1E9923A2">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26</w:t>
                  </w:r>
                </w:p>
              </w:tc>
              <w:tc>
                <w:tcPr>
                  <w:tcW w:w="403" w:type="pct"/>
                  <w:noWrap w:val="0"/>
                  <w:vAlign w:val="center"/>
                </w:tcPr>
                <w:p w14:paraId="62411DC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N26</w:t>
                  </w:r>
                </w:p>
              </w:tc>
              <w:tc>
                <w:tcPr>
                  <w:tcW w:w="1038" w:type="pct"/>
                  <w:noWrap w:val="0"/>
                  <w:vAlign w:val="center"/>
                </w:tcPr>
                <w:p w14:paraId="41B707B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2D1R7-Z2-42</w:t>
                  </w:r>
                </w:p>
              </w:tc>
              <w:tc>
                <w:tcPr>
                  <w:tcW w:w="373" w:type="pct"/>
                  <w:noWrap w:val="0"/>
                  <w:vAlign w:val="center"/>
                </w:tcPr>
                <w:p w14:paraId="4027595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42</w:t>
                  </w:r>
                </w:p>
              </w:tc>
              <w:tc>
                <w:tcPr>
                  <w:tcW w:w="665" w:type="pct"/>
                  <w:noWrap w:val="0"/>
                  <w:vAlign w:val="center"/>
                </w:tcPr>
                <w:p w14:paraId="6298EDC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18.2</w:t>
                  </w:r>
                </w:p>
              </w:tc>
              <w:tc>
                <w:tcPr>
                  <w:tcW w:w="686" w:type="pct"/>
                  <w:noWrap w:val="0"/>
                  <w:vAlign w:val="center"/>
                </w:tcPr>
                <w:p w14:paraId="0D1A8C5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6D069CF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TWZ2036</w:t>
                  </w:r>
                </w:p>
              </w:tc>
              <w:tc>
                <w:tcPr>
                  <w:tcW w:w="441" w:type="pct"/>
                  <w:noWrap w:val="0"/>
                  <w:vAlign w:val="center"/>
                </w:tcPr>
                <w:p w14:paraId="15055AD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49135537">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0.00906</w:t>
                  </w:r>
                </w:p>
              </w:tc>
            </w:tr>
            <w:tr w14:paraId="05E67E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3" w:type="pct"/>
                  <w:noWrap w:val="0"/>
                  <w:vAlign w:val="center"/>
                </w:tcPr>
                <w:p w14:paraId="6060270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27</w:t>
                  </w:r>
                </w:p>
              </w:tc>
              <w:tc>
                <w:tcPr>
                  <w:tcW w:w="403" w:type="pct"/>
                  <w:noWrap w:val="0"/>
                  <w:vAlign w:val="center"/>
                </w:tcPr>
                <w:p w14:paraId="3B17482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N27</w:t>
                  </w:r>
                </w:p>
              </w:tc>
              <w:tc>
                <w:tcPr>
                  <w:tcW w:w="1038" w:type="pct"/>
                  <w:noWrap w:val="0"/>
                  <w:vAlign w:val="center"/>
                </w:tcPr>
                <w:p w14:paraId="59D8CB0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2D1R7-Z2-45</w:t>
                  </w:r>
                </w:p>
              </w:tc>
              <w:tc>
                <w:tcPr>
                  <w:tcW w:w="373" w:type="pct"/>
                  <w:noWrap w:val="0"/>
                  <w:vAlign w:val="center"/>
                </w:tcPr>
                <w:p w14:paraId="314497E1">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45</w:t>
                  </w:r>
                </w:p>
              </w:tc>
              <w:tc>
                <w:tcPr>
                  <w:tcW w:w="665" w:type="pct"/>
                  <w:noWrap w:val="0"/>
                  <w:vAlign w:val="center"/>
                </w:tcPr>
                <w:p w14:paraId="1B591E7E">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18.2</w:t>
                  </w:r>
                </w:p>
              </w:tc>
              <w:tc>
                <w:tcPr>
                  <w:tcW w:w="686" w:type="pct"/>
                  <w:noWrap w:val="0"/>
                  <w:vAlign w:val="center"/>
                </w:tcPr>
                <w:p w14:paraId="5F2BB6E2">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37204A84">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TWZ2242</w:t>
                  </w:r>
                </w:p>
              </w:tc>
              <w:tc>
                <w:tcPr>
                  <w:tcW w:w="441" w:type="pct"/>
                  <w:noWrap w:val="0"/>
                  <w:vAlign w:val="center"/>
                </w:tcPr>
                <w:p w14:paraId="41DCDF01">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31A97F02">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0.01012</w:t>
                  </w:r>
                </w:p>
              </w:tc>
            </w:tr>
            <w:tr w14:paraId="36A733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49EF7A8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28</w:t>
                  </w:r>
                </w:p>
              </w:tc>
              <w:tc>
                <w:tcPr>
                  <w:tcW w:w="403" w:type="pct"/>
                  <w:noWrap w:val="0"/>
                  <w:vAlign w:val="center"/>
                </w:tcPr>
                <w:p w14:paraId="50A6A4C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N28</w:t>
                  </w:r>
                </w:p>
              </w:tc>
              <w:tc>
                <w:tcPr>
                  <w:tcW w:w="1038" w:type="pct"/>
                  <w:noWrap w:val="0"/>
                  <w:vAlign w:val="center"/>
                </w:tcPr>
                <w:p w14:paraId="33BCFB4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2D1R8-JB3-36</w:t>
                  </w:r>
                </w:p>
              </w:tc>
              <w:tc>
                <w:tcPr>
                  <w:tcW w:w="373" w:type="pct"/>
                  <w:noWrap w:val="0"/>
                  <w:vAlign w:val="center"/>
                </w:tcPr>
                <w:p w14:paraId="0A00F5E0">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36</w:t>
                  </w:r>
                </w:p>
              </w:tc>
              <w:tc>
                <w:tcPr>
                  <w:tcW w:w="665" w:type="pct"/>
                  <w:noWrap w:val="0"/>
                  <w:vAlign w:val="center"/>
                </w:tcPr>
                <w:p w14:paraId="1CB2C383">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p>
              </w:tc>
              <w:tc>
                <w:tcPr>
                  <w:tcW w:w="686" w:type="pct"/>
                  <w:noWrap w:val="0"/>
                  <w:vAlign w:val="center"/>
                </w:tcPr>
                <w:p w14:paraId="0ED72737">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单回路转角塔</w:t>
                  </w:r>
                </w:p>
              </w:tc>
              <w:tc>
                <w:tcPr>
                  <w:tcW w:w="529" w:type="pct"/>
                  <w:noWrap w:val="0"/>
                  <w:vAlign w:val="center"/>
                </w:tcPr>
                <w:p w14:paraId="1E138784">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WK1295</w:t>
                  </w:r>
                </w:p>
              </w:tc>
              <w:tc>
                <w:tcPr>
                  <w:tcW w:w="441" w:type="pct"/>
                  <w:noWrap w:val="0"/>
                  <w:vAlign w:val="center"/>
                </w:tcPr>
                <w:p w14:paraId="26C8DB10">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43686A32">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0.00783</w:t>
                  </w:r>
                </w:p>
              </w:tc>
            </w:tr>
            <w:tr w14:paraId="2A61D2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344EBFD8">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29</w:t>
                  </w:r>
                </w:p>
              </w:tc>
              <w:tc>
                <w:tcPr>
                  <w:tcW w:w="403" w:type="pct"/>
                  <w:noWrap w:val="0"/>
                  <w:vAlign w:val="center"/>
                </w:tcPr>
                <w:p w14:paraId="6F72E32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N29</w:t>
                  </w:r>
                </w:p>
              </w:tc>
              <w:tc>
                <w:tcPr>
                  <w:tcW w:w="1038" w:type="pct"/>
                  <w:noWrap w:val="0"/>
                  <w:vAlign w:val="center"/>
                </w:tcPr>
                <w:p w14:paraId="3B38CA7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1D1Y1-J3-30</w:t>
                  </w:r>
                </w:p>
              </w:tc>
              <w:tc>
                <w:tcPr>
                  <w:tcW w:w="373" w:type="pct"/>
                  <w:noWrap w:val="0"/>
                  <w:vAlign w:val="center"/>
                </w:tcPr>
                <w:p w14:paraId="71F5B74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30</w:t>
                  </w:r>
                </w:p>
              </w:tc>
              <w:tc>
                <w:tcPr>
                  <w:tcW w:w="665" w:type="pct"/>
                  <w:noWrap w:val="0"/>
                  <w:vAlign w:val="center"/>
                </w:tcPr>
                <w:p w14:paraId="5D22E0AE">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7.5</w:t>
                  </w:r>
                </w:p>
              </w:tc>
              <w:tc>
                <w:tcPr>
                  <w:tcW w:w="686" w:type="pct"/>
                  <w:noWrap w:val="0"/>
                  <w:vAlign w:val="center"/>
                </w:tcPr>
                <w:p w14:paraId="14275B40">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4D34EE8B">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WK1290</w:t>
                  </w:r>
                </w:p>
              </w:tc>
              <w:tc>
                <w:tcPr>
                  <w:tcW w:w="441" w:type="pct"/>
                  <w:noWrap w:val="0"/>
                  <w:vAlign w:val="center"/>
                </w:tcPr>
                <w:p w14:paraId="6832A8C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4117D55D">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0.00524</w:t>
                  </w:r>
                </w:p>
              </w:tc>
            </w:tr>
            <w:tr w14:paraId="612F49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76EAF28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30</w:t>
                  </w:r>
                </w:p>
              </w:tc>
              <w:tc>
                <w:tcPr>
                  <w:tcW w:w="403" w:type="pct"/>
                  <w:noWrap w:val="0"/>
                  <w:vAlign w:val="center"/>
                </w:tcPr>
                <w:p w14:paraId="7A1B947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N3</w:t>
                  </w:r>
                  <w:r>
                    <w:rPr>
                      <w:rFonts w:hint="eastAsia" w:ascii="Times New Roman" w:hAnsi="Times New Roman" w:eastAsia="宋体" w:cs="Times New Roman"/>
                      <w:i w:val="0"/>
                      <w:iCs w:val="0"/>
                      <w:color w:val="auto"/>
                      <w:kern w:val="0"/>
                      <w:sz w:val="20"/>
                      <w:szCs w:val="20"/>
                      <w:u w:val="none"/>
                      <w:lang w:val="en-US" w:eastAsia="zh-CN" w:bidi="ar"/>
                    </w:rPr>
                    <w:t>0</w:t>
                  </w:r>
                </w:p>
              </w:tc>
              <w:tc>
                <w:tcPr>
                  <w:tcW w:w="1038" w:type="pct"/>
                  <w:noWrap w:val="0"/>
                  <w:vAlign w:val="center"/>
                </w:tcPr>
                <w:p w14:paraId="2BCA083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1D1Y1-J4-27</w:t>
                  </w:r>
                </w:p>
              </w:tc>
              <w:tc>
                <w:tcPr>
                  <w:tcW w:w="373" w:type="pct"/>
                  <w:noWrap w:val="0"/>
                  <w:vAlign w:val="center"/>
                </w:tcPr>
                <w:p w14:paraId="2C18430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27</w:t>
                  </w:r>
                </w:p>
              </w:tc>
              <w:tc>
                <w:tcPr>
                  <w:tcW w:w="665" w:type="pct"/>
                  <w:noWrap w:val="0"/>
                  <w:vAlign w:val="center"/>
                </w:tcPr>
                <w:p w14:paraId="03BA159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7.9</w:t>
                  </w:r>
                </w:p>
              </w:tc>
              <w:tc>
                <w:tcPr>
                  <w:tcW w:w="686" w:type="pct"/>
                  <w:noWrap w:val="0"/>
                  <w:vAlign w:val="center"/>
                </w:tcPr>
                <w:p w14:paraId="2EE64E2B">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w:t>
                  </w:r>
                  <w:r>
                    <w:rPr>
                      <w:rFonts w:hint="eastAsia" w:ascii="Times New Roman" w:hAnsi="Times New Roman" w:eastAsia="宋体" w:cs="Times New Roman"/>
                      <w:color w:val="auto"/>
                      <w:kern w:val="0"/>
                      <w:sz w:val="20"/>
                      <w:szCs w:val="20"/>
                      <w:lang w:val="en-US" w:eastAsia="zh-CN" w:bidi="ar"/>
                    </w:rPr>
                    <w:t>转角</w:t>
                  </w:r>
                  <w:r>
                    <w:rPr>
                      <w:rFonts w:hint="default" w:ascii="Times New Roman" w:hAnsi="Times New Roman" w:eastAsia="宋体" w:cs="Times New Roman"/>
                      <w:color w:val="auto"/>
                      <w:kern w:val="0"/>
                      <w:sz w:val="20"/>
                      <w:szCs w:val="20"/>
                      <w:lang w:bidi="ar"/>
                    </w:rPr>
                    <w:t>塔</w:t>
                  </w:r>
                </w:p>
              </w:tc>
              <w:tc>
                <w:tcPr>
                  <w:tcW w:w="529" w:type="pct"/>
                  <w:noWrap w:val="0"/>
                  <w:vAlign w:val="center"/>
                </w:tcPr>
                <w:p w14:paraId="55D4221B">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WK1280</w:t>
                  </w:r>
                </w:p>
              </w:tc>
              <w:tc>
                <w:tcPr>
                  <w:tcW w:w="441" w:type="pct"/>
                  <w:noWrap w:val="0"/>
                  <w:vAlign w:val="center"/>
                </w:tcPr>
                <w:p w14:paraId="5BD22971">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1572EA6C">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0.00441</w:t>
                  </w:r>
                </w:p>
              </w:tc>
            </w:tr>
            <w:tr w14:paraId="5B139F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22A617BB">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31</w:t>
                  </w:r>
                </w:p>
              </w:tc>
              <w:tc>
                <w:tcPr>
                  <w:tcW w:w="403" w:type="pct"/>
                  <w:noWrap w:val="0"/>
                  <w:vAlign w:val="center"/>
                </w:tcPr>
                <w:p w14:paraId="6E24C99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N3</w:t>
                  </w:r>
                  <w:r>
                    <w:rPr>
                      <w:rFonts w:hint="eastAsia" w:ascii="Times New Roman" w:hAnsi="Times New Roman" w:eastAsia="宋体" w:cs="Times New Roman"/>
                      <w:i w:val="0"/>
                      <w:iCs w:val="0"/>
                      <w:color w:val="auto"/>
                      <w:kern w:val="0"/>
                      <w:sz w:val="20"/>
                      <w:szCs w:val="20"/>
                      <w:u w:val="none"/>
                      <w:lang w:val="en-US" w:eastAsia="zh-CN" w:bidi="ar"/>
                    </w:rPr>
                    <w:t>1</w:t>
                  </w:r>
                </w:p>
              </w:tc>
              <w:tc>
                <w:tcPr>
                  <w:tcW w:w="1038" w:type="pct"/>
                  <w:noWrap w:val="0"/>
                  <w:vAlign w:val="center"/>
                </w:tcPr>
                <w:p w14:paraId="1CB6C7E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1D1Y1-J4-30</w:t>
                  </w:r>
                </w:p>
              </w:tc>
              <w:tc>
                <w:tcPr>
                  <w:tcW w:w="373" w:type="pct"/>
                  <w:noWrap w:val="0"/>
                  <w:vAlign w:val="center"/>
                </w:tcPr>
                <w:p w14:paraId="51C438A0">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30</w:t>
                  </w:r>
                </w:p>
              </w:tc>
              <w:tc>
                <w:tcPr>
                  <w:tcW w:w="665" w:type="pct"/>
                  <w:noWrap w:val="0"/>
                  <w:vAlign w:val="center"/>
                </w:tcPr>
                <w:p w14:paraId="669184ED">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7.9</w:t>
                  </w:r>
                </w:p>
              </w:tc>
              <w:tc>
                <w:tcPr>
                  <w:tcW w:w="686" w:type="pct"/>
                  <w:noWrap w:val="0"/>
                  <w:vAlign w:val="center"/>
                </w:tcPr>
                <w:p w14:paraId="3833E341">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w:t>
                  </w:r>
                  <w:r>
                    <w:rPr>
                      <w:rFonts w:hint="eastAsia" w:ascii="Times New Roman" w:hAnsi="Times New Roman" w:eastAsia="宋体" w:cs="Times New Roman"/>
                      <w:color w:val="auto"/>
                      <w:kern w:val="0"/>
                      <w:sz w:val="20"/>
                      <w:szCs w:val="20"/>
                      <w:lang w:val="en-US" w:eastAsia="zh-CN" w:bidi="ar"/>
                    </w:rPr>
                    <w:t>转角</w:t>
                  </w:r>
                  <w:r>
                    <w:rPr>
                      <w:rFonts w:hint="default" w:ascii="Times New Roman" w:hAnsi="Times New Roman" w:eastAsia="宋体" w:cs="Times New Roman"/>
                      <w:color w:val="auto"/>
                      <w:kern w:val="0"/>
                      <w:sz w:val="20"/>
                      <w:szCs w:val="20"/>
                      <w:lang w:bidi="ar"/>
                    </w:rPr>
                    <w:t>塔</w:t>
                  </w:r>
                </w:p>
              </w:tc>
              <w:tc>
                <w:tcPr>
                  <w:tcW w:w="529" w:type="pct"/>
                  <w:noWrap w:val="0"/>
                  <w:vAlign w:val="center"/>
                </w:tcPr>
                <w:p w14:paraId="268A5868">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TWJ2445</w:t>
                  </w:r>
                </w:p>
              </w:tc>
              <w:tc>
                <w:tcPr>
                  <w:tcW w:w="441" w:type="pct"/>
                  <w:noWrap w:val="0"/>
                  <w:vAlign w:val="center"/>
                </w:tcPr>
                <w:p w14:paraId="56E304A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eastAsia"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荒地</w:t>
                  </w:r>
                </w:p>
              </w:tc>
              <w:tc>
                <w:tcPr>
                  <w:tcW w:w="558" w:type="pct"/>
                  <w:noWrap w:val="0"/>
                  <w:vAlign w:val="center"/>
                </w:tcPr>
                <w:p w14:paraId="01118383">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0.00524</w:t>
                  </w:r>
                </w:p>
              </w:tc>
            </w:tr>
            <w:tr w14:paraId="1F0142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6DA597F2">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32</w:t>
                  </w:r>
                </w:p>
              </w:tc>
              <w:tc>
                <w:tcPr>
                  <w:tcW w:w="403" w:type="pct"/>
                  <w:noWrap w:val="0"/>
                  <w:vAlign w:val="center"/>
                </w:tcPr>
                <w:p w14:paraId="164EB11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N3</w:t>
                  </w:r>
                  <w:r>
                    <w:rPr>
                      <w:rFonts w:hint="eastAsia" w:ascii="Times New Roman" w:hAnsi="Times New Roman" w:eastAsia="宋体" w:cs="Times New Roman"/>
                      <w:i w:val="0"/>
                      <w:iCs w:val="0"/>
                      <w:color w:val="auto"/>
                      <w:kern w:val="0"/>
                      <w:sz w:val="20"/>
                      <w:szCs w:val="20"/>
                      <w:u w:val="none"/>
                      <w:lang w:val="en-US" w:eastAsia="zh-CN" w:bidi="ar"/>
                    </w:rPr>
                    <w:t>2</w:t>
                  </w:r>
                </w:p>
              </w:tc>
              <w:tc>
                <w:tcPr>
                  <w:tcW w:w="1038" w:type="pct"/>
                  <w:noWrap w:val="0"/>
                  <w:vAlign w:val="center"/>
                </w:tcPr>
                <w:p w14:paraId="6FA8844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2D1Z5-ZM3-24</w:t>
                  </w:r>
                </w:p>
              </w:tc>
              <w:tc>
                <w:tcPr>
                  <w:tcW w:w="373" w:type="pct"/>
                  <w:noWrap w:val="0"/>
                  <w:vAlign w:val="center"/>
                </w:tcPr>
                <w:p w14:paraId="5A7534DB">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24</w:t>
                  </w:r>
                </w:p>
              </w:tc>
              <w:tc>
                <w:tcPr>
                  <w:tcW w:w="665" w:type="pct"/>
                  <w:noWrap w:val="0"/>
                  <w:vAlign w:val="center"/>
                </w:tcPr>
                <w:p w14:paraId="004AE0EA">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8.6</w:t>
                  </w:r>
                </w:p>
              </w:tc>
              <w:tc>
                <w:tcPr>
                  <w:tcW w:w="686" w:type="pct"/>
                  <w:noWrap w:val="0"/>
                  <w:vAlign w:val="center"/>
                </w:tcPr>
                <w:p w14:paraId="16AD11DE">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1C7E6A63">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TWZ1833</w:t>
                  </w:r>
                </w:p>
              </w:tc>
              <w:tc>
                <w:tcPr>
                  <w:tcW w:w="441" w:type="pct"/>
                  <w:noWrap w:val="0"/>
                  <w:vAlign w:val="center"/>
                </w:tcPr>
                <w:p w14:paraId="6D013841">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eastAsia"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荒地</w:t>
                  </w:r>
                </w:p>
              </w:tc>
              <w:tc>
                <w:tcPr>
                  <w:tcW w:w="558" w:type="pct"/>
                  <w:noWrap w:val="0"/>
                  <w:vAlign w:val="center"/>
                </w:tcPr>
                <w:p w14:paraId="283CD8AC">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0.00233</w:t>
                  </w:r>
                </w:p>
              </w:tc>
            </w:tr>
            <w:tr w14:paraId="5215DA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145FC67A">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33</w:t>
                  </w:r>
                </w:p>
              </w:tc>
              <w:tc>
                <w:tcPr>
                  <w:tcW w:w="403" w:type="pct"/>
                  <w:noWrap w:val="0"/>
                  <w:vAlign w:val="center"/>
                </w:tcPr>
                <w:p w14:paraId="54544C8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N3</w:t>
                  </w:r>
                  <w:r>
                    <w:rPr>
                      <w:rFonts w:hint="eastAsia" w:ascii="Times New Roman" w:hAnsi="Times New Roman" w:eastAsia="宋体" w:cs="Times New Roman"/>
                      <w:i w:val="0"/>
                      <w:iCs w:val="0"/>
                      <w:color w:val="auto"/>
                      <w:kern w:val="0"/>
                      <w:sz w:val="20"/>
                      <w:szCs w:val="20"/>
                      <w:u w:val="none"/>
                      <w:lang w:val="en-US" w:eastAsia="zh-CN" w:bidi="ar"/>
                    </w:rPr>
                    <w:t>3</w:t>
                  </w:r>
                </w:p>
              </w:tc>
              <w:tc>
                <w:tcPr>
                  <w:tcW w:w="1038" w:type="pct"/>
                  <w:noWrap w:val="0"/>
                  <w:vAlign w:val="center"/>
                </w:tcPr>
                <w:p w14:paraId="404C530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1D1Y1-ZM3-39</w:t>
                  </w:r>
                </w:p>
              </w:tc>
              <w:tc>
                <w:tcPr>
                  <w:tcW w:w="373" w:type="pct"/>
                  <w:noWrap w:val="0"/>
                  <w:vAlign w:val="center"/>
                </w:tcPr>
                <w:p w14:paraId="3258947D">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39</w:t>
                  </w:r>
                </w:p>
              </w:tc>
              <w:tc>
                <w:tcPr>
                  <w:tcW w:w="665" w:type="pct"/>
                  <w:noWrap w:val="0"/>
                  <w:vAlign w:val="center"/>
                </w:tcPr>
                <w:p w14:paraId="192E61DB">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7.0</w:t>
                  </w:r>
                </w:p>
              </w:tc>
              <w:tc>
                <w:tcPr>
                  <w:tcW w:w="686" w:type="pct"/>
                  <w:noWrap w:val="0"/>
                  <w:vAlign w:val="center"/>
                </w:tcPr>
                <w:p w14:paraId="183423BA">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31DFDCB9">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TWZ1833</w:t>
                  </w:r>
                </w:p>
              </w:tc>
              <w:tc>
                <w:tcPr>
                  <w:tcW w:w="441" w:type="pct"/>
                  <w:noWrap w:val="0"/>
                  <w:vAlign w:val="center"/>
                </w:tcPr>
                <w:p w14:paraId="0BCF7BDC">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eastAsia"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荒地</w:t>
                  </w:r>
                </w:p>
              </w:tc>
              <w:tc>
                <w:tcPr>
                  <w:tcW w:w="558" w:type="pct"/>
                  <w:noWrap w:val="0"/>
                  <w:vAlign w:val="center"/>
                </w:tcPr>
                <w:p w14:paraId="55D10E01">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0.00393</w:t>
                  </w:r>
                </w:p>
              </w:tc>
            </w:tr>
            <w:tr w14:paraId="0004C7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1744E751">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34</w:t>
                  </w:r>
                </w:p>
              </w:tc>
              <w:tc>
                <w:tcPr>
                  <w:tcW w:w="403" w:type="pct"/>
                  <w:noWrap w:val="0"/>
                  <w:vAlign w:val="center"/>
                </w:tcPr>
                <w:p w14:paraId="60C1B60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N3</w:t>
                  </w:r>
                  <w:r>
                    <w:rPr>
                      <w:rFonts w:hint="eastAsia" w:ascii="Times New Roman" w:hAnsi="Times New Roman" w:eastAsia="宋体" w:cs="Times New Roman"/>
                      <w:i w:val="0"/>
                      <w:iCs w:val="0"/>
                      <w:color w:val="auto"/>
                      <w:kern w:val="0"/>
                      <w:sz w:val="20"/>
                      <w:szCs w:val="20"/>
                      <w:u w:val="none"/>
                      <w:lang w:val="en-US" w:eastAsia="zh-CN" w:bidi="ar"/>
                    </w:rPr>
                    <w:t>4</w:t>
                  </w:r>
                </w:p>
              </w:tc>
              <w:tc>
                <w:tcPr>
                  <w:tcW w:w="1038" w:type="pct"/>
                  <w:noWrap w:val="0"/>
                  <w:vAlign w:val="center"/>
                </w:tcPr>
                <w:p w14:paraId="4AA14C5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1D1Y1-ZM3-42</w:t>
                  </w:r>
                </w:p>
              </w:tc>
              <w:tc>
                <w:tcPr>
                  <w:tcW w:w="373" w:type="pct"/>
                  <w:noWrap w:val="0"/>
                  <w:vAlign w:val="center"/>
                </w:tcPr>
                <w:p w14:paraId="2883FC48">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42</w:t>
                  </w:r>
                </w:p>
              </w:tc>
              <w:tc>
                <w:tcPr>
                  <w:tcW w:w="665" w:type="pct"/>
                  <w:noWrap w:val="0"/>
                  <w:vAlign w:val="center"/>
                </w:tcPr>
                <w:p w14:paraId="329D7A5B">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7.0</w:t>
                  </w:r>
                </w:p>
              </w:tc>
              <w:tc>
                <w:tcPr>
                  <w:tcW w:w="686" w:type="pct"/>
                  <w:noWrap w:val="0"/>
                  <w:vAlign w:val="center"/>
                </w:tcPr>
                <w:p w14:paraId="4D557AF8">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21B44880">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TWZ1833</w:t>
                  </w:r>
                </w:p>
              </w:tc>
              <w:tc>
                <w:tcPr>
                  <w:tcW w:w="441" w:type="pct"/>
                  <w:noWrap w:val="0"/>
                  <w:vAlign w:val="center"/>
                </w:tcPr>
                <w:p w14:paraId="7B2891A4">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6C559AB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0.00538</w:t>
                  </w:r>
                </w:p>
              </w:tc>
            </w:tr>
            <w:tr w14:paraId="4CA267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6D62D69E">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35</w:t>
                  </w:r>
                </w:p>
              </w:tc>
              <w:tc>
                <w:tcPr>
                  <w:tcW w:w="403" w:type="pct"/>
                  <w:noWrap w:val="0"/>
                  <w:vAlign w:val="center"/>
                </w:tcPr>
                <w:p w14:paraId="5E7F016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N3</w:t>
                  </w:r>
                  <w:r>
                    <w:rPr>
                      <w:rFonts w:hint="eastAsia" w:ascii="Times New Roman" w:hAnsi="Times New Roman" w:eastAsia="宋体" w:cs="Times New Roman"/>
                      <w:i w:val="0"/>
                      <w:iCs w:val="0"/>
                      <w:color w:val="auto"/>
                      <w:kern w:val="0"/>
                      <w:sz w:val="20"/>
                      <w:szCs w:val="20"/>
                      <w:u w:val="none"/>
                      <w:lang w:val="en-US" w:eastAsia="zh-CN" w:bidi="ar"/>
                    </w:rPr>
                    <w:t>5</w:t>
                  </w:r>
                </w:p>
              </w:tc>
              <w:tc>
                <w:tcPr>
                  <w:tcW w:w="1038" w:type="pct"/>
                  <w:noWrap w:val="0"/>
                  <w:vAlign w:val="center"/>
                </w:tcPr>
                <w:p w14:paraId="774A213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1D1Y1-ZM3-24</w:t>
                  </w:r>
                </w:p>
              </w:tc>
              <w:tc>
                <w:tcPr>
                  <w:tcW w:w="373" w:type="pct"/>
                  <w:noWrap w:val="0"/>
                  <w:vAlign w:val="center"/>
                </w:tcPr>
                <w:p w14:paraId="23C229B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24</w:t>
                  </w:r>
                </w:p>
              </w:tc>
              <w:tc>
                <w:tcPr>
                  <w:tcW w:w="665" w:type="pct"/>
                  <w:noWrap w:val="0"/>
                  <w:vAlign w:val="center"/>
                </w:tcPr>
                <w:p w14:paraId="0A69743A">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7.0</w:t>
                  </w:r>
                </w:p>
              </w:tc>
              <w:tc>
                <w:tcPr>
                  <w:tcW w:w="686" w:type="pct"/>
                  <w:noWrap w:val="0"/>
                  <w:vAlign w:val="center"/>
                </w:tcPr>
                <w:p w14:paraId="4D4701C3">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1EF0AE2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TWZ1833</w:t>
                  </w:r>
                </w:p>
              </w:tc>
              <w:tc>
                <w:tcPr>
                  <w:tcW w:w="441" w:type="pct"/>
                  <w:noWrap w:val="0"/>
                  <w:vAlign w:val="center"/>
                </w:tcPr>
                <w:p w14:paraId="1CAF7E09">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eastAsia"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荒地</w:t>
                  </w:r>
                </w:p>
              </w:tc>
              <w:tc>
                <w:tcPr>
                  <w:tcW w:w="558" w:type="pct"/>
                  <w:noWrap w:val="0"/>
                  <w:vAlign w:val="center"/>
                </w:tcPr>
                <w:p w14:paraId="2119236D">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0.00233</w:t>
                  </w:r>
                </w:p>
              </w:tc>
            </w:tr>
            <w:tr w14:paraId="734A77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4BCDBE7E">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36</w:t>
                  </w:r>
                </w:p>
              </w:tc>
              <w:tc>
                <w:tcPr>
                  <w:tcW w:w="403" w:type="pct"/>
                  <w:noWrap w:val="0"/>
                  <w:vAlign w:val="center"/>
                </w:tcPr>
                <w:p w14:paraId="0054BD8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N3</w:t>
                  </w:r>
                  <w:r>
                    <w:rPr>
                      <w:rFonts w:hint="eastAsia" w:ascii="Times New Roman" w:hAnsi="Times New Roman" w:eastAsia="宋体" w:cs="Times New Roman"/>
                      <w:i w:val="0"/>
                      <w:iCs w:val="0"/>
                      <w:color w:val="auto"/>
                      <w:kern w:val="0"/>
                      <w:sz w:val="20"/>
                      <w:szCs w:val="20"/>
                      <w:u w:val="none"/>
                      <w:lang w:val="en-US" w:eastAsia="zh-CN" w:bidi="ar"/>
                    </w:rPr>
                    <w:t>6</w:t>
                  </w:r>
                </w:p>
              </w:tc>
              <w:tc>
                <w:tcPr>
                  <w:tcW w:w="1038" w:type="pct"/>
                  <w:noWrap w:val="0"/>
                  <w:vAlign w:val="center"/>
                </w:tcPr>
                <w:p w14:paraId="67B18C0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2D1Z5-J2-24</w:t>
                  </w:r>
                </w:p>
              </w:tc>
              <w:tc>
                <w:tcPr>
                  <w:tcW w:w="373" w:type="pct"/>
                  <w:noWrap w:val="0"/>
                  <w:vAlign w:val="center"/>
                </w:tcPr>
                <w:p w14:paraId="2E6EFB23">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24</w:t>
                  </w:r>
                </w:p>
              </w:tc>
              <w:tc>
                <w:tcPr>
                  <w:tcW w:w="665" w:type="pct"/>
                  <w:noWrap w:val="0"/>
                  <w:vAlign w:val="center"/>
                </w:tcPr>
                <w:p w14:paraId="376F9A34">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7.5</w:t>
                  </w:r>
                </w:p>
              </w:tc>
              <w:tc>
                <w:tcPr>
                  <w:tcW w:w="686" w:type="pct"/>
                  <w:noWrap w:val="0"/>
                  <w:vAlign w:val="center"/>
                </w:tcPr>
                <w:p w14:paraId="5E0CA4E9">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w:t>
                  </w:r>
                  <w:r>
                    <w:rPr>
                      <w:rFonts w:hint="eastAsia" w:ascii="Times New Roman" w:hAnsi="Times New Roman" w:eastAsia="宋体" w:cs="Times New Roman"/>
                      <w:color w:val="auto"/>
                      <w:kern w:val="0"/>
                      <w:sz w:val="20"/>
                      <w:szCs w:val="20"/>
                      <w:lang w:val="en-US" w:eastAsia="zh-CN" w:bidi="ar"/>
                    </w:rPr>
                    <w:t>转角</w:t>
                  </w:r>
                  <w:r>
                    <w:rPr>
                      <w:rFonts w:hint="default" w:ascii="Times New Roman" w:hAnsi="Times New Roman" w:eastAsia="宋体" w:cs="Times New Roman"/>
                      <w:color w:val="auto"/>
                      <w:kern w:val="0"/>
                      <w:sz w:val="20"/>
                      <w:szCs w:val="20"/>
                      <w:lang w:bidi="ar"/>
                    </w:rPr>
                    <w:t>塔</w:t>
                  </w:r>
                </w:p>
              </w:tc>
              <w:tc>
                <w:tcPr>
                  <w:tcW w:w="529" w:type="pct"/>
                  <w:noWrap w:val="0"/>
                  <w:vAlign w:val="center"/>
                </w:tcPr>
                <w:p w14:paraId="224621E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WK1070</w:t>
                  </w:r>
                </w:p>
              </w:tc>
              <w:tc>
                <w:tcPr>
                  <w:tcW w:w="441" w:type="pct"/>
                  <w:noWrap w:val="0"/>
                  <w:vAlign w:val="center"/>
                </w:tcPr>
                <w:p w14:paraId="51F4D9F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684E1BB1">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0.00315</w:t>
                  </w:r>
                </w:p>
              </w:tc>
            </w:tr>
            <w:tr w14:paraId="284C42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1F195A69">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37</w:t>
                  </w:r>
                </w:p>
              </w:tc>
              <w:tc>
                <w:tcPr>
                  <w:tcW w:w="403" w:type="pct"/>
                  <w:noWrap w:val="0"/>
                  <w:vAlign w:val="center"/>
                </w:tcPr>
                <w:p w14:paraId="12D7DD3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N3</w:t>
                  </w:r>
                  <w:r>
                    <w:rPr>
                      <w:rFonts w:hint="eastAsia" w:ascii="Times New Roman" w:hAnsi="Times New Roman" w:eastAsia="宋体" w:cs="Times New Roman"/>
                      <w:i w:val="0"/>
                      <w:iCs w:val="0"/>
                      <w:color w:val="auto"/>
                      <w:kern w:val="0"/>
                      <w:sz w:val="20"/>
                      <w:szCs w:val="20"/>
                      <w:u w:val="none"/>
                      <w:lang w:val="en-US" w:eastAsia="zh-CN" w:bidi="ar"/>
                    </w:rPr>
                    <w:t>7</w:t>
                  </w:r>
                </w:p>
              </w:tc>
              <w:tc>
                <w:tcPr>
                  <w:tcW w:w="1038" w:type="pct"/>
                  <w:noWrap w:val="0"/>
                  <w:vAlign w:val="center"/>
                </w:tcPr>
                <w:p w14:paraId="2458A7D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color w:val="auto"/>
                      <w:sz w:val="20"/>
                      <w:szCs w:val="22"/>
                    </w:rPr>
                    <w:t>2D1Z5-ZM3-21</w:t>
                  </w:r>
                </w:p>
              </w:tc>
              <w:tc>
                <w:tcPr>
                  <w:tcW w:w="373" w:type="pct"/>
                  <w:noWrap w:val="0"/>
                  <w:vAlign w:val="center"/>
                </w:tcPr>
                <w:p w14:paraId="5BDC8FB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21</w:t>
                  </w:r>
                </w:p>
              </w:tc>
              <w:tc>
                <w:tcPr>
                  <w:tcW w:w="665" w:type="pct"/>
                  <w:noWrap w:val="0"/>
                  <w:vAlign w:val="center"/>
                </w:tcPr>
                <w:p w14:paraId="64E377A7">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7.0</w:t>
                  </w:r>
                </w:p>
              </w:tc>
              <w:tc>
                <w:tcPr>
                  <w:tcW w:w="686" w:type="pct"/>
                  <w:noWrap w:val="0"/>
                  <w:vAlign w:val="center"/>
                </w:tcPr>
                <w:p w14:paraId="29DDD7C3">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5AB1AD08">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WK1070</w:t>
                  </w:r>
                </w:p>
              </w:tc>
              <w:tc>
                <w:tcPr>
                  <w:tcW w:w="441" w:type="pct"/>
                  <w:noWrap w:val="0"/>
                  <w:vAlign w:val="center"/>
                </w:tcPr>
                <w:p w14:paraId="0CCFA8CA">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eastAsia"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荒地</w:t>
                  </w:r>
                </w:p>
              </w:tc>
              <w:tc>
                <w:tcPr>
                  <w:tcW w:w="558" w:type="pct"/>
                  <w:noWrap w:val="0"/>
                  <w:vAlign w:val="center"/>
                </w:tcPr>
                <w:p w14:paraId="47941DE8">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0.00194</w:t>
                  </w:r>
                </w:p>
              </w:tc>
            </w:tr>
            <w:tr w14:paraId="5D2558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5F0A35E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38</w:t>
                  </w:r>
                </w:p>
              </w:tc>
              <w:tc>
                <w:tcPr>
                  <w:tcW w:w="403" w:type="pct"/>
                  <w:noWrap w:val="0"/>
                  <w:vAlign w:val="center"/>
                </w:tcPr>
                <w:p w14:paraId="6A84885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N3</w:t>
                  </w:r>
                  <w:r>
                    <w:rPr>
                      <w:rFonts w:hint="eastAsia" w:ascii="Times New Roman" w:hAnsi="Times New Roman" w:eastAsia="宋体" w:cs="Times New Roman"/>
                      <w:i w:val="0"/>
                      <w:iCs w:val="0"/>
                      <w:color w:val="auto"/>
                      <w:kern w:val="0"/>
                      <w:sz w:val="20"/>
                      <w:szCs w:val="20"/>
                      <w:u w:val="none"/>
                      <w:lang w:val="en-US" w:eastAsia="zh-CN" w:bidi="ar"/>
                    </w:rPr>
                    <w:t>8</w:t>
                  </w:r>
                </w:p>
              </w:tc>
              <w:tc>
                <w:tcPr>
                  <w:tcW w:w="1038" w:type="pct"/>
                  <w:noWrap w:val="0"/>
                  <w:vAlign w:val="center"/>
                </w:tcPr>
                <w:p w14:paraId="3F0C76C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color w:val="auto"/>
                      <w:sz w:val="20"/>
                      <w:szCs w:val="22"/>
                    </w:rPr>
                    <w:t>1D1Y1-ZM</w:t>
                  </w:r>
                  <w:r>
                    <w:rPr>
                      <w:rFonts w:hint="eastAsia"/>
                      <w:color w:val="auto"/>
                      <w:sz w:val="20"/>
                      <w:szCs w:val="22"/>
                      <w:lang w:val="en-US" w:eastAsia="zh-CN"/>
                    </w:rPr>
                    <w:t>2</w:t>
                  </w:r>
                  <w:r>
                    <w:rPr>
                      <w:rFonts w:hint="eastAsia"/>
                      <w:color w:val="auto"/>
                      <w:sz w:val="20"/>
                      <w:szCs w:val="22"/>
                    </w:rPr>
                    <w:t>-</w:t>
                  </w:r>
                  <w:r>
                    <w:rPr>
                      <w:rFonts w:hint="eastAsia"/>
                      <w:color w:val="auto"/>
                      <w:sz w:val="20"/>
                      <w:szCs w:val="22"/>
                      <w:lang w:val="en-US" w:eastAsia="zh-CN"/>
                    </w:rPr>
                    <w:t>24</w:t>
                  </w:r>
                </w:p>
              </w:tc>
              <w:tc>
                <w:tcPr>
                  <w:tcW w:w="373" w:type="pct"/>
                  <w:noWrap w:val="0"/>
                  <w:vAlign w:val="center"/>
                </w:tcPr>
                <w:p w14:paraId="6966F28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24</w:t>
                  </w:r>
                </w:p>
              </w:tc>
              <w:tc>
                <w:tcPr>
                  <w:tcW w:w="665" w:type="pct"/>
                  <w:noWrap w:val="0"/>
                  <w:vAlign w:val="center"/>
                </w:tcPr>
                <w:p w14:paraId="60EEB15E">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6.8</w:t>
                  </w:r>
                </w:p>
              </w:tc>
              <w:tc>
                <w:tcPr>
                  <w:tcW w:w="686" w:type="pct"/>
                  <w:noWrap w:val="0"/>
                  <w:vAlign w:val="center"/>
                </w:tcPr>
                <w:p w14:paraId="5BDD4638">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3ACD48EA">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WK1070</w:t>
                  </w:r>
                </w:p>
              </w:tc>
              <w:tc>
                <w:tcPr>
                  <w:tcW w:w="441" w:type="pct"/>
                  <w:noWrap w:val="0"/>
                  <w:vAlign w:val="center"/>
                </w:tcPr>
                <w:p w14:paraId="5A213DFD">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3AE9A0EE">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0.00232</w:t>
                  </w:r>
                </w:p>
              </w:tc>
            </w:tr>
            <w:tr w14:paraId="275B01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0C9A49B0">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39</w:t>
                  </w:r>
                </w:p>
              </w:tc>
              <w:tc>
                <w:tcPr>
                  <w:tcW w:w="403" w:type="pct"/>
                  <w:noWrap w:val="0"/>
                  <w:vAlign w:val="center"/>
                </w:tcPr>
                <w:p w14:paraId="6982EB3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N</w:t>
                  </w:r>
                  <w:r>
                    <w:rPr>
                      <w:rFonts w:hint="eastAsia" w:ascii="Times New Roman" w:hAnsi="Times New Roman" w:eastAsia="宋体" w:cs="Times New Roman"/>
                      <w:i w:val="0"/>
                      <w:iCs w:val="0"/>
                      <w:color w:val="auto"/>
                      <w:kern w:val="0"/>
                      <w:sz w:val="20"/>
                      <w:szCs w:val="20"/>
                      <w:u w:val="none"/>
                      <w:lang w:val="en-US" w:eastAsia="zh-CN" w:bidi="ar"/>
                    </w:rPr>
                    <w:t>39</w:t>
                  </w:r>
                </w:p>
              </w:tc>
              <w:tc>
                <w:tcPr>
                  <w:tcW w:w="1038" w:type="pct"/>
                  <w:noWrap w:val="0"/>
                  <w:vAlign w:val="center"/>
                </w:tcPr>
                <w:p w14:paraId="6EC4B65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sz w:val="20"/>
                      <w:szCs w:val="22"/>
                    </w:rPr>
                  </w:pPr>
                  <w:r>
                    <w:rPr>
                      <w:rFonts w:hint="eastAsia" w:ascii="Times New Roman" w:hAnsi="Times New Roman" w:eastAsia="宋体" w:cs="Times New Roman"/>
                      <w:color w:val="auto"/>
                      <w:sz w:val="20"/>
                      <w:szCs w:val="22"/>
                      <w:lang w:val="en-US" w:eastAsia="zh-CN"/>
                    </w:rPr>
                    <w:t>1D1Y1-ZM3-21</w:t>
                  </w:r>
                </w:p>
              </w:tc>
              <w:tc>
                <w:tcPr>
                  <w:tcW w:w="373" w:type="pct"/>
                  <w:noWrap w:val="0"/>
                  <w:vAlign w:val="center"/>
                </w:tcPr>
                <w:p w14:paraId="217D9DE9">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21</w:t>
                  </w:r>
                </w:p>
              </w:tc>
              <w:tc>
                <w:tcPr>
                  <w:tcW w:w="665" w:type="pct"/>
                  <w:noWrap w:val="0"/>
                  <w:vAlign w:val="center"/>
                </w:tcPr>
                <w:p w14:paraId="6063B51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7.0</w:t>
                  </w:r>
                </w:p>
              </w:tc>
              <w:tc>
                <w:tcPr>
                  <w:tcW w:w="686" w:type="pct"/>
                  <w:noWrap w:val="0"/>
                  <w:vAlign w:val="center"/>
                </w:tcPr>
                <w:p w14:paraId="0738EEC3">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4E22C578">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WK1070</w:t>
                  </w:r>
                </w:p>
              </w:tc>
              <w:tc>
                <w:tcPr>
                  <w:tcW w:w="441" w:type="pct"/>
                  <w:noWrap w:val="0"/>
                  <w:vAlign w:val="center"/>
                </w:tcPr>
                <w:p w14:paraId="2BDD8384">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63E3725B">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0.00194</w:t>
                  </w:r>
                </w:p>
              </w:tc>
            </w:tr>
            <w:tr w14:paraId="10C785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762C00FC">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40</w:t>
                  </w:r>
                </w:p>
              </w:tc>
              <w:tc>
                <w:tcPr>
                  <w:tcW w:w="403" w:type="pct"/>
                  <w:noWrap w:val="0"/>
                  <w:vAlign w:val="center"/>
                </w:tcPr>
                <w:p w14:paraId="3068330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i w:val="0"/>
                      <w:iCs w:val="0"/>
                      <w:color w:val="auto"/>
                      <w:kern w:val="0"/>
                      <w:sz w:val="20"/>
                      <w:szCs w:val="20"/>
                      <w:u w:val="none"/>
                      <w:lang w:val="en-US" w:eastAsia="zh-CN" w:bidi="ar"/>
                    </w:rPr>
                    <w:t>N4</w:t>
                  </w:r>
                  <w:r>
                    <w:rPr>
                      <w:rFonts w:hint="eastAsia" w:ascii="Times New Roman" w:hAnsi="Times New Roman" w:eastAsia="宋体" w:cs="Times New Roman"/>
                      <w:i w:val="0"/>
                      <w:iCs w:val="0"/>
                      <w:color w:val="auto"/>
                      <w:kern w:val="0"/>
                      <w:sz w:val="20"/>
                      <w:szCs w:val="20"/>
                      <w:u w:val="none"/>
                      <w:lang w:val="en-US" w:eastAsia="zh-CN" w:bidi="ar"/>
                    </w:rPr>
                    <w:t>0</w:t>
                  </w:r>
                </w:p>
              </w:tc>
              <w:tc>
                <w:tcPr>
                  <w:tcW w:w="1038" w:type="pct"/>
                  <w:noWrap w:val="0"/>
                  <w:vAlign w:val="center"/>
                </w:tcPr>
                <w:p w14:paraId="4689757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sz w:val="20"/>
                      <w:szCs w:val="22"/>
                    </w:rPr>
                  </w:pPr>
                  <w:r>
                    <w:rPr>
                      <w:rFonts w:hint="eastAsia" w:ascii="Times New Roman" w:hAnsi="Times New Roman" w:eastAsia="宋体" w:cs="Times New Roman"/>
                      <w:color w:val="auto"/>
                      <w:sz w:val="20"/>
                      <w:szCs w:val="22"/>
                      <w:lang w:val="en-US" w:eastAsia="zh-CN"/>
                    </w:rPr>
                    <w:t>1D1Y1-ZM3-30</w:t>
                  </w:r>
                </w:p>
              </w:tc>
              <w:tc>
                <w:tcPr>
                  <w:tcW w:w="373" w:type="pct"/>
                  <w:noWrap w:val="0"/>
                  <w:vAlign w:val="center"/>
                </w:tcPr>
                <w:p w14:paraId="753B2C4D">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30</w:t>
                  </w:r>
                </w:p>
              </w:tc>
              <w:tc>
                <w:tcPr>
                  <w:tcW w:w="665" w:type="pct"/>
                  <w:noWrap w:val="0"/>
                  <w:vAlign w:val="center"/>
                </w:tcPr>
                <w:p w14:paraId="1BD56118">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7.0</w:t>
                  </w:r>
                </w:p>
              </w:tc>
              <w:tc>
                <w:tcPr>
                  <w:tcW w:w="686" w:type="pct"/>
                  <w:noWrap w:val="0"/>
                  <w:vAlign w:val="center"/>
                </w:tcPr>
                <w:p w14:paraId="67EF46F1">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56E2C39D">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TWZ2033</w:t>
                  </w:r>
                </w:p>
              </w:tc>
              <w:tc>
                <w:tcPr>
                  <w:tcW w:w="441" w:type="pct"/>
                  <w:noWrap w:val="0"/>
                  <w:vAlign w:val="center"/>
                </w:tcPr>
                <w:p w14:paraId="4FB5B2CA">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eastAsia"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荒地</w:t>
                  </w:r>
                </w:p>
              </w:tc>
              <w:tc>
                <w:tcPr>
                  <w:tcW w:w="558" w:type="pct"/>
                  <w:noWrap w:val="0"/>
                  <w:vAlign w:val="center"/>
                </w:tcPr>
                <w:p w14:paraId="2AA29BA2">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0.00319</w:t>
                  </w:r>
                </w:p>
              </w:tc>
            </w:tr>
            <w:tr w14:paraId="03BADE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2EFD089D">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41</w:t>
                  </w:r>
                </w:p>
              </w:tc>
              <w:tc>
                <w:tcPr>
                  <w:tcW w:w="403" w:type="pct"/>
                  <w:noWrap w:val="0"/>
                  <w:vAlign w:val="center"/>
                </w:tcPr>
                <w:p w14:paraId="28CC1A8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i w:val="0"/>
                      <w:iCs w:val="0"/>
                      <w:color w:val="auto"/>
                      <w:kern w:val="0"/>
                      <w:sz w:val="20"/>
                      <w:szCs w:val="20"/>
                      <w:u w:val="none"/>
                      <w:lang w:val="en-US" w:eastAsia="zh-CN" w:bidi="ar"/>
                    </w:rPr>
                    <w:t>N4</w:t>
                  </w:r>
                  <w:r>
                    <w:rPr>
                      <w:rFonts w:hint="eastAsia" w:ascii="Times New Roman" w:hAnsi="Times New Roman" w:eastAsia="宋体" w:cs="Times New Roman"/>
                      <w:i w:val="0"/>
                      <w:iCs w:val="0"/>
                      <w:color w:val="auto"/>
                      <w:kern w:val="0"/>
                      <w:sz w:val="20"/>
                      <w:szCs w:val="20"/>
                      <w:u w:val="none"/>
                      <w:lang w:val="en-US" w:eastAsia="zh-CN" w:bidi="ar"/>
                    </w:rPr>
                    <w:t>1</w:t>
                  </w:r>
                </w:p>
              </w:tc>
              <w:tc>
                <w:tcPr>
                  <w:tcW w:w="1038" w:type="pct"/>
                  <w:noWrap w:val="0"/>
                  <w:vAlign w:val="center"/>
                </w:tcPr>
                <w:p w14:paraId="713AE22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sz w:val="20"/>
                      <w:szCs w:val="22"/>
                    </w:rPr>
                  </w:pPr>
                  <w:r>
                    <w:rPr>
                      <w:rFonts w:hint="eastAsia" w:ascii="Times New Roman" w:hAnsi="Times New Roman" w:eastAsia="宋体" w:cs="Times New Roman"/>
                      <w:color w:val="auto"/>
                      <w:sz w:val="20"/>
                      <w:szCs w:val="22"/>
                      <w:lang w:val="en-US" w:eastAsia="zh-CN"/>
                    </w:rPr>
                    <w:t>1D1Y1-ZM2-36</w:t>
                  </w:r>
                </w:p>
              </w:tc>
              <w:tc>
                <w:tcPr>
                  <w:tcW w:w="373" w:type="pct"/>
                  <w:noWrap w:val="0"/>
                  <w:vAlign w:val="center"/>
                </w:tcPr>
                <w:p w14:paraId="04728CCC">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36</w:t>
                  </w:r>
                </w:p>
              </w:tc>
              <w:tc>
                <w:tcPr>
                  <w:tcW w:w="665" w:type="pct"/>
                  <w:noWrap w:val="0"/>
                  <w:vAlign w:val="center"/>
                </w:tcPr>
                <w:p w14:paraId="23063CEE">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6.8</w:t>
                  </w:r>
                </w:p>
              </w:tc>
              <w:tc>
                <w:tcPr>
                  <w:tcW w:w="686" w:type="pct"/>
                  <w:noWrap w:val="0"/>
                  <w:vAlign w:val="center"/>
                </w:tcPr>
                <w:p w14:paraId="7A70904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0797A602">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TWZ2036</w:t>
                  </w:r>
                </w:p>
              </w:tc>
              <w:tc>
                <w:tcPr>
                  <w:tcW w:w="441" w:type="pct"/>
                  <w:noWrap w:val="0"/>
                  <w:vAlign w:val="center"/>
                </w:tcPr>
                <w:p w14:paraId="019A23D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194852A0">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0.00421</w:t>
                  </w:r>
                </w:p>
              </w:tc>
            </w:tr>
            <w:tr w14:paraId="369D83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47A9FC12">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42</w:t>
                  </w:r>
                </w:p>
              </w:tc>
              <w:tc>
                <w:tcPr>
                  <w:tcW w:w="403" w:type="pct"/>
                  <w:noWrap w:val="0"/>
                  <w:vAlign w:val="center"/>
                </w:tcPr>
                <w:p w14:paraId="50D6E13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i w:val="0"/>
                      <w:iCs w:val="0"/>
                      <w:color w:val="auto"/>
                      <w:kern w:val="0"/>
                      <w:sz w:val="20"/>
                      <w:szCs w:val="20"/>
                      <w:u w:val="none"/>
                      <w:lang w:val="en-US" w:eastAsia="zh-CN" w:bidi="ar"/>
                    </w:rPr>
                    <w:t>N4</w:t>
                  </w:r>
                  <w:r>
                    <w:rPr>
                      <w:rFonts w:hint="eastAsia" w:ascii="Times New Roman" w:hAnsi="Times New Roman" w:eastAsia="宋体" w:cs="Times New Roman"/>
                      <w:i w:val="0"/>
                      <w:iCs w:val="0"/>
                      <w:color w:val="auto"/>
                      <w:kern w:val="0"/>
                      <w:sz w:val="20"/>
                      <w:szCs w:val="20"/>
                      <w:u w:val="none"/>
                      <w:lang w:val="en-US" w:eastAsia="zh-CN" w:bidi="ar"/>
                    </w:rPr>
                    <w:t>2</w:t>
                  </w:r>
                </w:p>
              </w:tc>
              <w:tc>
                <w:tcPr>
                  <w:tcW w:w="1038" w:type="pct"/>
                  <w:noWrap w:val="0"/>
                  <w:vAlign w:val="center"/>
                </w:tcPr>
                <w:p w14:paraId="48F43A5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sz w:val="20"/>
                      <w:szCs w:val="22"/>
                    </w:rPr>
                  </w:pPr>
                  <w:r>
                    <w:rPr>
                      <w:rFonts w:hint="eastAsia" w:ascii="Times New Roman" w:hAnsi="Times New Roman" w:eastAsia="宋体" w:cs="Times New Roman"/>
                      <w:color w:val="auto"/>
                      <w:sz w:val="20"/>
                      <w:szCs w:val="22"/>
                      <w:lang w:val="en-US" w:eastAsia="zh-CN"/>
                    </w:rPr>
                    <w:t>1D1Y1-J4-21</w:t>
                  </w:r>
                </w:p>
              </w:tc>
              <w:tc>
                <w:tcPr>
                  <w:tcW w:w="373" w:type="pct"/>
                  <w:noWrap w:val="0"/>
                  <w:vAlign w:val="center"/>
                </w:tcPr>
                <w:p w14:paraId="37CC9B21">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21</w:t>
                  </w:r>
                </w:p>
              </w:tc>
              <w:tc>
                <w:tcPr>
                  <w:tcW w:w="665" w:type="pct"/>
                  <w:noWrap w:val="0"/>
                  <w:vAlign w:val="center"/>
                </w:tcPr>
                <w:p w14:paraId="56E552BC">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7.9</w:t>
                  </w:r>
                </w:p>
              </w:tc>
              <w:tc>
                <w:tcPr>
                  <w:tcW w:w="686" w:type="pct"/>
                  <w:noWrap w:val="0"/>
                  <w:vAlign w:val="center"/>
                </w:tcPr>
                <w:p w14:paraId="42EE1FD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w:t>
                  </w:r>
                  <w:r>
                    <w:rPr>
                      <w:rFonts w:hint="eastAsia" w:ascii="Times New Roman" w:hAnsi="Times New Roman" w:eastAsia="宋体" w:cs="Times New Roman"/>
                      <w:color w:val="auto"/>
                      <w:kern w:val="0"/>
                      <w:sz w:val="20"/>
                      <w:szCs w:val="20"/>
                      <w:lang w:val="en-US" w:eastAsia="zh-CN" w:bidi="ar"/>
                    </w:rPr>
                    <w:t>转角</w:t>
                  </w:r>
                  <w:r>
                    <w:rPr>
                      <w:rFonts w:hint="default" w:ascii="Times New Roman" w:hAnsi="Times New Roman" w:eastAsia="宋体" w:cs="Times New Roman"/>
                      <w:color w:val="auto"/>
                      <w:kern w:val="0"/>
                      <w:sz w:val="20"/>
                      <w:szCs w:val="20"/>
                      <w:lang w:bidi="ar"/>
                    </w:rPr>
                    <w:t>塔</w:t>
                  </w:r>
                </w:p>
              </w:tc>
              <w:tc>
                <w:tcPr>
                  <w:tcW w:w="529" w:type="pct"/>
                  <w:noWrap w:val="0"/>
                  <w:vAlign w:val="center"/>
                </w:tcPr>
                <w:p w14:paraId="60E77875">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TWZ2242</w:t>
                  </w:r>
                </w:p>
              </w:tc>
              <w:tc>
                <w:tcPr>
                  <w:tcW w:w="441" w:type="pct"/>
                  <w:noWrap w:val="0"/>
                  <w:vAlign w:val="center"/>
                </w:tcPr>
                <w:p w14:paraId="7EA42D54">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一般林地</w:t>
                  </w:r>
                </w:p>
              </w:tc>
              <w:tc>
                <w:tcPr>
                  <w:tcW w:w="558" w:type="pct"/>
                  <w:noWrap w:val="0"/>
                  <w:vAlign w:val="center"/>
                </w:tcPr>
                <w:p w14:paraId="45E65D97">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0.00296</w:t>
                  </w:r>
                </w:p>
              </w:tc>
            </w:tr>
            <w:tr w14:paraId="082A71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34AE9F8C">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43</w:t>
                  </w:r>
                </w:p>
              </w:tc>
              <w:tc>
                <w:tcPr>
                  <w:tcW w:w="403" w:type="pct"/>
                  <w:noWrap w:val="0"/>
                  <w:vAlign w:val="center"/>
                </w:tcPr>
                <w:p w14:paraId="4017B52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i w:val="0"/>
                      <w:iCs w:val="0"/>
                      <w:color w:val="auto"/>
                      <w:kern w:val="0"/>
                      <w:sz w:val="20"/>
                      <w:szCs w:val="20"/>
                      <w:u w:val="none"/>
                      <w:lang w:val="en-US" w:eastAsia="zh-CN" w:bidi="ar"/>
                    </w:rPr>
                    <w:t>N4</w:t>
                  </w:r>
                  <w:r>
                    <w:rPr>
                      <w:rFonts w:hint="eastAsia" w:ascii="Times New Roman" w:hAnsi="Times New Roman" w:eastAsia="宋体" w:cs="Times New Roman"/>
                      <w:i w:val="0"/>
                      <w:iCs w:val="0"/>
                      <w:color w:val="auto"/>
                      <w:kern w:val="0"/>
                      <w:sz w:val="20"/>
                      <w:szCs w:val="20"/>
                      <w:u w:val="none"/>
                      <w:lang w:val="en-US" w:eastAsia="zh-CN" w:bidi="ar"/>
                    </w:rPr>
                    <w:t>3</w:t>
                  </w:r>
                </w:p>
              </w:tc>
              <w:tc>
                <w:tcPr>
                  <w:tcW w:w="1038" w:type="pct"/>
                  <w:noWrap w:val="0"/>
                  <w:vAlign w:val="center"/>
                </w:tcPr>
                <w:p w14:paraId="56AE4E8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sz w:val="20"/>
                      <w:szCs w:val="22"/>
                    </w:rPr>
                  </w:pPr>
                  <w:r>
                    <w:rPr>
                      <w:rFonts w:hint="eastAsia" w:ascii="Times New Roman" w:hAnsi="Times New Roman" w:eastAsia="宋体" w:cs="Times New Roman"/>
                      <w:color w:val="auto"/>
                      <w:sz w:val="20"/>
                      <w:szCs w:val="22"/>
                      <w:lang w:val="en-US" w:eastAsia="zh-CN"/>
                    </w:rPr>
                    <w:t>1D1Y1-J2-33</w:t>
                  </w:r>
                </w:p>
              </w:tc>
              <w:tc>
                <w:tcPr>
                  <w:tcW w:w="373" w:type="pct"/>
                  <w:noWrap w:val="0"/>
                  <w:vAlign w:val="center"/>
                </w:tcPr>
                <w:p w14:paraId="2688DB4E">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33</w:t>
                  </w:r>
                </w:p>
              </w:tc>
              <w:tc>
                <w:tcPr>
                  <w:tcW w:w="665" w:type="pct"/>
                  <w:noWrap w:val="0"/>
                  <w:vAlign w:val="center"/>
                </w:tcPr>
                <w:p w14:paraId="275CC2F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7.5</w:t>
                  </w:r>
                </w:p>
              </w:tc>
              <w:tc>
                <w:tcPr>
                  <w:tcW w:w="686" w:type="pct"/>
                  <w:noWrap w:val="0"/>
                  <w:vAlign w:val="center"/>
                </w:tcPr>
                <w:p w14:paraId="185519E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w:t>
                  </w:r>
                  <w:r>
                    <w:rPr>
                      <w:rFonts w:hint="eastAsia" w:ascii="Times New Roman" w:hAnsi="Times New Roman" w:eastAsia="宋体" w:cs="Times New Roman"/>
                      <w:color w:val="auto"/>
                      <w:kern w:val="0"/>
                      <w:sz w:val="20"/>
                      <w:szCs w:val="20"/>
                      <w:lang w:val="en-US" w:eastAsia="zh-CN" w:bidi="ar"/>
                    </w:rPr>
                    <w:t>转角</w:t>
                  </w:r>
                  <w:r>
                    <w:rPr>
                      <w:rFonts w:hint="default" w:ascii="Times New Roman" w:hAnsi="Times New Roman" w:eastAsia="宋体" w:cs="Times New Roman"/>
                      <w:color w:val="auto"/>
                      <w:kern w:val="0"/>
                      <w:sz w:val="20"/>
                      <w:szCs w:val="20"/>
                      <w:lang w:bidi="ar"/>
                    </w:rPr>
                    <w:t>塔</w:t>
                  </w:r>
                </w:p>
              </w:tc>
              <w:tc>
                <w:tcPr>
                  <w:tcW w:w="529" w:type="pct"/>
                  <w:noWrap w:val="0"/>
                  <w:vAlign w:val="center"/>
                </w:tcPr>
                <w:p w14:paraId="5B1109A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WK1295</w:t>
                  </w:r>
                </w:p>
              </w:tc>
              <w:tc>
                <w:tcPr>
                  <w:tcW w:w="441" w:type="pct"/>
                  <w:noWrap w:val="0"/>
                  <w:vAlign w:val="center"/>
                </w:tcPr>
                <w:p w14:paraId="752838A7">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荒地</w:t>
                  </w:r>
                </w:p>
              </w:tc>
              <w:tc>
                <w:tcPr>
                  <w:tcW w:w="558" w:type="pct"/>
                  <w:noWrap w:val="0"/>
                  <w:vAlign w:val="center"/>
                </w:tcPr>
                <w:p w14:paraId="13FE7032">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0.00523</w:t>
                  </w:r>
                </w:p>
              </w:tc>
            </w:tr>
            <w:tr w14:paraId="2DA2BA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081BEB1E">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44</w:t>
                  </w:r>
                </w:p>
              </w:tc>
              <w:tc>
                <w:tcPr>
                  <w:tcW w:w="403" w:type="pct"/>
                  <w:noWrap w:val="0"/>
                  <w:vAlign w:val="center"/>
                </w:tcPr>
                <w:p w14:paraId="2357826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i w:val="0"/>
                      <w:iCs w:val="0"/>
                      <w:color w:val="auto"/>
                      <w:kern w:val="0"/>
                      <w:sz w:val="20"/>
                      <w:szCs w:val="20"/>
                      <w:u w:val="none"/>
                      <w:lang w:val="en-US" w:eastAsia="zh-CN" w:bidi="ar"/>
                    </w:rPr>
                    <w:t>N4</w:t>
                  </w:r>
                  <w:r>
                    <w:rPr>
                      <w:rFonts w:hint="eastAsia" w:ascii="Times New Roman" w:hAnsi="Times New Roman" w:eastAsia="宋体" w:cs="Times New Roman"/>
                      <w:i w:val="0"/>
                      <w:iCs w:val="0"/>
                      <w:color w:val="auto"/>
                      <w:kern w:val="0"/>
                      <w:sz w:val="20"/>
                      <w:szCs w:val="20"/>
                      <w:u w:val="none"/>
                      <w:lang w:val="en-US" w:eastAsia="zh-CN" w:bidi="ar"/>
                    </w:rPr>
                    <w:t>4</w:t>
                  </w:r>
                </w:p>
              </w:tc>
              <w:tc>
                <w:tcPr>
                  <w:tcW w:w="1038" w:type="pct"/>
                  <w:noWrap w:val="0"/>
                  <w:vAlign w:val="center"/>
                </w:tcPr>
                <w:p w14:paraId="329DCCD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sz w:val="20"/>
                      <w:szCs w:val="22"/>
                    </w:rPr>
                  </w:pPr>
                  <w:r>
                    <w:rPr>
                      <w:rFonts w:hint="eastAsia" w:ascii="Times New Roman" w:hAnsi="Times New Roman" w:eastAsia="宋体" w:cs="Times New Roman"/>
                      <w:color w:val="auto"/>
                      <w:sz w:val="20"/>
                      <w:szCs w:val="22"/>
                      <w:lang w:val="en-US" w:eastAsia="zh-CN"/>
                    </w:rPr>
                    <w:t>1D1Y1-ZM2-30</w:t>
                  </w:r>
                </w:p>
              </w:tc>
              <w:tc>
                <w:tcPr>
                  <w:tcW w:w="373" w:type="pct"/>
                  <w:noWrap w:val="0"/>
                  <w:vAlign w:val="center"/>
                </w:tcPr>
                <w:p w14:paraId="0E3256AB">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30</w:t>
                  </w:r>
                </w:p>
              </w:tc>
              <w:tc>
                <w:tcPr>
                  <w:tcW w:w="665" w:type="pct"/>
                  <w:noWrap w:val="0"/>
                  <w:vAlign w:val="center"/>
                </w:tcPr>
                <w:p w14:paraId="308079B2">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6.8</w:t>
                  </w:r>
                </w:p>
              </w:tc>
              <w:tc>
                <w:tcPr>
                  <w:tcW w:w="686" w:type="pct"/>
                  <w:noWrap w:val="0"/>
                  <w:vAlign w:val="center"/>
                </w:tcPr>
                <w:p w14:paraId="76A10B63">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单回路直线塔</w:t>
                  </w:r>
                </w:p>
              </w:tc>
              <w:tc>
                <w:tcPr>
                  <w:tcW w:w="529" w:type="pct"/>
                  <w:noWrap w:val="0"/>
                  <w:vAlign w:val="center"/>
                </w:tcPr>
                <w:p w14:paraId="76E49D38">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WK1290</w:t>
                  </w:r>
                </w:p>
              </w:tc>
              <w:tc>
                <w:tcPr>
                  <w:tcW w:w="441" w:type="pct"/>
                  <w:noWrap w:val="0"/>
                  <w:vAlign w:val="center"/>
                </w:tcPr>
                <w:p w14:paraId="375D067E">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eastAsia" w:ascii="Times New Roman" w:hAnsi="Times New Roman" w:eastAsia="宋体" w:cs="Times New Roman"/>
                      <w:color w:val="auto"/>
                      <w:kern w:val="0"/>
                      <w:sz w:val="20"/>
                      <w:szCs w:val="20"/>
                      <w:lang w:val="en-US" w:eastAsia="zh-CN" w:bidi="ar"/>
                    </w:rPr>
                    <w:t>荒地</w:t>
                  </w:r>
                </w:p>
              </w:tc>
              <w:tc>
                <w:tcPr>
                  <w:tcW w:w="558" w:type="pct"/>
                  <w:noWrap w:val="0"/>
                  <w:vAlign w:val="center"/>
                </w:tcPr>
                <w:p w14:paraId="24D55DD1">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0.0032</w:t>
                  </w:r>
                </w:p>
              </w:tc>
            </w:tr>
            <w:tr w14:paraId="574211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643CAE27">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kern w:val="0"/>
                      <w:sz w:val="20"/>
                      <w:szCs w:val="20"/>
                      <w:lang w:val="en-US" w:eastAsia="zh-CN" w:bidi="ar"/>
                    </w:rPr>
                    <w:t>45</w:t>
                  </w:r>
                </w:p>
              </w:tc>
              <w:tc>
                <w:tcPr>
                  <w:tcW w:w="403" w:type="pct"/>
                  <w:noWrap w:val="0"/>
                  <w:vAlign w:val="center"/>
                </w:tcPr>
                <w:p w14:paraId="5700263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i w:val="0"/>
                      <w:iCs w:val="0"/>
                      <w:color w:val="auto"/>
                      <w:kern w:val="0"/>
                      <w:sz w:val="20"/>
                      <w:szCs w:val="20"/>
                      <w:u w:val="none"/>
                      <w:lang w:val="en-US" w:eastAsia="zh-CN" w:bidi="ar"/>
                    </w:rPr>
                    <w:t>N4</w:t>
                  </w:r>
                  <w:r>
                    <w:rPr>
                      <w:rFonts w:hint="eastAsia" w:ascii="Times New Roman" w:hAnsi="Times New Roman" w:eastAsia="宋体" w:cs="Times New Roman"/>
                      <w:i w:val="0"/>
                      <w:iCs w:val="0"/>
                      <w:color w:val="auto"/>
                      <w:kern w:val="0"/>
                      <w:sz w:val="20"/>
                      <w:szCs w:val="20"/>
                      <w:u w:val="none"/>
                      <w:lang w:val="en-US" w:eastAsia="zh-CN" w:bidi="ar"/>
                    </w:rPr>
                    <w:t>5</w:t>
                  </w:r>
                </w:p>
              </w:tc>
              <w:tc>
                <w:tcPr>
                  <w:tcW w:w="1038" w:type="pct"/>
                  <w:noWrap w:val="0"/>
                  <w:vAlign w:val="center"/>
                </w:tcPr>
                <w:p w14:paraId="3F6AA48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sz w:val="20"/>
                      <w:szCs w:val="22"/>
                    </w:rPr>
                  </w:pPr>
                  <w:r>
                    <w:rPr>
                      <w:rFonts w:hint="eastAsia" w:ascii="Times New Roman" w:hAnsi="Times New Roman" w:eastAsia="宋体" w:cs="Times New Roman"/>
                      <w:color w:val="auto"/>
                      <w:sz w:val="20"/>
                      <w:szCs w:val="22"/>
                      <w:lang w:val="en-US" w:eastAsia="zh-CN"/>
                    </w:rPr>
                    <w:t>1D1Y1-J4-21</w:t>
                  </w:r>
                </w:p>
              </w:tc>
              <w:tc>
                <w:tcPr>
                  <w:tcW w:w="373" w:type="pct"/>
                  <w:noWrap w:val="0"/>
                  <w:vAlign w:val="center"/>
                </w:tcPr>
                <w:p w14:paraId="1398396B">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21</w:t>
                  </w:r>
                </w:p>
              </w:tc>
              <w:tc>
                <w:tcPr>
                  <w:tcW w:w="665" w:type="pct"/>
                  <w:noWrap w:val="0"/>
                  <w:vAlign w:val="center"/>
                </w:tcPr>
                <w:p w14:paraId="68D56A24">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7.9</w:t>
                  </w:r>
                </w:p>
              </w:tc>
              <w:tc>
                <w:tcPr>
                  <w:tcW w:w="686" w:type="pct"/>
                  <w:noWrap w:val="0"/>
                  <w:vAlign w:val="center"/>
                </w:tcPr>
                <w:p w14:paraId="1990442B">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单回路转角塔</w:t>
                  </w:r>
                </w:p>
              </w:tc>
              <w:tc>
                <w:tcPr>
                  <w:tcW w:w="529" w:type="pct"/>
                  <w:noWrap w:val="0"/>
                  <w:vAlign w:val="center"/>
                </w:tcPr>
                <w:p w14:paraId="76E41E41">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WK1280</w:t>
                  </w:r>
                </w:p>
              </w:tc>
              <w:tc>
                <w:tcPr>
                  <w:tcW w:w="441" w:type="pct"/>
                  <w:noWrap w:val="0"/>
                  <w:vAlign w:val="center"/>
                </w:tcPr>
                <w:p w14:paraId="026FAEEC">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一般耕地</w:t>
                  </w:r>
                </w:p>
              </w:tc>
              <w:tc>
                <w:tcPr>
                  <w:tcW w:w="558" w:type="pct"/>
                  <w:noWrap w:val="0"/>
                  <w:vAlign w:val="center"/>
                </w:tcPr>
                <w:p w14:paraId="13C7638D">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0.00296</w:t>
                  </w:r>
                </w:p>
              </w:tc>
            </w:tr>
            <w:tr w14:paraId="501FB6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00" w:type="pct"/>
                  <w:gridSpan w:val="7"/>
                  <w:noWrap w:val="0"/>
                  <w:vAlign w:val="center"/>
                </w:tcPr>
                <w:p w14:paraId="5282BB86">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color w:val="auto"/>
                      <w:kern w:val="0"/>
                      <w:sz w:val="20"/>
                      <w:szCs w:val="20"/>
                      <w:lang w:bidi="ar"/>
                    </w:rPr>
                    <w:t>合计</w:t>
                  </w:r>
                </w:p>
              </w:tc>
              <w:tc>
                <w:tcPr>
                  <w:tcW w:w="441" w:type="pct"/>
                  <w:noWrap w:val="0"/>
                  <w:vAlign w:val="center"/>
                </w:tcPr>
                <w:p w14:paraId="4DB64C3F">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eastAsia" w:ascii="Times New Roman" w:hAnsi="Times New Roman" w:eastAsia="宋体" w:cs="Times New Roman"/>
                      <w:color w:val="auto"/>
                      <w:kern w:val="0"/>
                      <w:sz w:val="20"/>
                      <w:szCs w:val="20"/>
                      <w:lang w:val="en-US" w:eastAsia="zh-CN" w:bidi="ar"/>
                    </w:rPr>
                  </w:pPr>
                  <w:r>
                    <w:rPr>
                      <w:rFonts w:hint="eastAsia" w:ascii="Times New Roman" w:hAnsi="Times New Roman" w:eastAsia="宋体" w:cs="Times New Roman"/>
                      <w:color w:val="auto"/>
                      <w:kern w:val="0"/>
                      <w:sz w:val="20"/>
                      <w:szCs w:val="20"/>
                      <w:lang w:val="en-US" w:eastAsia="zh-CN" w:bidi="ar"/>
                    </w:rPr>
                    <w:t>/</w:t>
                  </w:r>
                </w:p>
              </w:tc>
              <w:tc>
                <w:tcPr>
                  <w:tcW w:w="558" w:type="pct"/>
                  <w:noWrap w:val="0"/>
                  <w:vAlign w:val="center"/>
                </w:tcPr>
                <w:p w14:paraId="091B9F63">
                  <w:pPr>
                    <w:keepNext w:val="0"/>
                    <w:keepLines w:val="0"/>
                    <w:pageBreakBefore w:val="0"/>
                    <w:kinsoku/>
                    <w:wordWrap/>
                    <w:overflowPunct w:val="0"/>
                    <w:topLinePunct/>
                    <w:autoSpaceDE w:val="0"/>
                    <w:autoSpaceDN w:val="0"/>
                    <w:bidi w:val="0"/>
                    <w:adjustRightInd w:val="0"/>
                    <w:snapToGrid w:val="0"/>
                    <w:spacing w:line="240" w:lineRule="auto"/>
                    <w:jc w:val="center"/>
                    <w:textAlignment w:val="center"/>
                    <w:rPr>
                      <w:rFonts w:hint="default" w:ascii="Times New Roman" w:hAnsi="Times New Roman" w:eastAsia="宋体" w:cs="Times New Roman"/>
                      <w:color w:val="auto"/>
                      <w:sz w:val="20"/>
                      <w:szCs w:val="20"/>
                      <w:lang w:val="en-US" w:eastAsia="zh-CN"/>
                    </w:rPr>
                  </w:pPr>
                  <w:r>
                    <w:rPr>
                      <w:rFonts w:hint="eastAsia" w:ascii="Times New Roman" w:hAnsi="Times New Roman" w:eastAsia="宋体" w:cs="Times New Roman"/>
                      <w:color w:val="auto"/>
                      <w:kern w:val="0"/>
                      <w:sz w:val="20"/>
                      <w:szCs w:val="20"/>
                      <w:lang w:val="en-US" w:eastAsia="zh-CN" w:bidi="ar"/>
                    </w:rPr>
                    <w:t>0.25495</w:t>
                  </w:r>
                </w:p>
              </w:tc>
            </w:tr>
          </w:tbl>
          <w:p w14:paraId="46B82BBC">
            <w:pPr>
              <w:adjustRightInd w:val="0"/>
              <w:snapToGrid w:val="0"/>
              <w:spacing w:line="440" w:lineRule="exact"/>
              <w:ind w:firstLine="482" w:firstLineChars="200"/>
              <w:rPr>
                <w:b/>
                <w:bCs/>
                <w:color w:val="auto"/>
                <w:sz w:val="24"/>
              </w:rPr>
            </w:pPr>
            <w:r>
              <w:rPr>
                <w:rFonts w:hint="eastAsia"/>
                <w:b/>
                <w:bCs/>
                <w:color w:val="auto"/>
                <w:sz w:val="24"/>
              </w:rPr>
              <w:t>2.2.</w:t>
            </w:r>
            <w:r>
              <w:rPr>
                <w:rFonts w:hint="eastAsia"/>
                <w:b/>
                <w:bCs/>
                <w:color w:val="auto"/>
                <w:sz w:val="24"/>
                <w:lang w:val="en-US" w:eastAsia="zh-CN"/>
              </w:rPr>
              <w:t>5</w:t>
            </w:r>
            <w:r>
              <w:rPr>
                <w:b/>
                <w:bCs/>
                <w:color w:val="auto"/>
                <w:sz w:val="24"/>
              </w:rPr>
              <w:t>公用工程</w:t>
            </w:r>
          </w:p>
          <w:p w14:paraId="46910333">
            <w:pPr>
              <w:adjustRightInd w:val="0"/>
              <w:snapToGrid w:val="0"/>
              <w:spacing w:line="440" w:lineRule="exact"/>
              <w:ind w:firstLine="480" w:firstLineChars="200"/>
              <w:rPr>
                <w:color w:val="auto"/>
                <w:sz w:val="24"/>
              </w:rPr>
            </w:pPr>
            <w:r>
              <w:rPr>
                <w:color w:val="auto"/>
                <w:sz w:val="24"/>
              </w:rPr>
              <w:t>（1）供电</w:t>
            </w:r>
          </w:p>
          <w:p w14:paraId="0D97904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线路工程施工过程中用电根据周边设施情况安排，周围已有用电用户区，可按照安全用电规定引接用于施工用电。</w:t>
            </w:r>
          </w:p>
          <w:p w14:paraId="1BA3BC87">
            <w:pPr>
              <w:adjustRightInd w:val="0"/>
              <w:snapToGrid w:val="0"/>
              <w:spacing w:line="440" w:lineRule="exact"/>
              <w:ind w:firstLine="480" w:firstLineChars="200"/>
              <w:rPr>
                <w:color w:val="auto"/>
                <w:sz w:val="24"/>
              </w:rPr>
            </w:pPr>
            <w:r>
              <w:rPr>
                <w:color w:val="auto"/>
                <w:sz w:val="24"/>
              </w:rPr>
              <w:t>（2）给水、排水</w:t>
            </w:r>
          </w:p>
          <w:p w14:paraId="22FE41D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线路工程每个塔基施工用水量较少，施工过程中根据塔基周边水源情况确定取水方案，塔基附近有供水源的，可就近引用，如塔基附近无任何供水源，则采用水车就近输送水源来满足施工用水。施工期废水不外排；运营期无废水产生。</w:t>
            </w:r>
          </w:p>
          <w:p w14:paraId="2092AB5C">
            <w:pPr>
              <w:adjustRightInd w:val="0"/>
              <w:snapToGrid w:val="0"/>
              <w:spacing w:line="440" w:lineRule="exact"/>
              <w:ind w:firstLine="482" w:firstLineChars="200"/>
              <w:rPr>
                <w:b/>
                <w:bCs/>
                <w:color w:val="auto"/>
                <w:sz w:val="24"/>
              </w:rPr>
            </w:pPr>
            <w:r>
              <w:rPr>
                <w:rFonts w:hint="eastAsia"/>
                <w:b/>
                <w:bCs/>
                <w:color w:val="auto"/>
                <w:sz w:val="24"/>
              </w:rPr>
              <w:t>2.2.</w:t>
            </w:r>
            <w:r>
              <w:rPr>
                <w:rFonts w:hint="eastAsia"/>
                <w:b/>
                <w:bCs/>
                <w:color w:val="auto"/>
                <w:sz w:val="24"/>
                <w:lang w:val="en-US" w:eastAsia="zh-CN"/>
              </w:rPr>
              <w:t>6</w:t>
            </w:r>
            <w:r>
              <w:rPr>
                <w:b/>
                <w:bCs/>
                <w:color w:val="auto"/>
                <w:sz w:val="24"/>
              </w:rPr>
              <w:t>临时工程</w:t>
            </w:r>
          </w:p>
          <w:p w14:paraId="493797B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color w:val="auto"/>
                <w:sz w:val="24"/>
              </w:rPr>
            </w:pPr>
            <w:r>
              <w:rPr>
                <w:color w:val="auto"/>
                <w:sz w:val="24"/>
              </w:rPr>
              <w:t>（1）塔基施工场地</w:t>
            </w:r>
          </w:p>
          <w:p w14:paraId="2724583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color w:val="auto"/>
                <w:sz w:val="24"/>
              </w:rPr>
            </w:pPr>
            <w:r>
              <w:rPr>
                <w:color w:val="auto"/>
                <w:sz w:val="24"/>
              </w:rPr>
              <w:t>塔基施工场地布置在塔基附近，用于进行塔材堆放、工具堆放等以及进行施工作业的场地。每个塔位处均需设置施工场地，共设</w:t>
            </w:r>
            <w:r>
              <w:rPr>
                <w:rFonts w:hint="eastAsia"/>
                <w:color w:val="auto"/>
                <w:sz w:val="24"/>
                <w:lang w:val="en-US" w:eastAsia="zh-CN"/>
              </w:rPr>
              <w:t>45</w:t>
            </w:r>
            <w:r>
              <w:rPr>
                <w:color w:val="auto"/>
                <w:sz w:val="24"/>
              </w:rPr>
              <w:t>个</w:t>
            </w:r>
            <w:r>
              <w:rPr>
                <w:rFonts w:hint="default" w:ascii="Times New Roman" w:hAnsi="Times New Roman" w:cs="Times New Roman"/>
                <w:color w:val="auto"/>
                <w:spacing w:val="0"/>
                <w:sz w:val="24"/>
                <w:szCs w:val="24"/>
              </w:rPr>
              <w:t>，</w:t>
            </w:r>
            <w:r>
              <w:rPr>
                <w:rFonts w:hint="eastAsia" w:ascii="Times New Roman" w:hAnsi="Times New Roman" w:cs="Times New Roman"/>
                <w:color w:val="auto"/>
                <w:spacing w:val="0"/>
                <w:sz w:val="24"/>
                <w:szCs w:val="24"/>
                <w:lang w:val="en-US" w:eastAsia="zh-CN"/>
              </w:rPr>
              <w:t>每个</w:t>
            </w:r>
            <w:r>
              <w:rPr>
                <w:rFonts w:hint="default" w:ascii="Times New Roman" w:hAnsi="Times New Roman" w:cs="Times New Roman"/>
                <w:color w:val="auto"/>
                <w:spacing w:val="0"/>
                <w:sz w:val="24"/>
                <w:szCs w:val="24"/>
              </w:rPr>
              <w:t>占地</w:t>
            </w:r>
            <w:r>
              <w:rPr>
                <w:rFonts w:hint="eastAsia" w:ascii="Times New Roman" w:hAnsi="Times New Roman" w:cs="Times New Roman"/>
                <w:color w:val="auto"/>
                <w:spacing w:val="0"/>
                <w:sz w:val="24"/>
                <w:szCs w:val="24"/>
                <w:lang w:val="en-US" w:eastAsia="zh-CN"/>
              </w:rPr>
              <w:t>约</w:t>
            </w:r>
            <w:r>
              <w:rPr>
                <w:rFonts w:hint="default" w:ascii="Times New Roman" w:hAnsi="Times New Roman" w:cs="Times New Roman"/>
                <w:color w:val="auto"/>
                <w:spacing w:val="0"/>
                <w:sz w:val="24"/>
                <w:szCs w:val="24"/>
              </w:rPr>
              <w:t>30m</w:t>
            </w:r>
            <w:r>
              <w:rPr>
                <w:rFonts w:hint="default" w:ascii="Times New Roman" w:hAnsi="Times New Roman" w:cs="Times New Roman"/>
                <w:color w:val="auto"/>
                <w:spacing w:val="0"/>
                <w:sz w:val="24"/>
                <w:szCs w:val="24"/>
                <w:vertAlign w:val="superscript"/>
              </w:rPr>
              <w:t>2</w:t>
            </w:r>
            <w:r>
              <w:rPr>
                <w:rFonts w:hint="default" w:ascii="Times New Roman" w:hAnsi="Times New Roman" w:cs="Times New Roman"/>
                <w:color w:val="auto"/>
                <w:spacing w:val="0"/>
                <w:sz w:val="24"/>
                <w:szCs w:val="24"/>
              </w:rPr>
              <w:t>，</w:t>
            </w:r>
            <w:r>
              <w:rPr>
                <w:rFonts w:cs="Times New Roman"/>
                <w:color w:val="auto"/>
                <w:spacing w:val="0"/>
                <w:sz w:val="24"/>
                <w:szCs w:val="24"/>
              </w:rPr>
              <w:t>塔基施工临时占地面积共计约</w:t>
            </w:r>
            <w:r>
              <w:rPr>
                <w:rFonts w:hint="eastAsia" w:cs="Times New Roman"/>
                <w:color w:val="auto"/>
                <w:spacing w:val="0"/>
                <w:sz w:val="24"/>
                <w:szCs w:val="24"/>
                <w:lang w:val="en-US" w:eastAsia="zh-CN"/>
              </w:rPr>
              <w:t>0.135</w:t>
            </w:r>
            <w:r>
              <w:rPr>
                <w:rFonts w:cs="Times New Roman"/>
                <w:color w:val="auto"/>
                <w:spacing w:val="0"/>
                <w:sz w:val="24"/>
                <w:szCs w:val="24"/>
              </w:rPr>
              <w:t>hm</w:t>
            </w:r>
            <w:r>
              <w:rPr>
                <w:rFonts w:cs="Times New Roman"/>
                <w:color w:val="auto"/>
                <w:spacing w:val="0"/>
                <w:sz w:val="24"/>
                <w:szCs w:val="24"/>
                <w:vertAlign w:val="superscript"/>
              </w:rPr>
              <w:t>2</w:t>
            </w:r>
            <w:r>
              <w:rPr>
                <w:color w:val="auto"/>
                <w:sz w:val="24"/>
                <w:szCs w:val="24"/>
              </w:rPr>
              <w:t>。</w:t>
            </w:r>
          </w:p>
          <w:p w14:paraId="3DD7FEC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color w:val="auto"/>
                <w:sz w:val="24"/>
              </w:rPr>
            </w:pPr>
            <w:r>
              <w:rPr>
                <w:color w:val="auto"/>
                <w:sz w:val="24"/>
              </w:rPr>
              <w:t>（</w:t>
            </w:r>
            <w:r>
              <w:rPr>
                <w:rFonts w:hint="eastAsia"/>
                <w:color w:val="auto"/>
                <w:sz w:val="24"/>
                <w:lang w:val="en-US" w:eastAsia="zh-CN"/>
              </w:rPr>
              <w:t>2</w:t>
            </w:r>
            <w:r>
              <w:rPr>
                <w:color w:val="auto"/>
                <w:sz w:val="24"/>
              </w:rPr>
              <w:t>）跨越施工场地</w:t>
            </w:r>
          </w:p>
          <w:p w14:paraId="031EA61D">
            <w:pPr>
              <w:pStyle w:val="23"/>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cs="Times New Roman"/>
                <w:color w:val="auto"/>
                <w:spacing w:val="0"/>
                <w:sz w:val="24"/>
                <w:szCs w:val="24"/>
              </w:rPr>
            </w:pPr>
            <w:r>
              <w:rPr>
                <w:rFonts w:hint="eastAsia" w:cs="Times New Roman"/>
                <w:color w:val="auto"/>
                <w:spacing w:val="0"/>
                <w:sz w:val="24"/>
                <w:szCs w:val="24"/>
                <w:lang w:eastAsia="zh-CN"/>
              </w:rPr>
              <w:t>线路下穿500kV铜永甲线1次</w:t>
            </w:r>
            <w:r>
              <w:rPr>
                <w:rFonts w:hint="eastAsia" w:cs="Times New Roman"/>
                <w:color w:val="auto"/>
                <w:spacing w:val="0"/>
                <w:sz w:val="24"/>
                <w:szCs w:val="24"/>
              </w:rPr>
              <w:t>，跨越35kV无名线2次，35kV集电线路1次，10kV线路2次，低压线3次，通信线3次，按要求，</w:t>
            </w:r>
            <w:r>
              <w:rPr>
                <w:rFonts w:cs="Times New Roman"/>
                <w:color w:val="auto"/>
                <w:spacing w:val="0"/>
                <w:sz w:val="24"/>
                <w:szCs w:val="24"/>
              </w:rPr>
              <w:t>设置跨越施工场地</w:t>
            </w:r>
            <w:r>
              <w:rPr>
                <w:rFonts w:hint="eastAsia" w:cs="Times New Roman"/>
                <w:color w:val="auto"/>
                <w:spacing w:val="0"/>
                <w:sz w:val="24"/>
                <w:szCs w:val="24"/>
              </w:rPr>
              <w:t>1</w:t>
            </w:r>
            <w:r>
              <w:rPr>
                <w:rFonts w:hint="eastAsia" w:cs="Times New Roman"/>
                <w:color w:val="auto"/>
                <w:spacing w:val="0"/>
                <w:sz w:val="24"/>
                <w:szCs w:val="24"/>
                <w:lang w:val="en-US" w:eastAsia="zh-CN"/>
              </w:rPr>
              <w:t>2</w:t>
            </w:r>
            <w:r>
              <w:rPr>
                <w:rFonts w:cs="Times New Roman"/>
                <w:color w:val="auto"/>
                <w:spacing w:val="0"/>
                <w:sz w:val="24"/>
                <w:szCs w:val="24"/>
              </w:rPr>
              <w:t>个，每处占地约</w:t>
            </w:r>
            <w:r>
              <w:rPr>
                <w:rFonts w:hint="eastAsia" w:cs="Times New Roman"/>
                <w:color w:val="auto"/>
                <w:spacing w:val="0"/>
                <w:sz w:val="24"/>
                <w:szCs w:val="24"/>
                <w:lang w:val="en-US" w:eastAsia="zh-CN"/>
              </w:rPr>
              <w:t>25</w:t>
            </w:r>
            <w:r>
              <w:rPr>
                <w:rFonts w:cs="Times New Roman"/>
                <w:color w:val="auto"/>
                <w:spacing w:val="0"/>
                <w:sz w:val="24"/>
                <w:szCs w:val="24"/>
              </w:rPr>
              <w:t>m</w:t>
            </w:r>
            <w:r>
              <w:rPr>
                <w:rFonts w:cs="Times New Roman"/>
                <w:color w:val="auto"/>
                <w:spacing w:val="0"/>
                <w:sz w:val="24"/>
                <w:szCs w:val="24"/>
                <w:vertAlign w:val="superscript"/>
              </w:rPr>
              <w:t>2</w:t>
            </w:r>
            <w:r>
              <w:rPr>
                <w:rFonts w:cs="Times New Roman"/>
                <w:color w:val="auto"/>
                <w:spacing w:val="0"/>
                <w:sz w:val="24"/>
                <w:szCs w:val="24"/>
              </w:rPr>
              <w:t>，总占地面积为</w:t>
            </w:r>
            <w:r>
              <w:rPr>
                <w:rFonts w:hint="eastAsia" w:cs="Times New Roman"/>
                <w:color w:val="auto"/>
                <w:spacing w:val="0"/>
                <w:sz w:val="24"/>
                <w:szCs w:val="24"/>
              </w:rPr>
              <w:t>0.</w:t>
            </w:r>
            <w:r>
              <w:rPr>
                <w:rFonts w:hint="eastAsia" w:cs="Times New Roman"/>
                <w:color w:val="auto"/>
                <w:spacing w:val="0"/>
                <w:sz w:val="24"/>
                <w:szCs w:val="24"/>
                <w:lang w:val="en-US" w:eastAsia="zh-CN"/>
              </w:rPr>
              <w:t>03</w:t>
            </w:r>
            <w:r>
              <w:rPr>
                <w:rFonts w:cs="Times New Roman"/>
                <w:color w:val="auto"/>
                <w:spacing w:val="0"/>
                <w:sz w:val="24"/>
                <w:szCs w:val="24"/>
              </w:rPr>
              <w:t>hm</w:t>
            </w:r>
            <w:r>
              <w:rPr>
                <w:rFonts w:cs="Times New Roman"/>
                <w:color w:val="auto"/>
                <w:spacing w:val="0"/>
                <w:sz w:val="24"/>
                <w:szCs w:val="24"/>
                <w:vertAlign w:val="superscript"/>
              </w:rPr>
              <w:t>2</w:t>
            </w:r>
            <w:r>
              <w:rPr>
                <w:rFonts w:cs="Times New Roman"/>
                <w:color w:val="auto"/>
                <w:spacing w:val="0"/>
                <w:sz w:val="24"/>
                <w:szCs w:val="24"/>
              </w:rPr>
              <w:t>。</w:t>
            </w:r>
          </w:p>
          <w:p w14:paraId="79C102F5">
            <w:pPr>
              <w:pStyle w:val="23"/>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color w:val="auto"/>
                <w:sz w:val="24"/>
              </w:rPr>
            </w:pPr>
            <w:r>
              <w:rPr>
                <w:color w:val="auto"/>
                <w:sz w:val="24"/>
              </w:rPr>
              <w:t>（</w:t>
            </w:r>
            <w:r>
              <w:rPr>
                <w:rFonts w:hint="eastAsia"/>
                <w:color w:val="auto"/>
                <w:sz w:val="24"/>
                <w:lang w:val="en-US" w:eastAsia="zh-CN"/>
              </w:rPr>
              <w:t>3</w:t>
            </w:r>
            <w:r>
              <w:rPr>
                <w:color w:val="auto"/>
                <w:sz w:val="24"/>
              </w:rPr>
              <w:t>）人抬道路</w:t>
            </w:r>
          </w:p>
          <w:p w14:paraId="253DEC1E">
            <w:pPr>
              <w:pStyle w:val="23"/>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color w:val="auto"/>
                <w:sz w:val="24"/>
              </w:rPr>
            </w:pPr>
            <w:r>
              <w:rPr>
                <w:color w:val="auto"/>
                <w:sz w:val="24"/>
              </w:rPr>
              <w:t>工程沿线周边有</w:t>
            </w:r>
            <w:r>
              <w:rPr>
                <w:rFonts w:hint="eastAsia"/>
                <w:color w:val="auto"/>
                <w:sz w:val="24"/>
                <w:lang w:val="en-US" w:eastAsia="zh-CN"/>
              </w:rPr>
              <w:t>银昆</w:t>
            </w:r>
            <w:r>
              <w:rPr>
                <w:color w:val="auto"/>
                <w:sz w:val="24"/>
              </w:rPr>
              <w:t>高速</w:t>
            </w:r>
            <w:r>
              <w:rPr>
                <w:rFonts w:hint="eastAsia"/>
                <w:color w:val="auto"/>
                <w:sz w:val="24"/>
              </w:rPr>
              <w:t>、国道G21</w:t>
            </w:r>
            <w:r>
              <w:rPr>
                <w:rFonts w:hint="eastAsia"/>
                <w:color w:val="auto"/>
                <w:sz w:val="24"/>
                <w:lang w:val="en-US" w:eastAsia="zh-CN"/>
              </w:rPr>
              <w:t>3、</w:t>
            </w:r>
            <w:r>
              <w:rPr>
                <w:rFonts w:hint="eastAsia"/>
                <w:color w:val="auto"/>
                <w:sz w:val="24"/>
              </w:rPr>
              <w:t>乡村路及机耕便道</w:t>
            </w:r>
            <w:r>
              <w:rPr>
                <w:color w:val="auto"/>
                <w:sz w:val="24"/>
              </w:rPr>
              <w:t>等，基本满足工程需要，塔基施工区可利用现有村道等将铁塔组件及其基础施工材料运抵铁塔附近或铁塔附近的山脚处，再通过人</w:t>
            </w:r>
            <w:r>
              <w:rPr>
                <w:rFonts w:hint="default" w:ascii="Times New Roman" w:hAnsi="Times New Roman" w:eastAsia="宋体" w:cs="Times New Roman"/>
                <w:color w:val="auto"/>
                <w:sz w:val="24"/>
                <w:szCs w:val="24"/>
              </w:rPr>
              <w:t>抬的方式运至铁塔下部施工场地内</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pacing w:val="0"/>
                <w:sz w:val="24"/>
                <w:szCs w:val="24"/>
              </w:rPr>
              <w:t>需人抬道路约</w:t>
            </w:r>
            <w:r>
              <w:rPr>
                <w:rFonts w:hint="default" w:ascii="Times New Roman" w:hAnsi="Times New Roman" w:eastAsia="宋体" w:cs="Times New Roman"/>
                <w:color w:val="auto"/>
                <w:spacing w:val="0"/>
                <w:sz w:val="24"/>
                <w:szCs w:val="24"/>
                <w:lang w:val="en-US" w:eastAsia="zh-CN"/>
              </w:rPr>
              <w:t>86</w:t>
            </w:r>
            <w:r>
              <w:rPr>
                <w:rFonts w:hint="default" w:ascii="Times New Roman" w:hAnsi="Times New Roman" w:eastAsia="宋体" w:cs="Times New Roman"/>
                <w:color w:val="auto"/>
                <w:spacing w:val="0"/>
                <w:sz w:val="24"/>
                <w:szCs w:val="24"/>
              </w:rPr>
              <w:t>0m，宽1.5m，总占地面积为</w:t>
            </w:r>
            <w:r>
              <w:rPr>
                <w:rFonts w:hint="default" w:ascii="Times New Roman" w:hAnsi="Times New Roman" w:eastAsia="宋体" w:cs="Times New Roman"/>
                <w:color w:val="auto"/>
                <w:spacing w:val="0"/>
                <w:sz w:val="24"/>
                <w:szCs w:val="24"/>
                <w:lang w:val="en-US" w:eastAsia="zh-CN"/>
              </w:rPr>
              <w:t>0.129</w:t>
            </w:r>
            <w:r>
              <w:rPr>
                <w:rFonts w:hint="default" w:ascii="Times New Roman" w:hAnsi="Times New Roman" w:eastAsia="宋体" w:cs="Times New Roman"/>
                <w:color w:val="auto"/>
                <w:spacing w:val="0"/>
                <w:sz w:val="24"/>
                <w:szCs w:val="24"/>
              </w:rPr>
              <w:t>hm</w:t>
            </w:r>
            <w:r>
              <w:rPr>
                <w:rFonts w:hint="default" w:ascii="Times New Roman" w:hAnsi="Times New Roman" w:eastAsia="宋体" w:cs="Times New Roman"/>
                <w:color w:val="auto"/>
                <w:spacing w:val="0"/>
                <w:sz w:val="24"/>
                <w:szCs w:val="24"/>
                <w:vertAlign w:val="superscript"/>
              </w:rPr>
              <w:t>2</w:t>
            </w:r>
            <w:r>
              <w:rPr>
                <w:rFonts w:hint="default" w:ascii="Times New Roman" w:hAnsi="Times New Roman" w:eastAsia="宋体" w:cs="Times New Roman"/>
                <w:color w:val="auto"/>
                <w:spacing w:val="0"/>
                <w:sz w:val="24"/>
                <w:szCs w:val="24"/>
              </w:rPr>
              <w:t>。</w:t>
            </w:r>
          </w:p>
          <w:p w14:paraId="443725EA">
            <w:pPr>
              <w:pStyle w:val="23"/>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eastAsia"/>
                <w:color w:val="auto"/>
                <w:sz w:val="24"/>
              </w:rPr>
            </w:pPr>
            <w:r>
              <w:rPr>
                <w:rFonts w:hint="eastAsia"/>
                <w:color w:val="auto"/>
                <w:sz w:val="24"/>
              </w:rPr>
              <w:t>（</w:t>
            </w:r>
            <w:r>
              <w:rPr>
                <w:rFonts w:hint="eastAsia"/>
                <w:color w:val="auto"/>
                <w:sz w:val="24"/>
                <w:lang w:val="en-US" w:eastAsia="zh-CN"/>
              </w:rPr>
              <w:t>4</w:t>
            </w:r>
            <w:r>
              <w:rPr>
                <w:rFonts w:hint="eastAsia"/>
                <w:color w:val="auto"/>
                <w:sz w:val="24"/>
              </w:rPr>
              <w:t>）表土堆场</w:t>
            </w:r>
          </w:p>
          <w:p w14:paraId="11AF10E9">
            <w:pPr>
              <w:pStyle w:val="23"/>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eastAsia"/>
                <w:color w:val="auto"/>
                <w:sz w:val="24"/>
              </w:rPr>
            </w:pPr>
            <w:r>
              <w:rPr>
                <w:rFonts w:hint="eastAsia"/>
                <w:color w:val="auto"/>
                <w:sz w:val="24"/>
              </w:rPr>
              <w:t>本项目不单独设置表土堆场，施工期塔基区剥离表土堆存于塔基占地红线范围内，采取临时覆盖，施工结束后回填、整地恢复，撒草绿化等。</w:t>
            </w:r>
          </w:p>
          <w:p w14:paraId="64693B09">
            <w:pPr>
              <w:pStyle w:val="23"/>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eastAsia" w:eastAsia="宋体"/>
                <w:color w:val="auto"/>
                <w:sz w:val="24"/>
                <w:lang w:eastAsia="zh-CN"/>
              </w:rPr>
            </w:pPr>
            <w:r>
              <w:rPr>
                <w:rFonts w:hint="eastAsia"/>
                <w:color w:val="auto"/>
                <w:sz w:val="24"/>
              </w:rPr>
              <w:t>（</w:t>
            </w:r>
            <w:r>
              <w:rPr>
                <w:rFonts w:hint="eastAsia"/>
                <w:color w:val="auto"/>
                <w:sz w:val="24"/>
                <w:lang w:val="en-US" w:eastAsia="zh-CN"/>
              </w:rPr>
              <w:t>5</w:t>
            </w:r>
            <w:r>
              <w:rPr>
                <w:rFonts w:hint="eastAsia"/>
                <w:color w:val="auto"/>
                <w:sz w:val="24"/>
              </w:rPr>
              <w:t>）</w:t>
            </w:r>
            <w:r>
              <w:rPr>
                <w:rFonts w:hint="eastAsia"/>
                <w:color w:val="auto"/>
                <w:sz w:val="24"/>
                <w:lang w:val="en-US" w:eastAsia="zh-CN"/>
              </w:rPr>
              <w:t>牵张场</w:t>
            </w:r>
          </w:p>
          <w:p w14:paraId="73E4E3B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cs="Times New Roman"/>
                <w:color w:val="auto"/>
                <w:spacing w:val="0"/>
                <w:sz w:val="24"/>
                <w:szCs w:val="24"/>
                <w:vertAlign w:val="baseline"/>
                <w:lang w:eastAsia="zh-CN"/>
              </w:rPr>
            </w:pPr>
            <w:r>
              <w:rPr>
                <w:rFonts w:hint="default" w:ascii="Times New Roman" w:hAnsi="Times New Roman" w:cs="Times New Roman"/>
                <w:color w:val="auto"/>
                <w:spacing w:val="0"/>
                <w:sz w:val="24"/>
                <w:szCs w:val="24"/>
              </w:rPr>
              <w:t>本项目沿线设置牵张场</w:t>
            </w:r>
            <w:r>
              <w:rPr>
                <w:rFonts w:hint="eastAsia" w:ascii="Times New Roman" w:hAnsi="Times New Roman" w:cs="Times New Roman"/>
                <w:color w:val="auto"/>
                <w:spacing w:val="0"/>
                <w:sz w:val="24"/>
                <w:szCs w:val="24"/>
                <w:lang w:val="en-US" w:eastAsia="zh-CN"/>
              </w:rPr>
              <w:t>3</w:t>
            </w:r>
            <w:r>
              <w:rPr>
                <w:rFonts w:hint="default" w:ascii="Times New Roman" w:hAnsi="Times New Roman" w:cs="Times New Roman"/>
                <w:color w:val="auto"/>
                <w:spacing w:val="0"/>
                <w:sz w:val="24"/>
                <w:szCs w:val="24"/>
              </w:rPr>
              <w:t>处，分别设置于塔</w:t>
            </w:r>
            <w:r>
              <w:rPr>
                <w:rFonts w:hint="default" w:ascii="Times New Roman" w:hAnsi="Times New Roman" w:cs="Times New Roman"/>
                <w:color w:val="auto"/>
                <w:spacing w:val="0"/>
                <w:sz w:val="24"/>
                <w:szCs w:val="24"/>
                <w:highlight w:val="none"/>
              </w:rPr>
              <w:t>基N</w:t>
            </w:r>
            <w:r>
              <w:rPr>
                <w:rFonts w:hint="eastAsia" w:ascii="Times New Roman" w:hAnsi="Times New Roman" w:cs="Times New Roman"/>
                <w:color w:val="auto"/>
                <w:spacing w:val="0"/>
                <w:sz w:val="24"/>
                <w:szCs w:val="24"/>
                <w:highlight w:val="none"/>
                <w:lang w:val="en-US" w:eastAsia="zh-CN"/>
              </w:rPr>
              <w:t>1</w:t>
            </w:r>
            <w:r>
              <w:rPr>
                <w:rFonts w:hint="default" w:ascii="Times New Roman" w:hAnsi="Times New Roman" w:cs="Times New Roman"/>
                <w:color w:val="auto"/>
                <w:spacing w:val="0"/>
                <w:sz w:val="24"/>
                <w:szCs w:val="24"/>
                <w:highlight w:val="none"/>
              </w:rPr>
              <w:t>、N</w:t>
            </w:r>
            <w:r>
              <w:rPr>
                <w:rFonts w:hint="default" w:ascii="Times New Roman" w:hAnsi="Times New Roman" w:cs="Times New Roman"/>
                <w:color w:val="auto"/>
                <w:spacing w:val="0"/>
                <w:sz w:val="24"/>
                <w:szCs w:val="24"/>
                <w:highlight w:val="none"/>
                <w:lang w:val="en-US" w:eastAsia="zh-CN"/>
              </w:rPr>
              <w:t>1</w:t>
            </w:r>
            <w:r>
              <w:rPr>
                <w:rFonts w:hint="eastAsia" w:ascii="Times New Roman" w:hAnsi="Times New Roman" w:cs="Times New Roman"/>
                <w:color w:val="auto"/>
                <w:spacing w:val="0"/>
                <w:sz w:val="24"/>
                <w:szCs w:val="24"/>
                <w:highlight w:val="none"/>
                <w:lang w:val="en-US" w:eastAsia="zh-CN"/>
              </w:rPr>
              <w:t>7、N30</w:t>
            </w:r>
            <w:r>
              <w:rPr>
                <w:rFonts w:hint="default" w:ascii="Times New Roman" w:hAnsi="Times New Roman" w:cs="Times New Roman"/>
                <w:color w:val="auto"/>
                <w:spacing w:val="0"/>
                <w:sz w:val="24"/>
                <w:szCs w:val="24"/>
                <w:highlight w:val="none"/>
              </w:rPr>
              <w:t>处</w:t>
            </w:r>
            <w:r>
              <w:rPr>
                <w:rFonts w:hint="default" w:ascii="Times New Roman" w:hAnsi="Times New Roman" w:cs="Times New Roman"/>
                <w:color w:val="auto"/>
                <w:spacing w:val="0"/>
                <w:sz w:val="24"/>
                <w:szCs w:val="24"/>
              </w:rPr>
              <w:t>，每处牵张场占地约</w:t>
            </w:r>
            <w:r>
              <w:rPr>
                <w:rFonts w:hint="eastAsia" w:ascii="Times New Roman" w:hAnsi="Times New Roman" w:cs="Times New Roman"/>
                <w:color w:val="auto"/>
                <w:spacing w:val="0"/>
                <w:sz w:val="24"/>
                <w:szCs w:val="24"/>
                <w:lang w:val="en-US" w:eastAsia="zh-CN"/>
              </w:rPr>
              <w:t>200</w:t>
            </w:r>
            <w:r>
              <w:rPr>
                <w:rFonts w:hint="default" w:ascii="Times New Roman" w:hAnsi="Times New Roman" w:cs="Times New Roman"/>
                <w:color w:val="auto"/>
                <w:spacing w:val="0"/>
                <w:sz w:val="24"/>
                <w:szCs w:val="24"/>
              </w:rPr>
              <w:t>m</w:t>
            </w:r>
            <w:r>
              <w:rPr>
                <w:rFonts w:hint="default" w:ascii="Times New Roman" w:hAnsi="Times New Roman" w:cs="Times New Roman"/>
                <w:color w:val="auto"/>
                <w:spacing w:val="0"/>
                <w:sz w:val="24"/>
                <w:szCs w:val="24"/>
                <w:vertAlign w:val="superscript"/>
              </w:rPr>
              <w:t>2</w:t>
            </w:r>
            <w:r>
              <w:rPr>
                <w:rFonts w:hint="default" w:ascii="Times New Roman" w:hAnsi="Times New Roman" w:cs="Times New Roman"/>
                <w:color w:val="auto"/>
                <w:spacing w:val="0"/>
                <w:sz w:val="24"/>
                <w:szCs w:val="24"/>
              </w:rPr>
              <w:t>，总占地面积为0.0</w:t>
            </w:r>
            <w:r>
              <w:rPr>
                <w:rFonts w:hint="eastAsia" w:ascii="Times New Roman" w:hAnsi="Times New Roman" w:cs="Times New Roman"/>
                <w:color w:val="auto"/>
                <w:spacing w:val="0"/>
                <w:sz w:val="24"/>
                <w:szCs w:val="24"/>
                <w:lang w:val="en-US" w:eastAsia="zh-CN"/>
              </w:rPr>
              <w:t>6</w:t>
            </w:r>
            <w:r>
              <w:rPr>
                <w:rFonts w:hint="default" w:ascii="Times New Roman" w:hAnsi="Times New Roman" w:cs="Times New Roman"/>
                <w:color w:val="auto"/>
                <w:spacing w:val="0"/>
                <w:sz w:val="24"/>
                <w:szCs w:val="24"/>
              </w:rPr>
              <w:t>hm</w:t>
            </w:r>
            <w:r>
              <w:rPr>
                <w:rFonts w:hint="default" w:ascii="Times New Roman" w:hAnsi="Times New Roman" w:cs="Times New Roman"/>
                <w:color w:val="auto"/>
                <w:spacing w:val="0"/>
                <w:sz w:val="24"/>
                <w:szCs w:val="24"/>
                <w:vertAlign w:val="superscript"/>
              </w:rPr>
              <w:t>2</w:t>
            </w:r>
            <w:r>
              <w:rPr>
                <w:rFonts w:hint="eastAsia" w:ascii="Times New Roman" w:hAnsi="Times New Roman" w:cs="Times New Roman"/>
                <w:color w:val="auto"/>
                <w:spacing w:val="0"/>
                <w:sz w:val="24"/>
                <w:szCs w:val="24"/>
                <w:vertAlign w:val="baseline"/>
                <w:lang w:eastAsia="zh-CN"/>
              </w:rPr>
              <w:t>。</w:t>
            </w:r>
          </w:p>
          <w:p w14:paraId="6273504A">
            <w:pPr>
              <w:adjustRightInd w:val="0"/>
              <w:snapToGrid w:val="0"/>
              <w:spacing w:line="440" w:lineRule="exact"/>
              <w:ind w:firstLine="482" w:firstLineChars="200"/>
              <w:rPr>
                <w:b/>
                <w:bCs/>
                <w:color w:val="auto"/>
                <w:sz w:val="24"/>
              </w:rPr>
            </w:pPr>
            <w:r>
              <w:rPr>
                <w:rFonts w:hint="eastAsia"/>
                <w:b/>
                <w:bCs/>
                <w:color w:val="auto"/>
                <w:sz w:val="24"/>
              </w:rPr>
              <w:t>2.2.</w:t>
            </w:r>
            <w:r>
              <w:rPr>
                <w:rFonts w:hint="eastAsia"/>
                <w:b/>
                <w:bCs/>
                <w:color w:val="auto"/>
                <w:sz w:val="24"/>
                <w:lang w:val="en-US" w:eastAsia="zh-CN"/>
              </w:rPr>
              <w:t>6依托</w:t>
            </w:r>
            <w:r>
              <w:rPr>
                <w:b/>
                <w:bCs/>
                <w:color w:val="auto"/>
                <w:sz w:val="24"/>
              </w:rPr>
              <w:t>工程</w:t>
            </w:r>
          </w:p>
          <w:p w14:paraId="7FFCF67F">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cs="Times New Roman"/>
                <w:b/>
                <w:bCs/>
                <w:color w:val="auto"/>
                <w:sz w:val="24"/>
                <w:lang w:val="en-US" w:eastAsia="zh-CN"/>
              </w:rPr>
            </w:pPr>
            <w:r>
              <w:rPr>
                <w:rFonts w:hint="default" w:ascii="Times New Roman" w:hAnsi="Times New Roman" w:cs="Times New Roman"/>
                <w:b/>
                <w:bCs/>
                <w:color w:val="auto"/>
                <w:sz w:val="24"/>
                <w:lang w:val="en-US" w:eastAsia="zh-CN"/>
              </w:rPr>
              <w:t>（1）</w:t>
            </w:r>
            <w:r>
              <w:rPr>
                <w:rFonts w:hint="eastAsia" w:ascii="Times New Roman" w:hAnsi="Times New Roman" w:cs="Times New Roman"/>
                <w:b/>
                <w:bCs/>
                <w:color w:val="auto"/>
                <w:sz w:val="24"/>
                <w:lang w:val="en-US" w:eastAsia="zh-CN"/>
              </w:rPr>
              <w:t>110kV大草房光伏升压站</w:t>
            </w:r>
          </w:p>
          <w:p w14:paraId="0E7A2172">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eastAsia="宋体" w:cs="Times New Roman"/>
                <w:b w:val="0"/>
                <w:bCs w:val="0"/>
                <w:color w:val="auto"/>
                <w:sz w:val="24"/>
                <w:szCs w:val="24"/>
                <w:lang w:eastAsia="zh-CN"/>
              </w:rPr>
            </w:pPr>
            <w:r>
              <w:rPr>
                <w:rFonts w:hint="default" w:ascii="Times New Roman" w:hAnsi="Times New Roman" w:cs="Times New Roman"/>
                <w:b w:val="0"/>
                <w:bCs w:val="0"/>
                <w:color w:val="auto"/>
                <w:sz w:val="24"/>
                <w:szCs w:val="24"/>
                <w:lang w:val="en-US" w:eastAsia="zh-CN"/>
              </w:rPr>
              <w:t>根据</w:t>
            </w:r>
            <w:r>
              <w:rPr>
                <w:rFonts w:hint="eastAsia" w:ascii="Times New Roman" w:hAnsi="Times New Roman" w:cs="Times New Roman"/>
                <w:b w:val="0"/>
                <w:bCs w:val="0"/>
                <w:color w:val="auto"/>
                <w:sz w:val="24"/>
                <w:szCs w:val="24"/>
                <w:lang w:val="en-US" w:eastAsia="zh-CN"/>
              </w:rPr>
              <w:t>《大草房光伏发电项目</w:t>
            </w:r>
            <w:r>
              <w:rPr>
                <w:rFonts w:hint="default" w:ascii="Times New Roman" w:hAnsi="Times New Roman" w:cs="Times New Roman"/>
                <w:b w:val="0"/>
                <w:bCs w:val="0"/>
                <w:color w:val="auto"/>
                <w:sz w:val="24"/>
                <w:szCs w:val="24"/>
                <w:lang w:val="en-US" w:eastAsia="zh-CN"/>
              </w:rPr>
              <w:t>环境影响报告表》，</w:t>
            </w:r>
            <w:r>
              <w:rPr>
                <w:rFonts w:hint="eastAsia" w:ascii="Times New Roman" w:hAnsi="Times New Roman" w:cs="Times New Roman"/>
                <w:b w:val="0"/>
                <w:bCs w:val="0"/>
                <w:color w:val="auto"/>
                <w:sz w:val="24"/>
                <w:szCs w:val="24"/>
                <w:lang w:val="en-US" w:eastAsia="zh-CN"/>
              </w:rPr>
              <w:t>大草房光伏项目新建1座110kV升压站，升压站110kV侧采用线变组接线，110kV终期出线1回，一次建成；35kV侧采用扩大单元接线，本期一次建成I、Ⅱ段母线。</w:t>
            </w:r>
          </w:p>
          <w:p w14:paraId="5AF3A27C">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①升压站概况</w:t>
            </w:r>
          </w:p>
          <w:p w14:paraId="71B2C7D7">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11</w:t>
            </w:r>
            <w:r>
              <w:rPr>
                <w:rFonts w:hint="default" w:ascii="Times New Roman" w:hAnsi="Times New Roman" w:cs="Times New Roman"/>
                <w:b w:val="0"/>
                <w:bCs w:val="0"/>
                <w:color w:val="auto"/>
                <w:sz w:val="24"/>
                <w:szCs w:val="24"/>
                <w:lang w:val="en-US" w:eastAsia="zh-CN"/>
              </w:rPr>
              <w:t>0kV</w:t>
            </w:r>
            <w:r>
              <w:rPr>
                <w:rFonts w:hint="eastAsia" w:ascii="Times New Roman" w:hAnsi="Times New Roman" w:cs="Times New Roman"/>
                <w:b w:val="0"/>
                <w:bCs w:val="0"/>
                <w:color w:val="auto"/>
                <w:sz w:val="24"/>
                <w:szCs w:val="24"/>
                <w:lang w:val="en-US" w:eastAsia="zh-CN"/>
              </w:rPr>
              <w:t>大草房</w:t>
            </w:r>
            <w:r>
              <w:rPr>
                <w:rFonts w:hint="default" w:ascii="Times New Roman" w:hAnsi="Times New Roman" w:cs="Times New Roman"/>
                <w:b w:val="0"/>
                <w:bCs w:val="0"/>
                <w:color w:val="auto"/>
                <w:sz w:val="24"/>
                <w:szCs w:val="24"/>
                <w:lang w:val="en-US" w:eastAsia="zh-CN"/>
              </w:rPr>
              <w:t>光伏升压站位于会泽县</w:t>
            </w:r>
            <w:r>
              <w:rPr>
                <w:rFonts w:hint="eastAsia" w:ascii="Times New Roman" w:hAnsi="Times New Roman" w:cs="Times New Roman"/>
                <w:b w:val="0"/>
                <w:bCs w:val="0"/>
                <w:color w:val="auto"/>
                <w:sz w:val="24"/>
                <w:szCs w:val="24"/>
                <w:lang w:val="en-US" w:eastAsia="zh-CN"/>
              </w:rPr>
              <w:t>宝云街道扯戛社区居委会白彝村西南山脊上（养殖场东侧），由会泽华电道成清洁能源开发有限公司（现更名：云南华电道成清洁能源有限公司）负责投资建设及运行管理，预计2026年12月建成投产运行。</w:t>
            </w:r>
            <w:r>
              <w:rPr>
                <w:rFonts w:hint="default" w:ascii="Times New Roman" w:hAnsi="Times New Roman" w:cs="Times New Roman"/>
                <w:b w:val="0"/>
                <w:bCs w:val="0"/>
                <w:color w:val="auto"/>
                <w:sz w:val="24"/>
                <w:szCs w:val="24"/>
                <w:lang w:val="en-US" w:eastAsia="zh-CN"/>
              </w:rPr>
              <w:t>拟建</w:t>
            </w:r>
            <w:r>
              <w:rPr>
                <w:rFonts w:hint="eastAsia" w:ascii="Times New Roman" w:hAnsi="Times New Roman" w:cs="Times New Roman"/>
                <w:b w:val="0"/>
                <w:bCs w:val="0"/>
                <w:color w:val="auto"/>
                <w:sz w:val="24"/>
                <w:szCs w:val="24"/>
                <w:lang w:val="en-US" w:eastAsia="zh-CN"/>
              </w:rPr>
              <w:t>11</w:t>
            </w:r>
            <w:r>
              <w:rPr>
                <w:rFonts w:hint="default" w:ascii="Times New Roman" w:hAnsi="Times New Roman" w:eastAsia="宋体" w:cs="Times New Roman"/>
                <w:b w:val="0"/>
                <w:bCs w:val="0"/>
                <w:color w:val="auto"/>
                <w:sz w:val="24"/>
                <w:szCs w:val="24"/>
                <w:lang w:val="en-US" w:eastAsia="zh-CN"/>
              </w:rPr>
              <w:t>0</w:t>
            </w:r>
            <w:r>
              <w:rPr>
                <w:rFonts w:hint="default" w:ascii="Times New Roman" w:hAnsi="Times New Roman" w:cs="Times New Roman"/>
                <w:b w:val="0"/>
                <w:bCs w:val="0"/>
                <w:color w:val="auto"/>
                <w:sz w:val="24"/>
                <w:szCs w:val="24"/>
                <w:lang w:val="en-US" w:eastAsia="zh-CN"/>
              </w:rPr>
              <w:t>kV</w:t>
            </w:r>
            <w:r>
              <w:rPr>
                <w:rFonts w:hint="default" w:ascii="Times New Roman" w:hAnsi="Times New Roman" w:eastAsia="宋体" w:cs="Times New Roman"/>
                <w:b w:val="0"/>
                <w:bCs w:val="0"/>
                <w:color w:val="auto"/>
                <w:sz w:val="24"/>
                <w:szCs w:val="24"/>
                <w:lang w:val="en-US" w:eastAsia="zh-CN"/>
              </w:rPr>
              <w:t>升压站1座，</w:t>
            </w:r>
            <w:r>
              <w:rPr>
                <w:rFonts w:hint="default" w:ascii="Times New Roman" w:hAnsi="Times New Roman" w:cs="Times New Roman"/>
                <w:b w:val="0"/>
                <w:bCs w:val="0"/>
                <w:color w:val="auto"/>
                <w:sz w:val="24"/>
                <w:szCs w:val="24"/>
                <w:lang w:val="en-US" w:eastAsia="zh-CN"/>
              </w:rPr>
              <w:t>站址海拔高程约为</w:t>
            </w:r>
            <w:r>
              <w:rPr>
                <w:rFonts w:hint="eastAsia" w:ascii="Times New Roman" w:hAnsi="Times New Roman" w:cs="Times New Roman"/>
                <w:b w:val="0"/>
                <w:bCs w:val="0"/>
                <w:color w:val="auto"/>
                <w:sz w:val="24"/>
                <w:szCs w:val="24"/>
                <w:lang w:val="en-US" w:eastAsia="zh-CN"/>
              </w:rPr>
              <w:t>2580</w:t>
            </w:r>
            <w:r>
              <w:rPr>
                <w:rFonts w:hint="default" w:ascii="Times New Roman" w:hAnsi="Times New Roman" w:cs="Times New Roman"/>
                <w:b w:val="0"/>
                <w:bCs w:val="0"/>
                <w:color w:val="auto"/>
                <w:sz w:val="24"/>
                <w:szCs w:val="24"/>
                <w:lang w:val="en-US" w:eastAsia="zh-CN"/>
              </w:rPr>
              <w:t>m</w:t>
            </w:r>
            <w:r>
              <w:rPr>
                <w:rFonts w:hint="eastAsia" w:ascii="Times New Roman" w:hAnsi="Times New Roman"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lang w:val="en-US" w:eastAsia="zh-CN"/>
              </w:rPr>
              <w:t>占地面积</w:t>
            </w:r>
            <w:r>
              <w:rPr>
                <w:rFonts w:hint="eastAsia" w:ascii="Times New Roman" w:hAnsi="Times New Roman" w:cs="Times New Roman"/>
                <w:b w:val="0"/>
                <w:bCs w:val="0"/>
                <w:color w:val="auto"/>
                <w:sz w:val="24"/>
                <w:szCs w:val="24"/>
                <w:lang w:val="en-US" w:eastAsia="zh-CN"/>
              </w:rPr>
              <w:t>0.45h</w:t>
            </w:r>
            <w:r>
              <w:rPr>
                <w:rFonts w:hint="default" w:ascii="Times New Roman" w:hAnsi="Times New Roman" w:eastAsia="宋体" w:cs="Times New Roman"/>
                <w:b w:val="0"/>
                <w:bCs w:val="0"/>
                <w:color w:val="auto"/>
                <w:sz w:val="24"/>
                <w:szCs w:val="24"/>
                <w:lang w:val="en-US" w:eastAsia="zh-CN"/>
              </w:rPr>
              <w:t>m</w:t>
            </w:r>
            <w:r>
              <w:rPr>
                <w:rFonts w:hint="default" w:ascii="Times New Roman" w:hAnsi="Times New Roman" w:eastAsia="宋体" w:cs="Times New Roman"/>
                <w:b w:val="0"/>
                <w:bCs w:val="0"/>
                <w:color w:val="auto"/>
                <w:sz w:val="24"/>
                <w:szCs w:val="24"/>
                <w:vertAlign w:val="superscript"/>
                <w:lang w:val="en-US" w:eastAsia="zh-CN"/>
              </w:rPr>
              <w:t>2</w:t>
            </w:r>
            <w:r>
              <w:rPr>
                <w:rFonts w:hint="default" w:ascii="Times New Roman" w:hAnsi="Times New Roman" w:eastAsia="宋体" w:cs="Times New Roman"/>
                <w:b w:val="0"/>
                <w:bCs w:val="0"/>
                <w:color w:val="auto"/>
                <w:sz w:val="24"/>
                <w:szCs w:val="24"/>
                <w:lang w:val="en-US" w:eastAsia="zh-CN"/>
              </w:rPr>
              <w:t>。</w:t>
            </w:r>
            <w:r>
              <w:rPr>
                <w:rFonts w:hint="default" w:ascii="Times New Roman" w:hAnsi="Times New Roman" w:cs="Times New Roman"/>
                <w:b w:val="0"/>
                <w:bCs w:val="0"/>
                <w:color w:val="auto"/>
                <w:sz w:val="24"/>
                <w:szCs w:val="24"/>
                <w:lang w:val="en-US" w:eastAsia="zh-CN"/>
              </w:rPr>
              <w:t>升压站内共设置</w:t>
            </w:r>
            <w:r>
              <w:rPr>
                <w:rFonts w:hint="eastAsia" w:ascii="Times New Roman" w:hAnsi="Times New Roman" w:cs="Times New Roman"/>
                <w:b w:val="0"/>
                <w:bCs w:val="0"/>
                <w:color w:val="auto"/>
                <w:sz w:val="24"/>
                <w:szCs w:val="24"/>
                <w:lang w:val="en-US" w:eastAsia="zh-CN"/>
              </w:rPr>
              <w:t>1</w:t>
            </w:r>
            <w:r>
              <w:rPr>
                <w:rFonts w:hint="default" w:ascii="Times New Roman" w:hAnsi="Times New Roman" w:cs="Times New Roman"/>
                <w:b w:val="0"/>
                <w:bCs w:val="0"/>
                <w:color w:val="auto"/>
                <w:sz w:val="24"/>
                <w:szCs w:val="24"/>
                <w:lang w:val="en-US" w:eastAsia="zh-CN"/>
              </w:rPr>
              <w:t>台主变，总规模</w:t>
            </w:r>
            <w:r>
              <w:rPr>
                <w:rFonts w:hint="eastAsia" w:ascii="Times New Roman" w:hAnsi="Times New Roman" w:cs="Times New Roman"/>
                <w:b w:val="0"/>
                <w:bCs w:val="0"/>
                <w:color w:val="auto"/>
                <w:sz w:val="24"/>
                <w:szCs w:val="24"/>
                <w:lang w:val="en-US" w:eastAsia="zh-CN"/>
              </w:rPr>
              <w:t>1</w:t>
            </w:r>
            <w:r>
              <w:rPr>
                <w:rFonts w:hint="default" w:ascii="Times New Roman" w:hAnsi="Times New Roman" w:cs="Times New Roman"/>
                <w:b w:val="0"/>
                <w:bCs w:val="0"/>
                <w:color w:val="auto"/>
                <w:sz w:val="24"/>
                <w:szCs w:val="24"/>
                <w:lang w:val="en-US" w:eastAsia="zh-CN"/>
              </w:rPr>
              <w:t>×</w:t>
            </w:r>
            <w:r>
              <w:rPr>
                <w:rFonts w:hint="eastAsia" w:ascii="Times New Roman" w:hAnsi="Times New Roman" w:cs="Times New Roman"/>
                <w:b w:val="0"/>
                <w:bCs w:val="0"/>
                <w:color w:val="auto"/>
                <w:sz w:val="24"/>
                <w:szCs w:val="24"/>
                <w:lang w:val="en-US" w:eastAsia="zh-CN"/>
              </w:rPr>
              <w:t>200</w:t>
            </w:r>
            <w:r>
              <w:rPr>
                <w:rFonts w:hint="default" w:ascii="Times New Roman" w:hAnsi="Times New Roman" w:cs="Times New Roman"/>
                <w:b w:val="0"/>
                <w:bCs w:val="0"/>
                <w:color w:val="auto"/>
                <w:sz w:val="24"/>
                <w:szCs w:val="24"/>
                <w:lang w:val="en-US" w:eastAsia="zh-CN"/>
              </w:rPr>
              <w:t>MVA</w:t>
            </w:r>
            <w:r>
              <w:rPr>
                <w:rFonts w:hint="eastAsia" w:ascii="Times New Roman" w:hAnsi="Times New Roman" w:cs="Times New Roman"/>
                <w:b w:val="0"/>
                <w:bCs w:val="0"/>
                <w:color w:val="auto"/>
                <w:sz w:val="24"/>
                <w:szCs w:val="24"/>
                <w:lang w:val="en-US" w:eastAsia="zh-CN"/>
              </w:rPr>
              <w:t>（兼顾同一业主“云能源新能〔2025〕193号”文中大杨柳沟光伏发电项目（58MW），“云能源新能〔2025〕287号”文中藤子沟风电场（18.75MW），合计196.75MW送出）</w:t>
            </w:r>
            <w:r>
              <w:rPr>
                <w:rFonts w:hint="default" w:ascii="Times New Roman" w:hAnsi="Times New Roman" w:eastAsia="宋体" w:cs="Times New Roman"/>
                <w:b w:val="0"/>
                <w:bCs w:val="0"/>
                <w:color w:val="auto"/>
                <w:sz w:val="24"/>
                <w:szCs w:val="24"/>
                <w:lang w:val="en-US" w:eastAsia="zh-CN"/>
              </w:rPr>
              <w:t>。升压站</w:t>
            </w:r>
            <w:r>
              <w:rPr>
                <w:rFonts w:hint="eastAsia" w:ascii="Times New Roman" w:hAnsi="Times New Roman" w:eastAsia="宋体" w:cs="Times New Roman"/>
                <w:b w:val="0"/>
                <w:bCs w:val="0"/>
                <w:color w:val="auto"/>
                <w:sz w:val="24"/>
                <w:szCs w:val="24"/>
                <w:lang w:val="en-US" w:eastAsia="zh-CN"/>
              </w:rPr>
              <w:t>11</w:t>
            </w:r>
            <w:r>
              <w:rPr>
                <w:rFonts w:hint="default" w:ascii="Times New Roman" w:hAnsi="Times New Roman" w:eastAsia="宋体" w:cs="Times New Roman"/>
                <w:b w:val="0"/>
                <w:bCs w:val="0"/>
                <w:color w:val="auto"/>
                <w:sz w:val="24"/>
                <w:szCs w:val="24"/>
                <w:lang w:val="en-US" w:eastAsia="zh-CN"/>
              </w:rPr>
              <w:t>0kV侧采用</w:t>
            </w:r>
            <w:r>
              <w:rPr>
                <w:rFonts w:hint="eastAsia" w:ascii="Times New Roman" w:hAnsi="Times New Roman" w:eastAsia="宋体" w:cs="Times New Roman"/>
                <w:b w:val="0"/>
                <w:bCs w:val="0"/>
                <w:color w:val="auto"/>
                <w:sz w:val="24"/>
                <w:szCs w:val="24"/>
                <w:lang w:val="en-US" w:eastAsia="zh-CN"/>
              </w:rPr>
              <w:t>线变组</w:t>
            </w:r>
            <w:r>
              <w:rPr>
                <w:rFonts w:hint="default" w:ascii="Times New Roman" w:hAnsi="Times New Roman" w:eastAsia="宋体" w:cs="Times New Roman"/>
                <w:b w:val="0"/>
                <w:bCs w:val="0"/>
                <w:color w:val="auto"/>
                <w:sz w:val="24"/>
                <w:szCs w:val="24"/>
                <w:lang w:val="en-US" w:eastAsia="zh-CN"/>
              </w:rPr>
              <w:t>接线，</w:t>
            </w:r>
            <w:r>
              <w:rPr>
                <w:rFonts w:hint="eastAsia" w:ascii="Times New Roman" w:hAnsi="Times New Roman" w:eastAsia="宋体" w:cs="Times New Roman"/>
                <w:b w:val="0"/>
                <w:bCs w:val="0"/>
                <w:color w:val="auto"/>
                <w:sz w:val="24"/>
                <w:szCs w:val="24"/>
                <w:lang w:val="en-US" w:eastAsia="zh-CN"/>
              </w:rPr>
              <w:t>11</w:t>
            </w:r>
            <w:r>
              <w:rPr>
                <w:rFonts w:hint="default" w:ascii="Times New Roman" w:hAnsi="Times New Roman" w:eastAsia="宋体" w:cs="Times New Roman"/>
                <w:b w:val="0"/>
                <w:bCs w:val="0"/>
                <w:color w:val="auto"/>
                <w:sz w:val="24"/>
                <w:szCs w:val="24"/>
                <w:lang w:val="en-US" w:eastAsia="zh-CN"/>
              </w:rPr>
              <w:t>0kV侧出线共</w:t>
            </w:r>
            <w:r>
              <w:rPr>
                <w:rFonts w:hint="eastAsia" w:ascii="Times New Roman" w:hAnsi="Times New Roman" w:eastAsia="宋体" w:cs="Times New Roman"/>
                <w:b w:val="0"/>
                <w:bCs w:val="0"/>
                <w:color w:val="auto"/>
                <w:sz w:val="24"/>
                <w:szCs w:val="24"/>
                <w:lang w:val="en-US" w:eastAsia="zh-CN"/>
              </w:rPr>
              <w:t>1</w:t>
            </w:r>
            <w:r>
              <w:rPr>
                <w:rFonts w:hint="default" w:ascii="Times New Roman" w:hAnsi="Times New Roman" w:eastAsia="宋体" w:cs="Times New Roman"/>
                <w:b w:val="0"/>
                <w:bCs w:val="0"/>
                <w:color w:val="auto"/>
                <w:sz w:val="24"/>
                <w:szCs w:val="24"/>
                <w:lang w:val="en-US" w:eastAsia="zh-CN"/>
              </w:rPr>
              <w:t>回。配置</w:t>
            </w:r>
            <w:r>
              <w:rPr>
                <w:rFonts w:hint="eastAsia" w:ascii="Times New Roman" w:hAnsi="Times New Roman" w:eastAsia="宋体" w:cs="Times New Roman"/>
                <w:b w:val="0"/>
                <w:bCs w:val="0"/>
                <w:color w:val="auto"/>
                <w:sz w:val="24"/>
                <w:szCs w:val="24"/>
                <w:lang w:val="en-US" w:eastAsia="zh-CN"/>
              </w:rPr>
              <w:t>1</w:t>
            </w:r>
            <w:r>
              <w:rPr>
                <w:rFonts w:hint="default" w:ascii="Times New Roman" w:hAnsi="Times New Roman" w:eastAsia="宋体" w:cs="Times New Roman"/>
                <w:color w:val="auto"/>
                <w:sz w:val="24"/>
                <w:szCs w:val="24"/>
                <w:lang w:val="en-US" w:eastAsia="zh-CN"/>
              </w:rPr>
              <w:t>套SVG动态无功补偿装置，动态无功补偿装置（SVG）为水冷、直挂式。</w:t>
            </w:r>
            <w:r>
              <w:rPr>
                <w:rFonts w:hint="eastAsia" w:ascii="Times New Roman" w:hAnsi="Times New Roman" w:cs="Times New Roman"/>
                <w:b w:val="0"/>
                <w:bCs w:val="0"/>
                <w:color w:val="auto"/>
                <w:sz w:val="24"/>
                <w:szCs w:val="24"/>
                <w:lang w:val="en-US" w:eastAsia="zh-CN"/>
              </w:rPr>
              <w:t>35kV侧采用扩大单元接线，本期一次建成I、Ⅱ段母线。</w:t>
            </w:r>
          </w:p>
          <w:p w14:paraId="7B547FF2">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大草房</w:t>
            </w:r>
            <w:r>
              <w:rPr>
                <w:rFonts w:hint="default" w:ascii="Times New Roman" w:hAnsi="Times New Roman" w:eastAsia="宋体" w:cs="Times New Roman"/>
                <w:b w:val="0"/>
                <w:bCs w:val="0"/>
                <w:color w:val="auto"/>
                <w:sz w:val="24"/>
                <w:szCs w:val="24"/>
                <w:lang w:val="en-US" w:eastAsia="zh-CN"/>
              </w:rPr>
              <w:t>光伏升压站项目配套建设</w:t>
            </w:r>
            <w:r>
              <w:rPr>
                <w:rFonts w:hint="default" w:ascii="Times New Roman" w:hAnsi="Times New Roman" w:cs="Times New Roman"/>
                <w:b w:val="0"/>
                <w:bCs w:val="0"/>
                <w:color w:val="auto"/>
                <w:sz w:val="24"/>
                <w:szCs w:val="24"/>
                <w:lang w:val="en-US" w:eastAsia="zh-CN"/>
              </w:rPr>
              <w:t>同步</w:t>
            </w:r>
            <w:r>
              <w:rPr>
                <w:rFonts w:hint="default" w:ascii="Times New Roman" w:hAnsi="Times New Roman" w:eastAsia="宋体" w:cs="Times New Roman"/>
                <w:b w:val="0"/>
                <w:bCs w:val="0"/>
                <w:color w:val="auto"/>
                <w:sz w:val="24"/>
                <w:szCs w:val="24"/>
                <w:lang w:val="en-US" w:eastAsia="zh-CN"/>
              </w:rPr>
              <w:t>布置综合楼、门卫室、消防水泵房及消防水池、主变和</w:t>
            </w:r>
            <w:r>
              <w:rPr>
                <w:rFonts w:hint="eastAsia" w:ascii="Times New Roman" w:hAnsi="Times New Roman" w:eastAsia="宋体" w:cs="Times New Roman"/>
                <w:b w:val="0"/>
                <w:bCs w:val="0"/>
                <w:color w:val="auto"/>
                <w:sz w:val="24"/>
                <w:szCs w:val="24"/>
                <w:lang w:val="en-US" w:eastAsia="zh-CN"/>
              </w:rPr>
              <w:t>无源滤波场地</w:t>
            </w:r>
            <w:r>
              <w:rPr>
                <w:rFonts w:hint="default" w:ascii="Times New Roman" w:hAnsi="Times New Roman" w:eastAsia="宋体" w:cs="Times New Roman"/>
                <w:b w:val="0"/>
                <w:bCs w:val="0"/>
                <w:color w:val="auto"/>
                <w:sz w:val="24"/>
                <w:szCs w:val="24"/>
                <w:lang w:val="en-US" w:eastAsia="zh-CN"/>
              </w:rPr>
              <w:t>、35</w:t>
            </w:r>
            <w:r>
              <w:rPr>
                <w:rFonts w:hint="default" w:ascii="Times New Roman" w:hAnsi="Times New Roman" w:cs="Times New Roman"/>
                <w:b w:val="0"/>
                <w:bCs w:val="0"/>
                <w:color w:val="auto"/>
                <w:sz w:val="24"/>
                <w:szCs w:val="24"/>
                <w:lang w:val="en-US" w:eastAsia="zh-CN"/>
              </w:rPr>
              <w:t>kV</w:t>
            </w:r>
            <w:r>
              <w:rPr>
                <w:rFonts w:hint="default" w:ascii="Times New Roman" w:hAnsi="Times New Roman" w:eastAsia="宋体" w:cs="Times New Roman"/>
                <w:b w:val="0"/>
                <w:bCs w:val="0"/>
                <w:color w:val="auto"/>
                <w:sz w:val="24"/>
                <w:szCs w:val="24"/>
                <w:lang w:val="en-US" w:eastAsia="zh-CN"/>
              </w:rPr>
              <w:t>配电柜预制舱等。另外每台箱式变压器下方均设置1座2.5m</w:t>
            </w:r>
            <w:r>
              <w:rPr>
                <w:rFonts w:hint="default" w:ascii="Times New Roman" w:hAnsi="Times New Roman" w:eastAsia="宋体" w:cs="Times New Roman"/>
                <w:b w:val="0"/>
                <w:bCs w:val="0"/>
                <w:color w:val="auto"/>
                <w:sz w:val="24"/>
                <w:szCs w:val="24"/>
                <w:vertAlign w:val="superscript"/>
                <w:lang w:val="en-US" w:eastAsia="zh-CN"/>
              </w:rPr>
              <w:t>3</w:t>
            </w:r>
            <w:r>
              <w:rPr>
                <w:rFonts w:hint="default" w:ascii="Times New Roman" w:hAnsi="Times New Roman" w:eastAsia="宋体" w:cs="Times New Roman"/>
                <w:b w:val="0"/>
                <w:bCs w:val="0"/>
                <w:color w:val="auto"/>
                <w:sz w:val="24"/>
                <w:szCs w:val="24"/>
                <w:lang w:val="en-US" w:eastAsia="zh-CN"/>
              </w:rPr>
              <w:t>的地埋式事故油池；升压站主变旁设置1座53m</w:t>
            </w:r>
            <w:r>
              <w:rPr>
                <w:rFonts w:hint="default" w:ascii="Times New Roman" w:hAnsi="Times New Roman" w:eastAsia="宋体" w:cs="Times New Roman"/>
                <w:b w:val="0"/>
                <w:bCs w:val="0"/>
                <w:color w:val="auto"/>
                <w:sz w:val="24"/>
                <w:szCs w:val="24"/>
                <w:vertAlign w:val="superscript"/>
                <w:lang w:val="en-US" w:eastAsia="zh-CN"/>
              </w:rPr>
              <w:t>3</w:t>
            </w:r>
            <w:r>
              <w:rPr>
                <w:rFonts w:hint="default" w:ascii="Times New Roman" w:hAnsi="Times New Roman" w:eastAsia="宋体" w:cs="Times New Roman"/>
                <w:b w:val="0"/>
                <w:bCs w:val="0"/>
                <w:color w:val="auto"/>
                <w:sz w:val="24"/>
                <w:szCs w:val="24"/>
                <w:lang w:val="en-US" w:eastAsia="zh-CN"/>
              </w:rPr>
              <w:t>的地埋式事故油池、</w:t>
            </w:r>
            <w:r>
              <w:rPr>
                <w:rFonts w:hint="default" w:ascii="Times New Roman" w:hAnsi="Times New Roman" w:cs="Times New Roman"/>
                <w:b w:val="0"/>
                <w:bCs w:val="0"/>
                <w:color w:val="auto"/>
                <w:sz w:val="24"/>
                <w:szCs w:val="24"/>
                <w:lang w:val="en-US" w:eastAsia="zh-CN"/>
              </w:rPr>
              <w:t>一体化污水处理站（处理能力为2m</w:t>
            </w:r>
            <w:r>
              <w:rPr>
                <w:rFonts w:hint="default" w:ascii="Times New Roman" w:hAnsi="Times New Roman" w:cs="Times New Roman"/>
                <w:b w:val="0"/>
                <w:bCs w:val="0"/>
                <w:color w:val="auto"/>
                <w:sz w:val="24"/>
                <w:szCs w:val="24"/>
                <w:vertAlign w:val="superscript"/>
                <w:lang w:val="en-US" w:eastAsia="zh-CN"/>
              </w:rPr>
              <w:t>3</w:t>
            </w:r>
            <w:r>
              <w:rPr>
                <w:rFonts w:hint="default" w:ascii="Times New Roman" w:hAnsi="Times New Roman" w:cs="Times New Roman"/>
                <w:b w:val="0"/>
                <w:bCs w:val="0"/>
                <w:color w:val="auto"/>
                <w:sz w:val="24"/>
                <w:szCs w:val="24"/>
                <w:lang w:val="en-US" w:eastAsia="zh-CN"/>
              </w:rPr>
              <w:t>/d）、</w:t>
            </w:r>
            <w:r>
              <w:rPr>
                <w:rFonts w:hint="eastAsia" w:ascii="Times New Roman" w:hAnsi="Times New Roman" w:cs="Times New Roman"/>
                <w:b w:val="0"/>
                <w:bCs w:val="0"/>
                <w:color w:val="auto"/>
                <w:sz w:val="24"/>
                <w:szCs w:val="24"/>
                <w:lang w:val="en-US" w:eastAsia="zh-CN"/>
              </w:rPr>
              <w:t>隔油池</w:t>
            </w:r>
            <w:r>
              <w:rPr>
                <w:rFonts w:hint="default" w:ascii="Times New Roman" w:hAnsi="Times New Roman" w:cs="Times New Roman"/>
                <w:b w:val="0"/>
                <w:bCs w:val="0"/>
                <w:color w:val="auto"/>
                <w:sz w:val="24"/>
                <w:szCs w:val="24"/>
                <w:lang w:val="en-US" w:eastAsia="zh-CN"/>
              </w:rPr>
              <w:t>（容积为1m</w:t>
            </w:r>
            <w:r>
              <w:rPr>
                <w:rFonts w:hint="default" w:ascii="Times New Roman" w:hAnsi="Times New Roman" w:cs="Times New Roman"/>
                <w:b w:val="0"/>
                <w:bCs w:val="0"/>
                <w:color w:val="auto"/>
                <w:sz w:val="24"/>
                <w:szCs w:val="24"/>
                <w:vertAlign w:val="superscript"/>
                <w:lang w:val="en-US" w:eastAsia="zh-CN"/>
              </w:rPr>
              <w:t>3</w:t>
            </w:r>
            <w:r>
              <w:rPr>
                <w:rFonts w:hint="default" w:ascii="Times New Roman" w:hAnsi="Times New Roman" w:cs="Times New Roman"/>
                <w:b w:val="0"/>
                <w:bCs w:val="0"/>
                <w:color w:val="auto"/>
                <w:sz w:val="24"/>
                <w:szCs w:val="24"/>
                <w:lang w:val="en-US" w:eastAsia="zh-CN"/>
              </w:rPr>
              <w:t>）及危险废物贮存库（1间</w:t>
            </w:r>
            <w:r>
              <w:rPr>
                <w:rFonts w:hint="eastAsia" w:ascii="Times New Roman" w:hAnsi="Times New Roman" w:cs="Times New Roman"/>
                <w:b w:val="0"/>
                <w:bCs w:val="0"/>
                <w:color w:val="auto"/>
                <w:sz w:val="24"/>
                <w:szCs w:val="24"/>
                <w:lang w:val="en-US" w:eastAsia="zh-CN"/>
              </w:rPr>
              <w:t>建筑面积29.7</w:t>
            </w:r>
            <w:r>
              <w:rPr>
                <w:rFonts w:hint="default" w:ascii="Times New Roman" w:hAnsi="Times New Roman" w:cs="Times New Roman"/>
                <w:b w:val="0"/>
                <w:bCs w:val="0"/>
                <w:color w:val="auto"/>
                <w:sz w:val="24"/>
                <w:szCs w:val="24"/>
                <w:lang w:val="en-US" w:eastAsia="zh-CN"/>
              </w:rPr>
              <w:t>m</w:t>
            </w:r>
            <w:r>
              <w:rPr>
                <w:rFonts w:hint="default" w:ascii="Times New Roman" w:hAnsi="Times New Roman" w:cs="Times New Roman"/>
                <w:b w:val="0"/>
                <w:bCs w:val="0"/>
                <w:color w:val="auto"/>
                <w:sz w:val="24"/>
                <w:szCs w:val="24"/>
                <w:vertAlign w:val="superscript"/>
                <w:lang w:val="en-US" w:eastAsia="zh-CN"/>
              </w:rPr>
              <w:t>2</w:t>
            </w:r>
            <w:r>
              <w:rPr>
                <w:rFonts w:hint="default" w:ascii="Times New Roman" w:hAnsi="Times New Roman" w:cs="Times New Roman"/>
                <w:b w:val="0"/>
                <w:bCs w:val="0"/>
                <w:color w:val="auto"/>
                <w:sz w:val="24"/>
                <w:szCs w:val="24"/>
                <w:lang w:val="en-US" w:eastAsia="zh-CN"/>
              </w:rPr>
              <w:t>）等环保工程</w:t>
            </w:r>
            <w:r>
              <w:rPr>
                <w:rFonts w:hint="default" w:ascii="Times New Roman" w:hAnsi="Times New Roman" w:eastAsia="宋体" w:cs="Times New Roman"/>
                <w:b w:val="0"/>
                <w:bCs w:val="0"/>
                <w:color w:val="auto"/>
                <w:sz w:val="24"/>
                <w:szCs w:val="24"/>
                <w:lang w:val="en-US" w:eastAsia="zh-CN"/>
              </w:rPr>
              <w:t>。</w:t>
            </w:r>
          </w:p>
          <w:p w14:paraId="2D80B563">
            <w:pPr>
              <w:pStyle w:val="14"/>
              <w:jc w:val="center"/>
              <w:rPr>
                <w:rFonts w:hint="eastAsia" w:ascii="Times New Roman" w:hAnsi="Times New Roman" w:eastAsia="方正仿宋_GB2312" w:cs="Times New Roman"/>
                <w:color w:val="auto"/>
                <w:sz w:val="24"/>
                <w:highlight w:val="none"/>
                <w:lang w:eastAsia="zh-CN"/>
              </w:rPr>
            </w:pPr>
            <w:r>
              <w:rPr>
                <w:rFonts w:hint="eastAsia" w:ascii="Times New Roman" w:hAnsi="Times New Roman" w:eastAsia="方正仿宋_GB2312" w:cs="Times New Roman"/>
                <w:color w:val="auto"/>
                <w:sz w:val="24"/>
                <w:highlight w:val="none"/>
                <w:lang w:eastAsia="zh-CN"/>
              </w:rPr>
              <w:drawing>
                <wp:inline distT="0" distB="0" distL="114300" distR="114300">
                  <wp:extent cx="4779010" cy="2391410"/>
                  <wp:effectExtent l="0" t="0" r="2540" b="8890"/>
                  <wp:docPr id="114" name="图片 82" descr="1e4927d2-9394-4cbe-9e61-ae0e3bd348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82" descr="1e4927d2-9394-4cbe-9e61-ae0e3bd3487b"/>
                          <pic:cNvPicPr>
                            <a:picLocks noChangeAspect="1"/>
                          </pic:cNvPicPr>
                        </pic:nvPicPr>
                        <pic:blipFill>
                          <a:blip r:embed="rId24"/>
                          <a:stretch>
                            <a:fillRect/>
                          </a:stretch>
                        </pic:blipFill>
                        <pic:spPr>
                          <a:xfrm>
                            <a:off x="0" y="0"/>
                            <a:ext cx="4779010" cy="2391410"/>
                          </a:xfrm>
                          <a:prstGeom prst="rect">
                            <a:avLst/>
                          </a:prstGeom>
                          <a:noFill/>
                          <a:ln>
                            <a:noFill/>
                          </a:ln>
                        </pic:spPr>
                      </pic:pic>
                    </a:graphicData>
                  </a:graphic>
                </wp:inline>
              </w:drawing>
            </w:r>
          </w:p>
          <w:p w14:paraId="746AEFD5">
            <w:pPr>
              <w:pStyle w:val="14"/>
              <w:jc w:val="center"/>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 xml:space="preserve">图2-1  </w:t>
            </w:r>
            <w:r>
              <w:rPr>
                <w:rFonts w:hint="eastAsia" w:ascii="Times New Roman" w:hAnsi="Times New Roman" w:eastAsia="宋体" w:cs="Times New Roman"/>
                <w:b/>
                <w:bCs/>
                <w:color w:val="auto"/>
                <w:sz w:val="24"/>
                <w:highlight w:val="none"/>
                <w:lang w:val="en-US" w:eastAsia="zh-CN"/>
              </w:rPr>
              <w:t>11</w:t>
            </w:r>
            <w:r>
              <w:rPr>
                <w:rFonts w:hint="default" w:ascii="Times New Roman" w:hAnsi="Times New Roman" w:eastAsia="宋体" w:cs="Times New Roman"/>
                <w:b/>
                <w:bCs/>
                <w:color w:val="auto"/>
                <w:sz w:val="24"/>
                <w:highlight w:val="none"/>
              </w:rPr>
              <w:t>0kV</w:t>
            </w:r>
            <w:r>
              <w:rPr>
                <w:rFonts w:hint="default" w:ascii="Times New Roman" w:hAnsi="Times New Roman" w:eastAsia="宋体" w:cs="Times New Roman"/>
                <w:b/>
                <w:bCs/>
                <w:color w:val="auto"/>
                <w:sz w:val="24"/>
                <w:highlight w:val="none"/>
                <w:lang w:val="en-US" w:eastAsia="zh-CN"/>
              </w:rPr>
              <w:t>大</w:t>
            </w:r>
            <w:r>
              <w:rPr>
                <w:rFonts w:hint="eastAsia" w:ascii="Times New Roman" w:hAnsi="Times New Roman" w:eastAsia="宋体" w:cs="Times New Roman"/>
                <w:b/>
                <w:bCs/>
                <w:color w:val="auto"/>
                <w:sz w:val="24"/>
                <w:highlight w:val="none"/>
                <w:lang w:val="en-US" w:eastAsia="zh-CN"/>
              </w:rPr>
              <w:t>草房</w:t>
            </w:r>
            <w:r>
              <w:rPr>
                <w:rFonts w:hint="default" w:ascii="Times New Roman" w:hAnsi="Times New Roman" w:eastAsia="宋体" w:cs="Times New Roman"/>
                <w:b/>
                <w:bCs/>
                <w:color w:val="auto"/>
                <w:sz w:val="24"/>
                <w:highlight w:val="none"/>
              </w:rPr>
              <w:t>升压站电气主接线</w:t>
            </w:r>
            <w:r>
              <w:rPr>
                <w:rFonts w:hint="default" w:ascii="Times New Roman" w:hAnsi="Times New Roman" w:eastAsia="宋体" w:cs="Times New Roman"/>
                <w:b/>
                <w:bCs/>
                <w:color w:val="auto"/>
                <w:sz w:val="24"/>
                <w:highlight w:val="none"/>
                <w:lang w:val="en-US" w:eastAsia="zh-CN"/>
              </w:rPr>
              <w:t>示意图</w:t>
            </w:r>
          </w:p>
          <w:p w14:paraId="4CA17DE7">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②环保手续履行情况</w:t>
            </w:r>
          </w:p>
          <w:p w14:paraId="4F75B9D4">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火红乡湾子村委会大草房光伏项目（复合型光伏发电项目）（重新报批）</w:t>
            </w:r>
            <w:r>
              <w:rPr>
                <w:rFonts w:hint="default" w:ascii="Times New Roman" w:hAnsi="Times New Roman" w:cs="Times New Roman"/>
                <w:b w:val="0"/>
                <w:bCs w:val="0"/>
                <w:color w:val="auto"/>
                <w:sz w:val="24"/>
                <w:szCs w:val="24"/>
                <w:highlight w:val="none"/>
                <w:lang w:val="en-US" w:eastAsia="zh-CN"/>
              </w:rPr>
              <w:t>由云南恒诚科技有限公司于202</w:t>
            </w:r>
            <w:r>
              <w:rPr>
                <w:rFonts w:hint="eastAsia" w:ascii="Times New Roman" w:hAnsi="Times New Roman" w:cs="Times New Roman"/>
                <w:b w:val="0"/>
                <w:bCs w:val="0"/>
                <w:color w:val="auto"/>
                <w:sz w:val="24"/>
                <w:szCs w:val="24"/>
                <w:highlight w:val="none"/>
                <w:lang w:val="en-US" w:eastAsia="zh-CN"/>
              </w:rPr>
              <w:t>6</w:t>
            </w:r>
            <w:r>
              <w:rPr>
                <w:rFonts w:hint="default" w:ascii="Times New Roman" w:hAnsi="Times New Roman" w:cs="Times New Roman"/>
                <w:b w:val="0"/>
                <w:bCs w:val="0"/>
                <w:color w:val="auto"/>
                <w:sz w:val="24"/>
                <w:szCs w:val="24"/>
                <w:highlight w:val="none"/>
                <w:lang w:val="en-US" w:eastAsia="zh-CN"/>
              </w:rPr>
              <w:t>年</w:t>
            </w:r>
            <w:r>
              <w:rPr>
                <w:rFonts w:hint="eastAsia" w:ascii="Times New Roman" w:hAnsi="Times New Roman" w:cs="Times New Roman"/>
                <w:b w:val="0"/>
                <w:bCs w:val="0"/>
                <w:color w:val="auto"/>
                <w:sz w:val="24"/>
                <w:szCs w:val="24"/>
                <w:highlight w:val="none"/>
                <w:lang w:val="en-US" w:eastAsia="zh-CN"/>
              </w:rPr>
              <w:t>6</w:t>
            </w:r>
            <w:r>
              <w:rPr>
                <w:rFonts w:hint="default" w:ascii="Times New Roman" w:hAnsi="Times New Roman" w:cs="Times New Roman"/>
                <w:b w:val="0"/>
                <w:bCs w:val="0"/>
                <w:color w:val="auto"/>
                <w:sz w:val="24"/>
                <w:szCs w:val="24"/>
                <w:highlight w:val="none"/>
                <w:lang w:val="en-US" w:eastAsia="zh-CN"/>
              </w:rPr>
              <w:t>月编制完成《</w:t>
            </w:r>
            <w:r>
              <w:rPr>
                <w:rFonts w:hint="eastAsia" w:ascii="Times New Roman" w:hAnsi="Times New Roman" w:cs="Times New Roman"/>
                <w:b w:val="0"/>
                <w:bCs w:val="0"/>
                <w:color w:val="auto"/>
                <w:sz w:val="24"/>
                <w:szCs w:val="24"/>
                <w:highlight w:val="none"/>
                <w:lang w:val="en-US" w:eastAsia="zh-CN"/>
              </w:rPr>
              <w:t>火红乡湾子村委会大草房光伏项目（复合型光伏发电项目）（重新报批）</w:t>
            </w:r>
            <w:r>
              <w:rPr>
                <w:rFonts w:hint="default" w:ascii="Times New Roman" w:hAnsi="Times New Roman" w:cs="Times New Roman"/>
                <w:b w:val="0"/>
                <w:bCs w:val="0"/>
                <w:color w:val="auto"/>
                <w:sz w:val="24"/>
                <w:szCs w:val="24"/>
                <w:highlight w:val="none"/>
                <w:lang w:val="en-US" w:eastAsia="zh-CN"/>
              </w:rPr>
              <w:t>环境影响报告表》（报批稿），于202</w:t>
            </w:r>
            <w:r>
              <w:rPr>
                <w:rFonts w:hint="eastAsia" w:ascii="Times New Roman" w:hAnsi="Times New Roman" w:cs="Times New Roman"/>
                <w:b w:val="0"/>
                <w:bCs w:val="0"/>
                <w:color w:val="auto"/>
                <w:sz w:val="24"/>
                <w:szCs w:val="24"/>
                <w:highlight w:val="none"/>
                <w:lang w:val="en-US" w:eastAsia="zh-CN"/>
              </w:rPr>
              <w:t>6</w:t>
            </w:r>
            <w:r>
              <w:rPr>
                <w:rFonts w:hint="default" w:ascii="Times New Roman" w:hAnsi="Times New Roman" w:cs="Times New Roman"/>
                <w:b w:val="0"/>
                <w:bCs w:val="0"/>
                <w:color w:val="auto"/>
                <w:sz w:val="24"/>
                <w:szCs w:val="24"/>
                <w:highlight w:val="none"/>
                <w:lang w:val="en-US" w:eastAsia="zh-CN"/>
              </w:rPr>
              <w:t>年</w:t>
            </w:r>
            <w:r>
              <w:rPr>
                <w:rFonts w:hint="eastAsia" w:ascii="Times New Roman" w:hAnsi="Times New Roman" w:cs="Times New Roman"/>
                <w:b w:val="0"/>
                <w:bCs w:val="0"/>
                <w:color w:val="auto"/>
                <w:sz w:val="24"/>
                <w:szCs w:val="24"/>
                <w:highlight w:val="none"/>
                <w:lang w:val="en-US" w:eastAsia="zh-CN"/>
              </w:rPr>
              <w:t>6</w:t>
            </w:r>
            <w:r>
              <w:rPr>
                <w:rFonts w:hint="default" w:ascii="Times New Roman" w:hAnsi="Times New Roman" w:cs="Times New Roman"/>
                <w:b w:val="0"/>
                <w:bCs w:val="0"/>
                <w:color w:val="auto"/>
                <w:sz w:val="24"/>
                <w:szCs w:val="24"/>
                <w:highlight w:val="none"/>
                <w:lang w:val="en-US" w:eastAsia="zh-CN"/>
              </w:rPr>
              <w:t>月</w:t>
            </w:r>
            <w:r>
              <w:rPr>
                <w:rFonts w:hint="eastAsia" w:ascii="Times New Roman" w:hAnsi="Times New Roman" w:cs="Times New Roman"/>
                <w:b w:val="0"/>
                <w:bCs w:val="0"/>
                <w:color w:val="auto"/>
                <w:sz w:val="24"/>
                <w:szCs w:val="24"/>
                <w:highlight w:val="none"/>
                <w:lang w:val="en-US" w:eastAsia="zh-CN"/>
              </w:rPr>
              <w:t>2</w:t>
            </w:r>
            <w:r>
              <w:rPr>
                <w:rFonts w:hint="default" w:ascii="Times New Roman" w:hAnsi="Times New Roman" w:cs="Times New Roman"/>
                <w:b w:val="0"/>
                <w:bCs w:val="0"/>
                <w:color w:val="auto"/>
                <w:sz w:val="24"/>
                <w:szCs w:val="24"/>
                <w:highlight w:val="none"/>
                <w:lang w:val="en-US" w:eastAsia="zh-CN"/>
              </w:rPr>
              <w:t>日取得</w:t>
            </w:r>
            <w:r>
              <w:rPr>
                <w:rFonts w:hint="eastAsia" w:ascii="Times New Roman" w:hAnsi="Times New Roman" w:cs="Times New Roman"/>
                <w:b w:val="0"/>
                <w:bCs w:val="0"/>
                <w:color w:val="auto"/>
                <w:sz w:val="24"/>
                <w:szCs w:val="24"/>
                <w:highlight w:val="none"/>
                <w:lang w:val="en-US" w:eastAsia="zh-CN"/>
              </w:rPr>
              <w:t>曲靖市生态环境局关于火红乡湾子村委会大草房光伏项目（复合型光伏发电项目）（重新报批）环境影响报告表的批复（曲环审〔2026〕20号）</w:t>
            </w:r>
            <w:r>
              <w:rPr>
                <w:rFonts w:hint="default" w:ascii="Times New Roman" w:hAnsi="Times New Roman" w:cs="Times New Roman"/>
                <w:b w:val="0"/>
                <w:bCs w:val="0"/>
                <w:color w:val="auto"/>
                <w:sz w:val="24"/>
                <w:szCs w:val="24"/>
                <w:highlight w:val="none"/>
                <w:lang w:val="en-US" w:eastAsia="zh-CN"/>
              </w:rPr>
              <w:t>，目前，</w:t>
            </w:r>
            <w:r>
              <w:rPr>
                <w:rFonts w:hint="default" w:ascii="Times New Roman" w:hAnsi="Times New Roman" w:eastAsia="宋体" w:cs="Times New Roman"/>
                <w:b w:val="0"/>
                <w:bCs w:val="0"/>
                <w:color w:val="auto"/>
                <w:sz w:val="24"/>
                <w:szCs w:val="24"/>
                <w:highlight w:val="none"/>
                <w:lang w:val="en-US" w:eastAsia="zh-CN"/>
              </w:rPr>
              <w:t>升压站</w:t>
            </w:r>
            <w:r>
              <w:rPr>
                <w:rFonts w:hint="default" w:ascii="Times New Roman" w:hAnsi="Times New Roman" w:cs="Times New Roman"/>
                <w:b w:val="0"/>
                <w:bCs w:val="0"/>
                <w:color w:val="auto"/>
                <w:sz w:val="24"/>
                <w:szCs w:val="24"/>
                <w:highlight w:val="none"/>
                <w:lang w:val="en-US" w:eastAsia="zh-CN"/>
              </w:rPr>
              <w:t>正在建设中，</w:t>
            </w:r>
            <w:r>
              <w:rPr>
                <w:rFonts w:hint="eastAsia" w:ascii="Times New Roman" w:hAnsi="Times New Roman" w:cs="Times New Roman"/>
                <w:b w:val="0"/>
                <w:bCs w:val="0"/>
                <w:color w:val="auto"/>
                <w:sz w:val="24"/>
                <w:szCs w:val="24"/>
                <w:highlight w:val="none"/>
                <w:lang w:val="en-US" w:eastAsia="zh-CN"/>
              </w:rPr>
              <w:t>尚</w:t>
            </w:r>
            <w:r>
              <w:rPr>
                <w:rFonts w:hint="default" w:ascii="Times New Roman" w:hAnsi="Times New Roman" w:cs="Times New Roman"/>
                <w:b w:val="0"/>
                <w:bCs w:val="0"/>
                <w:color w:val="auto"/>
                <w:sz w:val="24"/>
                <w:szCs w:val="24"/>
                <w:highlight w:val="none"/>
                <w:lang w:val="en-US" w:eastAsia="zh-CN"/>
              </w:rPr>
              <w:t>未完工，未开展竣工环保验收工作。</w:t>
            </w:r>
          </w:p>
          <w:p w14:paraId="2CF6466B">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③环保措施</w:t>
            </w:r>
          </w:p>
          <w:p w14:paraId="1F90CC8A">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val="en-US" w:eastAsia="zh-CN"/>
              </w:rPr>
              <w:t>废水措施</w:t>
            </w:r>
          </w:p>
          <w:p w14:paraId="16CA7246">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变电站采用雨污分流制排水系统，站内设置雨水口收集地面雨水排入雨水管道，最后排向站外冲沟。站区生活污水经地埋式一体化设施处理后回用绿化</w:t>
            </w:r>
            <w:r>
              <w:rPr>
                <w:rFonts w:hint="eastAsia" w:ascii="Times New Roman" w:hAnsi="Times New Roman" w:cs="Times New Roman"/>
                <w:color w:val="auto"/>
                <w:sz w:val="24"/>
                <w:szCs w:val="24"/>
                <w:lang w:val="en-US" w:eastAsia="zh-CN"/>
              </w:rPr>
              <w:t>、道路洒水降尘</w:t>
            </w:r>
            <w:r>
              <w:rPr>
                <w:rFonts w:hint="default"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eastAsia="zh-CN"/>
              </w:rPr>
              <w:t>不外排。</w:t>
            </w:r>
            <w:r>
              <w:rPr>
                <w:rFonts w:hint="default" w:ascii="Times New Roman" w:hAnsi="Times New Roman" w:cs="Times New Roman"/>
                <w:color w:val="auto"/>
                <w:sz w:val="24"/>
                <w:szCs w:val="24"/>
                <w:lang w:val="en-US" w:eastAsia="zh-CN"/>
              </w:rPr>
              <w:t>处理规模为</w:t>
            </w:r>
            <w:r>
              <w:rPr>
                <w:rFonts w:hint="eastAsia"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lang w:val="en-US" w:eastAsia="zh-CN"/>
              </w:rPr>
              <w:t>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cs="Times New Roman"/>
                <w:color w:val="auto"/>
                <w:sz w:val="24"/>
                <w:szCs w:val="24"/>
                <w:lang w:val="en-US" w:eastAsia="zh-CN"/>
              </w:rPr>
              <w:t>/d，推荐采用“</w:t>
            </w:r>
            <w:r>
              <w:rPr>
                <w:rFonts w:hint="eastAsia" w:ascii="Times New Roman" w:hAnsi="Times New Roman" w:cs="Times New Roman"/>
                <w:color w:val="auto"/>
                <w:sz w:val="24"/>
                <w:szCs w:val="24"/>
                <w:lang w:val="en-US" w:eastAsia="zh-CN"/>
              </w:rPr>
              <w:t>MBR</w:t>
            </w:r>
            <w:r>
              <w:rPr>
                <w:rFonts w:hint="default" w:ascii="Times New Roman" w:hAnsi="Times New Roman" w:cs="Times New Roman"/>
                <w:color w:val="auto"/>
                <w:sz w:val="24"/>
                <w:szCs w:val="24"/>
                <w:lang w:val="en-US" w:eastAsia="zh-CN"/>
              </w:rPr>
              <w:t>”工艺，配套化粪池及回用水池</w:t>
            </w:r>
            <w:r>
              <w:rPr>
                <w:rFonts w:hint="eastAsia" w:ascii="Times New Roman" w:hAnsi="Times New Roman" w:cs="Times New Roman"/>
                <w:color w:val="auto"/>
                <w:sz w:val="24"/>
                <w:szCs w:val="24"/>
                <w:lang w:val="en-US" w:eastAsia="zh-CN"/>
              </w:rPr>
              <w:t>。</w:t>
            </w:r>
          </w:p>
          <w:p w14:paraId="03F6E03A">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固废措施</w:t>
            </w:r>
          </w:p>
          <w:p w14:paraId="725B23C2">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升压站内按照要求设置1间危废暂存间，占地面积</w:t>
            </w:r>
            <w:r>
              <w:rPr>
                <w:rFonts w:hint="eastAsia" w:ascii="Times New Roman" w:hAnsi="Times New Roman" w:cs="Times New Roman"/>
                <w:color w:val="auto"/>
                <w:sz w:val="24"/>
                <w:szCs w:val="24"/>
                <w:highlight w:val="none"/>
                <w:lang w:val="en-US" w:eastAsia="zh-CN"/>
              </w:rPr>
              <w:t>27</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，设置</w:t>
            </w:r>
            <w:r>
              <w:rPr>
                <w:rFonts w:hint="eastAsia" w:ascii="Times New Roman" w:hAnsi="Times New Roman" w:cs="Times New Roman"/>
                <w:color w:val="auto"/>
                <w:sz w:val="24"/>
                <w:szCs w:val="24"/>
                <w:highlight w:val="none"/>
                <w:lang w:val="en-US" w:eastAsia="zh-CN"/>
              </w:rPr>
              <w:t>若干</w:t>
            </w:r>
            <w:r>
              <w:rPr>
                <w:rFonts w:hint="default" w:ascii="Times New Roman" w:hAnsi="Times New Roman" w:eastAsia="宋体" w:cs="Times New Roman"/>
                <w:color w:val="auto"/>
                <w:sz w:val="24"/>
                <w:szCs w:val="24"/>
                <w:highlight w:val="none"/>
                <w:lang w:val="en-US" w:eastAsia="zh-CN"/>
              </w:rPr>
              <w:t>垃圾桶等。</w:t>
            </w:r>
          </w:p>
          <w:p w14:paraId="19D2AE0A">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3）环境风险</w:t>
            </w:r>
          </w:p>
          <w:p w14:paraId="10759A65">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主变旁设置</w:t>
            </w:r>
            <w:r>
              <w:rPr>
                <w:rFonts w:hint="eastAsia" w:ascii="Times New Roman" w:hAnsi="Times New Roman"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个主变事故油池，用于收集主变压器事故时排放的废矿物油，主变事故油池的</w:t>
            </w:r>
            <w:r>
              <w:rPr>
                <w:rFonts w:hint="default" w:ascii="Times New Roman" w:hAnsi="Times New Roman" w:cs="Times New Roman"/>
                <w:color w:val="auto"/>
                <w:sz w:val="24"/>
                <w:szCs w:val="24"/>
                <w:highlight w:val="none"/>
                <w:lang w:val="en-US" w:eastAsia="zh-CN"/>
              </w:rPr>
              <w:t>有效</w:t>
            </w:r>
            <w:r>
              <w:rPr>
                <w:rFonts w:hint="default" w:ascii="Times New Roman" w:hAnsi="Times New Roman" w:eastAsia="宋体" w:cs="Times New Roman"/>
                <w:color w:val="auto"/>
                <w:sz w:val="24"/>
                <w:szCs w:val="24"/>
                <w:highlight w:val="none"/>
                <w:lang w:val="en-US" w:eastAsia="zh-CN"/>
              </w:rPr>
              <w:t>容积</w:t>
            </w:r>
            <w:r>
              <w:rPr>
                <w:rFonts w:hint="default" w:ascii="Times New Roman" w:hAnsi="Times New Roman" w:cs="Times New Roman"/>
                <w:color w:val="auto"/>
                <w:sz w:val="24"/>
                <w:szCs w:val="24"/>
                <w:highlight w:val="none"/>
                <w:lang w:val="en-US" w:eastAsia="zh-CN"/>
              </w:rPr>
              <w:t>40</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w:t>
            </w:r>
          </w:p>
          <w:p w14:paraId="2272EC37">
            <w:pPr>
              <w:keepNext w:val="0"/>
              <w:keepLines w:val="0"/>
              <w:pageBreakBefore w:val="0"/>
              <w:widowControl w:val="0"/>
              <w:kinsoku/>
              <w:wordWrap/>
              <w:overflowPunct/>
              <w:topLinePunct w:val="0"/>
              <w:autoSpaceDE/>
              <w:autoSpaceDN/>
              <w:bidi w:val="0"/>
              <w:adjustRightInd w:val="0"/>
              <w:snapToGrid w:val="0"/>
              <w:spacing w:line="440" w:lineRule="exact"/>
              <w:ind w:left="0" w:firstLine="480" w:firstLineChars="200"/>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sz w:val="24"/>
                <w:szCs w:val="24"/>
              </w:rPr>
              <w:t>④</w:t>
            </w:r>
            <w:r>
              <w:rPr>
                <w:rFonts w:hint="default" w:ascii="Times New Roman" w:hAnsi="Times New Roman" w:eastAsia="宋体" w:cs="Times New Roman"/>
                <w:b w:val="0"/>
                <w:bCs w:val="0"/>
                <w:color w:val="auto"/>
                <w:sz w:val="24"/>
                <w:szCs w:val="24"/>
                <w:lang w:val="en-US" w:eastAsia="zh-CN"/>
              </w:rPr>
              <w:t>本</w:t>
            </w:r>
            <w:r>
              <w:rPr>
                <w:rFonts w:hint="default" w:ascii="Times New Roman" w:hAnsi="Times New Roman" w:cs="Times New Roman"/>
                <w:b w:val="0"/>
                <w:bCs w:val="0"/>
                <w:color w:val="auto"/>
                <w:sz w:val="24"/>
                <w:szCs w:val="24"/>
                <w:lang w:val="en-US" w:eastAsia="zh-CN"/>
              </w:rPr>
              <w:t>工程依托</w:t>
            </w:r>
            <w:r>
              <w:rPr>
                <w:rFonts w:hint="eastAsia" w:ascii="Times New Roman" w:hAnsi="Times New Roman" w:eastAsia="宋体" w:cs="Times New Roman"/>
                <w:b w:val="0"/>
                <w:bCs w:val="0"/>
                <w:color w:val="auto"/>
                <w:sz w:val="24"/>
                <w:szCs w:val="24"/>
                <w:lang w:val="en-US" w:eastAsia="zh-CN"/>
              </w:rPr>
              <w:t>11</w:t>
            </w:r>
            <w:r>
              <w:rPr>
                <w:rFonts w:hint="default" w:ascii="Times New Roman" w:hAnsi="Times New Roman" w:eastAsia="宋体" w:cs="Times New Roman"/>
                <w:b w:val="0"/>
                <w:bCs w:val="0"/>
                <w:color w:val="auto"/>
                <w:sz w:val="24"/>
                <w:szCs w:val="24"/>
                <w:lang w:val="en-US" w:eastAsia="zh-CN"/>
              </w:rPr>
              <w:t>0kV</w:t>
            </w:r>
            <w:r>
              <w:rPr>
                <w:rFonts w:hint="eastAsia" w:ascii="Times New Roman" w:hAnsi="Times New Roman" w:cs="Times New Roman"/>
                <w:b w:val="0"/>
                <w:bCs w:val="0"/>
                <w:color w:val="auto"/>
                <w:sz w:val="24"/>
                <w:szCs w:val="24"/>
                <w:lang w:val="en-US" w:eastAsia="zh-CN"/>
              </w:rPr>
              <w:t>大草房</w:t>
            </w:r>
            <w:r>
              <w:rPr>
                <w:rFonts w:hint="default" w:ascii="Times New Roman" w:hAnsi="Times New Roman" w:eastAsia="宋体" w:cs="Times New Roman"/>
                <w:b w:val="0"/>
                <w:bCs w:val="0"/>
                <w:color w:val="auto"/>
                <w:sz w:val="24"/>
                <w:szCs w:val="24"/>
                <w:lang w:val="en-US" w:eastAsia="zh-CN"/>
              </w:rPr>
              <w:t>升压站</w:t>
            </w:r>
            <w:r>
              <w:rPr>
                <w:rFonts w:hint="default" w:ascii="Times New Roman" w:hAnsi="Times New Roman" w:cs="Times New Roman"/>
                <w:b w:val="0"/>
                <w:bCs w:val="0"/>
                <w:color w:val="auto"/>
                <w:sz w:val="24"/>
                <w:szCs w:val="24"/>
                <w:lang w:val="en-US" w:eastAsia="zh-CN"/>
              </w:rPr>
              <w:t>间隔架构</w:t>
            </w:r>
            <w:r>
              <w:rPr>
                <w:rFonts w:hint="default" w:ascii="Times New Roman" w:hAnsi="Times New Roman" w:eastAsia="宋体" w:cs="Times New Roman"/>
                <w:b w:val="0"/>
                <w:bCs w:val="0"/>
                <w:color w:val="auto"/>
                <w:sz w:val="24"/>
                <w:szCs w:val="24"/>
                <w:lang w:val="en-US" w:eastAsia="zh-CN"/>
              </w:rPr>
              <w:t>情况</w:t>
            </w:r>
          </w:p>
          <w:p w14:paraId="62AB026C">
            <w:pPr>
              <w:keepNext w:val="0"/>
              <w:keepLines w:val="0"/>
              <w:pageBreakBefore w:val="0"/>
              <w:widowControl/>
              <w:suppressLineNumbers w:val="0"/>
              <w:kinsoku/>
              <w:wordWrap/>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color w:val="auto"/>
                <w:kern w:val="0"/>
                <w:sz w:val="24"/>
                <w:szCs w:val="24"/>
                <w:lang w:val="en-US" w:eastAsia="zh-CN" w:bidi="ar"/>
              </w:rPr>
            </w:pPr>
            <w:r>
              <w:rPr>
                <w:rFonts w:hint="default" w:ascii="Times New Roman" w:hAnsi="Times New Roman" w:cs="Times New Roman"/>
                <w:color w:val="auto"/>
                <w:sz w:val="24"/>
                <w:szCs w:val="24"/>
                <w:lang w:val="en-US" w:eastAsia="zh-CN"/>
              </w:rPr>
              <w:t>本工程依托</w:t>
            </w:r>
            <w:r>
              <w:rPr>
                <w:rFonts w:hint="eastAsia" w:ascii="Times New Roman" w:hAnsi="Times New Roman" w:eastAsia="宋体" w:cs="Times New Roman"/>
                <w:b w:val="0"/>
                <w:bCs w:val="0"/>
                <w:color w:val="auto"/>
                <w:sz w:val="24"/>
                <w:szCs w:val="24"/>
                <w:lang w:val="en-US" w:eastAsia="zh-CN"/>
              </w:rPr>
              <w:t>11</w:t>
            </w:r>
            <w:r>
              <w:rPr>
                <w:rFonts w:hint="default" w:ascii="Times New Roman" w:hAnsi="Times New Roman" w:eastAsia="宋体" w:cs="Times New Roman"/>
                <w:b w:val="0"/>
                <w:bCs w:val="0"/>
                <w:color w:val="auto"/>
                <w:sz w:val="24"/>
                <w:szCs w:val="24"/>
                <w:lang w:val="en-US" w:eastAsia="zh-CN"/>
              </w:rPr>
              <w:t>0kV</w:t>
            </w:r>
            <w:r>
              <w:rPr>
                <w:rFonts w:hint="eastAsia" w:ascii="Times New Roman" w:hAnsi="Times New Roman" w:cs="Times New Roman"/>
                <w:b w:val="0"/>
                <w:bCs w:val="0"/>
                <w:color w:val="auto"/>
                <w:sz w:val="24"/>
                <w:szCs w:val="24"/>
                <w:lang w:val="en-US" w:eastAsia="zh-CN"/>
              </w:rPr>
              <w:t>大草房</w:t>
            </w:r>
            <w:r>
              <w:rPr>
                <w:rFonts w:hint="default" w:ascii="Times New Roman" w:hAnsi="Times New Roman" w:eastAsia="宋体" w:cs="Times New Roman"/>
                <w:b w:val="0"/>
                <w:bCs w:val="0"/>
                <w:color w:val="auto"/>
                <w:sz w:val="24"/>
                <w:szCs w:val="24"/>
                <w:lang w:val="en-US" w:eastAsia="zh-CN"/>
              </w:rPr>
              <w:t>升压站拟建</w:t>
            </w:r>
            <w:r>
              <w:rPr>
                <w:rFonts w:hint="default" w:ascii="Times New Roman" w:hAnsi="Times New Roman" w:cs="Times New Roman"/>
                <w:b w:val="0"/>
                <w:bCs w:val="0"/>
                <w:color w:val="auto"/>
                <w:sz w:val="24"/>
                <w:szCs w:val="24"/>
                <w:lang w:val="en-US" w:eastAsia="zh-CN"/>
              </w:rPr>
              <w:t>间隔，本工程出线1回，</w:t>
            </w:r>
            <w:r>
              <w:rPr>
                <w:rFonts w:hint="eastAsia" w:ascii="宋体" w:hAnsi="宋体" w:eastAsia="宋体" w:cs="宋体"/>
                <w:color w:val="auto"/>
                <w:kern w:val="0"/>
                <w:sz w:val="24"/>
                <w:szCs w:val="24"/>
                <w:lang w:val="en-US" w:eastAsia="zh-CN" w:bidi="ar"/>
              </w:rPr>
              <w:t>位于升压站北面，面对升压站从左到右相序为</w:t>
            </w:r>
            <w:r>
              <w:rPr>
                <w:rFonts w:hint="default" w:ascii="Times New Roman" w:hAnsi="Times New Roman" w:eastAsia="宋体" w:cs="Times New Roman"/>
                <w:color w:val="auto"/>
                <w:kern w:val="0"/>
                <w:sz w:val="24"/>
                <w:szCs w:val="24"/>
                <w:lang w:val="en-US" w:eastAsia="zh-CN" w:bidi="ar"/>
              </w:rPr>
              <w:t>A</w:t>
            </w:r>
            <w:r>
              <w:rPr>
                <w:rFonts w:hint="eastAsia"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B</w:t>
            </w:r>
            <w:r>
              <w:rPr>
                <w:rFonts w:hint="eastAsia"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C</w:t>
            </w:r>
            <w:r>
              <w:rPr>
                <w:rFonts w:hint="eastAsia" w:ascii="宋体" w:hAnsi="宋体" w:eastAsia="宋体" w:cs="宋体"/>
                <w:color w:val="auto"/>
                <w:kern w:val="0"/>
                <w:sz w:val="24"/>
                <w:szCs w:val="24"/>
                <w:lang w:val="en-US" w:eastAsia="zh-CN" w:bidi="ar"/>
              </w:rPr>
              <w:t>进线。</w:t>
            </w:r>
          </w:p>
          <w:p w14:paraId="17C199AC">
            <w:pPr>
              <w:pStyle w:val="99"/>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color w:val="auto"/>
                <w:lang w:eastAsia="zh-CN"/>
              </w:rPr>
            </w:pPr>
            <w:r>
              <w:rPr>
                <w:color w:val="auto"/>
              </w:rPr>
              <w:drawing>
                <wp:inline distT="0" distB="0" distL="114300" distR="114300">
                  <wp:extent cx="4954270" cy="4057650"/>
                  <wp:effectExtent l="0" t="0" r="17780" b="0"/>
                  <wp:docPr id="115"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83"/>
                          <pic:cNvPicPr>
                            <a:picLocks noChangeAspect="1"/>
                          </pic:cNvPicPr>
                        </pic:nvPicPr>
                        <pic:blipFill>
                          <a:blip r:embed="rId25"/>
                          <a:stretch>
                            <a:fillRect/>
                          </a:stretch>
                        </pic:blipFill>
                        <pic:spPr>
                          <a:xfrm>
                            <a:off x="0" y="0"/>
                            <a:ext cx="4954270" cy="4057650"/>
                          </a:xfrm>
                          <a:prstGeom prst="rect">
                            <a:avLst/>
                          </a:prstGeom>
                          <a:noFill/>
                          <a:ln>
                            <a:noFill/>
                          </a:ln>
                        </pic:spPr>
                      </pic:pic>
                    </a:graphicData>
                  </a:graphic>
                </wp:inline>
              </w:drawing>
            </w:r>
          </w:p>
          <w:p w14:paraId="5B71BDA5">
            <w:pPr>
              <w:pStyle w:val="1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图</w:t>
            </w:r>
            <w:r>
              <w:rPr>
                <w:rFonts w:hint="default" w:ascii="Times New Roman" w:hAnsi="Times New Roman" w:eastAsia="宋体" w:cs="Times New Roman"/>
                <w:b/>
                <w:bCs/>
                <w:color w:val="auto"/>
                <w:sz w:val="24"/>
                <w:highlight w:val="none"/>
                <w:lang w:val="en-US" w:eastAsia="zh-CN"/>
              </w:rPr>
              <w:t>2-2  11</w:t>
            </w:r>
            <w:r>
              <w:rPr>
                <w:rFonts w:hint="default" w:ascii="Times New Roman" w:hAnsi="Times New Roman" w:eastAsia="宋体" w:cs="Times New Roman"/>
                <w:b/>
                <w:bCs/>
                <w:color w:val="auto"/>
                <w:sz w:val="24"/>
                <w:highlight w:val="none"/>
              </w:rPr>
              <w:t>0</w:t>
            </w:r>
            <w:r>
              <w:rPr>
                <w:rFonts w:hint="default" w:ascii="Times New Roman" w:hAnsi="Times New Roman" w:eastAsia="宋体" w:cs="Times New Roman"/>
                <w:b/>
                <w:bCs/>
                <w:color w:val="auto"/>
                <w:sz w:val="24"/>
                <w:highlight w:val="none"/>
                <w:lang w:eastAsia="zh-CN"/>
              </w:rPr>
              <w:t>kV</w:t>
            </w:r>
            <w:r>
              <w:rPr>
                <w:rFonts w:hint="default" w:ascii="Times New Roman" w:hAnsi="Times New Roman" w:eastAsia="宋体" w:cs="Times New Roman"/>
                <w:b/>
                <w:bCs/>
                <w:color w:val="auto"/>
                <w:sz w:val="24"/>
                <w:highlight w:val="none"/>
                <w:lang w:val="en-US" w:eastAsia="zh-CN"/>
              </w:rPr>
              <w:t>大草房</w:t>
            </w:r>
            <w:r>
              <w:rPr>
                <w:rFonts w:hint="default" w:ascii="Times New Roman" w:hAnsi="Times New Roman" w:eastAsia="宋体" w:cs="Times New Roman"/>
                <w:b/>
                <w:bCs/>
                <w:color w:val="auto"/>
                <w:sz w:val="24"/>
                <w:highlight w:val="none"/>
              </w:rPr>
              <w:t>升压站</w:t>
            </w:r>
            <w:r>
              <w:rPr>
                <w:rFonts w:hint="default" w:ascii="Times New Roman" w:hAnsi="Times New Roman" w:eastAsia="宋体" w:cs="Times New Roman"/>
                <w:b/>
                <w:bCs/>
                <w:color w:val="auto"/>
                <w:sz w:val="24"/>
                <w:highlight w:val="none"/>
                <w:lang w:val="en-US" w:eastAsia="zh-CN"/>
              </w:rPr>
              <w:t>平面</w:t>
            </w:r>
            <w:r>
              <w:rPr>
                <w:rFonts w:hint="default" w:ascii="Times New Roman" w:hAnsi="Times New Roman" w:eastAsia="宋体" w:cs="Times New Roman"/>
                <w:b/>
                <w:bCs/>
                <w:color w:val="auto"/>
                <w:sz w:val="24"/>
                <w:highlight w:val="none"/>
              </w:rPr>
              <w:t>示意图</w:t>
            </w:r>
          </w:p>
          <w:p w14:paraId="5EBAF964">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eastAsia="宋体" w:cs="Times New Roman"/>
                <w:b/>
                <w:bCs/>
                <w:color w:val="auto"/>
                <w:sz w:val="24"/>
                <w:lang w:val="en-US" w:eastAsia="zh-CN"/>
              </w:rPr>
            </w:pPr>
            <w:r>
              <w:rPr>
                <w:rFonts w:hint="default" w:ascii="Times New Roman" w:hAnsi="Times New Roman" w:cs="Times New Roman"/>
                <w:b/>
                <w:bCs/>
                <w:color w:val="auto"/>
                <w:sz w:val="24"/>
              </w:rPr>
              <w:t>（2）</w:t>
            </w:r>
            <w:r>
              <w:rPr>
                <w:rFonts w:hint="eastAsia" w:ascii="Times New Roman" w:hAnsi="Times New Roman" w:cs="Times New Roman"/>
                <w:b/>
                <w:bCs/>
                <w:color w:val="auto"/>
                <w:sz w:val="24"/>
                <w:lang w:val="en-US" w:eastAsia="zh-CN"/>
              </w:rPr>
              <w:t>220</w:t>
            </w:r>
            <w:r>
              <w:rPr>
                <w:rFonts w:hint="default" w:ascii="Times New Roman" w:hAnsi="Times New Roman" w:cs="Times New Roman"/>
                <w:b/>
                <w:bCs/>
                <w:color w:val="auto"/>
                <w:sz w:val="24"/>
                <w:lang w:eastAsia="zh-CN"/>
              </w:rPr>
              <w:t>kV</w:t>
            </w:r>
            <w:r>
              <w:rPr>
                <w:rFonts w:hint="eastAsia" w:ascii="Times New Roman" w:hAnsi="Times New Roman" w:cs="Times New Roman"/>
                <w:b/>
                <w:bCs/>
                <w:color w:val="auto"/>
                <w:sz w:val="24"/>
                <w:lang w:val="en-US" w:eastAsia="zh-CN"/>
              </w:rPr>
              <w:t>六合一升压站</w:t>
            </w:r>
          </w:p>
          <w:p w14:paraId="223C7721">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220kV六合一升压站位于会泽县乐业镇六合村西面山包上</w:t>
            </w:r>
            <w:r>
              <w:rPr>
                <w:rFonts w:hint="eastAsia" w:ascii="Times New Roman" w:hAnsi="Times New Roman" w:cs="Times New Roman"/>
                <w:b w:val="0"/>
                <w:bCs w:val="0"/>
                <w:color w:val="auto"/>
                <w:sz w:val="24"/>
                <w:szCs w:val="24"/>
                <w:lang w:val="en-US" w:eastAsia="zh-CN"/>
              </w:rPr>
              <w:t>，</w:t>
            </w:r>
            <w:r>
              <w:rPr>
                <w:rFonts w:hint="default" w:ascii="Times New Roman" w:hAnsi="Times New Roman" w:cs="Times New Roman"/>
                <w:b w:val="0"/>
                <w:bCs w:val="0"/>
                <w:color w:val="auto"/>
                <w:sz w:val="24"/>
                <w:szCs w:val="24"/>
                <w:lang w:val="en-US" w:eastAsia="zh-CN"/>
              </w:rPr>
              <w:t>由会泽华电道成清洁能源开发有限公司</w:t>
            </w:r>
            <w:r>
              <w:rPr>
                <w:rFonts w:hint="eastAsia" w:ascii="Times New Roman" w:hAnsi="Times New Roman" w:cs="Times New Roman"/>
                <w:b w:val="0"/>
                <w:bCs w:val="0"/>
                <w:color w:val="auto"/>
                <w:sz w:val="24"/>
                <w:szCs w:val="24"/>
                <w:lang w:val="en-US" w:eastAsia="zh-CN"/>
              </w:rPr>
              <w:t>（现更名：云南华电道成清洁能源有限公司）</w:t>
            </w:r>
            <w:r>
              <w:rPr>
                <w:rFonts w:hint="default" w:ascii="Times New Roman" w:hAnsi="Times New Roman" w:cs="Times New Roman"/>
                <w:b w:val="0"/>
                <w:bCs w:val="0"/>
                <w:color w:val="auto"/>
                <w:sz w:val="24"/>
                <w:szCs w:val="24"/>
                <w:lang w:val="en-US" w:eastAsia="zh-CN"/>
              </w:rPr>
              <w:t>负责投资建设及运行管理，预计2026年</w:t>
            </w:r>
            <w:r>
              <w:rPr>
                <w:rFonts w:hint="eastAsia" w:ascii="Times New Roman" w:hAnsi="Times New Roman" w:cs="Times New Roman"/>
                <w:b w:val="0"/>
                <w:bCs w:val="0"/>
                <w:color w:val="auto"/>
                <w:sz w:val="24"/>
                <w:szCs w:val="24"/>
                <w:lang w:val="en-US" w:eastAsia="zh-CN"/>
              </w:rPr>
              <w:t>12月</w:t>
            </w:r>
            <w:r>
              <w:rPr>
                <w:rFonts w:hint="default" w:ascii="Times New Roman" w:hAnsi="Times New Roman" w:cs="Times New Roman"/>
                <w:b w:val="0"/>
                <w:bCs w:val="0"/>
                <w:color w:val="auto"/>
                <w:sz w:val="24"/>
                <w:szCs w:val="24"/>
                <w:lang w:val="en-US" w:eastAsia="zh-CN"/>
              </w:rPr>
              <w:t>投产</w:t>
            </w:r>
            <w:r>
              <w:rPr>
                <w:rFonts w:hint="eastAsia" w:ascii="Times New Roman" w:hAnsi="Times New Roman" w:cs="Times New Roman"/>
                <w:b w:val="0"/>
                <w:bCs w:val="0"/>
                <w:color w:val="auto"/>
                <w:sz w:val="24"/>
                <w:szCs w:val="24"/>
                <w:lang w:val="en-US" w:eastAsia="zh-CN"/>
              </w:rPr>
              <w:t>，占地1.158hm</w:t>
            </w:r>
            <w:r>
              <w:rPr>
                <w:rFonts w:hint="eastAsia" w:ascii="Times New Roman" w:hAnsi="Times New Roman" w:cs="Times New Roman"/>
                <w:b w:val="0"/>
                <w:bCs w:val="0"/>
                <w:color w:val="auto"/>
                <w:sz w:val="24"/>
                <w:szCs w:val="24"/>
                <w:vertAlign w:val="superscript"/>
                <w:lang w:val="en-US" w:eastAsia="zh-CN"/>
              </w:rPr>
              <w:t>2</w:t>
            </w:r>
            <w:r>
              <w:rPr>
                <w:rFonts w:hint="eastAsia" w:ascii="Times New Roman" w:hAnsi="Times New Roman" w:cs="Times New Roman"/>
                <w:b w:val="0"/>
                <w:bCs w:val="0"/>
                <w:color w:val="auto"/>
                <w:sz w:val="24"/>
                <w:szCs w:val="24"/>
                <w:lang w:val="en-US" w:eastAsia="zh-CN"/>
              </w:rPr>
              <w:t>。</w:t>
            </w:r>
          </w:p>
          <w:p w14:paraId="5BBDC9A3">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①220kV六合一升压站概况</w:t>
            </w:r>
          </w:p>
          <w:p w14:paraId="528F8B83">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根据《乐业镇六合村一期光伏项目（复合型光伏发电项目）环境影响报告表》，新建1座220kV六合一升压站，1#主变压器容量240MVA，2#主变压器容量240MVA，3#主变压器容量280MVA；220kV六合一伏电站规划220kV出线间隔2个，位于升压站东北面，自西北向东南分别是500kV乐业变、备用，面对升压站从左到右相序为A、B、C110kV出线间隔1个，位于升压站东北角，为大草房光伏（本项目使用）；35kV仅作站用变和无功补偿装置用，不出线。</w:t>
            </w:r>
          </w:p>
          <w:p w14:paraId="12309C2D">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升压站220kV侧采用双母线接线，220kV侧终期出线2回。本期建成1回，预留1回；#1、#2主变35kV侧采用单母线扩大单元、两段母线接线，35kVⅠ、Ⅲ段母线各预留1个35kV间隔至系统，#2主变35kVⅣ段母线预留1段35kV试验母线供实证基地使用；#3主变110kV侧采用线变组接线，35kV侧采用单母线接线，本期一次建成。六合村一期光伏升压站35kV每段母线各装设1组SVG动态无功补偿装置</w:t>
            </w:r>
            <w:r>
              <w:rPr>
                <w:rFonts w:hint="eastAsia" w:ascii="Times New Roman" w:hAnsi="Times New Roman" w:cs="Times New Roman"/>
                <w:b w:val="0"/>
                <w:bCs w:val="0"/>
                <w:color w:val="auto"/>
                <w:sz w:val="24"/>
                <w:szCs w:val="24"/>
                <w:lang w:val="en-US" w:eastAsia="zh-CN"/>
              </w:rPr>
              <w:t>，35kV每段母线各预留1个间隔作为无源滤波装置接入。</w:t>
            </w:r>
          </w:p>
          <w:p w14:paraId="086F6C92">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lang w:val="en-US" w:eastAsia="zh-CN"/>
              </w:rPr>
              <w:t>22</w:t>
            </w:r>
            <w:r>
              <w:rPr>
                <w:rFonts w:hint="default" w:ascii="Times New Roman" w:hAnsi="Times New Roman" w:eastAsia="宋体" w:cs="Times New Roman"/>
                <w:b w:val="0"/>
                <w:bCs w:val="0"/>
                <w:color w:val="auto"/>
                <w:sz w:val="24"/>
                <w:szCs w:val="24"/>
                <w:lang w:val="en-US" w:eastAsia="zh-CN"/>
              </w:rPr>
              <w:t>0kV</w:t>
            </w:r>
            <w:r>
              <w:rPr>
                <w:rFonts w:hint="eastAsia" w:ascii="Times New Roman" w:hAnsi="Times New Roman" w:eastAsia="宋体" w:cs="Times New Roman"/>
                <w:b w:val="0"/>
                <w:bCs w:val="0"/>
                <w:color w:val="auto"/>
                <w:sz w:val="24"/>
                <w:szCs w:val="24"/>
                <w:lang w:val="en-US" w:eastAsia="zh-CN"/>
              </w:rPr>
              <w:t>六合一升压站</w:t>
            </w:r>
            <w:r>
              <w:rPr>
                <w:rFonts w:hint="default" w:ascii="Times New Roman" w:hAnsi="Times New Roman" w:eastAsia="宋体" w:cs="Times New Roman"/>
                <w:b w:val="0"/>
                <w:bCs w:val="0"/>
                <w:color w:val="auto"/>
                <w:sz w:val="24"/>
                <w:szCs w:val="24"/>
                <w:highlight w:val="none"/>
                <w:lang w:val="en-US" w:eastAsia="zh-CN"/>
              </w:rPr>
              <w:t>配套建设</w:t>
            </w:r>
            <w:r>
              <w:rPr>
                <w:rFonts w:hint="default" w:ascii="Times New Roman" w:hAnsi="Times New Roman" w:cs="Times New Roman"/>
                <w:b w:val="0"/>
                <w:bCs w:val="0"/>
                <w:color w:val="auto"/>
                <w:sz w:val="24"/>
                <w:szCs w:val="24"/>
                <w:highlight w:val="none"/>
                <w:lang w:val="en-US" w:eastAsia="zh-CN"/>
              </w:rPr>
              <w:t>同步</w:t>
            </w:r>
            <w:r>
              <w:rPr>
                <w:rFonts w:hint="default" w:ascii="Times New Roman" w:hAnsi="Times New Roman" w:eastAsia="宋体" w:cs="Times New Roman"/>
                <w:b w:val="0"/>
                <w:bCs w:val="0"/>
                <w:color w:val="auto"/>
                <w:sz w:val="24"/>
                <w:szCs w:val="24"/>
                <w:highlight w:val="none"/>
                <w:lang w:val="en-US" w:eastAsia="zh-CN"/>
              </w:rPr>
              <w:t>布置</w:t>
            </w:r>
            <w:r>
              <w:rPr>
                <w:rFonts w:hint="eastAsia" w:ascii="Times New Roman" w:hAnsi="Times New Roman" w:cs="Times New Roman"/>
                <w:b w:val="0"/>
                <w:bCs w:val="0"/>
                <w:color w:val="auto"/>
                <w:sz w:val="24"/>
                <w:szCs w:val="24"/>
                <w:highlight w:val="none"/>
                <w:lang w:val="en-US" w:eastAsia="zh-CN"/>
              </w:rPr>
              <w:t>主综合楼（2F）</w:t>
            </w:r>
            <w:r>
              <w:rPr>
                <w:rFonts w:ascii="Times New Roman" w:hAnsi="Times New Roman"/>
                <w:color w:val="auto"/>
                <w:sz w:val="24"/>
                <w:szCs w:val="24"/>
              </w:rPr>
              <w:t>地上</w:t>
            </w:r>
            <w:r>
              <w:rPr>
                <w:rFonts w:hint="eastAsia" w:ascii="Times New Roman" w:hAnsi="Times New Roman"/>
                <w:color w:val="auto"/>
                <w:sz w:val="24"/>
                <w:szCs w:val="24"/>
              </w:rPr>
              <w:t>2</w:t>
            </w:r>
            <w:r>
              <w:rPr>
                <w:rFonts w:ascii="Times New Roman" w:hAnsi="Times New Roman"/>
                <w:color w:val="auto"/>
                <w:sz w:val="24"/>
                <w:szCs w:val="24"/>
              </w:rPr>
              <w:t>层</w:t>
            </w:r>
            <w:r>
              <w:rPr>
                <w:rFonts w:hint="eastAsia" w:ascii="Times New Roman" w:hAnsi="Times New Roman"/>
                <w:color w:val="auto"/>
                <w:sz w:val="24"/>
                <w:szCs w:val="24"/>
              </w:rPr>
              <w:t>钢筋混凝土框架结构，建筑</w:t>
            </w:r>
            <w:r>
              <w:rPr>
                <w:rFonts w:ascii="Times New Roman" w:hAnsi="Times New Roman"/>
                <w:color w:val="auto"/>
                <w:sz w:val="24"/>
                <w:szCs w:val="24"/>
              </w:rPr>
              <w:t>面积1166.74m</w:t>
            </w:r>
            <w:r>
              <w:rPr>
                <w:rFonts w:ascii="Times New Roman" w:hAnsi="Times New Roman"/>
                <w:color w:val="auto"/>
                <w:sz w:val="24"/>
                <w:szCs w:val="24"/>
                <w:vertAlign w:val="superscript"/>
              </w:rPr>
              <w:t>2</w:t>
            </w:r>
            <w:r>
              <w:rPr>
                <w:rFonts w:ascii="Times New Roman" w:hAnsi="Times New Roman"/>
                <w:color w:val="auto"/>
                <w:sz w:val="24"/>
                <w:szCs w:val="24"/>
              </w:rPr>
              <w:t>，</w:t>
            </w:r>
            <w:r>
              <w:rPr>
                <w:rFonts w:hint="eastAsia" w:ascii="Times New Roman" w:hAnsi="Times New Roman"/>
                <w:color w:val="auto"/>
                <w:sz w:val="24"/>
                <w:szCs w:val="24"/>
              </w:rPr>
              <w:t>占地</w:t>
            </w:r>
            <w:r>
              <w:rPr>
                <w:rFonts w:ascii="Times New Roman" w:hAnsi="Times New Roman"/>
                <w:color w:val="auto"/>
                <w:sz w:val="24"/>
                <w:szCs w:val="24"/>
              </w:rPr>
              <w:t>583.37m</w:t>
            </w:r>
            <w:r>
              <w:rPr>
                <w:rFonts w:ascii="Times New Roman" w:hAnsi="Times New Roman"/>
                <w:color w:val="auto"/>
                <w:sz w:val="24"/>
                <w:szCs w:val="24"/>
                <w:vertAlign w:val="superscript"/>
              </w:rPr>
              <w:t>2</w:t>
            </w:r>
            <w:r>
              <w:rPr>
                <w:rFonts w:hint="eastAsia" w:ascii="Times New Roman" w:hAnsi="Times New Roman"/>
                <w:color w:val="auto"/>
                <w:sz w:val="24"/>
                <w:szCs w:val="24"/>
              </w:rPr>
              <w:t>。以</w:t>
            </w:r>
            <w:r>
              <w:rPr>
                <w:rFonts w:ascii="Times New Roman" w:hAnsi="Times New Roman"/>
                <w:color w:val="auto"/>
                <w:sz w:val="24"/>
                <w:szCs w:val="24"/>
              </w:rPr>
              <w:t>生活功能</w:t>
            </w:r>
            <w:r>
              <w:rPr>
                <w:rFonts w:hint="eastAsia" w:ascii="Times New Roman" w:hAnsi="Times New Roman"/>
                <w:color w:val="auto"/>
                <w:sz w:val="24"/>
                <w:szCs w:val="24"/>
              </w:rPr>
              <w:t>为主</w:t>
            </w:r>
            <w:r>
              <w:rPr>
                <w:rFonts w:ascii="Times New Roman" w:hAnsi="Times New Roman"/>
                <w:color w:val="auto"/>
                <w:sz w:val="24"/>
                <w:szCs w:val="24"/>
              </w:rPr>
              <w:t>。含</w:t>
            </w:r>
            <w:r>
              <w:rPr>
                <w:rFonts w:hint="eastAsia" w:ascii="Times New Roman" w:hAnsi="Times New Roman"/>
                <w:color w:val="auto"/>
                <w:sz w:val="24"/>
                <w:szCs w:val="24"/>
              </w:rPr>
              <w:t>继保室、中控室、办公、</w:t>
            </w:r>
            <w:r>
              <w:rPr>
                <w:rFonts w:ascii="Times New Roman" w:hAnsi="Times New Roman"/>
                <w:color w:val="auto"/>
                <w:sz w:val="24"/>
                <w:szCs w:val="24"/>
              </w:rPr>
              <w:t>宿舍、</w:t>
            </w:r>
            <w:r>
              <w:rPr>
                <w:rFonts w:hint="eastAsia" w:ascii="Times New Roman" w:hAnsi="Times New Roman"/>
                <w:color w:val="auto"/>
                <w:sz w:val="24"/>
                <w:szCs w:val="24"/>
              </w:rPr>
              <w:t>餐厅、厨房、会议室</w:t>
            </w:r>
            <w:r>
              <w:rPr>
                <w:rFonts w:ascii="Times New Roman" w:hAnsi="Times New Roman"/>
                <w:color w:val="auto"/>
                <w:sz w:val="24"/>
                <w:szCs w:val="24"/>
              </w:rPr>
              <w:t>等</w:t>
            </w:r>
            <w:r>
              <w:rPr>
                <w:rFonts w:hint="default" w:ascii="Times New Roman" w:hAnsi="Times New Roman" w:eastAsia="宋体" w:cs="Times New Roman"/>
                <w:b w:val="0"/>
                <w:bCs w:val="0"/>
                <w:color w:val="auto"/>
                <w:sz w:val="24"/>
                <w:szCs w:val="24"/>
                <w:highlight w:val="none"/>
                <w:lang w:val="en-US" w:eastAsia="zh-CN"/>
              </w:rPr>
              <w:t>。升压站区在每台主变压器下方设置10m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事故油坑，在升压站主变压器附近</w:t>
            </w:r>
            <w:r>
              <w:rPr>
                <w:rFonts w:hint="eastAsia" w:ascii="Times New Roman" w:hAnsi="Times New Roman" w:eastAsia="宋体" w:cs="Times New Roman"/>
                <w:b w:val="0"/>
                <w:bCs w:val="0"/>
                <w:color w:val="auto"/>
                <w:sz w:val="24"/>
                <w:szCs w:val="24"/>
                <w:highlight w:val="none"/>
                <w:lang w:val="en-US" w:eastAsia="zh-CN"/>
              </w:rPr>
              <w:t>设置</w:t>
            </w:r>
            <w:r>
              <w:rPr>
                <w:rFonts w:hint="default" w:ascii="Times New Roman" w:hAnsi="Times New Roman" w:eastAsia="宋体" w:cs="Times New Roman"/>
                <w:b w:val="0"/>
                <w:bCs w:val="0"/>
                <w:color w:val="auto"/>
                <w:sz w:val="24"/>
                <w:szCs w:val="24"/>
                <w:highlight w:val="none"/>
                <w:lang w:val="en-US" w:eastAsia="zh-CN"/>
              </w:rPr>
              <w:t>1个事故油池，钢筋混凝土结构并进行防渗处理，容积不低于47m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。48台箱式变压器下方均设置1座3m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的地埋式事故油池。</w:t>
            </w:r>
            <w:r>
              <w:rPr>
                <w:rFonts w:hint="default" w:ascii="Times New Roman" w:hAnsi="Times New Roman" w:cs="Times New Roman"/>
                <w:b w:val="0"/>
                <w:bCs w:val="0"/>
                <w:color w:val="auto"/>
                <w:sz w:val="24"/>
                <w:szCs w:val="24"/>
                <w:highlight w:val="none"/>
                <w:lang w:val="en-US" w:eastAsia="zh-CN"/>
              </w:rPr>
              <w:t>一体化污水处理站（处理能力为</w:t>
            </w:r>
            <w:r>
              <w:rPr>
                <w:rFonts w:hint="eastAsia" w:ascii="Times New Roman" w:hAnsi="Times New Roman" w:cs="Times New Roman"/>
                <w:b w:val="0"/>
                <w:bCs w:val="0"/>
                <w:color w:val="auto"/>
                <w:sz w:val="24"/>
                <w:szCs w:val="24"/>
                <w:highlight w:val="none"/>
                <w:lang w:val="en-US" w:eastAsia="zh-CN"/>
              </w:rPr>
              <w:t>2</w:t>
            </w:r>
            <w:r>
              <w:rPr>
                <w:rFonts w:hint="default" w:ascii="Times New Roman" w:hAnsi="Times New Roman" w:cs="Times New Roman"/>
                <w:b w:val="0"/>
                <w:bCs w:val="0"/>
                <w:color w:val="auto"/>
                <w:sz w:val="24"/>
                <w:szCs w:val="24"/>
                <w:highlight w:val="none"/>
                <w:lang w:val="en-US" w:eastAsia="zh-CN"/>
              </w:rPr>
              <w:t>m</w:t>
            </w:r>
            <w:r>
              <w:rPr>
                <w:rFonts w:hint="default" w:ascii="Times New Roman" w:hAnsi="Times New Roman" w:cs="Times New Roman"/>
                <w:b w:val="0"/>
                <w:bCs w:val="0"/>
                <w:color w:val="auto"/>
                <w:sz w:val="24"/>
                <w:szCs w:val="24"/>
                <w:highlight w:val="none"/>
                <w:vertAlign w:val="superscript"/>
                <w:lang w:val="en-US" w:eastAsia="zh-CN"/>
              </w:rPr>
              <w:t>3</w:t>
            </w:r>
            <w:r>
              <w:rPr>
                <w:rFonts w:hint="default" w:ascii="Times New Roman" w:hAnsi="Times New Roman" w:cs="Times New Roman"/>
                <w:b w:val="0"/>
                <w:bCs w:val="0"/>
                <w:color w:val="auto"/>
                <w:sz w:val="24"/>
                <w:szCs w:val="24"/>
                <w:highlight w:val="none"/>
                <w:lang w:val="en-US" w:eastAsia="zh-CN"/>
              </w:rPr>
              <w:t>/d</w:t>
            </w:r>
            <w:r>
              <w:rPr>
                <w:rFonts w:hint="eastAsia" w:ascii="Times New Roman" w:hAnsi="Times New Roman" w:cs="Times New Roman"/>
                <w:b w:val="0"/>
                <w:bCs w:val="0"/>
                <w:color w:val="auto"/>
                <w:sz w:val="24"/>
                <w:szCs w:val="24"/>
                <w:highlight w:val="none"/>
                <w:lang w:val="en-US" w:eastAsia="zh-CN"/>
              </w:rPr>
              <w:t>，采用“MBR”工艺，配套化粪池及回用水池</w:t>
            </w:r>
            <w:r>
              <w:rPr>
                <w:rFonts w:hint="default" w:ascii="Times New Roman" w:hAnsi="Times New Roman" w:cs="Times New Roman"/>
                <w:b w:val="0"/>
                <w:bCs w:val="0"/>
                <w:color w:val="auto"/>
                <w:sz w:val="24"/>
                <w:szCs w:val="24"/>
                <w:highlight w:val="none"/>
                <w:lang w:val="en-US" w:eastAsia="zh-CN"/>
              </w:rPr>
              <w:t>）及危废暂存间（1间</w:t>
            </w:r>
            <w:r>
              <w:rPr>
                <w:rFonts w:hint="eastAsia" w:ascii="Times New Roman" w:hAnsi="Times New Roman" w:cs="Times New Roman"/>
                <w:b w:val="0"/>
                <w:bCs w:val="0"/>
                <w:color w:val="auto"/>
                <w:sz w:val="24"/>
                <w:szCs w:val="24"/>
                <w:highlight w:val="none"/>
                <w:lang w:val="en-US" w:eastAsia="zh-CN"/>
              </w:rPr>
              <w:t>20</w:t>
            </w:r>
            <w:r>
              <w:rPr>
                <w:rFonts w:hint="default" w:ascii="Times New Roman" w:hAnsi="Times New Roman" w:cs="Times New Roman"/>
                <w:b w:val="0"/>
                <w:bCs w:val="0"/>
                <w:color w:val="auto"/>
                <w:sz w:val="24"/>
                <w:szCs w:val="24"/>
                <w:highlight w:val="none"/>
                <w:lang w:val="en-US" w:eastAsia="zh-CN"/>
              </w:rPr>
              <w:t>m</w:t>
            </w:r>
            <w:r>
              <w:rPr>
                <w:rFonts w:hint="default" w:ascii="Times New Roman" w:hAnsi="Times New Roman" w:cs="Times New Roman"/>
                <w:b w:val="0"/>
                <w:bCs w:val="0"/>
                <w:color w:val="auto"/>
                <w:sz w:val="24"/>
                <w:szCs w:val="24"/>
                <w:highlight w:val="none"/>
                <w:vertAlign w:val="superscript"/>
                <w:lang w:val="en-US" w:eastAsia="zh-CN"/>
              </w:rPr>
              <w:t>2</w:t>
            </w:r>
            <w:r>
              <w:rPr>
                <w:rFonts w:hint="default" w:ascii="Times New Roman" w:hAnsi="Times New Roman" w:cs="Times New Roman"/>
                <w:b w:val="0"/>
                <w:bCs w:val="0"/>
                <w:color w:val="auto"/>
                <w:sz w:val="24"/>
                <w:szCs w:val="24"/>
                <w:highlight w:val="none"/>
                <w:lang w:val="en-US" w:eastAsia="zh-CN"/>
              </w:rPr>
              <w:t>）等环保工程</w:t>
            </w:r>
            <w:r>
              <w:rPr>
                <w:rFonts w:hint="default" w:ascii="Times New Roman" w:hAnsi="Times New Roman" w:eastAsia="宋体" w:cs="Times New Roman"/>
                <w:b w:val="0"/>
                <w:bCs w:val="0"/>
                <w:color w:val="auto"/>
                <w:sz w:val="24"/>
                <w:szCs w:val="24"/>
                <w:highlight w:val="none"/>
                <w:lang w:val="en-US" w:eastAsia="zh-CN"/>
              </w:rPr>
              <w:t>。</w:t>
            </w:r>
          </w:p>
          <w:p w14:paraId="6227BD0C">
            <w:pPr>
              <w:pStyle w:val="2"/>
              <w:rPr>
                <w:rFonts w:hint="default" w:ascii="Times New Roman" w:hAnsi="Times New Roman" w:eastAsia="宋体" w:cs="Times New Roman"/>
                <w:b w:val="0"/>
                <w:bCs w:val="0"/>
                <w:color w:val="auto"/>
                <w:sz w:val="24"/>
                <w:szCs w:val="24"/>
                <w:highlight w:val="none"/>
                <w:lang w:val="en-US" w:eastAsia="zh-CN"/>
              </w:rPr>
            </w:pPr>
          </w:p>
          <w:p w14:paraId="3E6C22F8">
            <w:pPr>
              <w:pStyle w:val="2"/>
              <w:rPr>
                <w:rFonts w:hint="default" w:ascii="Times New Roman" w:hAnsi="Times New Roman" w:eastAsia="宋体" w:cs="Times New Roman"/>
                <w:b w:val="0"/>
                <w:bCs w:val="0"/>
                <w:color w:val="auto"/>
                <w:sz w:val="24"/>
                <w:szCs w:val="24"/>
                <w:highlight w:val="none"/>
                <w:lang w:val="en-US" w:eastAsia="zh-CN"/>
              </w:rPr>
            </w:pPr>
          </w:p>
          <w:p w14:paraId="1FA1C0E9">
            <w:pPr>
              <w:pStyle w:val="2"/>
              <w:rPr>
                <w:rFonts w:hint="default" w:ascii="Times New Roman" w:hAnsi="Times New Roman" w:eastAsia="宋体" w:cs="Times New Roman"/>
                <w:b w:val="0"/>
                <w:bCs w:val="0"/>
                <w:color w:val="auto"/>
                <w:sz w:val="24"/>
                <w:szCs w:val="24"/>
                <w:highlight w:val="none"/>
                <w:lang w:val="en-US" w:eastAsia="zh-CN"/>
              </w:rPr>
            </w:pPr>
          </w:p>
          <w:p w14:paraId="242C187A">
            <w:pPr>
              <w:pStyle w:val="2"/>
              <w:rPr>
                <w:rFonts w:hint="default" w:ascii="Times New Roman" w:hAnsi="Times New Roman" w:eastAsia="宋体" w:cs="Times New Roman"/>
                <w:b w:val="0"/>
                <w:bCs w:val="0"/>
                <w:color w:val="auto"/>
                <w:sz w:val="24"/>
                <w:szCs w:val="24"/>
                <w:highlight w:val="none"/>
                <w:lang w:val="en-US" w:eastAsia="zh-CN"/>
              </w:rPr>
            </w:pPr>
          </w:p>
          <w:p w14:paraId="7165A79A">
            <w:pPr>
              <w:pStyle w:val="2"/>
              <w:rPr>
                <w:rFonts w:hint="default" w:ascii="Times New Roman" w:hAnsi="Times New Roman" w:eastAsia="宋体" w:cs="Times New Roman"/>
                <w:b w:val="0"/>
                <w:bCs w:val="0"/>
                <w:color w:val="auto"/>
                <w:sz w:val="24"/>
                <w:szCs w:val="24"/>
                <w:highlight w:val="none"/>
                <w:lang w:val="en-US" w:eastAsia="zh-CN"/>
              </w:rPr>
            </w:pPr>
          </w:p>
          <w:p w14:paraId="59BC6E06">
            <w:pPr>
              <w:pStyle w:val="61"/>
              <w:keepNext w:val="0"/>
              <w:keepLines w:val="0"/>
              <w:pageBreakBefore w:val="0"/>
              <w:widowControl/>
              <w:kinsoku/>
              <w:wordWrap w:val="0"/>
              <w:overflowPunct/>
              <w:topLinePunct w:val="0"/>
              <w:autoSpaceDE/>
              <w:autoSpaceDN/>
              <w:bidi w:val="0"/>
              <w:adjustRightInd w:val="0"/>
              <w:snapToGrid w:val="0"/>
              <w:spacing w:before="0" w:after="0" w:line="240" w:lineRule="auto"/>
              <w:ind w:left="0" w:leftChars="0" w:right="0" w:firstLine="0" w:firstLineChars="0"/>
              <w:jc w:val="center"/>
              <w:textAlignment w:val="auto"/>
              <w:rPr>
                <w:color w:val="auto"/>
              </w:rPr>
            </w:pPr>
            <w:r>
              <w:rPr>
                <w:color w:val="auto"/>
              </w:rPr>
              <w:drawing>
                <wp:inline distT="0" distB="0" distL="114300" distR="114300">
                  <wp:extent cx="4939665" cy="3118485"/>
                  <wp:effectExtent l="0" t="0" r="0" b="0"/>
                  <wp:docPr id="116"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84"/>
                          <pic:cNvPicPr>
                            <a:picLocks noChangeAspect="1"/>
                          </pic:cNvPicPr>
                        </pic:nvPicPr>
                        <pic:blipFill>
                          <a:blip r:embed="rId26"/>
                          <a:stretch>
                            <a:fillRect/>
                          </a:stretch>
                        </pic:blipFill>
                        <pic:spPr>
                          <a:xfrm>
                            <a:off x="0" y="0"/>
                            <a:ext cx="4939665" cy="3118485"/>
                          </a:xfrm>
                          <a:prstGeom prst="rect">
                            <a:avLst/>
                          </a:prstGeom>
                          <a:noFill/>
                          <a:ln>
                            <a:noFill/>
                          </a:ln>
                        </pic:spPr>
                      </pic:pic>
                    </a:graphicData>
                  </a:graphic>
                </wp:inline>
              </w:drawing>
            </w:r>
          </w:p>
          <w:p w14:paraId="2B40B28A">
            <w:pPr>
              <w:pStyle w:val="61"/>
              <w:keepNext w:val="0"/>
              <w:keepLines w:val="0"/>
              <w:pageBreakBefore w:val="0"/>
              <w:widowControl/>
              <w:kinsoku/>
              <w:wordWrap w:val="0"/>
              <w:overflowPunct/>
              <w:topLinePunct w:val="0"/>
              <w:autoSpaceDE/>
              <w:autoSpaceDN/>
              <w:bidi w:val="0"/>
              <w:adjustRightInd w:val="0"/>
              <w:snapToGrid w:val="0"/>
              <w:spacing w:before="0" w:after="0" w:line="240" w:lineRule="auto"/>
              <w:ind w:left="0" w:leftChars="0" w:right="0" w:firstLine="0" w:firstLineChars="0"/>
              <w:jc w:val="center"/>
              <w:textAlignment w:val="auto"/>
              <w:rPr>
                <w:rFonts w:hint="default" w:ascii="Times New Roman" w:hAnsi="Times New Roman" w:eastAsia="宋体" w:cs="Times New Roman"/>
                <w:b/>
                <w:bCs/>
                <w:i w:val="0"/>
                <w:iCs/>
                <w:color w:val="auto"/>
                <w:sz w:val="24"/>
                <w:highlight w:val="none"/>
                <w:lang w:val="en-US" w:eastAsia="zh-CN"/>
              </w:rPr>
            </w:pPr>
            <w:r>
              <w:rPr>
                <w:rFonts w:hint="default" w:ascii="Times New Roman" w:hAnsi="Times New Roman" w:eastAsia="宋体" w:cs="Times New Roman"/>
                <w:b/>
                <w:bCs/>
                <w:i w:val="0"/>
                <w:iCs/>
                <w:color w:val="auto"/>
                <w:sz w:val="24"/>
                <w:highlight w:val="none"/>
                <w:lang w:val="en-US" w:eastAsia="zh-CN"/>
              </w:rPr>
              <w:t>图2-</w:t>
            </w:r>
            <w:r>
              <w:rPr>
                <w:rFonts w:hint="eastAsia" w:cs="Times New Roman"/>
                <w:b/>
                <w:bCs/>
                <w:i w:val="0"/>
                <w:iCs/>
                <w:color w:val="auto"/>
                <w:sz w:val="24"/>
                <w:highlight w:val="none"/>
                <w:lang w:val="en-US" w:eastAsia="zh-CN"/>
              </w:rPr>
              <w:t>3</w:t>
            </w:r>
            <w:r>
              <w:rPr>
                <w:rFonts w:hint="default" w:ascii="Times New Roman" w:hAnsi="Times New Roman" w:eastAsia="宋体" w:cs="Times New Roman"/>
                <w:b/>
                <w:bCs/>
                <w:i w:val="0"/>
                <w:iCs/>
                <w:color w:val="auto"/>
                <w:sz w:val="24"/>
                <w:highlight w:val="none"/>
                <w:lang w:val="en-US" w:eastAsia="zh-CN"/>
              </w:rPr>
              <w:t xml:space="preserve">  </w:t>
            </w:r>
            <w:r>
              <w:rPr>
                <w:rFonts w:hint="eastAsia" w:ascii="Times New Roman" w:hAnsi="Times New Roman" w:eastAsia="宋体" w:cs="Times New Roman"/>
                <w:b/>
                <w:bCs/>
                <w:i w:val="0"/>
                <w:iCs/>
                <w:color w:val="auto"/>
                <w:sz w:val="24"/>
                <w:highlight w:val="none"/>
                <w:lang w:val="en-US" w:eastAsia="zh-CN"/>
              </w:rPr>
              <w:t>22</w:t>
            </w:r>
            <w:r>
              <w:rPr>
                <w:rFonts w:hint="default" w:ascii="Times New Roman" w:hAnsi="Times New Roman" w:eastAsia="宋体" w:cs="Times New Roman"/>
                <w:b/>
                <w:bCs/>
                <w:i w:val="0"/>
                <w:iCs/>
                <w:color w:val="auto"/>
                <w:sz w:val="24"/>
                <w:highlight w:val="none"/>
                <w:lang w:val="en-US" w:eastAsia="zh-CN"/>
              </w:rPr>
              <w:t>0k</w:t>
            </w:r>
            <w:r>
              <w:rPr>
                <w:rFonts w:hint="eastAsia" w:ascii="Times New Roman" w:hAnsi="Times New Roman" w:eastAsia="宋体" w:cs="Times New Roman"/>
                <w:b/>
                <w:bCs/>
                <w:i w:val="0"/>
                <w:iCs/>
                <w:color w:val="auto"/>
                <w:sz w:val="24"/>
                <w:highlight w:val="none"/>
                <w:lang w:val="en-US" w:eastAsia="zh-CN"/>
              </w:rPr>
              <w:t>V六合一升压</w:t>
            </w:r>
            <w:r>
              <w:rPr>
                <w:rFonts w:hint="default" w:ascii="Times New Roman" w:hAnsi="Times New Roman" w:eastAsia="宋体" w:cs="Times New Roman"/>
                <w:b/>
                <w:bCs/>
                <w:i w:val="0"/>
                <w:iCs/>
                <w:color w:val="auto"/>
                <w:sz w:val="24"/>
                <w:highlight w:val="none"/>
                <w:lang w:val="en-US" w:eastAsia="zh-CN"/>
              </w:rPr>
              <w:t>站</w:t>
            </w:r>
            <w:r>
              <w:rPr>
                <w:rFonts w:hint="default" w:ascii="Times New Roman" w:hAnsi="Times New Roman" w:eastAsia="宋体" w:cs="Times New Roman"/>
                <w:b/>
                <w:bCs/>
                <w:i w:val="0"/>
                <w:iCs/>
                <w:color w:val="auto"/>
                <w:sz w:val="24"/>
                <w:highlight w:val="none"/>
              </w:rPr>
              <w:t>电气主接线</w:t>
            </w:r>
            <w:r>
              <w:rPr>
                <w:rFonts w:hint="default" w:ascii="Times New Roman" w:hAnsi="Times New Roman" w:eastAsia="宋体" w:cs="Times New Roman"/>
                <w:b/>
                <w:bCs/>
                <w:i w:val="0"/>
                <w:iCs/>
                <w:color w:val="auto"/>
                <w:sz w:val="24"/>
                <w:highlight w:val="none"/>
                <w:lang w:val="en-US" w:eastAsia="zh-CN"/>
              </w:rPr>
              <w:t>示意图</w:t>
            </w:r>
          </w:p>
          <w:p w14:paraId="122DA55A">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②环保手续履行情况</w:t>
            </w:r>
          </w:p>
          <w:p w14:paraId="525C66B2">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乐业镇六合村一期光伏项目（复合型光伏发电项目）由云南六方合源环保科技有限公司于2022年8月编制完成《乐业镇六合村一期光伏项目（复合型光伏发电项目）环境影响报告表》（报批稿），于2022年8月25日取得曲靖市生态环境局关于乐业镇六合村一期光伏项目（复合型光伏发电项目）环境影响报告表的批复（曲环审〔2022〕44号）。</w:t>
            </w:r>
            <w:r>
              <w:rPr>
                <w:rFonts w:hint="default" w:ascii="Times New Roman" w:hAnsi="Times New Roman" w:cs="Times New Roman"/>
                <w:b w:val="0"/>
                <w:bCs w:val="0"/>
                <w:color w:val="auto"/>
                <w:sz w:val="24"/>
                <w:szCs w:val="24"/>
                <w:highlight w:val="none"/>
                <w:lang w:val="en-US" w:eastAsia="zh-CN"/>
              </w:rPr>
              <w:t>目前，</w:t>
            </w:r>
            <w:r>
              <w:rPr>
                <w:rFonts w:hint="eastAsia" w:ascii="Times New Roman" w:hAnsi="Times New Roman" w:cs="Times New Roman"/>
                <w:b w:val="0"/>
                <w:bCs w:val="0"/>
                <w:color w:val="auto"/>
                <w:sz w:val="24"/>
                <w:szCs w:val="24"/>
                <w:highlight w:val="none"/>
                <w:lang w:val="en-US" w:eastAsia="zh-CN"/>
              </w:rPr>
              <w:t>22</w:t>
            </w:r>
            <w:r>
              <w:rPr>
                <w:rFonts w:hint="default" w:ascii="Times New Roman" w:hAnsi="Times New Roman" w:cs="Times New Roman"/>
                <w:b w:val="0"/>
                <w:bCs w:val="0"/>
                <w:color w:val="auto"/>
                <w:sz w:val="24"/>
                <w:szCs w:val="24"/>
                <w:highlight w:val="none"/>
                <w:lang w:val="en-US" w:eastAsia="zh-CN"/>
              </w:rPr>
              <w:t>0kV</w:t>
            </w:r>
            <w:r>
              <w:rPr>
                <w:rFonts w:hint="eastAsia" w:ascii="Times New Roman" w:hAnsi="Times New Roman" w:cs="Times New Roman"/>
                <w:b w:val="0"/>
                <w:bCs w:val="0"/>
                <w:color w:val="auto"/>
                <w:sz w:val="24"/>
                <w:szCs w:val="24"/>
                <w:highlight w:val="none"/>
                <w:lang w:val="en-US" w:eastAsia="zh-CN"/>
              </w:rPr>
              <w:t>六合一升压站</w:t>
            </w:r>
            <w:r>
              <w:rPr>
                <w:rFonts w:hint="default" w:ascii="Times New Roman" w:hAnsi="Times New Roman" w:cs="Times New Roman"/>
                <w:b w:val="0"/>
                <w:bCs w:val="0"/>
                <w:color w:val="auto"/>
                <w:sz w:val="24"/>
                <w:szCs w:val="24"/>
                <w:highlight w:val="none"/>
                <w:lang w:val="en-US" w:eastAsia="zh-CN"/>
              </w:rPr>
              <w:t>正在建设中，</w:t>
            </w:r>
            <w:r>
              <w:rPr>
                <w:rFonts w:hint="eastAsia" w:ascii="Times New Roman" w:hAnsi="Times New Roman" w:cs="Times New Roman"/>
                <w:b w:val="0"/>
                <w:bCs w:val="0"/>
                <w:color w:val="auto"/>
                <w:sz w:val="24"/>
                <w:szCs w:val="24"/>
                <w:highlight w:val="none"/>
                <w:lang w:val="en-US" w:eastAsia="zh-CN"/>
              </w:rPr>
              <w:t>尚</w:t>
            </w:r>
            <w:r>
              <w:rPr>
                <w:rFonts w:hint="default" w:ascii="Times New Roman" w:hAnsi="Times New Roman" w:cs="Times New Roman"/>
                <w:b w:val="0"/>
                <w:bCs w:val="0"/>
                <w:color w:val="auto"/>
                <w:sz w:val="24"/>
                <w:szCs w:val="24"/>
                <w:highlight w:val="none"/>
                <w:lang w:val="en-US" w:eastAsia="zh-CN"/>
              </w:rPr>
              <w:t>未完工，未开展竣工环保验收工作。</w:t>
            </w:r>
          </w:p>
          <w:p w14:paraId="260C6486">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③环保措施</w:t>
            </w:r>
          </w:p>
          <w:p w14:paraId="53C7E87D">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w:t>
            </w:r>
            <w:r>
              <w:rPr>
                <w:rFonts w:hint="default" w:ascii="Times New Roman" w:hAnsi="Times New Roman" w:cs="Times New Roman"/>
                <w:color w:val="auto"/>
                <w:sz w:val="24"/>
                <w:szCs w:val="24"/>
                <w:lang w:val="en-US" w:eastAsia="zh-CN"/>
              </w:rPr>
              <w:t>废水措施</w:t>
            </w:r>
          </w:p>
          <w:p w14:paraId="35F8C1AE">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升压站</w:t>
            </w:r>
            <w:r>
              <w:rPr>
                <w:rFonts w:hint="default" w:ascii="Times New Roman" w:hAnsi="Times New Roman" w:cs="Times New Roman"/>
                <w:color w:val="auto"/>
                <w:sz w:val="24"/>
                <w:szCs w:val="24"/>
                <w:lang w:val="en-US" w:eastAsia="zh-CN"/>
              </w:rPr>
              <w:t>采用雨污分流制排水系统，站内设置雨水口收集地面雨水排入雨水管道，最后排向站外冲沟。站区生活污水经地埋式一体化设施处理后回用绿化</w:t>
            </w:r>
            <w:r>
              <w:rPr>
                <w:rFonts w:hint="eastAsia" w:ascii="Times New Roman" w:hAnsi="Times New Roman" w:cs="Times New Roman"/>
                <w:color w:val="auto"/>
                <w:sz w:val="24"/>
                <w:szCs w:val="24"/>
                <w:lang w:val="en-US" w:eastAsia="zh-CN"/>
              </w:rPr>
              <w:t>、道路洒水降尘</w:t>
            </w:r>
            <w:r>
              <w:rPr>
                <w:rFonts w:hint="default"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eastAsia="zh-CN"/>
              </w:rPr>
              <w:t>不外排。</w:t>
            </w:r>
            <w:r>
              <w:rPr>
                <w:rFonts w:hint="default" w:ascii="Times New Roman" w:hAnsi="Times New Roman" w:cs="Times New Roman"/>
                <w:color w:val="auto"/>
                <w:sz w:val="24"/>
                <w:szCs w:val="24"/>
                <w:lang w:val="en-US" w:eastAsia="zh-CN"/>
              </w:rPr>
              <w:t>处理规模为</w:t>
            </w:r>
            <w:r>
              <w:rPr>
                <w:rFonts w:hint="eastAsia"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lang w:val="en-US" w:eastAsia="zh-CN"/>
              </w:rPr>
              <w:t>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cs="Times New Roman"/>
                <w:color w:val="auto"/>
                <w:sz w:val="24"/>
                <w:szCs w:val="24"/>
                <w:lang w:val="en-US" w:eastAsia="zh-CN"/>
              </w:rPr>
              <w:t>/d，推荐采用“</w:t>
            </w:r>
            <w:r>
              <w:rPr>
                <w:rFonts w:hint="eastAsia" w:ascii="Times New Roman" w:hAnsi="Times New Roman" w:cs="Times New Roman"/>
                <w:color w:val="auto"/>
                <w:sz w:val="24"/>
                <w:szCs w:val="24"/>
                <w:lang w:val="en-US" w:eastAsia="zh-CN"/>
              </w:rPr>
              <w:t>MBR</w:t>
            </w:r>
            <w:r>
              <w:rPr>
                <w:rFonts w:hint="default" w:ascii="Times New Roman" w:hAnsi="Times New Roman" w:cs="Times New Roman"/>
                <w:color w:val="auto"/>
                <w:sz w:val="24"/>
                <w:szCs w:val="24"/>
                <w:lang w:val="en-US" w:eastAsia="zh-CN"/>
              </w:rPr>
              <w:t>”工艺，配套化粪池及回用水池</w:t>
            </w:r>
            <w:r>
              <w:rPr>
                <w:rFonts w:hint="eastAsia" w:ascii="Times New Roman" w:hAnsi="Times New Roman" w:cs="Times New Roman"/>
                <w:color w:val="auto"/>
                <w:sz w:val="24"/>
                <w:szCs w:val="24"/>
                <w:lang w:val="en-US" w:eastAsia="zh-CN"/>
              </w:rPr>
              <w:t>。</w:t>
            </w:r>
          </w:p>
          <w:p w14:paraId="457BBE71">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w:t>
            </w:r>
            <w:r>
              <w:rPr>
                <w:rFonts w:hint="default" w:ascii="Times New Roman" w:hAnsi="Times New Roman" w:cs="Times New Roman"/>
                <w:color w:val="auto"/>
                <w:sz w:val="24"/>
                <w:szCs w:val="24"/>
                <w:lang w:val="en-US" w:eastAsia="zh-CN"/>
              </w:rPr>
              <w:t>固废措施</w:t>
            </w:r>
          </w:p>
          <w:p w14:paraId="13F6BD9C">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生活垃圾通过垃圾箱统一收集后，定期清运至当地垃圾收集点</w:t>
            </w:r>
            <w:r>
              <w:rPr>
                <w:rFonts w:hint="eastAsia" w:ascii="Times New Roman" w:hAnsi="Times New Roman" w:cs="Times New Roman"/>
                <w:color w:val="auto"/>
                <w:sz w:val="24"/>
                <w:szCs w:val="24"/>
                <w:lang w:val="en-US" w:eastAsia="zh-CN"/>
              </w:rPr>
              <w:t>；在巡维楼1层设1间危废暂存间（面积20m</w:t>
            </w:r>
            <w:r>
              <w:rPr>
                <w:rFonts w:hint="eastAsia" w:ascii="Times New Roman" w:hAnsi="Times New Roman" w:cs="Times New Roman"/>
                <w:color w:val="auto"/>
                <w:sz w:val="24"/>
                <w:szCs w:val="24"/>
                <w:vertAlign w:val="superscript"/>
                <w:lang w:val="en-US" w:eastAsia="zh-CN"/>
              </w:rPr>
              <w:t>2</w:t>
            </w:r>
            <w:r>
              <w:rPr>
                <w:rFonts w:hint="eastAsia" w:ascii="Times New Roman" w:hAnsi="Times New Roman" w:cs="Times New Roman"/>
                <w:color w:val="auto"/>
                <w:sz w:val="24"/>
                <w:szCs w:val="24"/>
                <w:lang w:val="en-US" w:eastAsia="zh-CN"/>
              </w:rPr>
              <w:t>），用于暂存危险废物（废蓄电池）</w:t>
            </w:r>
            <w:r>
              <w:rPr>
                <w:rFonts w:hint="default" w:ascii="Times New Roman" w:hAnsi="Times New Roman" w:eastAsia="宋体" w:cs="Times New Roman"/>
                <w:color w:val="auto"/>
                <w:sz w:val="24"/>
                <w:szCs w:val="24"/>
                <w:lang w:val="en-US" w:eastAsia="zh-CN"/>
              </w:rPr>
              <w:t>。</w:t>
            </w:r>
          </w:p>
          <w:p w14:paraId="0D75801F">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3）环境风险</w:t>
            </w:r>
          </w:p>
          <w:p w14:paraId="31999EBE">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val="0"/>
                <w:bCs w:val="0"/>
                <w:color w:val="auto"/>
                <w:sz w:val="24"/>
                <w:szCs w:val="24"/>
                <w:highlight w:val="none"/>
                <w:lang w:val="en-US" w:eastAsia="zh-CN"/>
              </w:rPr>
              <w:t>升压站区在每台主变压器下方设置10m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事故油坑，在升压站主变压器附近</w:t>
            </w:r>
            <w:r>
              <w:rPr>
                <w:rFonts w:hint="eastAsia" w:ascii="Times New Roman" w:hAnsi="Times New Roman" w:eastAsia="宋体" w:cs="Times New Roman"/>
                <w:b w:val="0"/>
                <w:bCs w:val="0"/>
                <w:color w:val="auto"/>
                <w:sz w:val="24"/>
                <w:szCs w:val="24"/>
                <w:highlight w:val="none"/>
                <w:lang w:val="en-US" w:eastAsia="zh-CN"/>
              </w:rPr>
              <w:t>设置</w:t>
            </w:r>
            <w:r>
              <w:rPr>
                <w:rFonts w:hint="default" w:ascii="Times New Roman" w:hAnsi="Times New Roman" w:eastAsia="宋体" w:cs="Times New Roman"/>
                <w:b w:val="0"/>
                <w:bCs w:val="0"/>
                <w:color w:val="auto"/>
                <w:sz w:val="24"/>
                <w:szCs w:val="24"/>
                <w:highlight w:val="none"/>
                <w:lang w:val="en-US" w:eastAsia="zh-CN"/>
              </w:rPr>
              <w:t>1个事故油池，钢筋混凝土结构并进行防渗处理，容积不低于47m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w:t>
            </w:r>
            <w:r>
              <w:rPr>
                <w:rFonts w:hint="eastAsia" w:ascii="Times New Roman" w:hAnsi="Times New Roman" w:cs="Times New Roman"/>
                <w:color w:val="auto"/>
                <w:sz w:val="24"/>
                <w:szCs w:val="24"/>
                <w:lang w:val="en-US" w:eastAsia="zh-CN"/>
              </w:rPr>
              <w:t>若发生事故排油，事故油经集油坑进入事故油池，经油水分离后，大部分绝缘油回用，少部分废油由有相应危废处理资质的单位回收处置，不外排。集油坑及事故油池已满足设计及环保上事故排油的容积需求。</w:t>
            </w:r>
          </w:p>
          <w:p w14:paraId="017943C4">
            <w:pPr>
              <w:keepNext w:val="0"/>
              <w:keepLines w:val="0"/>
              <w:pageBreakBefore w:val="0"/>
              <w:widowControl w:val="0"/>
              <w:kinsoku/>
              <w:wordWrap/>
              <w:overflowPunct/>
              <w:topLinePunct w:val="0"/>
              <w:autoSpaceDE/>
              <w:autoSpaceDN/>
              <w:bidi w:val="0"/>
              <w:adjustRightInd w:val="0"/>
              <w:snapToGrid w:val="0"/>
              <w:spacing w:line="440" w:lineRule="exact"/>
              <w:ind w:left="0" w:firstLine="480" w:firstLineChars="200"/>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sz w:val="24"/>
                <w:szCs w:val="24"/>
              </w:rPr>
              <w:t>④</w:t>
            </w:r>
            <w:r>
              <w:rPr>
                <w:rFonts w:hint="default" w:ascii="Times New Roman" w:hAnsi="Times New Roman" w:eastAsia="宋体" w:cs="Times New Roman"/>
                <w:b w:val="0"/>
                <w:bCs w:val="0"/>
                <w:color w:val="auto"/>
                <w:sz w:val="24"/>
                <w:szCs w:val="24"/>
                <w:lang w:val="en-US" w:eastAsia="zh-CN"/>
              </w:rPr>
              <w:t>本</w:t>
            </w:r>
            <w:r>
              <w:rPr>
                <w:rFonts w:hint="default" w:ascii="Times New Roman" w:hAnsi="Times New Roman" w:cs="Times New Roman"/>
                <w:b w:val="0"/>
                <w:bCs w:val="0"/>
                <w:color w:val="auto"/>
                <w:sz w:val="24"/>
                <w:szCs w:val="24"/>
                <w:lang w:val="en-US" w:eastAsia="zh-CN"/>
              </w:rPr>
              <w:t>工程依托</w:t>
            </w:r>
            <w:r>
              <w:rPr>
                <w:rFonts w:hint="eastAsia" w:ascii="Times New Roman" w:hAnsi="Times New Roman" w:cs="Times New Roman"/>
                <w:b w:val="0"/>
                <w:bCs w:val="0"/>
                <w:color w:val="auto"/>
                <w:sz w:val="24"/>
                <w:szCs w:val="24"/>
                <w:lang w:val="en-US" w:eastAsia="zh-CN"/>
              </w:rPr>
              <w:t>22</w:t>
            </w:r>
            <w:r>
              <w:rPr>
                <w:rFonts w:hint="default" w:ascii="Times New Roman" w:hAnsi="Times New Roman" w:cs="Times New Roman"/>
                <w:b w:val="0"/>
                <w:bCs w:val="0"/>
                <w:color w:val="auto"/>
                <w:sz w:val="24"/>
                <w:szCs w:val="24"/>
                <w:lang w:val="en-US" w:eastAsia="zh-CN"/>
              </w:rPr>
              <w:t>0kV</w:t>
            </w:r>
            <w:r>
              <w:rPr>
                <w:rFonts w:hint="eastAsia" w:ascii="Times New Roman" w:hAnsi="Times New Roman" w:cs="Times New Roman"/>
                <w:b w:val="0"/>
                <w:bCs w:val="0"/>
                <w:color w:val="auto"/>
                <w:sz w:val="24"/>
                <w:szCs w:val="24"/>
                <w:lang w:val="en-US" w:eastAsia="zh-CN"/>
              </w:rPr>
              <w:t>六合一升压站</w:t>
            </w:r>
            <w:r>
              <w:rPr>
                <w:rFonts w:hint="default" w:ascii="Times New Roman" w:hAnsi="Times New Roman" w:cs="Times New Roman"/>
                <w:b w:val="0"/>
                <w:bCs w:val="0"/>
                <w:color w:val="auto"/>
                <w:sz w:val="24"/>
                <w:szCs w:val="24"/>
                <w:lang w:val="en-US" w:eastAsia="zh-CN"/>
              </w:rPr>
              <w:t>间隔架构</w:t>
            </w:r>
            <w:r>
              <w:rPr>
                <w:rFonts w:hint="default" w:ascii="Times New Roman" w:hAnsi="Times New Roman" w:eastAsia="宋体" w:cs="Times New Roman"/>
                <w:b w:val="0"/>
                <w:bCs w:val="0"/>
                <w:color w:val="auto"/>
                <w:sz w:val="24"/>
                <w:szCs w:val="24"/>
                <w:lang w:val="en-US" w:eastAsia="zh-CN"/>
              </w:rPr>
              <w:t>情况</w:t>
            </w:r>
          </w:p>
          <w:p w14:paraId="503C467E">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eastAsia"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本工程依托220kV</w:t>
            </w:r>
            <w:r>
              <w:rPr>
                <w:rFonts w:hint="eastAsia" w:ascii="Times New Roman" w:hAnsi="Times New Roman" w:eastAsia="宋体" w:cs="Times New Roman"/>
                <w:b w:val="0"/>
                <w:bCs w:val="0"/>
                <w:color w:val="auto"/>
                <w:sz w:val="24"/>
                <w:szCs w:val="24"/>
                <w:highlight w:val="none"/>
                <w:lang w:val="en-US" w:eastAsia="zh-CN"/>
              </w:rPr>
              <w:t>六合一伏升压站规划</w:t>
            </w:r>
            <w:r>
              <w:rPr>
                <w:rFonts w:hint="default" w:ascii="Times New Roman" w:hAnsi="Times New Roman" w:eastAsia="宋体" w:cs="Times New Roman"/>
                <w:b w:val="0"/>
                <w:bCs w:val="0"/>
                <w:color w:val="auto"/>
                <w:sz w:val="24"/>
                <w:szCs w:val="24"/>
                <w:highlight w:val="none"/>
                <w:lang w:val="en-US" w:eastAsia="zh-CN"/>
              </w:rPr>
              <w:t>220kV</w:t>
            </w:r>
            <w:r>
              <w:rPr>
                <w:rFonts w:hint="eastAsia" w:ascii="Times New Roman" w:hAnsi="Times New Roman" w:eastAsia="宋体" w:cs="Times New Roman"/>
                <w:b w:val="0"/>
                <w:bCs w:val="0"/>
                <w:color w:val="auto"/>
                <w:sz w:val="24"/>
                <w:szCs w:val="24"/>
                <w:highlight w:val="none"/>
                <w:lang w:val="en-US" w:eastAsia="zh-CN"/>
              </w:rPr>
              <w:t>出线间隔</w:t>
            </w:r>
            <w:r>
              <w:rPr>
                <w:rFonts w:hint="default" w:ascii="Times New Roman" w:hAnsi="Times New Roman" w:eastAsia="宋体" w:cs="Times New Roman"/>
                <w:b w:val="0"/>
                <w:bCs w:val="0"/>
                <w:color w:val="auto"/>
                <w:sz w:val="24"/>
                <w:szCs w:val="24"/>
                <w:highlight w:val="none"/>
                <w:lang w:val="en-US" w:eastAsia="zh-CN"/>
              </w:rPr>
              <w:t>2</w:t>
            </w:r>
            <w:r>
              <w:rPr>
                <w:rFonts w:hint="eastAsia" w:ascii="Times New Roman" w:hAnsi="Times New Roman" w:eastAsia="宋体" w:cs="Times New Roman"/>
                <w:b w:val="0"/>
                <w:bCs w:val="0"/>
                <w:color w:val="auto"/>
                <w:sz w:val="24"/>
                <w:szCs w:val="24"/>
                <w:highlight w:val="none"/>
                <w:lang w:val="en-US" w:eastAsia="zh-CN"/>
              </w:rPr>
              <w:t>个，位于升压站东北面，自西北向东南分别是</w:t>
            </w:r>
            <w:r>
              <w:rPr>
                <w:rFonts w:hint="default" w:ascii="Times New Roman" w:hAnsi="Times New Roman" w:eastAsia="宋体" w:cs="Times New Roman"/>
                <w:b w:val="0"/>
                <w:bCs w:val="0"/>
                <w:color w:val="auto"/>
                <w:sz w:val="24"/>
                <w:szCs w:val="24"/>
                <w:highlight w:val="none"/>
                <w:lang w:val="en-US" w:eastAsia="zh-CN"/>
              </w:rPr>
              <w:t>500kV</w:t>
            </w:r>
            <w:r>
              <w:rPr>
                <w:rFonts w:hint="eastAsia" w:ascii="Times New Roman" w:hAnsi="Times New Roman" w:eastAsia="宋体" w:cs="Times New Roman"/>
                <w:b w:val="0"/>
                <w:bCs w:val="0"/>
                <w:color w:val="auto"/>
                <w:sz w:val="24"/>
                <w:szCs w:val="24"/>
                <w:highlight w:val="none"/>
                <w:lang w:val="en-US" w:eastAsia="zh-CN"/>
              </w:rPr>
              <w:t>乐业变、备用，面对升压站从左到右相序为</w:t>
            </w:r>
            <w:r>
              <w:rPr>
                <w:rFonts w:hint="default" w:ascii="Times New Roman" w:hAnsi="Times New Roman" w:eastAsia="宋体" w:cs="Times New Roman"/>
                <w:b w:val="0"/>
                <w:bCs w:val="0"/>
                <w:color w:val="auto"/>
                <w:sz w:val="24"/>
                <w:szCs w:val="24"/>
                <w:highlight w:val="none"/>
                <w:lang w:val="en-US" w:eastAsia="zh-CN"/>
              </w:rPr>
              <w:t>A</w:t>
            </w:r>
            <w:r>
              <w:rPr>
                <w:rFonts w:hint="eastAsia"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B</w:t>
            </w:r>
            <w:r>
              <w:rPr>
                <w:rFonts w:hint="eastAsia"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C</w:t>
            </w:r>
            <w:r>
              <w:rPr>
                <w:rFonts w:hint="eastAsia"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110kV</w:t>
            </w:r>
            <w:r>
              <w:rPr>
                <w:rFonts w:hint="eastAsia" w:ascii="Times New Roman" w:hAnsi="Times New Roman" w:eastAsia="宋体" w:cs="Times New Roman"/>
                <w:b w:val="0"/>
                <w:bCs w:val="0"/>
                <w:color w:val="auto"/>
                <w:sz w:val="24"/>
                <w:szCs w:val="24"/>
                <w:highlight w:val="none"/>
                <w:lang w:val="en-US" w:eastAsia="zh-CN"/>
              </w:rPr>
              <w:t>出线间隔</w:t>
            </w:r>
            <w:r>
              <w:rPr>
                <w:rFonts w:hint="default" w:ascii="Times New Roman" w:hAnsi="Times New Roman" w:eastAsia="宋体" w:cs="Times New Roman"/>
                <w:b w:val="0"/>
                <w:bCs w:val="0"/>
                <w:color w:val="auto"/>
                <w:sz w:val="24"/>
                <w:szCs w:val="24"/>
                <w:highlight w:val="none"/>
                <w:lang w:val="en-US" w:eastAsia="zh-CN"/>
              </w:rPr>
              <w:t>1</w:t>
            </w:r>
            <w:r>
              <w:rPr>
                <w:rFonts w:hint="eastAsia" w:ascii="Times New Roman" w:hAnsi="Times New Roman" w:eastAsia="宋体" w:cs="Times New Roman"/>
                <w:b w:val="0"/>
                <w:bCs w:val="0"/>
                <w:color w:val="auto"/>
                <w:sz w:val="24"/>
                <w:szCs w:val="24"/>
                <w:highlight w:val="none"/>
                <w:lang w:val="en-US" w:eastAsia="zh-CN"/>
              </w:rPr>
              <w:t>个，位于升压站东北角，为大草房光伏（本项目使用），面对升压站从左到右相序为</w:t>
            </w:r>
            <w:r>
              <w:rPr>
                <w:rFonts w:hint="default" w:ascii="Times New Roman" w:hAnsi="Times New Roman" w:eastAsia="宋体" w:cs="Times New Roman"/>
                <w:b w:val="0"/>
                <w:bCs w:val="0"/>
                <w:color w:val="auto"/>
                <w:sz w:val="24"/>
                <w:szCs w:val="24"/>
                <w:highlight w:val="none"/>
                <w:lang w:val="en-US" w:eastAsia="zh-CN"/>
              </w:rPr>
              <w:t>A</w:t>
            </w:r>
            <w:r>
              <w:rPr>
                <w:rFonts w:hint="eastAsia"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B</w:t>
            </w:r>
            <w:r>
              <w:rPr>
                <w:rFonts w:hint="eastAsia"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C</w:t>
            </w:r>
            <w:r>
              <w:rPr>
                <w:rFonts w:hint="eastAsia" w:ascii="Times New Roman" w:hAnsi="Times New Roman" w:eastAsia="宋体" w:cs="Times New Roman"/>
                <w:b w:val="0"/>
                <w:bCs w:val="0"/>
                <w:color w:val="auto"/>
                <w:sz w:val="24"/>
                <w:szCs w:val="24"/>
                <w:highlight w:val="none"/>
                <w:lang w:val="en-US" w:eastAsia="zh-CN"/>
              </w:rPr>
              <w:t>。</w:t>
            </w:r>
          </w:p>
          <w:p w14:paraId="685362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color w:val="auto"/>
                <w:sz w:val="28"/>
                <w:szCs w:val="28"/>
              </w:rPr>
            </w:pPr>
            <w:r>
              <w:rPr>
                <w:color w:val="auto"/>
              </w:rPr>
              <w:drawing>
                <wp:inline distT="0" distB="0" distL="114300" distR="114300">
                  <wp:extent cx="5138420" cy="4578350"/>
                  <wp:effectExtent l="0" t="0" r="5080" b="12700"/>
                  <wp:docPr id="117"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85"/>
                          <pic:cNvPicPr>
                            <a:picLocks noChangeAspect="1"/>
                          </pic:cNvPicPr>
                        </pic:nvPicPr>
                        <pic:blipFill>
                          <a:blip r:embed="rId27"/>
                          <a:stretch>
                            <a:fillRect/>
                          </a:stretch>
                        </pic:blipFill>
                        <pic:spPr>
                          <a:xfrm>
                            <a:off x="0" y="0"/>
                            <a:ext cx="5138420" cy="4578350"/>
                          </a:xfrm>
                          <a:prstGeom prst="rect">
                            <a:avLst/>
                          </a:prstGeom>
                          <a:noFill/>
                          <a:ln>
                            <a:noFill/>
                          </a:ln>
                        </pic:spPr>
                      </pic:pic>
                    </a:graphicData>
                  </a:graphic>
                </wp:inline>
              </w:drawing>
            </w:r>
          </w:p>
          <w:p w14:paraId="00322AA7">
            <w:pPr>
              <w:pStyle w:val="99"/>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图2-</w:t>
            </w:r>
            <w:r>
              <w:rPr>
                <w:rFonts w:hint="eastAsia" w:ascii="Times New Roman" w:hAnsi="Times New Roman" w:cs="Times New Roman"/>
                <w:b/>
                <w:bCs/>
                <w:color w:val="auto"/>
                <w:sz w:val="24"/>
                <w:highlight w:val="none"/>
                <w:lang w:val="en-US" w:eastAsia="zh-CN"/>
              </w:rPr>
              <w:t>4</w:t>
            </w:r>
            <w:r>
              <w:rPr>
                <w:rFonts w:hint="default" w:ascii="Times New Roman" w:hAnsi="Times New Roman" w:eastAsia="宋体" w:cs="Times New Roman"/>
                <w:b/>
                <w:bCs/>
                <w:color w:val="auto"/>
                <w:sz w:val="24"/>
                <w:highlight w:val="none"/>
                <w:lang w:val="en-US" w:eastAsia="zh-CN"/>
              </w:rPr>
              <w:t xml:space="preserve">  220kV六合一升压站</w:t>
            </w:r>
            <w:r>
              <w:rPr>
                <w:rFonts w:hint="eastAsia" w:ascii="Times New Roman" w:hAnsi="Times New Roman" w:eastAsia="宋体" w:cs="Times New Roman"/>
                <w:b/>
                <w:bCs/>
                <w:color w:val="auto"/>
                <w:sz w:val="24"/>
                <w:highlight w:val="none"/>
                <w:lang w:val="en-US" w:eastAsia="zh-CN"/>
              </w:rPr>
              <w:t>出线示意图</w:t>
            </w:r>
          </w:p>
          <w:p w14:paraId="64B1F02E">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b/>
                <w:color w:val="auto"/>
                <w:sz w:val="24"/>
                <w:szCs w:val="24"/>
              </w:rPr>
            </w:pPr>
            <w:r>
              <w:rPr>
                <w:rFonts w:hint="default" w:ascii="Times New Roman" w:hAnsi="Times New Roman" w:cs="Times New Roman"/>
                <w:color w:val="auto"/>
                <w:sz w:val="24"/>
              </w:rPr>
              <w:t>本</w:t>
            </w:r>
            <w:r>
              <w:rPr>
                <w:rFonts w:hint="default" w:ascii="Times New Roman" w:hAnsi="Times New Roman" w:cs="Times New Roman"/>
                <w:color w:val="auto"/>
                <w:sz w:val="24"/>
                <w:lang w:val="en-US" w:eastAsia="zh-CN"/>
              </w:rPr>
              <w:t>次</w:t>
            </w:r>
            <w:r>
              <w:rPr>
                <w:rFonts w:hint="default" w:ascii="Times New Roman" w:hAnsi="Times New Roman" w:cs="Times New Roman"/>
                <w:color w:val="auto"/>
                <w:sz w:val="24"/>
              </w:rPr>
              <w:t>项目与依托工程相互关系见下表：</w:t>
            </w:r>
          </w:p>
          <w:p w14:paraId="06F49CDE">
            <w:pPr>
              <w:pStyle w:val="14"/>
              <w:pageBreakBefore w:val="0"/>
              <w:kinsoku/>
              <w:wordWrap/>
              <w:topLinePunct w:val="0"/>
              <w:bidi w:val="0"/>
              <w:spacing w:line="240" w:lineRule="auto"/>
              <w:jc w:val="center"/>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表2-</w:t>
            </w:r>
            <w:r>
              <w:rPr>
                <w:rFonts w:hint="eastAsia" w:ascii="Times New Roman" w:hAnsi="Times New Roman" w:cs="Times New Roman"/>
                <w:b/>
                <w:color w:val="auto"/>
                <w:sz w:val="24"/>
                <w:szCs w:val="24"/>
                <w:lang w:val="en-US" w:eastAsia="zh-CN"/>
              </w:rPr>
              <w:t>4</w:t>
            </w:r>
            <w:r>
              <w:rPr>
                <w:rFonts w:hint="default" w:ascii="Times New Roman" w:hAnsi="Times New Roman" w:eastAsia="宋体" w:cs="Times New Roman"/>
                <w:b/>
                <w:color w:val="auto"/>
                <w:sz w:val="24"/>
                <w:szCs w:val="24"/>
              </w:rPr>
              <w:t xml:space="preserve">  本次工程依托前期工程相</w:t>
            </w:r>
            <w:r>
              <w:rPr>
                <w:rFonts w:hint="default" w:ascii="Times New Roman" w:hAnsi="Times New Roman" w:eastAsia="宋体" w:cs="Times New Roman"/>
                <w:b/>
                <w:color w:val="auto"/>
                <w:spacing w:val="-5"/>
                <w:sz w:val="24"/>
                <w:szCs w:val="24"/>
              </w:rPr>
              <w:t>互</w:t>
            </w:r>
            <w:r>
              <w:rPr>
                <w:rFonts w:hint="default" w:ascii="Times New Roman" w:hAnsi="Times New Roman" w:eastAsia="宋体" w:cs="Times New Roman"/>
                <w:b/>
                <w:color w:val="auto"/>
                <w:sz w:val="24"/>
                <w:szCs w:val="24"/>
              </w:rPr>
              <w:t>关系</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688"/>
              <w:gridCol w:w="3223"/>
              <w:gridCol w:w="2108"/>
            </w:tblGrid>
            <w:tr w14:paraId="1D8AFB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76" w:type="pct"/>
                  <w:tcBorders>
                    <w:tl2br w:val="nil"/>
                    <w:tr2bl w:val="nil"/>
                  </w:tcBorders>
                  <w:noWrap w:val="0"/>
                  <w:vAlign w:val="center"/>
                </w:tcPr>
                <w:p w14:paraId="309893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szCs w:val="21"/>
                      <w:highlight w:val="none"/>
                    </w:rPr>
                  </w:pPr>
                  <w:r>
                    <w:rPr>
                      <w:rFonts w:hint="eastAsia" w:ascii="Times New Roman" w:hAnsi="Times New Roman" w:cs="Times New Roman"/>
                      <w:b/>
                      <w:bCs/>
                      <w:color w:val="auto"/>
                      <w:szCs w:val="21"/>
                      <w:highlight w:val="none"/>
                      <w:lang w:val="en-US" w:eastAsia="zh-CN"/>
                    </w:rPr>
                    <w:t>依托</w:t>
                  </w:r>
                  <w:r>
                    <w:rPr>
                      <w:rFonts w:hint="default" w:ascii="Times New Roman" w:hAnsi="Times New Roman" w:cs="Times New Roman"/>
                      <w:b/>
                      <w:bCs/>
                      <w:color w:val="auto"/>
                      <w:szCs w:val="21"/>
                      <w:highlight w:val="none"/>
                    </w:rPr>
                    <w:t>工程</w:t>
                  </w:r>
                </w:p>
              </w:tc>
              <w:tc>
                <w:tcPr>
                  <w:tcW w:w="2009" w:type="pct"/>
                  <w:tcBorders>
                    <w:tl2br w:val="nil"/>
                    <w:tr2bl w:val="nil"/>
                  </w:tcBorders>
                  <w:noWrap w:val="0"/>
                  <w:vAlign w:val="center"/>
                </w:tcPr>
                <w:p w14:paraId="080CE3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依托内容简况</w:t>
                  </w:r>
                </w:p>
              </w:tc>
              <w:tc>
                <w:tcPr>
                  <w:tcW w:w="1314" w:type="pct"/>
                  <w:tcBorders>
                    <w:tl2br w:val="nil"/>
                    <w:tr2bl w:val="nil"/>
                  </w:tcBorders>
                  <w:noWrap w:val="0"/>
                  <w:vAlign w:val="center"/>
                </w:tcPr>
                <w:p w14:paraId="760C0B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与本项目关系</w:t>
                  </w:r>
                </w:p>
              </w:tc>
            </w:tr>
            <w:tr w14:paraId="394A45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76" w:type="pct"/>
                  <w:tcBorders>
                    <w:tl2br w:val="nil"/>
                    <w:tr2bl w:val="nil"/>
                  </w:tcBorders>
                  <w:noWrap w:val="0"/>
                  <w:vAlign w:val="center"/>
                </w:tcPr>
                <w:p w14:paraId="28ECD9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火红乡湾子村委会大草房光伏项目（复合型光伏发电项目）（重新报批）</w:t>
                  </w:r>
                </w:p>
              </w:tc>
              <w:tc>
                <w:tcPr>
                  <w:tcW w:w="2009" w:type="pct"/>
                  <w:tcBorders>
                    <w:tl2br w:val="nil"/>
                    <w:tr2bl w:val="nil"/>
                  </w:tcBorders>
                  <w:noWrap w:val="0"/>
                  <w:vAlign w:val="center"/>
                </w:tcPr>
                <w:p w14:paraId="62D67D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110</w:t>
                  </w:r>
                  <w:r>
                    <w:rPr>
                      <w:rFonts w:hint="default" w:ascii="Times New Roman" w:hAnsi="Times New Roman" w:cs="Times New Roman"/>
                      <w:color w:val="auto"/>
                      <w:szCs w:val="21"/>
                      <w:highlight w:val="none"/>
                      <w:lang w:val="en-US" w:eastAsia="zh-CN"/>
                    </w:rPr>
                    <w:t>kV</w:t>
                  </w:r>
                  <w:r>
                    <w:rPr>
                      <w:rFonts w:hint="eastAsia" w:ascii="Times New Roman" w:hAnsi="Times New Roman" w:cs="Times New Roman"/>
                      <w:color w:val="auto"/>
                      <w:szCs w:val="21"/>
                      <w:highlight w:val="none"/>
                      <w:lang w:val="en-US" w:eastAsia="zh-CN"/>
                    </w:rPr>
                    <w:t>大草房升压站</w:t>
                  </w:r>
                  <w:r>
                    <w:rPr>
                      <w:rFonts w:hint="default" w:ascii="Times New Roman" w:hAnsi="Times New Roman" w:cs="Times New Roman"/>
                      <w:color w:val="auto"/>
                      <w:szCs w:val="21"/>
                      <w:highlight w:val="none"/>
                    </w:rPr>
                    <w:t>，已批复</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曲环审〔2026〕20号</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正在建设</w:t>
                  </w:r>
                  <w:r>
                    <w:rPr>
                      <w:rFonts w:hint="default" w:ascii="Times New Roman" w:hAnsi="Times New Roman" w:cs="Times New Roman"/>
                      <w:color w:val="auto"/>
                      <w:szCs w:val="21"/>
                      <w:highlight w:val="none"/>
                      <w:lang w:val="en-US" w:eastAsia="zh-CN"/>
                    </w:rPr>
                    <w:t>，暂未</w:t>
                  </w:r>
                  <w:r>
                    <w:rPr>
                      <w:rFonts w:hint="default" w:ascii="Times New Roman" w:hAnsi="Times New Roman" w:cs="Times New Roman"/>
                      <w:color w:val="auto"/>
                      <w:szCs w:val="21"/>
                      <w:highlight w:val="none"/>
                    </w:rPr>
                    <w:t>验收。</w:t>
                  </w:r>
                </w:p>
              </w:tc>
              <w:tc>
                <w:tcPr>
                  <w:tcW w:w="1314" w:type="pct"/>
                  <w:tcBorders>
                    <w:tl2br w:val="nil"/>
                    <w:tr2bl w:val="nil"/>
                  </w:tcBorders>
                  <w:noWrap w:val="0"/>
                  <w:vAlign w:val="center"/>
                </w:tcPr>
                <w:p w14:paraId="7DF343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本次不新建</w:t>
                  </w:r>
                  <w:r>
                    <w:rPr>
                      <w:rFonts w:hint="eastAsia" w:ascii="Times New Roman" w:hAnsi="Times New Roman" w:cs="Times New Roman"/>
                      <w:color w:val="auto"/>
                      <w:szCs w:val="21"/>
                      <w:highlight w:val="none"/>
                      <w:lang w:val="en-US" w:eastAsia="zh-CN"/>
                    </w:rPr>
                    <w:t>间隔</w:t>
                  </w:r>
                  <w:r>
                    <w:rPr>
                      <w:rFonts w:hint="default" w:ascii="Times New Roman" w:hAnsi="Times New Roman" w:cs="Times New Roman"/>
                      <w:color w:val="auto"/>
                      <w:szCs w:val="21"/>
                      <w:highlight w:val="none"/>
                    </w:rPr>
                    <w:t>，直接利用</w:t>
                  </w:r>
                </w:p>
              </w:tc>
            </w:tr>
            <w:tr w14:paraId="7FB547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76" w:type="pct"/>
                  <w:tcBorders>
                    <w:tl2br w:val="nil"/>
                    <w:tr2bl w:val="nil"/>
                  </w:tcBorders>
                  <w:noWrap w:val="0"/>
                  <w:vAlign w:val="center"/>
                </w:tcPr>
                <w:p w14:paraId="2D4D02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乐业镇六合村一期光伏项目（复合型光伏发电项目）</w:t>
                  </w:r>
                </w:p>
              </w:tc>
              <w:tc>
                <w:tcPr>
                  <w:tcW w:w="2009" w:type="pct"/>
                  <w:tcBorders>
                    <w:tl2br w:val="nil"/>
                    <w:tr2bl w:val="nil"/>
                  </w:tcBorders>
                  <w:noWrap w:val="0"/>
                  <w:vAlign w:val="center"/>
                </w:tcPr>
                <w:p w14:paraId="00A9E5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220</w:t>
                  </w:r>
                  <w:r>
                    <w:rPr>
                      <w:rFonts w:hint="default" w:ascii="Times New Roman" w:hAnsi="Times New Roman" w:cs="Times New Roman"/>
                      <w:color w:val="auto"/>
                      <w:szCs w:val="21"/>
                      <w:highlight w:val="none"/>
                      <w:lang w:eastAsia="zh-CN"/>
                    </w:rPr>
                    <w:t>kV</w:t>
                  </w:r>
                  <w:r>
                    <w:rPr>
                      <w:rFonts w:hint="eastAsia" w:ascii="Times New Roman" w:hAnsi="Times New Roman" w:cs="Times New Roman"/>
                      <w:color w:val="auto"/>
                      <w:szCs w:val="21"/>
                      <w:highlight w:val="none"/>
                      <w:lang w:val="en-US" w:eastAsia="zh-CN"/>
                    </w:rPr>
                    <w:t>六合一</w:t>
                  </w:r>
                  <w:r>
                    <w:rPr>
                      <w:rFonts w:hint="default" w:ascii="Times New Roman" w:hAnsi="Times New Roman" w:cs="Times New Roman"/>
                      <w:color w:val="auto"/>
                      <w:szCs w:val="21"/>
                      <w:highlight w:val="none"/>
                      <w:lang w:val="en-US" w:eastAsia="zh-CN"/>
                    </w:rPr>
                    <w:t>升压站</w:t>
                  </w:r>
                  <w:r>
                    <w:rPr>
                      <w:rFonts w:hint="default" w:ascii="Times New Roman" w:hAnsi="Times New Roman" w:cs="Times New Roman"/>
                      <w:color w:val="auto"/>
                      <w:szCs w:val="21"/>
                      <w:highlight w:val="none"/>
                    </w:rPr>
                    <w:t>，已批复</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曲环审〔2022〕44号</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正在建设</w:t>
                  </w:r>
                  <w:r>
                    <w:rPr>
                      <w:rFonts w:hint="default" w:ascii="Times New Roman" w:hAnsi="Times New Roman" w:cs="Times New Roman"/>
                      <w:color w:val="auto"/>
                      <w:szCs w:val="21"/>
                      <w:highlight w:val="none"/>
                      <w:lang w:val="en-US" w:eastAsia="zh-CN"/>
                    </w:rPr>
                    <w:t>，暂未</w:t>
                  </w:r>
                  <w:r>
                    <w:rPr>
                      <w:rFonts w:hint="default" w:ascii="Times New Roman" w:hAnsi="Times New Roman" w:cs="Times New Roman"/>
                      <w:color w:val="auto"/>
                      <w:szCs w:val="21"/>
                      <w:highlight w:val="none"/>
                    </w:rPr>
                    <w:t>验收。</w:t>
                  </w:r>
                </w:p>
              </w:tc>
              <w:tc>
                <w:tcPr>
                  <w:tcW w:w="1314" w:type="pct"/>
                  <w:tcBorders>
                    <w:tl2br w:val="nil"/>
                    <w:tr2bl w:val="nil"/>
                  </w:tcBorders>
                  <w:noWrap w:val="0"/>
                  <w:vAlign w:val="center"/>
                </w:tcPr>
                <w:p w14:paraId="20932D7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本次不新建</w:t>
                  </w:r>
                  <w:r>
                    <w:rPr>
                      <w:rFonts w:hint="eastAsia" w:ascii="Times New Roman" w:hAnsi="Times New Roman" w:cs="Times New Roman"/>
                      <w:color w:val="auto"/>
                      <w:szCs w:val="21"/>
                      <w:highlight w:val="none"/>
                      <w:lang w:val="en-US" w:eastAsia="zh-CN"/>
                    </w:rPr>
                    <w:t>间隔</w:t>
                  </w:r>
                  <w:r>
                    <w:rPr>
                      <w:rFonts w:hint="default" w:ascii="Times New Roman" w:hAnsi="Times New Roman" w:cs="Times New Roman"/>
                      <w:color w:val="auto"/>
                      <w:szCs w:val="21"/>
                      <w:highlight w:val="none"/>
                    </w:rPr>
                    <w:t>，直接利用</w:t>
                  </w:r>
                </w:p>
              </w:tc>
            </w:tr>
          </w:tbl>
          <w:p w14:paraId="10429FEE">
            <w:pPr>
              <w:pStyle w:val="2"/>
              <w:keepNext w:val="0"/>
              <w:keepLines w:val="0"/>
              <w:pageBreakBefore w:val="0"/>
              <w:widowControl/>
              <w:kinsoku/>
              <w:wordWrap/>
              <w:overflowPunct/>
              <w:topLinePunct w:val="0"/>
              <w:autoSpaceDE/>
              <w:autoSpaceDN/>
              <w:bidi w:val="0"/>
              <w:adjustRightInd w:val="0"/>
              <w:snapToGrid w:val="0"/>
              <w:spacing w:before="0" w:after="0" w:line="440" w:lineRule="exact"/>
              <w:ind w:right="0" w:firstLine="480" w:firstLineChars="200"/>
              <w:textAlignment w:val="auto"/>
              <w:rPr>
                <w:color w:val="auto"/>
                <w:sz w:val="24"/>
              </w:rPr>
            </w:pPr>
            <w:r>
              <w:rPr>
                <w:rFonts w:hint="eastAsia" w:ascii="Times New Roman" w:hAnsi="Times New Roman" w:cs="Times New Roman"/>
                <w:color w:val="auto"/>
                <w:sz w:val="24"/>
                <w:szCs w:val="24"/>
                <w:lang w:val="en-US" w:eastAsia="zh-CN"/>
              </w:rPr>
              <w:t>110kV大草房升压站</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220kV</w:t>
            </w:r>
            <w:r>
              <w:rPr>
                <w:rFonts w:hint="eastAsia" w:ascii="Times New Roman" w:hAnsi="Times New Roman" w:cs="Times New Roman"/>
                <w:color w:val="auto"/>
                <w:sz w:val="24"/>
                <w:szCs w:val="24"/>
                <w:lang w:val="en-US" w:eastAsia="zh-CN"/>
              </w:rPr>
              <w:t>六合一</w:t>
            </w:r>
            <w:r>
              <w:rPr>
                <w:rFonts w:hint="default" w:ascii="Times New Roman" w:hAnsi="Times New Roman" w:cs="Times New Roman"/>
                <w:color w:val="auto"/>
                <w:sz w:val="24"/>
                <w:szCs w:val="24"/>
                <w:lang w:val="en-US" w:eastAsia="zh-CN"/>
              </w:rPr>
              <w:t>升压站</w:t>
            </w:r>
            <w:r>
              <w:rPr>
                <w:rFonts w:hint="default" w:ascii="Times New Roman" w:hAnsi="Times New Roman" w:eastAsia="宋体" w:cs="Times New Roman"/>
                <w:color w:val="auto"/>
                <w:sz w:val="24"/>
                <w:szCs w:val="24"/>
              </w:rPr>
              <w:t>依托站内前期建设的</w:t>
            </w:r>
            <w:r>
              <w:rPr>
                <w:rFonts w:hint="eastAsia" w:ascii="Times New Roman" w:hAnsi="Times New Roman" w:cs="Times New Roman"/>
                <w:color w:val="auto"/>
                <w:sz w:val="24"/>
                <w:szCs w:val="24"/>
                <w:lang w:val="en-US" w:eastAsia="zh-CN"/>
              </w:rPr>
              <w:t>污水处理站</w:t>
            </w:r>
            <w:r>
              <w:rPr>
                <w:rFonts w:hint="default" w:ascii="Times New Roman" w:hAnsi="Times New Roman" w:eastAsia="宋体" w:cs="Times New Roman"/>
                <w:color w:val="auto"/>
                <w:sz w:val="24"/>
                <w:szCs w:val="24"/>
              </w:rPr>
              <w:t>、垃圾桶、事故油池</w:t>
            </w:r>
            <w:r>
              <w:rPr>
                <w:rFonts w:hint="eastAsia" w:ascii="Times New Roman" w:hAnsi="Times New Roman" w:cs="Times New Roman"/>
                <w:color w:val="auto"/>
                <w:sz w:val="24"/>
                <w:szCs w:val="24"/>
                <w:lang w:val="en-US" w:eastAsia="zh-CN"/>
              </w:rPr>
              <w:t>等</w:t>
            </w:r>
            <w:r>
              <w:rPr>
                <w:rFonts w:hint="default" w:ascii="Times New Roman" w:hAnsi="Times New Roman" w:eastAsia="宋体" w:cs="Times New Roman"/>
                <w:color w:val="auto"/>
                <w:sz w:val="24"/>
                <w:szCs w:val="24"/>
              </w:rPr>
              <w:t>。本期工程不改变站内现有布置，无新增工作人员，无新增用水及排水，不新建事故油池；因此，本</w:t>
            </w:r>
            <w:r>
              <w:rPr>
                <w:rFonts w:hint="default" w:ascii="Times New Roman" w:hAnsi="Times New Roman" w:cs="Times New Roman"/>
                <w:color w:val="auto"/>
                <w:sz w:val="24"/>
                <w:szCs w:val="24"/>
                <w:lang w:val="en-US" w:eastAsia="zh-CN"/>
              </w:rPr>
              <w:t>次</w:t>
            </w:r>
            <w:r>
              <w:rPr>
                <w:rFonts w:hint="default" w:ascii="Times New Roman" w:hAnsi="Times New Roman" w:eastAsia="宋体" w:cs="Times New Roman"/>
                <w:color w:val="auto"/>
                <w:sz w:val="24"/>
                <w:szCs w:val="24"/>
              </w:rPr>
              <w:t>依托</w:t>
            </w:r>
            <w:r>
              <w:rPr>
                <w:rFonts w:hint="default" w:ascii="Times New Roman" w:hAnsi="Times New Roman" w:cs="Times New Roman"/>
                <w:color w:val="auto"/>
                <w:sz w:val="24"/>
                <w:szCs w:val="24"/>
                <w:lang w:val="en-US" w:eastAsia="zh-CN"/>
              </w:rPr>
              <w:t>升压站</w:t>
            </w:r>
            <w:r>
              <w:rPr>
                <w:rFonts w:hint="default" w:ascii="Times New Roman" w:hAnsi="Times New Roman" w:eastAsia="宋体" w:cs="Times New Roman"/>
                <w:color w:val="auto"/>
                <w:sz w:val="24"/>
                <w:szCs w:val="24"/>
              </w:rPr>
              <w:t>内现有设施合理可行。</w:t>
            </w:r>
          </w:p>
        </w:tc>
      </w:tr>
      <w:tr w14:paraId="36550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3" w:type="pct"/>
            <w:noWrap w:val="0"/>
            <w:vAlign w:val="center"/>
          </w:tcPr>
          <w:p w14:paraId="78836E88">
            <w:pPr>
              <w:pStyle w:val="25"/>
              <w:spacing w:before="0" w:beforeAutospacing="0" w:after="0" w:afterAutospacing="0"/>
              <w:jc w:val="center"/>
              <w:rPr>
                <w:rFonts w:ascii="Times New Roman" w:hAnsi="Times New Roman"/>
                <w:color w:val="auto"/>
                <w:szCs w:val="24"/>
              </w:rPr>
            </w:pPr>
            <w:r>
              <w:rPr>
                <w:rFonts w:ascii="Times New Roman" w:hAnsi="Times New Roman"/>
                <w:b/>
                <w:bCs/>
                <w:color w:val="auto"/>
                <w:szCs w:val="24"/>
              </w:rPr>
              <w:t>总平面及现场布置</w:t>
            </w:r>
          </w:p>
        </w:tc>
        <w:tc>
          <w:tcPr>
            <w:tcW w:w="4736" w:type="pct"/>
            <w:noWrap w:val="0"/>
            <w:vAlign w:val="center"/>
          </w:tcPr>
          <w:p w14:paraId="06803E2E">
            <w:pPr>
              <w:spacing w:line="440" w:lineRule="exact"/>
              <w:rPr>
                <w:b/>
                <w:bCs/>
                <w:color w:val="auto"/>
                <w:sz w:val="28"/>
                <w:szCs w:val="28"/>
              </w:rPr>
            </w:pPr>
            <w:r>
              <w:rPr>
                <w:b/>
                <w:bCs/>
                <w:color w:val="auto"/>
                <w:sz w:val="28"/>
                <w:szCs w:val="28"/>
              </w:rPr>
              <w:t>2.</w:t>
            </w:r>
            <w:r>
              <w:rPr>
                <w:rFonts w:hint="eastAsia"/>
                <w:b/>
                <w:bCs/>
                <w:color w:val="auto"/>
                <w:sz w:val="28"/>
                <w:szCs w:val="28"/>
                <w:lang w:val="en-US" w:eastAsia="zh-CN"/>
              </w:rPr>
              <w:t>3</w:t>
            </w:r>
            <w:r>
              <w:rPr>
                <w:b/>
                <w:bCs/>
                <w:color w:val="auto"/>
                <w:sz w:val="28"/>
                <w:szCs w:val="28"/>
              </w:rPr>
              <w:t>工程占地情况</w:t>
            </w:r>
          </w:p>
          <w:p w14:paraId="4A1F1DC2">
            <w:pPr>
              <w:adjustRightInd w:val="0"/>
              <w:snapToGrid w:val="0"/>
              <w:spacing w:line="440" w:lineRule="exact"/>
              <w:ind w:firstLine="482" w:firstLineChars="200"/>
              <w:rPr>
                <w:b/>
                <w:bCs/>
                <w:color w:val="auto"/>
                <w:sz w:val="24"/>
                <w:highlight w:val="none"/>
              </w:rPr>
            </w:pPr>
            <w:bookmarkStart w:id="15" w:name="_Toc261834546"/>
            <w:r>
              <w:rPr>
                <w:rFonts w:hint="eastAsia"/>
                <w:b/>
                <w:bCs/>
                <w:color w:val="auto"/>
                <w:sz w:val="24"/>
                <w:highlight w:val="none"/>
              </w:rPr>
              <w:t>2.</w:t>
            </w:r>
            <w:r>
              <w:rPr>
                <w:rFonts w:hint="eastAsia"/>
                <w:b/>
                <w:bCs/>
                <w:color w:val="auto"/>
                <w:sz w:val="24"/>
                <w:highlight w:val="none"/>
                <w:lang w:val="en-US" w:eastAsia="zh-CN"/>
              </w:rPr>
              <w:t>3</w:t>
            </w:r>
            <w:r>
              <w:rPr>
                <w:rFonts w:hint="eastAsia"/>
                <w:b/>
                <w:bCs/>
                <w:color w:val="auto"/>
                <w:sz w:val="24"/>
                <w:highlight w:val="none"/>
              </w:rPr>
              <w:t>.</w:t>
            </w:r>
            <w:r>
              <w:rPr>
                <w:b/>
                <w:bCs/>
                <w:color w:val="auto"/>
                <w:sz w:val="24"/>
                <w:highlight w:val="none"/>
              </w:rPr>
              <w:t>1工程占地</w:t>
            </w:r>
          </w:p>
          <w:p w14:paraId="081700CC">
            <w:pPr>
              <w:adjustRightInd w:val="0"/>
              <w:snapToGrid w:val="0"/>
              <w:spacing w:line="440" w:lineRule="exact"/>
              <w:ind w:firstLine="480"/>
              <w:rPr>
                <w:rFonts w:hint="default" w:ascii="Times New Roman" w:hAnsi="Times New Roman" w:cs="Times New Roman"/>
                <w:color w:val="auto"/>
                <w:sz w:val="24"/>
              </w:rPr>
            </w:pPr>
            <w:r>
              <w:rPr>
                <w:color w:val="auto"/>
                <w:sz w:val="24"/>
                <w:highlight w:val="none"/>
              </w:rPr>
              <w:t>根据主体工程设计资料，</w:t>
            </w:r>
            <w:r>
              <w:rPr>
                <w:rFonts w:hint="default"/>
                <w:color w:val="auto"/>
                <w:sz w:val="24"/>
                <w:highlight w:val="none"/>
              </w:rPr>
              <w:t>工程总占地面积为</w:t>
            </w:r>
            <w:r>
              <w:rPr>
                <w:rFonts w:hint="eastAsia"/>
                <w:color w:val="auto"/>
                <w:sz w:val="24"/>
                <w:highlight w:val="none"/>
                <w:lang w:val="en-US" w:eastAsia="zh-CN"/>
              </w:rPr>
              <w:t>0.60895</w:t>
            </w:r>
            <w:r>
              <w:rPr>
                <w:rFonts w:hint="default"/>
                <w:color w:val="auto"/>
                <w:sz w:val="24"/>
                <w:highlight w:val="none"/>
              </w:rPr>
              <w:t>hm</w:t>
            </w:r>
            <w:r>
              <w:rPr>
                <w:rFonts w:hint="default"/>
                <w:color w:val="auto"/>
                <w:sz w:val="24"/>
                <w:highlight w:val="none"/>
                <w:vertAlign w:val="superscript"/>
              </w:rPr>
              <w:t>2</w:t>
            </w:r>
            <w:r>
              <w:rPr>
                <w:rFonts w:hint="default"/>
                <w:color w:val="auto"/>
                <w:sz w:val="24"/>
                <w:highlight w:val="none"/>
              </w:rPr>
              <w:t>，其中永久占地0.25495hm²，临时占地0.</w:t>
            </w:r>
            <w:r>
              <w:rPr>
                <w:rFonts w:hint="eastAsia"/>
                <w:color w:val="auto"/>
                <w:sz w:val="24"/>
                <w:highlight w:val="none"/>
                <w:lang w:val="en-US" w:eastAsia="zh-CN"/>
              </w:rPr>
              <w:t>354</w:t>
            </w:r>
            <w:r>
              <w:rPr>
                <w:rFonts w:hint="default"/>
                <w:color w:val="auto"/>
                <w:sz w:val="24"/>
                <w:highlight w:val="none"/>
              </w:rPr>
              <w:t>hm²</w:t>
            </w:r>
            <w:r>
              <w:rPr>
                <w:rFonts w:hint="eastAsia" w:ascii="Times New Roman" w:hAnsi="Times New Roman"/>
                <w:bCs/>
                <w:color w:val="auto"/>
                <w:sz w:val="24"/>
                <w:highlight w:val="none"/>
                <w:lang w:eastAsia="zh-CN"/>
              </w:rPr>
              <w:t>。</w:t>
            </w:r>
            <w:r>
              <w:rPr>
                <w:rFonts w:ascii="Times New Roman" w:hAnsi="Times New Roman"/>
                <w:color w:val="auto"/>
                <w:sz w:val="24"/>
                <w:highlight w:val="none"/>
              </w:rPr>
              <w:t>其中塔基0.</w:t>
            </w:r>
            <w:r>
              <w:rPr>
                <w:rFonts w:hint="eastAsia" w:ascii="Times New Roman" w:hAnsi="Times New Roman"/>
                <w:color w:val="auto"/>
                <w:sz w:val="24"/>
                <w:highlight w:val="none"/>
                <w:lang w:val="en-US" w:eastAsia="zh-CN"/>
              </w:rPr>
              <w:t>25495</w:t>
            </w:r>
            <w:r>
              <w:rPr>
                <w:rFonts w:ascii="Times New Roman" w:hAnsi="Times New Roman"/>
                <w:color w:val="auto"/>
                <w:sz w:val="24"/>
                <w:highlight w:val="none"/>
              </w:rPr>
              <w:t>hm</w:t>
            </w:r>
            <w:r>
              <w:rPr>
                <w:rFonts w:ascii="Times New Roman" w:hAnsi="Times New Roman"/>
                <w:color w:val="auto"/>
                <w:sz w:val="24"/>
                <w:highlight w:val="none"/>
                <w:vertAlign w:val="superscript"/>
              </w:rPr>
              <w:t>2</w:t>
            </w:r>
            <w:r>
              <w:rPr>
                <w:rFonts w:ascii="Times New Roman" w:hAnsi="Times New Roman"/>
                <w:color w:val="auto"/>
                <w:sz w:val="24"/>
                <w:highlight w:val="none"/>
              </w:rPr>
              <w:t>，塔基临时施工区0.</w:t>
            </w:r>
            <w:r>
              <w:rPr>
                <w:rFonts w:hint="eastAsia" w:ascii="Times New Roman" w:hAnsi="Times New Roman"/>
                <w:color w:val="auto"/>
                <w:sz w:val="24"/>
                <w:highlight w:val="none"/>
                <w:lang w:val="en-US" w:eastAsia="zh-CN"/>
              </w:rPr>
              <w:t>135</w:t>
            </w:r>
            <w:r>
              <w:rPr>
                <w:rFonts w:ascii="Times New Roman" w:hAnsi="Times New Roman"/>
                <w:color w:val="auto"/>
                <w:sz w:val="24"/>
                <w:highlight w:val="none"/>
              </w:rPr>
              <w:t>hm</w:t>
            </w:r>
            <w:r>
              <w:rPr>
                <w:rFonts w:ascii="Times New Roman" w:hAnsi="Times New Roman"/>
                <w:color w:val="auto"/>
                <w:sz w:val="24"/>
                <w:highlight w:val="none"/>
                <w:vertAlign w:val="superscript"/>
              </w:rPr>
              <w:t>2</w:t>
            </w:r>
            <w:r>
              <w:rPr>
                <w:rFonts w:hint="eastAsia" w:ascii="Times New Roman" w:hAnsi="Times New Roman"/>
                <w:color w:val="auto"/>
                <w:sz w:val="24"/>
                <w:highlight w:val="none"/>
                <w:vertAlign w:val="baseline"/>
                <w:lang w:eastAsia="zh-CN"/>
              </w:rPr>
              <w:t>，</w:t>
            </w:r>
            <w:r>
              <w:rPr>
                <w:rFonts w:hint="eastAsia" w:ascii="Times New Roman" w:hAnsi="Times New Roman"/>
                <w:color w:val="auto"/>
                <w:sz w:val="24"/>
                <w:highlight w:val="none"/>
                <w:vertAlign w:val="baseline"/>
                <w:lang w:val="en-US" w:eastAsia="zh-CN"/>
              </w:rPr>
              <w:t>跨越施工场地0.03</w:t>
            </w:r>
            <w:r>
              <w:rPr>
                <w:rFonts w:ascii="Times New Roman" w:hAnsi="Times New Roman"/>
                <w:color w:val="auto"/>
                <w:sz w:val="24"/>
                <w:highlight w:val="none"/>
              </w:rPr>
              <w:t>hm</w:t>
            </w:r>
            <w:r>
              <w:rPr>
                <w:rFonts w:ascii="Times New Roman" w:hAnsi="Times New Roman"/>
                <w:color w:val="auto"/>
                <w:sz w:val="24"/>
                <w:highlight w:val="none"/>
                <w:vertAlign w:val="superscript"/>
              </w:rPr>
              <w:t>2</w:t>
            </w:r>
            <w:r>
              <w:rPr>
                <w:rFonts w:hint="eastAsia" w:ascii="Times New Roman" w:hAnsi="Times New Roman"/>
                <w:color w:val="auto"/>
                <w:sz w:val="24"/>
                <w:highlight w:val="none"/>
                <w:vertAlign w:val="baseline"/>
                <w:lang w:eastAsia="zh-CN"/>
              </w:rPr>
              <w:t>，人抬道路</w:t>
            </w:r>
            <w:r>
              <w:rPr>
                <w:rFonts w:hint="eastAsia" w:ascii="Times New Roman" w:hAnsi="Times New Roman"/>
                <w:color w:val="auto"/>
                <w:sz w:val="24"/>
                <w:highlight w:val="none"/>
                <w:vertAlign w:val="baseline"/>
                <w:lang w:val="en-US" w:eastAsia="zh-CN"/>
              </w:rPr>
              <w:t>区0.129</w:t>
            </w:r>
            <w:r>
              <w:rPr>
                <w:rFonts w:ascii="Times New Roman" w:hAnsi="Times New Roman"/>
                <w:color w:val="auto"/>
                <w:sz w:val="24"/>
                <w:highlight w:val="none"/>
              </w:rPr>
              <w:t>hm</w:t>
            </w:r>
            <w:r>
              <w:rPr>
                <w:rFonts w:ascii="Times New Roman" w:hAnsi="Times New Roman"/>
                <w:color w:val="auto"/>
                <w:sz w:val="24"/>
                <w:highlight w:val="none"/>
                <w:vertAlign w:val="superscript"/>
              </w:rPr>
              <w:t>2</w:t>
            </w:r>
            <w:r>
              <w:rPr>
                <w:rFonts w:ascii="Times New Roman" w:hAnsi="Times New Roman"/>
                <w:color w:val="auto"/>
                <w:sz w:val="24"/>
                <w:highlight w:val="none"/>
              </w:rPr>
              <w:t>。</w:t>
            </w:r>
            <w:r>
              <w:rPr>
                <w:rFonts w:hint="default" w:ascii="Times New Roman" w:hAnsi="Times New Roman" w:cs="Times New Roman"/>
                <w:color w:val="auto"/>
                <w:sz w:val="24"/>
              </w:rPr>
              <w:t>各分区具体占地类型及面积见表2-</w:t>
            </w:r>
            <w:r>
              <w:rPr>
                <w:rFonts w:hint="eastAsia" w:ascii="Times New Roman" w:hAnsi="Times New Roman" w:cs="Times New Roman"/>
                <w:color w:val="auto"/>
                <w:sz w:val="24"/>
                <w:lang w:val="en-US" w:eastAsia="zh-CN"/>
              </w:rPr>
              <w:t>5</w:t>
            </w:r>
            <w:r>
              <w:rPr>
                <w:rFonts w:hint="default" w:ascii="Times New Roman" w:hAnsi="Times New Roman" w:cs="Times New Roman"/>
                <w:color w:val="auto"/>
                <w:sz w:val="24"/>
              </w:rPr>
              <w:t>。</w:t>
            </w:r>
          </w:p>
          <w:p w14:paraId="3493FFDE">
            <w:pPr>
              <w:keepNext w:val="0"/>
              <w:keepLines w:val="0"/>
              <w:pageBreakBefore w:val="0"/>
              <w:widowControl w:val="0"/>
              <w:kinsoku/>
              <w:wordWrap/>
              <w:overflowPunct/>
              <w:topLinePunct w:val="0"/>
              <w:autoSpaceDE/>
              <w:autoSpaceDN/>
              <w:bidi w:val="0"/>
              <w:adjustRightInd w:val="0"/>
              <w:snapToGrid w:val="0"/>
              <w:spacing w:line="240" w:lineRule="auto"/>
              <w:ind w:firstLine="482" w:firstLineChars="200"/>
              <w:jc w:val="center"/>
              <w:textAlignment w:val="baseline"/>
              <w:rPr>
                <w:rFonts w:hint="default" w:ascii="Times New Roman" w:hAnsi="Times New Roman" w:cs="Times New Roman"/>
                <w:b/>
                <w:bCs/>
                <w:color w:val="auto"/>
                <w:sz w:val="24"/>
              </w:rPr>
            </w:pPr>
            <w:r>
              <w:rPr>
                <w:rFonts w:hint="default" w:ascii="Times New Roman" w:hAnsi="Times New Roman" w:cs="Times New Roman"/>
                <w:b/>
                <w:bCs/>
                <w:color w:val="auto"/>
                <w:sz w:val="24"/>
              </w:rPr>
              <w:t>表2-</w:t>
            </w:r>
            <w:r>
              <w:rPr>
                <w:rFonts w:hint="eastAsia" w:ascii="Times New Roman" w:hAnsi="Times New Roman" w:cs="Times New Roman"/>
                <w:b/>
                <w:bCs/>
                <w:color w:val="auto"/>
                <w:sz w:val="24"/>
                <w:lang w:val="en-US" w:eastAsia="zh-CN"/>
              </w:rPr>
              <w:t>5</w:t>
            </w:r>
            <w:r>
              <w:rPr>
                <w:rFonts w:hint="default" w:ascii="Times New Roman" w:hAnsi="Times New Roman" w:cs="Times New Roman"/>
                <w:b/>
                <w:bCs/>
                <w:color w:val="auto"/>
                <w:sz w:val="24"/>
              </w:rPr>
              <w:t xml:space="preserve">  工程占地类型及面积统计表</w:t>
            </w:r>
          </w:p>
          <w:tbl>
            <w:tblPr>
              <w:tblStyle w:val="30"/>
              <w:tblW w:w="5000"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9"/>
              <w:gridCol w:w="1245"/>
              <w:gridCol w:w="837"/>
              <w:gridCol w:w="1013"/>
              <w:gridCol w:w="954"/>
              <w:gridCol w:w="963"/>
              <w:gridCol w:w="941"/>
            </w:tblGrid>
            <w:tr w14:paraId="481A1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85" w:type="pct"/>
                  <w:vMerge w:val="restart"/>
                  <w:tcBorders>
                    <w:tl2br w:val="nil"/>
                    <w:tr2bl w:val="nil"/>
                  </w:tcBorders>
                  <w:noWrap w:val="0"/>
                  <w:vAlign w:val="center"/>
                </w:tcPr>
                <w:p w14:paraId="1DAD9EE7">
                  <w:pPr>
                    <w:widowControl/>
                    <w:spacing w:line="240" w:lineRule="auto"/>
                    <w:ind w:firstLine="0" w:firstLineChars="0"/>
                    <w:jc w:val="center"/>
                    <w:rPr>
                      <w:rFonts w:hint="default" w:ascii="Times New Roman" w:hAnsi="Times New Roman" w:eastAsia="等线" w:cs="Times New Roman"/>
                      <w:b/>
                      <w:bCs/>
                      <w:color w:val="auto"/>
                      <w:kern w:val="0"/>
                      <w:sz w:val="21"/>
                      <w:szCs w:val="21"/>
                    </w:rPr>
                  </w:pPr>
                  <w:r>
                    <w:rPr>
                      <w:rFonts w:hint="default" w:ascii="Times New Roman" w:hAnsi="Times New Roman" w:cs="Times New Roman"/>
                      <w:b/>
                      <w:bCs/>
                      <w:color w:val="auto"/>
                      <w:kern w:val="0"/>
                      <w:sz w:val="21"/>
                      <w:szCs w:val="21"/>
                    </w:rPr>
                    <w:t>项目分区</w:t>
                  </w:r>
                </w:p>
              </w:tc>
              <w:tc>
                <w:tcPr>
                  <w:tcW w:w="2526" w:type="pct"/>
                  <w:gridSpan w:val="4"/>
                  <w:tcBorders>
                    <w:tl2br w:val="nil"/>
                    <w:tr2bl w:val="nil"/>
                  </w:tcBorders>
                  <w:noWrap w:val="0"/>
                  <w:vAlign w:val="center"/>
                </w:tcPr>
                <w:p w14:paraId="5CCB678D">
                  <w:pPr>
                    <w:widowControl/>
                    <w:spacing w:line="240" w:lineRule="auto"/>
                    <w:ind w:firstLine="0" w:firstLineChars="0"/>
                    <w:jc w:val="center"/>
                    <w:rPr>
                      <w:rFonts w:hint="default" w:ascii="Times New Roman" w:hAnsi="Times New Roman" w:eastAsia="等线" w:cs="Times New Roman"/>
                      <w:b/>
                      <w:bCs/>
                      <w:color w:val="auto"/>
                      <w:kern w:val="0"/>
                      <w:sz w:val="21"/>
                      <w:szCs w:val="21"/>
                    </w:rPr>
                  </w:pPr>
                  <w:r>
                    <w:rPr>
                      <w:rFonts w:hint="default" w:ascii="Times New Roman" w:hAnsi="Times New Roman" w:cs="Times New Roman"/>
                      <w:b/>
                      <w:bCs/>
                      <w:color w:val="auto"/>
                      <w:kern w:val="0"/>
                      <w:sz w:val="21"/>
                      <w:szCs w:val="21"/>
                    </w:rPr>
                    <w:t>占地类型及面积（</w:t>
                  </w:r>
                  <w:r>
                    <w:rPr>
                      <w:rFonts w:hint="default" w:ascii="Times New Roman" w:hAnsi="Times New Roman" w:eastAsia="等线" w:cs="Times New Roman"/>
                      <w:b/>
                      <w:bCs/>
                      <w:color w:val="auto"/>
                      <w:kern w:val="0"/>
                      <w:sz w:val="21"/>
                      <w:szCs w:val="21"/>
                    </w:rPr>
                    <w:t>hm</w:t>
                  </w:r>
                  <w:r>
                    <w:rPr>
                      <w:rFonts w:hint="default" w:ascii="Times New Roman" w:hAnsi="Times New Roman" w:eastAsia="等线" w:cs="Times New Roman"/>
                      <w:b/>
                      <w:bCs/>
                      <w:color w:val="auto"/>
                      <w:kern w:val="0"/>
                      <w:sz w:val="21"/>
                      <w:szCs w:val="21"/>
                      <w:vertAlign w:val="superscript"/>
                    </w:rPr>
                    <w:t>2</w:t>
                  </w:r>
                  <w:r>
                    <w:rPr>
                      <w:rFonts w:hint="default" w:ascii="Times New Roman" w:hAnsi="Times New Roman" w:cs="Times New Roman"/>
                      <w:b/>
                      <w:bCs/>
                      <w:color w:val="auto"/>
                      <w:kern w:val="0"/>
                      <w:sz w:val="21"/>
                      <w:szCs w:val="21"/>
                    </w:rPr>
                    <w:t>）</w:t>
                  </w:r>
                </w:p>
              </w:tc>
              <w:tc>
                <w:tcPr>
                  <w:tcW w:w="1188" w:type="pct"/>
                  <w:gridSpan w:val="2"/>
                  <w:tcBorders>
                    <w:tl2br w:val="nil"/>
                    <w:tr2bl w:val="nil"/>
                  </w:tcBorders>
                  <w:noWrap w:val="0"/>
                  <w:vAlign w:val="center"/>
                </w:tcPr>
                <w:p w14:paraId="1EC7A541">
                  <w:pPr>
                    <w:widowControl/>
                    <w:spacing w:line="240" w:lineRule="auto"/>
                    <w:ind w:firstLine="0" w:firstLineChars="0"/>
                    <w:jc w:val="center"/>
                    <w:rPr>
                      <w:rFonts w:hint="default" w:ascii="Times New Roman" w:hAnsi="Times New Roman" w:eastAsia="等线" w:cs="Times New Roman"/>
                      <w:b/>
                      <w:bCs/>
                      <w:color w:val="auto"/>
                      <w:kern w:val="0"/>
                      <w:sz w:val="21"/>
                      <w:szCs w:val="21"/>
                    </w:rPr>
                  </w:pPr>
                  <w:r>
                    <w:rPr>
                      <w:rFonts w:hint="default" w:ascii="Times New Roman" w:hAnsi="Times New Roman" w:cs="Times New Roman"/>
                      <w:b/>
                      <w:bCs/>
                      <w:color w:val="auto"/>
                      <w:kern w:val="0"/>
                      <w:sz w:val="21"/>
                      <w:szCs w:val="21"/>
                    </w:rPr>
                    <w:t>占地性质</w:t>
                  </w:r>
                </w:p>
              </w:tc>
            </w:tr>
            <w:tr w14:paraId="1B1BF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85" w:type="pct"/>
                  <w:vMerge w:val="continue"/>
                  <w:tcBorders>
                    <w:tl2br w:val="nil"/>
                    <w:tr2bl w:val="nil"/>
                  </w:tcBorders>
                  <w:noWrap w:val="0"/>
                  <w:vAlign w:val="center"/>
                </w:tcPr>
                <w:p w14:paraId="59B9B376">
                  <w:pPr>
                    <w:widowControl/>
                    <w:spacing w:line="240" w:lineRule="auto"/>
                    <w:ind w:firstLine="0" w:firstLineChars="0"/>
                    <w:jc w:val="left"/>
                    <w:rPr>
                      <w:rFonts w:hint="default" w:ascii="Times New Roman" w:hAnsi="Times New Roman" w:eastAsia="等线" w:cs="Times New Roman"/>
                      <w:b/>
                      <w:bCs/>
                      <w:color w:val="auto"/>
                      <w:kern w:val="0"/>
                      <w:sz w:val="21"/>
                      <w:szCs w:val="21"/>
                    </w:rPr>
                  </w:pPr>
                </w:p>
              </w:tc>
              <w:tc>
                <w:tcPr>
                  <w:tcW w:w="777" w:type="pct"/>
                  <w:tcBorders>
                    <w:tl2br w:val="nil"/>
                    <w:tr2bl w:val="nil"/>
                  </w:tcBorders>
                  <w:noWrap w:val="0"/>
                  <w:vAlign w:val="center"/>
                </w:tcPr>
                <w:p w14:paraId="52212E12">
                  <w:pPr>
                    <w:widowControl/>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耕地</w:t>
                  </w:r>
                </w:p>
              </w:tc>
              <w:tc>
                <w:tcPr>
                  <w:tcW w:w="522" w:type="pct"/>
                  <w:tcBorders>
                    <w:tl2br w:val="nil"/>
                    <w:tr2bl w:val="nil"/>
                  </w:tcBorders>
                  <w:noWrap w:val="0"/>
                  <w:vAlign w:val="center"/>
                </w:tcPr>
                <w:p w14:paraId="638443D7">
                  <w:pPr>
                    <w:widowControl/>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林地</w:t>
                  </w:r>
                </w:p>
              </w:tc>
              <w:tc>
                <w:tcPr>
                  <w:tcW w:w="632" w:type="pct"/>
                  <w:tcBorders>
                    <w:tl2br w:val="nil"/>
                    <w:tr2bl w:val="nil"/>
                  </w:tcBorders>
                  <w:noWrap w:val="0"/>
                  <w:vAlign w:val="center"/>
                </w:tcPr>
                <w:p w14:paraId="4F2D019E">
                  <w:pPr>
                    <w:widowControl/>
                    <w:spacing w:line="240" w:lineRule="auto"/>
                    <w:ind w:firstLine="0" w:firstLineChars="0"/>
                    <w:jc w:val="center"/>
                    <w:rPr>
                      <w:rFonts w:hint="default" w:ascii="Times New Roman" w:hAnsi="Times New Roman" w:cs="Times New Roman"/>
                      <w:b/>
                      <w:bCs/>
                      <w:color w:val="auto"/>
                      <w:kern w:val="0"/>
                      <w:sz w:val="21"/>
                      <w:szCs w:val="21"/>
                    </w:rPr>
                  </w:pPr>
                  <w:r>
                    <w:rPr>
                      <w:rFonts w:hint="eastAsia" w:ascii="Times New Roman" w:hAnsi="Times New Roman" w:cs="Times New Roman"/>
                      <w:b/>
                      <w:bCs/>
                      <w:color w:val="auto"/>
                      <w:kern w:val="0"/>
                      <w:sz w:val="21"/>
                      <w:szCs w:val="21"/>
                      <w:lang w:val="en-US" w:eastAsia="zh-CN"/>
                    </w:rPr>
                    <w:t>一般草地</w:t>
                  </w:r>
                </w:p>
              </w:tc>
              <w:tc>
                <w:tcPr>
                  <w:tcW w:w="594" w:type="pct"/>
                  <w:tcBorders>
                    <w:tl2br w:val="nil"/>
                    <w:tr2bl w:val="nil"/>
                  </w:tcBorders>
                  <w:noWrap w:val="0"/>
                  <w:vAlign w:val="center"/>
                </w:tcPr>
                <w:p w14:paraId="5CD1C654">
                  <w:pPr>
                    <w:widowControl/>
                    <w:spacing w:line="240" w:lineRule="auto"/>
                    <w:ind w:firstLine="0" w:firstLineChars="0"/>
                    <w:jc w:val="center"/>
                    <w:rPr>
                      <w:rFonts w:hint="default" w:ascii="Times New Roman" w:hAnsi="Times New Roman" w:eastAsia="等线" w:cs="Times New Roman"/>
                      <w:b/>
                      <w:bCs/>
                      <w:color w:val="auto"/>
                      <w:kern w:val="0"/>
                      <w:sz w:val="21"/>
                      <w:szCs w:val="21"/>
                    </w:rPr>
                  </w:pPr>
                  <w:r>
                    <w:rPr>
                      <w:rFonts w:hint="default" w:ascii="Times New Roman" w:hAnsi="Times New Roman" w:cs="Times New Roman"/>
                      <w:b/>
                      <w:bCs/>
                      <w:color w:val="auto"/>
                      <w:kern w:val="0"/>
                      <w:sz w:val="21"/>
                      <w:szCs w:val="21"/>
                    </w:rPr>
                    <w:t>小计</w:t>
                  </w:r>
                </w:p>
              </w:tc>
              <w:tc>
                <w:tcPr>
                  <w:tcW w:w="601" w:type="pct"/>
                  <w:tcBorders>
                    <w:tl2br w:val="nil"/>
                    <w:tr2bl w:val="nil"/>
                  </w:tcBorders>
                  <w:noWrap w:val="0"/>
                  <w:vAlign w:val="center"/>
                </w:tcPr>
                <w:p w14:paraId="7E608672">
                  <w:pPr>
                    <w:widowControl/>
                    <w:spacing w:line="240" w:lineRule="auto"/>
                    <w:ind w:firstLine="0" w:firstLineChars="0"/>
                    <w:jc w:val="center"/>
                    <w:rPr>
                      <w:rFonts w:hint="default" w:ascii="Times New Roman" w:hAnsi="Times New Roman" w:eastAsia="等线" w:cs="Times New Roman"/>
                      <w:b/>
                      <w:bCs/>
                      <w:color w:val="auto"/>
                      <w:kern w:val="0"/>
                      <w:sz w:val="21"/>
                      <w:szCs w:val="21"/>
                    </w:rPr>
                  </w:pPr>
                  <w:r>
                    <w:rPr>
                      <w:rFonts w:hint="default" w:ascii="Times New Roman" w:hAnsi="Times New Roman" w:cs="Times New Roman"/>
                      <w:b/>
                      <w:bCs/>
                      <w:color w:val="auto"/>
                      <w:kern w:val="0"/>
                      <w:sz w:val="21"/>
                      <w:szCs w:val="21"/>
                    </w:rPr>
                    <w:t>永久占地</w:t>
                  </w:r>
                </w:p>
              </w:tc>
              <w:tc>
                <w:tcPr>
                  <w:tcW w:w="586" w:type="pct"/>
                  <w:tcBorders>
                    <w:tl2br w:val="nil"/>
                    <w:tr2bl w:val="nil"/>
                  </w:tcBorders>
                  <w:noWrap w:val="0"/>
                  <w:vAlign w:val="center"/>
                </w:tcPr>
                <w:p w14:paraId="39B9A352">
                  <w:pPr>
                    <w:widowControl/>
                    <w:spacing w:line="240" w:lineRule="auto"/>
                    <w:ind w:firstLine="0" w:firstLineChars="0"/>
                    <w:jc w:val="center"/>
                    <w:rPr>
                      <w:rFonts w:hint="default" w:ascii="Times New Roman" w:hAnsi="Times New Roman" w:eastAsia="等线" w:cs="Times New Roman"/>
                      <w:b/>
                      <w:bCs/>
                      <w:color w:val="auto"/>
                      <w:kern w:val="0"/>
                      <w:sz w:val="21"/>
                      <w:szCs w:val="21"/>
                    </w:rPr>
                  </w:pPr>
                  <w:r>
                    <w:rPr>
                      <w:rFonts w:hint="default" w:ascii="Times New Roman" w:hAnsi="Times New Roman" w:cs="Times New Roman"/>
                      <w:b/>
                      <w:bCs/>
                      <w:color w:val="auto"/>
                      <w:kern w:val="0"/>
                      <w:sz w:val="21"/>
                      <w:szCs w:val="21"/>
                    </w:rPr>
                    <w:t>临时占地</w:t>
                  </w:r>
                </w:p>
              </w:tc>
            </w:tr>
            <w:tr w14:paraId="48C89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85" w:type="pct"/>
                  <w:tcBorders>
                    <w:tl2br w:val="nil"/>
                    <w:tr2bl w:val="nil"/>
                  </w:tcBorders>
                  <w:noWrap w:val="0"/>
                  <w:vAlign w:val="center"/>
                </w:tcPr>
                <w:p w14:paraId="3A6ACBFC">
                  <w:pPr>
                    <w:widowControl/>
                    <w:spacing w:line="240" w:lineRule="auto"/>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塔基区</w:t>
                  </w:r>
                </w:p>
              </w:tc>
              <w:tc>
                <w:tcPr>
                  <w:tcW w:w="777" w:type="pct"/>
                  <w:tcBorders>
                    <w:tl2br w:val="nil"/>
                    <w:tr2bl w:val="nil"/>
                  </w:tcBorders>
                  <w:noWrap w:val="0"/>
                  <w:vAlign w:val="center"/>
                </w:tcPr>
                <w:p w14:paraId="7E5BA515">
                  <w:pPr>
                    <w:widowControl/>
                    <w:spacing w:line="240" w:lineRule="auto"/>
                    <w:ind w:firstLine="0" w:firstLineChars="0"/>
                    <w:jc w:val="center"/>
                    <w:rPr>
                      <w:rFonts w:hint="default" w:ascii="Times New Roman" w:hAnsi="Times New Roman" w:eastAsia="等线" w:cs="Times New Roman"/>
                      <w:color w:val="auto"/>
                      <w:kern w:val="0"/>
                      <w:sz w:val="21"/>
                      <w:szCs w:val="21"/>
                      <w:lang w:val="en-US" w:eastAsia="zh-CN"/>
                    </w:rPr>
                  </w:pPr>
                  <w:r>
                    <w:rPr>
                      <w:rFonts w:hint="default" w:ascii="Times New Roman" w:hAnsi="Times New Roman" w:eastAsia="等线" w:cs="Times New Roman"/>
                      <w:color w:val="auto"/>
                      <w:kern w:val="0"/>
                      <w:sz w:val="21"/>
                      <w:szCs w:val="21"/>
                    </w:rPr>
                    <w:t>0.0</w:t>
                  </w:r>
                  <w:r>
                    <w:rPr>
                      <w:rFonts w:hint="eastAsia" w:ascii="Times New Roman" w:hAnsi="Times New Roman" w:eastAsia="等线" w:cs="Times New Roman"/>
                      <w:color w:val="auto"/>
                      <w:kern w:val="0"/>
                      <w:sz w:val="21"/>
                      <w:szCs w:val="21"/>
                      <w:lang w:val="en-US" w:eastAsia="zh-CN"/>
                    </w:rPr>
                    <w:t>4613</w:t>
                  </w:r>
                </w:p>
              </w:tc>
              <w:tc>
                <w:tcPr>
                  <w:tcW w:w="522" w:type="pct"/>
                  <w:tcBorders>
                    <w:tl2br w:val="nil"/>
                    <w:tr2bl w:val="nil"/>
                  </w:tcBorders>
                  <w:noWrap/>
                  <w:vAlign w:val="center"/>
                </w:tcPr>
                <w:p w14:paraId="6B3F61C9">
                  <w:pPr>
                    <w:widowControl/>
                    <w:spacing w:line="240" w:lineRule="auto"/>
                    <w:ind w:firstLine="0" w:firstLineChars="0"/>
                    <w:jc w:val="center"/>
                    <w:rPr>
                      <w:rFonts w:hint="default" w:ascii="Times New Roman" w:hAnsi="Times New Roman" w:eastAsia="等线" w:cs="Times New Roman"/>
                      <w:color w:val="auto"/>
                      <w:kern w:val="0"/>
                      <w:sz w:val="21"/>
                      <w:szCs w:val="21"/>
                      <w:lang w:val="en-US" w:eastAsia="zh-CN"/>
                    </w:rPr>
                  </w:pPr>
                  <w:r>
                    <w:rPr>
                      <w:rFonts w:hint="default" w:ascii="Times New Roman" w:hAnsi="Times New Roman" w:eastAsia="等线" w:cs="Times New Roman"/>
                      <w:color w:val="auto"/>
                      <w:kern w:val="0"/>
                      <w:sz w:val="21"/>
                      <w:szCs w:val="21"/>
                    </w:rPr>
                    <w:t>0.</w:t>
                  </w:r>
                  <w:r>
                    <w:rPr>
                      <w:rFonts w:hint="eastAsia" w:ascii="Times New Roman" w:hAnsi="Times New Roman" w:eastAsia="等线" w:cs="Times New Roman"/>
                      <w:color w:val="auto"/>
                      <w:kern w:val="0"/>
                      <w:sz w:val="21"/>
                      <w:szCs w:val="21"/>
                      <w:lang w:val="en-US" w:eastAsia="zh-CN"/>
                    </w:rPr>
                    <w:t>2088</w:t>
                  </w:r>
                </w:p>
              </w:tc>
              <w:tc>
                <w:tcPr>
                  <w:tcW w:w="632" w:type="pct"/>
                  <w:tcBorders>
                    <w:tl2br w:val="nil"/>
                    <w:tr2bl w:val="nil"/>
                  </w:tcBorders>
                  <w:noWrap/>
                  <w:vAlign w:val="center"/>
                </w:tcPr>
                <w:p w14:paraId="190E4718">
                  <w:pPr>
                    <w:widowControl/>
                    <w:spacing w:line="240" w:lineRule="auto"/>
                    <w:ind w:firstLine="0" w:firstLineChars="0"/>
                    <w:jc w:val="center"/>
                    <w:rPr>
                      <w:rFonts w:hint="eastAsia" w:ascii="Times New Roman" w:hAnsi="Times New Roman" w:eastAsia="等线" w:cs="Times New Roman"/>
                      <w:color w:val="auto"/>
                      <w:kern w:val="0"/>
                      <w:sz w:val="21"/>
                      <w:szCs w:val="21"/>
                      <w:lang w:eastAsia="zh-CN"/>
                    </w:rPr>
                  </w:pPr>
                  <w:r>
                    <w:rPr>
                      <w:rFonts w:hint="eastAsia" w:ascii="Times New Roman" w:hAnsi="Times New Roman" w:eastAsia="等线" w:cs="Times New Roman"/>
                      <w:color w:val="auto"/>
                      <w:kern w:val="0"/>
                      <w:sz w:val="21"/>
                      <w:szCs w:val="21"/>
                      <w:lang w:val="en-US" w:eastAsia="zh-CN"/>
                    </w:rPr>
                    <w:t>0</w:t>
                  </w:r>
                </w:p>
              </w:tc>
              <w:tc>
                <w:tcPr>
                  <w:tcW w:w="594" w:type="pct"/>
                  <w:tcBorders>
                    <w:tl2br w:val="nil"/>
                    <w:tr2bl w:val="nil"/>
                  </w:tcBorders>
                  <w:noWrap/>
                  <w:vAlign w:val="center"/>
                </w:tcPr>
                <w:p w14:paraId="14ADC833">
                  <w:pPr>
                    <w:widowControl/>
                    <w:spacing w:line="240" w:lineRule="auto"/>
                    <w:ind w:firstLine="0" w:firstLineChars="0"/>
                    <w:jc w:val="center"/>
                    <w:rPr>
                      <w:rFonts w:hint="default" w:ascii="Times New Roman" w:hAnsi="Times New Roman" w:eastAsia="等线" w:cs="Times New Roman"/>
                      <w:color w:val="auto"/>
                      <w:kern w:val="0"/>
                      <w:sz w:val="21"/>
                      <w:szCs w:val="21"/>
                      <w:lang w:val="en-US" w:eastAsia="zh-CN"/>
                    </w:rPr>
                  </w:pPr>
                  <w:r>
                    <w:rPr>
                      <w:rFonts w:hint="default" w:ascii="Times New Roman" w:hAnsi="Times New Roman" w:eastAsia="等线" w:cs="Times New Roman"/>
                      <w:color w:val="auto"/>
                      <w:kern w:val="0"/>
                      <w:sz w:val="21"/>
                      <w:szCs w:val="21"/>
                    </w:rPr>
                    <w:t>0.</w:t>
                  </w:r>
                  <w:r>
                    <w:rPr>
                      <w:rFonts w:hint="eastAsia" w:ascii="Times New Roman" w:hAnsi="Times New Roman" w:eastAsia="等线" w:cs="Times New Roman"/>
                      <w:color w:val="auto"/>
                      <w:kern w:val="0"/>
                      <w:sz w:val="21"/>
                      <w:szCs w:val="21"/>
                      <w:lang w:val="en-US" w:eastAsia="zh-CN"/>
                    </w:rPr>
                    <w:t>25495</w:t>
                  </w:r>
                </w:p>
              </w:tc>
              <w:tc>
                <w:tcPr>
                  <w:tcW w:w="601" w:type="pct"/>
                  <w:tcBorders>
                    <w:tl2br w:val="nil"/>
                    <w:tr2bl w:val="nil"/>
                  </w:tcBorders>
                  <w:noWrap/>
                  <w:vAlign w:val="center"/>
                </w:tcPr>
                <w:p w14:paraId="29C1FF1B">
                  <w:pPr>
                    <w:widowControl/>
                    <w:spacing w:line="240" w:lineRule="auto"/>
                    <w:ind w:firstLine="0" w:firstLineChars="0"/>
                    <w:jc w:val="center"/>
                    <w:rPr>
                      <w:rFonts w:hint="default" w:ascii="Times New Roman" w:hAnsi="Times New Roman" w:eastAsia="等线" w:cs="Times New Roman"/>
                      <w:color w:val="auto"/>
                      <w:kern w:val="0"/>
                      <w:sz w:val="21"/>
                      <w:szCs w:val="21"/>
                      <w:lang w:val="en-US" w:eastAsia="zh-CN"/>
                    </w:rPr>
                  </w:pPr>
                  <w:r>
                    <w:rPr>
                      <w:rFonts w:hint="eastAsia" w:ascii="Times New Roman" w:hAnsi="Times New Roman" w:eastAsia="等线" w:cs="Times New Roman"/>
                      <w:color w:val="auto"/>
                      <w:kern w:val="0"/>
                      <w:sz w:val="21"/>
                      <w:szCs w:val="21"/>
                      <w:lang w:val="en-US" w:eastAsia="zh-CN"/>
                    </w:rPr>
                    <w:t>0.25495</w:t>
                  </w:r>
                </w:p>
              </w:tc>
              <w:tc>
                <w:tcPr>
                  <w:tcW w:w="586" w:type="pct"/>
                  <w:tcBorders>
                    <w:tl2br w:val="nil"/>
                    <w:tr2bl w:val="nil"/>
                  </w:tcBorders>
                  <w:noWrap/>
                  <w:vAlign w:val="center"/>
                </w:tcPr>
                <w:p w14:paraId="4F7240DD">
                  <w:pPr>
                    <w:widowControl/>
                    <w:spacing w:line="240" w:lineRule="auto"/>
                    <w:ind w:firstLine="0" w:firstLineChars="0"/>
                    <w:jc w:val="center"/>
                    <w:rPr>
                      <w:rFonts w:hint="eastAsia" w:ascii="Times New Roman" w:hAnsi="Times New Roman" w:eastAsia="等线" w:cs="Times New Roman"/>
                      <w:color w:val="auto"/>
                      <w:kern w:val="0"/>
                      <w:sz w:val="21"/>
                      <w:szCs w:val="21"/>
                      <w:lang w:eastAsia="zh-CN"/>
                    </w:rPr>
                  </w:pPr>
                  <w:r>
                    <w:rPr>
                      <w:rFonts w:hint="eastAsia" w:ascii="Times New Roman" w:hAnsi="Times New Roman" w:eastAsia="等线" w:cs="Times New Roman"/>
                      <w:color w:val="auto"/>
                      <w:kern w:val="0"/>
                      <w:sz w:val="21"/>
                      <w:szCs w:val="21"/>
                      <w:lang w:val="en-US" w:eastAsia="zh-CN"/>
                    </w:rPr>
                    <w:t>0</w:t>
                  </w:r>
                </w:p>
              </w:tc>
            </w:tr>
            <w:tr w14:paraId="51B6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85" w:type="pct"/>
                  <w:tcBorders>
                    <w:tl2br w:val="nil"/>
                    <w:tr2bl w:val="nil"/>
                  </w:tcBorders>
                  <w:noWrap w:val="0"/>
                  <w:vAlign w:val="center"/>
                </w:tcPr>
                <w:p w14:paraId="05E59B97">
                  <w:pPr>
                    <w:widowControl/>
                    <w:spacing w:line="240" w:lineRule="auto"/>
                    <w:ind w:firstLine="0" w:firstLineChars="0"/>
                    <w:jc w:val="center"/>
                    <w:rPr>
                      <w:rFonts w:hint="default" w:ascii="Times New Roman" w:hAnsi="Times New Roman" w:eastAsia="等线" w:cs="Times New Roman"/>
                      <w:color w:val="auto"/>
                      <w:kern w:val="0"/>
                      <w:sz w:val="21"/>
                      <w:szCs w:val="21"/>
                    </w:rPr>
                  </w:pPr>
                  <w:r>
                    <w:rPr>
                      <w:rFonts w:hint="default" w:ascii="Times New Roman" w:hAnsi="Times New Roman" w:cs="Times New Roman"/>
                      <w:color w:val="auto"/>
                      <w:kern w:val="0"/>
                      <w:sz w:val="21"/>
                      <w:szCs w:val="21"/>
                    </w:rPr>
                    <w:t>塔基施工场地区</w:t>
                  </w:r>
                </w:p>
              </w:tc>
              <w:tc>
                <w:tcPr>
                  <w:tcW w:w="777" w:type="pct"/>
                  <w:tcBorders>
                    <w:tl2br w:val="nil"/>
                    <w:tr2bl w:val="nil"/>
                  </w:tcBorders>
                  <w:noWrap w:val="0"/>
                  <w:vAlign w:val="center"/>
                </w:tcPr>
                <w:p w14:paraId="47DB921A">
                  <w:pPr>
                    <w:widowControl/>
                    <w:spacing w:line="240" w:lineRule="auto"/>
                    <w:ind w:firstLine="0" w:firstLineChars="0"/>
                    <w:jc w:val="center"/>
                    <w:rPr>
                      <w:rFonts w:hint="default" w:ascii="Times New Roman" w:hAnsi="Times New Roman" w:eastAsia="等线" w:cs="Times New Roman"/>
                      <w:color w:val="auto"/>
                      <w:kern w:val="0"/>
                      <w:sz w:val="21"/>
                      <w:szCs w:val="21"/>
                      <w:lang w:val="en-US" w:eastAsia="zh-CN"/>
                    </w:rPr>
                  </w:pPr>
                  <w:r>
                    <w:rPr>
                      <w:rFonts w:hint="eastAsia" w:ascii="Times New Roman" w:hAnsi="Times New Roman" w:eastAsia="等线" w:cs="Times New Roman"/>
                      <w:color w:val="auto"/>
                      <w:kern w:val="0"/>
                      <w:sz w:val="21"/>
                      <w:szCs w:val="21"/>
                      <w:lang w:val="en-US" w:eastAsia="zh-CN"/>
                    </w:rPr>
                    <w:t>0.005</w:t>
                  </w:r>
                </w:p>
              </w:tc>
              <w:tc>
                <w:tcPr>
                  <w:tcW w:w="522" w:type="pct"/>
                  <w:tcBorders>
                    <w:tl2br w:val="nil"/>
                    <w:tr2bl w:val="nil"/>
                  </w:tcBorders>
                  <w:noWrap/>
                  <w:vAlign w:val="center"/>
                </w:tcPr>
                <w:p w14:paraId="2DB21AB6">
                  <w:pPr>
                    <w:widowControl/>
                    <w:spacing w:line="240" w:lineRule="auto"/>
                    <w:ind w:firstLine="0" w:firstLineChars="0"/>
                    <w:jc w:val="center"/>
                    <w:rPr>
                      <w:rFonts w:hint="default" w:ascii="Times New Roman" w:hAnsi="Times New Roman" w:eastAsia="等线" w:cs="Times New Roman"/>
                      <w:color w:val="auto"/>
                      <w:kern w:val="0"/>
                      <w:sz w:val="21"/>
                      <w:szCs w:val="21"/>
                      <w:lang w:val="en-US" w:eastAsia="zh-CN"/>
                    </w:rPr>
                  </w:pPr>
                  <w:r>
                    <w:rPr>
                      <w:rFonts w:hint="default" w:ascii="Times New Roman" w:hAnsi="Times New Roman" w:eastAsia="等线" w:cs="Times New Roman"/>
                      <w:color w:val="auto"/>
                      <w:kern w:val="0"/>
                      <w:sz w:val="21"/>
                      <w:szCs w:val="21"/>
                    </w:rPr>
                    <w:t>0.1</w:t>
                  </w:r>
                </w:p>
              </w:tc>
              <w:tc>
                <w:tcPr>
                  <w:tcW w:w="632" w:type="pct"/>
                  <w:tcBorders>
                    <w:tl2br w:val="nil"/>
                    <w:tr2bl w:val="nil"/>
                  </w:tcBorders>
                  <w:noWrap/>
                  <w:vAlign w:val="center"/>
                </w:tcPr>
                <w:p w14:paraId="5194B484">
                  <w:pPr>
                    <w:widowControl/>
                    <w:spacing w:line="240" w:lineRule="auto"/>
                    <w:ind w:firstLine="0" w:firstLineChars="0"/>
                    <w:jc w:val="center"/>
                    <w:rPr>
                      <w:rFonts w:hint="default" w:ascii="Times New Roman" w:hAnsi="Times New Roman" w:eastAsia="等线" w:cs="Times New Roman"/>
                      <w:color w:val="auto"/>
                      <w:kern w:val="0"/>
                      <w:sz w:val="21"/>
                      <w:szCs w:val="21"/>
                      <w:lang w:val="en-US" w:eastAsia="zh-CN"/>
                    </w:rPr>
                  </w:pPr>
                  <w:r>
                    <w:rPr>
                      <w:rFonts w:hint="default" w:ascii="Times New Roman" w:hAnsi="Times New Roman" w:eastAsia="等线" w:cs="Times New Roman"/>
                      <w:color w:val="auto"/>
                      <w:kern w:val="0"/>
                      <w:sz w:val="21"/>
                      <w:szCs w:val="21"/>
                    </w:rPr>
                    <w:t>0.</w:t>
                  </w:r>
                  <w:r>
                    <w:rPr>
                      <w:rFonts w:hint="eastAsia" w:ascii="Times New Roman" w:hAnsi="Times New Roman" w:eastAsia="等线" w:cs="Times New Roman"/>
                      <w:color w:val="auto"/>
                      <w:kern w:val="0"/>
                      <w:sz w:val="21"/>
                      <w:szCs w:val="21"/>
                      <w:lang w:val="en-US" w:eastAsia="zh-CN"/>
                    </w:rPr>
                    <w:t>03</w:t>
                  </w:r>
                </w:p>
              </w:tc>
              <w:tc>
                <w:tcPr>
                  <w:tcW w:w="594" w:type="pct"/>
                  <w:tcBorders>
                    <w:tl2br w:val="nil"/>
                    <w:tr2bl w:val="nil"/>
                  </w:tcBorders>
                  <w:noWrap/>
                  <w:vAlign w:val="center"/>
                </w:tcPr>
                <w:p w14:paraId="0AE6C998">
                  <w:pPr>
                    <w:widowControl/>
                    <w:spacing w:line="240" w:lineRule="auto"/>
                    <w:ind w:firstLine="0" w:firstLineChars="0"/>
                    <w:jc w:val="center"/>
                    <w:rPr>
                      <w:rFonts w:hint="default" w:ascii="Times New Roman" w:hAnsi="Times New Roman" w:eastAsia="等线" w:cs="Times New Roman"/>
                      <w:color w:val="auto"/>
                      <w:kern w:val="0"/>
                      <w:sz w:val="21"/>
                      <w:szCs w:val="21"/>
                      <w:lang w:val="en-US" w:eastAsia="zh-CN"/>
                    </w:rPr>
                  </w:pPr>
                  <w:r>
                    <w:rPr>
                      <w:rFonts w:hint="eastAsia" w:ascii="Times New Roman" w:hAnsi="Times New Roman" w:eastAsia="等线" w:cs="Times New Roman"/>
                      <w:color w:val="auto"/>
                      <w:kern w:val="0"/>
                      <w:sz w:val="21"/>
                      <w:szCs w:val="21"/>
                      <w:lang w:val="en-US" w:eastAsia="zh-CN"/>
                    </w:rPr>
                    <w:t>0.135</w:t>
                  </w:r>
                </w:p>
              </w:tc>
              <w:tc>
                <w:tcPr>
                  <w:tcW w:w="601" w:type="pct"/>
                  <w:tcBorders>
                    <w:tl2br w:val="nil"/>
                    <w:tr2bl w:val="nil"/>
                  </w:tcBorders>
                  <w:noWrap/>
                  <w:vAlign w:val="center"/>
                </w:tcPr>
                <w:p w14:paraId="66C28A0C">
                  <w:pPr>
                    <w:widowControl/>
                    <w:spacing w:line="240" w:lineRule="auto"/>
                    <w:ind w:firstLine="0" w:firstLineChars="0"/>
                    <w:jc w:val="center"/>
                    <w:rPr>
                      <w:rFonts w:hint="eastAsia" w:ascii="Times New Roman" w:hAnsi="Times New Roman" w:eastAsia="等线" w:cs="Times New Roman"/>
                      <w:color w:val="auto"/>
                      <w:kern w:val="0"/>
                      <w:sz w:val="21"/>
                      <w:szCs w:val="21"/>
                      <w:lang w:eastAsia="zh-CN"/>
                    </w:rPr>
                  </w:pPr>
                  <w:r>
                    <w:rPr>
                      <w:rFonts w:hint="eastAsia" w:ascii="Times New Roman" w:hAnsi="Times New Roman" w:eastAsia="等线" w:cs="Times New Roman"/>
                      <w:color w:val="auto"/>
                      <w:kern w:val="0"/>
                      <w:sz w:val="21"/>
                      <w:szCs w:val="21"/>
                      <w:lang w:val="en-US" w:eastAsia="zh-CN"/>
                    </w:rPr>
                    <w:t>0</w:t>
                  </w:r>
                </w:p>
              </w:tc>
              <w:tc>
                <w:tcPr>
                  <w:tcW w:w="586" w:type="pct"/>
                  <w:tcBorders>
                    <w:tl2br w:val="nil"/>
                    <w:tr2bl w:val="nil"/>
                  </w:tcBorders>
                  <w:noWrap/>
                  <w:vAlign w:val="center"/>
                </w:tcPr>
                <w:p w14:paraId="44D48ED0">
                  <w:pPr>
                    <w:widowControl/>
                    <w:spacing w:line="240" w:lineRule="auto"/>
                    <w:ind w:firstLine="0" w:firstLineChars="0"/>
                    <w:jc w:val="center"/>
                    <w:rPr>
                      <w:rFonts w:hint="default" w:ascii="Times New Roman" w:hAnsi="Times New Roman" w:eastAsia="等线" w:cs="Times New Roman"/>
                      <w:color w:val="auto"/>
                      <w:kern w:val="0"/>
                      <w:sz w:val="21"/>
                      <w:szCs w:val="21"/>
                      <w:lang w:val="en-US" w:eastAsia="zh-CN"/>
                    </w:rPr>
                  </w:pPr>
                  <w:r>
                    <w:rPr>
                      <w:rFonts w:hint="default" w:ascii="Times New Roman" w:hAnsi="Times New Roman" w:eastAsia="等线" w:cs="Times New Roman"/>
                      <w:color w:val="auto"/>
                      <w:kern w:val="0"/>
                      <w:sz w:val="21"/>
                      <w:szCs w:val="21"/>
                    </w:rPr>
                    <w:t>0.1</w:t>
                  </w:r>
                  <w:r>
                    <w:rPr>
                      <w:rFonts w:hint="eastAsia" w:ascii="Times New Roman" w:hAnsi="Times New Roman" w:eastAsia="等线" w:cs="Times New Roman"/>
                      <w:color w:val="auto"/>
                      <w:kern w:val="0"/>
                      <w:sz w:val="21"/>
                      <w:szCs w:val="21"/>
                      <w:lang w:val="en-US" w:eastAsia="zh-CN"/>
                    </w:rPr>
                    <w:t>35</w:t>
                  </w:r>
                </w:p>
              </w:tc>
            </w:tr>
            <w:tr w14:paraId="6746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85" w:type="pct"/>
                  <w:tcBorders>
                    <w:tl2br w:val="nil"/>
                    <w:tr2bl w:val="nil"/>
                  </w:tcBorders>
                  <w:noWrap w:val="0"/>
                  <w:vAlign w:val="center"/>
                </w:tcPr>
                <w:p w14:paraId="1A8CDA36">
                  <w:pPr>
                    <w:widowControl/>
                    <w:spacing w:line="240" w:lineRule="auto"/>
                    <w:ind w:firstLine="0" w:firstLineChars="0"/>
                    <w:jc w:val="center"/>
                    <w:rPr>
                      <w:rFonts w:hint="default" w:ascii="Times New Roman" w:hAnsi="Times New Roman" w:eastAsia="等线" w:cs="Times New Roman"/>
                      <w:color w:val="auto"/>
                      <w:kern w:val="0"/>
                      <w:sz w:val="21"/>
                      <w:szCs w:val="21"/>
                      <w:lang w:val="en-US" w:eastAsia="zh-CN" w:bidi="ar-SA"/>
                    </w:rPr>
                  </w:pPr>
                  <w:r>
                    <w:rPr>
                      <w:rFonts w:hint="default" w:ascii="Times New Roman" w:hAnsi="Times New Roman" w:cs="Times New Roman"/>
                      <w:color w:val="auto"/>
                      <w:kern w:val="0"/>
                      <w:sz w:val="21"/>
                      <w:szCs w:val="21"/>
                    </w:rPr>
                    <w:t>跨越施工场地区</w:t>
                  </w:r>
                </w:p>
              </w:tc>
              <w:tc>
                <w:tcPr>
                  <w:tcW w:w="777" w:type="pct"/>
                  <w:tcBorders>
                    <w:tl2br w:val="nil"/>
                    <w:tr2bl w:val="nil"/>
                  </w:tcBorders>
                  <w:noWrap w:val="0"/>
                  <w:vAlign w:val="center"/>
                </w:tcPr>
                <w:p w14:paraId="3439C3B8">
                  <w:pPr>
                    <w:widowControl/>
                    <w:spacing w:line="240" w:lineRule="auto"/>
                    <w:ind w:firstLine="0" w:firstLineChars="0"/>
                    <w:jc w:val="center"/>
                    <w:rPr>
                      <w:rFonts w:hint="default" w:ascii="Times New Roman" w:hAnsi="Times New Roman" w:eastAsia="等线" w:cs="Times New Roman"/>
                      <w:color w:val="auto"/>
                      <w:kern w:val="0"/>
                      <w:sz w:val="21"/>
                      <w:szCs w:val="21"/>
                      <w:lang w:val="en-US" w:eastAsia="zh-CN" w:bidi="ar-SA"/>
                    </w:rPr>
                  </w:pPr>
                  <w:r>
                    <w:rPr>
                      <w:rFonts w:hint="eastAsia" w:ascii="Times New Roman" w:hAnsi="Times New Roman" w:eastAsia="等线" w:cs="Times New Roman"/>
                      <w:color w:val="auto"/>
                      <w:kern w:val="0"/>
                      <w:sz w:val="21"/>
                      <w:szCs w:val="21"/>
                      <w:lang w:val="en-US" w:eastAsia="zh-CN"/>
                    </w:rPr>
                    <w:t>0</w:t>
                  </w:r>
                </w:p>
              </w:tc>
              <w:tc>
                <w:tcPr>
                  <w:tcW w:w="522" w:type="pct"/>
                  <w:tcBorders>
                    <w:tl2br w:val="nil"/>
                    <w:tr2bl w:val="nil"/>
                  </w:tcBorders>
                  <w:noWrap w:val="0"/>
                  <w:vAlign w:val="center"/>
                </w:tcPr>
                <w:p w14:paraId="5492D23F">
                  <w:pPr>
                    <w:widowControl/>
                    <w:spacing w:line="240" w:lineRule="auto"/>
                    <w:ind w:firstLine="0" w:firstLineChars="0"/>
                    <w:jc w:val="center"/>
                    <w:rPr>
                      <w:rFonts w:hint="default" w:ascii="Times New Roman" w:hAnsi="Times New Roman" w:eastAsia="等线" w:cs="Times New Roman"/>
                      <w:color w:val="auto"/>
                      <w:kern w:val="0"/>
                      <w:sz w:val="21"/>
                      <w:szCs w:val="21"/>
                      <w:lang w:val="en-US" w:eastAsia="zh-CN" w:bidi="ar-SA"/>
                    </w:rPr>
                  </w:pPr>
                  <w:r>
                    <w:rPr>
                      <w:rFonts w:hint="eastAsia" w:ascii="Times New Roman" w:hAnsi="Times New Roman" w:eastAsia="等线" w:cs="Times New Roman"/>
                      <w:color w:val="auto"/>
                      <w:kern w:val="0"/>
                      <w:sz w:val="21"/>
                      <w:szCs w:val="21"/>
                      <w:lang w:val="en-US" w:eastAsia="zh-CN"/>
                    </w:rPr>
                    <w:t>0.02</w:t>
                  </w:r>
                </w:p>
              </w:tc>
              <w:tc>
                <w:tcPr>
                  <w:tcW w:w="632" w:type="pct"/>
                  <w:tcBorders>
                    <w:tl2br w:val="nil"/>
                    <w:tr2bl w:val="nil"/>
                  </w:tcBorders>
                  <w:noWrap w:val="0"/>
                  <w:vAlign w:val="center"/>
                </w:tcPr>
                <w:p w14:paraId="3BF44D85">
                  <w:pPr>
                    <w:widowControl/>
                    <w:spacing w:line="240" w:lineRule="auto"/>
                    <w:ind w:firstLine="0" w:firstLineChars="0"/>
                    <w:jc w:val="center"/>
                    <w:rPr>
                      <w:rFonts w:hint="eastAsia" w:ascii="Times New Roman" w:hAnsi="Times New Roman" w:eastAsia="等线" w:cs="Times New Roman"/>
                      <w:color w:val="auto"/>
                      <w:kern w:val="0"/>
                      <w:sz w:val="21"/>
                      <w:szCs w:val="21"/>
                      <w:lang w:val="en-US" w:eastAsia="zh-CN" w:bidi="ar-SA"/>
                    </w:rPr>
                  </w:pPr>
                  <w:r>
                    <w:rPr>
                      <w:rFonts w:hint="eastAsia" w:ascii="Times New Roman" w:hAnsi="Times New Roman" w:eastAsia="等线" w:cs="Times New Roman"/>
                      <w:color w:val="auto"/>
                      <w:kern w:val="0"/>
                      <w:sz w:val="21"/>
                      <w:szCs w:val="21"/>
                      <w:lang w:val="en-US" w:eastAsia="zh-CN"/>
                    </w:rPr>
                    <w:t>0.01</w:t>
                  </w:r>
                </w:p>
              </w:tc>
              <w:tc>
                <w:tcPr>
                  <w:tcW w:w="594" w:type="pct"/>
                  <w:tcBorders>
                    <w:tl2br w:val="nil"/>
                    <w:tr2bl w:val="nil"/>
                  </w:tcBorders>
                  <w:noWrap/>
                  <w:vAlign w:val="center"/>
                </w:tcPr>
                <w:p w14:paraId="79BB73B9">
                  <w:pPr>
                    <w:widowControl/>
                    <w:spacing w:line="240" w:lineRule="auto"/>
                    <w:ind w:firstLine="0" w:firstLineChars="0"/>
                    <w:jc w:val="center"/>
                    <w:rPr>
                      <w:rFonts w:hint="default" w:ascii="Times New Roman" w:hAnsi="Times New Roman" w:eastAsia="等线" w:cs="Times New Roman"/>
                      <w:color w:val="auto"/>
                      <w:kern w:val="0"/>
                      <w:sz w:val="21"/>
                      <w:szCs w:val="21"/>
                      <w:lang w:val="en-US" w:eastAsia="zh-CN" w:bidi="ar-SA"/>
                    </w:rPr>
                  </w:pPr>
                  <w:r>
                    <w:rPr>
                      <w:rFonts w:hint="default" w:ascii="Times New Roman" w:hAnsi="Times New Roman" w:eastAsia="等线" w:cs="Times New Roman"/>
                      <w:color w:val="auto"/>
                      <w:kern w:val="0"/>
                      <w:sz w:val="21"/>
                      <w:szCs w:val="21"/>
                    </w:rPr>
                    <w:t>0.0</w:t>
                  </w:r>
                  <w:r>
                    <w:rPr>
                      <w:rFonts w:hint="eastAsia" w:ascii="Times New Roman" w:hAnsi="Times New Roman" w:eastAsia="等线" w:cs="Times New Roman"/>
                      <w:color w:val="auto"/>
                      <w:kern w:val="0"/>
                      <w:sz w:val="21"/>
                      <w:szCs w:val="21"/>
                      <w:lang w:val="en-US" w:eastAsia="zh-CN"/>
                    </w:rPr>
                    <w:t>3</w:t>
                  </w:r>
                </w:p>
              </w:tc>
              <w:tc>
                <w:tcPr>
                  <w:tcW w:w="601" w:type="pct"/>
                  <w:tcBorders>
                    <w:tl2br w:val="nil"/>
                    <w:tr2bl w:val="nil"/>
                  </w:tcBorders>
                  <w:noWrap w:val="0"/>
                  <w:vAlign w:val="center"/>
                </w:tcPr>
                <w:p w14:paraId="50F20403">
                  <w:pPr>
                    <w:widowControl/>
                    <w:spacing w:line="240" w:lineRule="auto"/>
                    <w:ind w:firstLine="0" w:firstLineChars="0"/>
                    <w:jc w:val="center"/>
                    <w:rPr>
                      <w:rFonts w:hint="default" w:ascii="Times New Roman" w:hAnsi="Times New Roman" w:eastAsia="等线" w:cs="Times New Roman"/>
                      <w:color w:val="auto"/>
                      <w:kern w:val="0"/>
                      <w:sz w:val="21"/>
                      <w:szCs w:val="21"/>
                      <w:lang w:val="en-US" w:eastAsia="zh-CN" w:bidi="ar-SA"/>
                    </w:rPr>
                  </w:pPr>
                  <w:r>
                    <w:rPr>
                      <w:rFonts w:hint="eastAsia" w:ascii="Times New Roman" w:hAnsi="Times New Roman" w:eastAsia="等线" w:cs="Times New Roman"/>
                      <w:color w:val="auto"/>
                      <w:kern w:val="0"/>
                      <w:sz w:val="21"/>
                      <w:szCs w:val="21"/>
                      <w:lang w:val="en-US" w:eastAsia="zh-CN"/>
                    </w:rPr>
                    <w:t>0</w:t>
                  </w:r>
                </w:p>
              </w:tc>
              <w:tc>
                <w:tcPr>
                  <w:tcW w:w="586" w:type="pct"/>
                  <w:tcBorders>
                    <w:tl2br w:val="nil"/>
                    <w:tr2bl w:val="nil"/>
                  </w:tcBorders>
                  <w:noWrap w:val="0"/>
                  <w:vAlign w:val="center"/>
                </w:tcPr>
                <w:p w14:paraId="5BBB5B3C">
                  <w:pPr>
                    <w:widowControl/>
                    <w:spacing w:line="240" w:lineRule="auto"/>
                    <w:ind w:firstLine="0" w:firstLineChars="0"/>
                    <w:jc w:val="center"/>
                    <w:rPr>
                      <w:rFonts w:hint="default" w:ascii="Times New Roman" w:hAnsi="Times New Roman" w:eastAsia="等线" w:cs="Times New Roman"/>
                      <w:color w:val="auto"/>
                      <w:kern w:val="0"/>
                      <w:sz w:val="21"/>
                      <w:szCs w:val="21"/>
                      <w:lang w:val="en-US" w:eastAsia="zh-CN" w:bidi="ar-SA"/>
                    </w:rPr>
                  </w:pPr>
                  <w:r>
                    <w:rPr>
                      <w:rFonts w:hint="default" w:ascii="Times New Roman" w:hAnsi="Times New Roman" w:eastAsia="等线" w:cs="Times New Roman"/>
                      <w:color w:val="auto"/>
                      <w:kern w:val="0"/>
                      <w:sz w:val="21"/>
                      <w:szCs w:val="21"/>
                    </w:rPr>
                    <w:t>0.0</w:t>
                  </w:r>
                  <w:r>
                    <w:rPr>
                      <w:rFonts w:hint="eastAsia" w:ascii="Times New Roman" w:hAnsi="Times New Roman" w:eastAsia="等线" w:cs="Times New Roman"/>
                      <w:color w:val="auto"/>
                      <w:kern w:val="0"/>
                      <w:sz w:val="21"/>
                      <w:szCs w:val="21"/>
                      <w:lang w:val="en-US" w:eastAsia="zh-CN"/>
                    </w:rPr>
                    <w:t>3</w:t>
                  </w:r>
                </w:p>
              </w:tc>
            </w:tr>
            <w:tr w14:paraId="3DFD6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85" w:type="pct"/>
                  <w:tcBorders>
                    <w:tl2br w:val="nil"/>
                    <w:tr2bl w:val="nil"/>
                  </w:tcBorders>
                  <w:noWrap w:val="0"/>
                  <w:vAlign w:val="center"/>
                </w:tcPr>
                <w:p w14:paraId="6BEB7DF4">
                  <w:pPr>
                    <w:widowControl/>
                    <w:spacing w:line="240" w:lineRule="auto"/>
                    <w:ind w:firstLine="0" w:firstLineChars="0"/>
                    <w:jc w:val="center"/>
                    <w:rPr>
                      <w:rFonts w:hint="default" w:ascii="Times New Roman" w:hAnsi="Times New Roman" w:cs="Times New Roman"/>
                      <w:color w:val="auto"/>
                      <w:kern w:val="0"/>
                      <w:sz w:val="21"/>
                      <w:szCs w:val="21"/>
                      <w:lang w:val="en-US" w:eastAsia="zh-CN" w:bidi="ar-SA"/>
                    </w:rPr>
                  </w:pPr>
                  <w:r>
                    <w:rPr>
                      <w:rFonts w:hint="default" w:ascii="Times New Roman" w:hAnsi="Times New Roman" w:cs="Times New Roman"/>
                      <w:color w:val="auto"/>
                      <w:kern w:val="0"/>
                      <w:sz w:val="21"/>
                      <w:szCs w:val="21"/>
                    </w:rPr>
                    <w:t>牵张场地区</w:t>
                  </w:r>
                </w:p>
              </w:tc>
              <w:tc>
                <w:tcPr>
                  <w:tcW w:w="777" w:type="pct"/>
                  <w:tcBorders>
                    <w:tl2br w:val="nil"/>
                    <w:tr2bl w:val="nil"/>
                  </w:tcBorders>
                  <w:noWrap w:val="0"/>
                  <w:vAlign w:val="center"/>
                </w:tcPr>
                <w:p w14:paraId="00053AB8">
                  <w:pPr>
                    <w:widowControl/>
                    <w:spacing w:line="240" w:lineRule="auto"/>
                    <w:ind w:firstLine="0" w:firstLineChars="0"/>
                    <w:jc w:val="center"/>
                    <w:rPr>
                      <w:rFonts w:hint="default" w:ascii="Times New Roman" w:hAnsi="Times New Roman" w:eastAsia="等线" w:cs="Times New Roman"/>
                      <w:color w:val="auto"/>
                      <w:kern w:val="0"/>
                      <w:sz w:val="21"/>
                      <w:szCs w:val="21"/>
                      <w:lang w:val="en-US" w:eastAsia="zh-CN" w:bidi="ar-SA"/>
                    </w:rPr>
                  </w:pPr>
                  <w:r>
                    <w:rPr>
                      <w:rFonts w:hint="eastAsia" w:ascii="Times New Roman" w:hAnsi="Times New Roman" w:eastAsia="等线" w:cs="Times New Roman"/>
                      <w:color w:val="auto"/>
                      <w:kern w:val="0"/>
                      <w:sz w:val="21"/>
                      <w:szCs w:val="21"/>
                      <w:lang w:val="en-US" w:eastAsia="zh-CN"/>
                    </w:rPr>
                    <w:t>0.01</w:t>
                  </w:r>
                </w:p>
              </w:tc>
              <w:tc>
                <w:tcPr>
                  <w:tcW w:w="522" w:type="pct"/>
                  <w:tcBorders>
                    <w:tl2br w:val="nil"/>
                    <w:tr2bl w:val="nil"/>
                  </w:tcBorders>
                  <w:noWrap w:val="0"/>
                  <w:vAlign w:val="center"/>
                </w:tcPr>
                <w:p w14:paraId="4C83DA1D">
                  <w:pPr>
                    <w:widowControl/>
                    <w:spacing w:line="240" w:lineRule="auto"/>
                    <w:ind w:firstLine="0" w:firstLineChars="0"/>
                    <w:jc w:val="center"/>
                    <w:rPr>
                      <w:rFonts w:hint="default" w:ascii="Times New Roman" w:hAnsi="Times New Roman" w:eastAsia="等线" w:cs="Times New Roman"/>
                      <w:color w:val="auto"/>
                      <w:kern w:val="0"/>
                      <w:sz w:val="21"/>
                      <w:szCs w:val="21"/>
                      <w:lang w:val="en-US" w:eastAsia="zh-CN" w:bidi="ar-SA"/>
                    </w:rPr>
                  </w:pPr>
                  <w:r>
                    <w:rPr>
                      <w:rFonts w:hint="eastAsia" w:ascii="Times New Roman" w:hAnsi="Times New Roman" w:eastAsia="等线" w:cs="Times New Roman"/>
                      <w:color w:val="auto"/>
                      <w:kern w:val="0"/>
                      <w:sz w:val="21"/>
                      <w:szCs w:val="21"/>
                      <w:lang w:val="en-US" w:eastAsia="zh-CN"/>
                    </w:rPr>
                    <w:t>0.2</w:t>
                  </w:r>
                </w:p>
              </w:tc>
              <w:tc>
                <w:tcPr>
                  <w:tcW w:w="632" w:type="pct"/>
                  <w:tcBorders>
                    <w:tl2br w:val="nil"/>
                    <w:tr2bl w:val="nil"/>
                  </w:tcBorders>
                  <w:noWrap w:val="0"/>
                  <w:vAlign w:val="center"/>
                </w:tcPr>
                <w:p w14:paraId="1A7A9D20">
                  <w:pPr>
                    <w:widowControl/>
                    <w:spacing w:line="240" w:lineRule="auto"/>
                    <w:ind w:firstLine="0" w:firstLineChars="0"/>
                    <w:jc w:val="center"/>
                    <w:rPr>
                      <w:rFonts w:hint="default" w:ascii="Times New Roman" w:hAnsi="Times New Roman" w:eastAsia="等线" w:cs="Times New Roman"/>
                      <w:color w:val="auto"/>
                      <w:kern w:val="0"/>
                      <w:sz w:val="21"/>
                      <w:szCs w:val="21"/>
                      <w:lang w:val="en-US" w:eastAsia="zh-CN" w:bidi="ar-SA"/>
                    </w:rPr>
                  </w:pPr>
                  <w:r>
                    <w:rPr>
                      <w:rFonts w:hint="default" w:ascii="Times New Roman" w:hAnsi="Times New Roman" w:eastAsia="等线" w:cs="Times New Roman"/>
                      <w:color w:val="auto"/>
                      <w:kern w:val="0"/>
                      <w:sz w:val="21"/>
                      <w:szCs w:val="21"/>
                    </w:rPr>
                    <w:t>0.0</w:t>
                  </w:r>
                  <w:r>
                    <w:rPr>
                      <w:rFonts w:hint="eastAsia" w:ascii="Times New Roman" w:hAnsi="Times New Roman" w:eastAsia="等线" w:cs="Times New Roman"/>
                      <w:color w:val="auto"/>
                      <w:kern w:val="0"/>
                      <w:sz w:val="21"/>
                      <w:szCs w:val="21"/>
                      <w:lang w:val="en-US" w:eastAsia="zh-CN"/>
                    </w:rPr>
                    <w:t>3</w:t>
                  </w:r>
                </w:p>
              </w:tc>
              <w:tc>
                <w:tcPr>
                  <w:tcW w:w="594" w:type="pct"/>
                  <w:tcBorders>
                    <w:tl2br w:val="nil"/>
                    <w:tr2bl w:val="nil"/>
                  </w:tcBorders>
                  <w:noWrap/>
                  <w:vAlign w:val="center"/>
                </w:tcPr>
                <w:p w14:paraId="281E70CD">
                  <w:pPr>
                    <w:widowControl/>
                    <w:spacing w:line="240" w:lineRule="auto"/>
                    <w:ind w:firstLine="0" w:firstLineChars="0"/>
                    <w:jc w:val="center"/>
                    <w:rPr>
                      <w:rFonts w:hint="eastAsia" w:ascii="Times New Roman" w:hAnsi="Times New Roman" w:eastAsia="等线" w:cs="Times New Roman"/>
                      <w:color w:val="auto"/>
                      <w:kern w:val="0"/>
                      <w:sz w:val="21"/>
                      <w:szCs w:val="21"/>
                      <w:lang w:val="en-US" w:eastAsia="zh-CN" w:bidi="ar-SA"/>
                    </w:rPr>
                  </w:pPr>
                  <w:r>
                    <w:rPr>
                      <w:rFonts w:hint="default" w:ascii="Times New Roman" w:hAnsi="Times New Roman" w:eastAsia="等线" w:cs="Times New Roman"/>
                      <w:color w:val="auto"/>
                      <w:kern w:val="0"/>
                      <w:sz w:val="21"/>
                      <w:szCs w:val="21"/>
                    </w:rPr>
                    <w:t>0.0</w:t>
                  </w:r>
                  <w:r>
                    <w:rPr>
                      <w:rFonts w:hint="eastAsia" w:ascii="Times New Roman" w:hAnsi="Times New Roman" w:eastAsia="等线" w:cs="Times New Roman"/>
                      <w:color w:val="auto"/>
                      <w:kern w:val="0"/>
                      <w:sz w:val="21"/>
                      <w:szCs w:val="21"/>
                      <w:lang w:val="en-US" w:eastAsia="zh-CN"/>
                    </w:rPr>
                    <w:t>6</w:t>
                  </w:r>
                </w:p>
              </w:tc>
              <w:tc>
                <w:tcPr>
                  <w:tcW w:w="601" w:type="pct"/>
                  <w:tcBorders>
                    <w:tl2br w:val="nil"/>
                    <w:tr2bl w:val="nil"/>
                  </w:tcBorders>
                  <w:noWrap w:val="0"/>
                  <w:vAlign w:val="center"/>
                </w:tcPr>
                <w:p w14:paraId="434AFD71">
                  <w:pPr>
                    <w:widowControl/>
                    <w:spacing w:line="240" w:lineRule="auto"/>
                    <w:ind w:firstLine="0" w:firstLineChars="0"/>
                    <w:jc w:val="center"/>
                    <w:rPr>
                      <w:rFonts w:hint="eastAsia" w:ascii="Times New Roman" w:hAnsi="Times New Roman" w:eastAsia="等线" w:cs="Times New Roman"/>
                      <w:color w:val="auto"/>
                      <w:kern w:val="0"/>
                      <w:sz w:val="21"/>
                      <w:szCs w:val="21"/>
                      <w:lang w:val="en-US" w:eastAsia="zh-CN" w:bidi="ar-SA"/>
                    </w:rPr>
                  </w:pPr>
                  <w:r>
                    <w:rPr>
                      <w:rFonts w:hint="eastAsia" w:ascii="Times New Roman" w:hAnsi="Times New Roman" w:eastAsia="等线" w:cs="Times New Roman"/>
                      <w:color w:val="auto"/>
                      <w:kern w:val="0"/>
                      <w:sz w:val="21"/>
                      <w:szCs w:val="21"/>
                      <w:lang w:val="en-US" w:eastAsia="zh-CN"/>
                    </w:rPr>
                    <w:t>0</w:t>
                  </w:r>
                </w:p>
              </w:tc>
              <w:tc>
                <w:tcPr>
                  <w:tcW w:w="586" w:type="pct"/>
                  <w:tcBorders>
                    <w:tl2br w:val="nil"/>
                    <w:tr2bl w:val="nil"/>
                  </w:tcBorders>
                  <w:noWrap w:val="0"/>
                  <w:vAlign w:val="center"/>
                </w:tcPr>
                <w:p w14:paraId="32924B17">
                  <w:pPr>
                    <w:widowControl/>
                    <w:spacing w:line="240" w:lineRule="auto"/>
                    <w:ind w:firstLine="0" w:firstLineChars="0"/>
                    <w:jc w:val="center"/>
                    <w:rPr>
                      <w:rFonts w:hint="eastAsia" w:ascii="Times New Roman" w:hAnsi="Times New Roman" w:eastAsia="等线" w:cs="Times New Roman"/>
                      <w:color w:val="auto"/>
                      <w:kern w:val="0"/>
                      <w:sz w:val="21"/>
                      <w:szCs w:val="21"/>
                      <w:lang w:val="en-US" w:eastAsia="zh-CN" w:bidi="ar-SA"/>
                    </w:rPr>
                  </w:pPr>
                  <w:r>
                    <w:rPr>
                      <w:rFonts w:hint="default" w:ascii="Times New Roman" w:hAnsi="Times New Roman" w:eastAsia="等线" w:cs="Times New Roman"/>
                      <w:color w:val="auto"/>
                      <w:kern w:val="0"/>
                      <w:sz w:val="21"/>
                      <w:szCs w:val="21"/>
                    </w:rPr>
                    <w:t>0.0</w:t>
                  </w:r>
                  <w:r>
                    <w:rPr>
                      <w:rFonts w:hint="eastAsia" w:ascii="Times New Roman" w:hAnsi="Times New Roman" w:eastAsia="等线" w:cs="Times New Roman"/>
                      <w:color w:val="auto"/>
                      <w:kern w:val="0"/>
                      <w:sz w:val="21"/>
                      <w:szCs w:val="21"/>
                      <w:lang w:val="en-US" w:eastAsia="zh-CN"/>
                    </w:rPr>
                    <w:t>6</w:t>
                  </w:r>
                </w:p>
              </w:tc>
            </w:tr>
            <w:tr w14:paraId="61D9E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85" w:type="pct"/>
                  <w:tcBorders>
                    <w:tl2br w:val="nil"/>
                    <w:tr2bl w:val="nil"/>
                  </w:tcBorders>
                  <w:noWrap w:val="0"/>
                  <w:vAlign w:val="center"/>
                </w:tcPr>
                <w:p w14:paraId="16888BAB">
                  <w:pPr>
                    <w:widowControl/>
                    <w:spacing w:line="240" w:lineRule="auto"/>
                    <w:ind w:firstLine="0" w:firstLineChars="0"/>
                    <w:jc w:val="center"/>
                    <w:rPr>
                      <w:rFonts w:hint="eastAsia"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rPr>
                    <w:t>人抬道路</w:t>
                  </w:r>
                  <w:r>
                    <w:rPr>
                      <w:rFonts w:hint="eastAsia" w:ascii="Times New Roman" w:hAnsi="Times New Roman" w:cs="Times New Roman"/>
                      <w:color w:val="auto"/>
                      <w:kern w:val="0"/>
                      <w:sz w:val="21"/>
                      <w:szCs w:val="21"/>
                      <w:lang w:val="en-US" w:eastAsia="zh-CN"/>
                    </w:rPr>
                    <w:t>区</w:t>
                  </w:r>
                </w:p>
              </w:tc>
              <w:tc>
                <w:tcPr>
                  <w:tcW w:w="777" w:type="pct"/>
                  <w:tcBorders>
                    <w:tl2br w:val="nil"/>
                    <w:tr2bl w:val="nil"/>
                  </w:tcBorders>
                  <w:noWrap w:val="0"/>
                  <w:vAlign w:val="center"/>
                </w:tcPr>
                <w:p w14:paraId="76627E2C">
                  <w:pPr>
                    <w:widowControl/>
                    <w:spacing w:line="240" w:lineRule="auto"/>
                    <w:ind w:firstLine="0" w:firstLineChars="0"/>
                    <w:jc w:val="center"/>
                    <w:rPr>
                      <w:rFonts w:hint="default" w:ascii="Times New Roman" w:hAnsi="Times New Roman" w:eastAsia="等线" w:cs="Times New Roman"/>
                      <w:color w:val="auto"/>
                      <w:kern w:val="0"/>
                      <w:sz w:val="21"/>
                      <w:szCs w:val="21"/>
                      <w:lang w:val="en-US" w:eastAsia="zh-CN"/>
                    </w:rPr>
                  </w:pPr>
                </w:p>
              </w:tc>
              <w:tc>
                <w:tcPr>
                  <w:tcW w:w="522" w:type="pct"/>
                  <w:tcBorders>
                    <w:tl2br w:val="nil"/>
                    <w:tr2bl w:val="nil"/>
                  </w:tcBorders>
                  <w:noWrap w:val="0"/>
                  <w:vAlign w:val="center"/>
                </w:tcPr>
                <w:p w14:paraId="00A671CC">
                  <w:pPr>
                    <w:widowControl/>
                    <w:spacing w:line="240" w:lineRule="auto"/>
                    <w:ind w:firstLine="0" w:firstLineChars="0"/>
                    <w:jc w:val="center"/>
                    <w:rPr>
                      <w:rFonts w:hint="default" w:ascii="Times New Roman" w:hAnsi="Times New Roman" w:eastAsia="等线" w:cs="Times New Roman"/>
                      <w:color w:val="auto"/>
                      <w:kern w:val="0"/>
                      <w:sz w:val="21"/>
                      <w:szCs w:val="21"/>
                      <w:lang w:val="en-US" w:eastAsia="zh-CN"/>
                    </w:rPr>
                  </w:pPr>
                  <w:r>
                    <w:rPr>
                      <w:rFonts w:hint="eastAsia" w:ascii="Times New Roman" w:hAnsi="Times New Roman" w:eastAsia="等线" w:cs="Times New Roman"/>
                      <w:color w:val="auto"/>
                      <w:kern w:val="0"/>
                      <w:sz w:val="21"/>
                      <w:szCs w:val="21"/>
                      <w:lang w:val="en-US" w:eastAsia="zh-CN"/>
                    </w:rPr>
                    <w:t>0.089</w:t>
                  </w:r>
                </w:p>
              </w:tc>
              <w:tc>
                <w:tcPr>
                  <w:tcW w:w="632" w:type="pct"/>
                  <w:tcBorders>
                    <w:tl2br w:val="nil"/>
                    <w:tr2bl w:val="nil"/>
                  </w:tcBorders>
                  <w:noWrap w:val="0"/>
                  <w:vAlign w:val="center"/>
                </w:tcPr>
                <w:p w14:paraId="0D5B83FD">
                  <w:pPr>
                    <w:widowControl/>
                    <w:spacing w:line="240" w:lineRule="auto"/>
                    <w:ind w:firstLine="0" w:firstLineChars="0"/>
                    <w:jc w:val="center"/>
                    <w:rPr>
                      <w:rFonts w:hint="default" w:ascii="Times New Roman" w:hAnsi="Times New Roman" w:eastAsia="等线" w:cs="Times New Roman"/>
                      <w:color w:val="auto"/>
                      <w:kern w:val="0"/>
                      <w:sz w:val="21"/>
                      <w:szCs w:val="21"/>
                      <w:lang w:val="en-US" w:eastAsia="zh-CN"/>
                    </w:rPr>
                  </w:pPr>
                  <w:r>
                    <w:rPr>
                      <w:rFonts w:hint="eastAsia" w:ascii="Times New Roman" w:hAnsi="Times New Roman" w:eastAsia="等线" w:cs="Times New Roman"/>
                      <w:color w:val="auto"/>
                      <w:kern w:val="0"/>
                      <w:sz w:val="21"/>
                      <w:szCs w:val="21"/>
                      <w:lang w:val="en-US" w:eastAsia="zh-CN"/>
                    </w:rPr>
                    <w:t>0.04</w:t>
                  </w:r>
                </w:p>
              </w:tc>
              <w:tc>
                <w:tcPr>
                  <w:tcW w:w="594" w:type="pct"/>
                  <w:tcBorders>
                    <w:tl2br w:val="nil"/>
                    <w:tr2bl w:val="nil"/>
                  </w:tcBorders>
                  <w:noWrap/>
                  <w:vAlign w:val="center"/>
                </w:tcPr>
                <w:p w14:paraId="713CEBF4">
                  <w:pPr>
                    <w:widowControl/>
                    <w:spacing w:line="240" w:lineRule="auto"/>
                    <w:ind w:firstLine="0" w:firstLineChars="0"/>
                    <w:jc w:val="center"/>
                    <w:rPr>
                      <w:rFonts w:hint="eastAsia" w:ascii="Times New Roman" w:hAnsi="Times New Roman" w:eastAsia="等线" w:cs="Times New Roman"/>
                      <w:color w:val="auto"/>
                      <w:kern w:val="0"/>
                      <w:sz w:val="21"/>
                      <w:szCs w:val="21"/>
                      <w:lang w:eastAsia="zh-CN"/>
                    </w:rPr>
                  </w:pPr>
                  <w:r>
                    <w:rPr>
                      <w:rFonts w:hint="eastAsia" w:ascii="Times New Roman" w:hAnsi="Times New Roman" w:eastAsia="等线" w:cs="Times New Roman"/>
                      <w:color w:val="auto"/>
                      <w:kern w:val="0"/>
                      <w:sz w:val="21"/>
                      <w:szCs w:val="21"/>
                      <w:lang w:val="en-US" w:eastAsia="zh-CN"/>
                    </w:rPr>
                    <w:t>0.129</w:t>
                  </w:r>
                </w:p>
              </w:tc>
              <w:tc>
                <w:tcPr>
                  <w:tcW w:w="601" w:type="pct"/>
                  <w:tcBorders>
                    <w:tl2br w:val="nil"/>
                    <w:tr2bl w:val="nil"/>
                  </w:tcBorders>
                  <w:noWrap w:val="0"/>
                  <w:vAlign w:val="center"/>
                </w:tcPr>
                <w:p w14:paraId="033A3CB0">
                  <w:pPr>
                    <w:widowControl/>
                    <w:spacing w:line="240" w:lineRule="auto"/>
                    <w:ind w:firstLine="0" w:firstLineChars="0"/>
                    <w:jc w:val="center"/>
                    <w:rPr>
                      <w:rFonts w:hint="eastAsia" w:ascii="Times New Roman" w:hAnsi="Times New Roman" w:eastAsia="等线" w:cs="Times New Roman"/>
                      <w:color w:val="auto"/>
                      <w:kern w:val="0"/>
                      <w:sz w:val="21"/>
                      <w:szCs w:val="21"/>
                      <w:lang w:eastAsia="zh-CN"/>
                    </w:rPr>
                  </w:pPr>
                </w:p>
              </w:tc>
              <w:tc>
                <w:tcPr>
                  <w:tcW w:w="586" w:type="pct"/>
                  <w:tcBorders>
                    <w:tl2br w:val="nil"/>
                    <w:tr2bl w:val="nil"/>
                  </w:tcBorders>
                  <w:noWrap w:val="0"/>
                  <w:vAlign w:val="center"/>
                </w:tcPr>
                <w:p w14:paraId="6E23B69E">
                  <w:pPr>
                    <w:widowControl/>
                    <w:spacing w:line="240" w:lineRule="auto"/>
                    <w:ind w:firstLine="0" w:firstLineChars="0"/>
                    <w:jc w:val="center"/>
                    <w:rPr>
                      <w:rFonts w:hint="default" w:ascii="Times New Roman" w:hAnsi="Times New Roman" w:eastAsia="等线" w:cs="Times New Roman"/>
                      <w:color w:val="auto"/>
                      <w:kern w:val="0"/>
                      <w:sz w:val="21"/>
                      <w:szCs w:val="21"/>
                      <w:lang w:val="en-US" w:eastAsia="zh-CN"/>
                    </w:rPr>
                  </w:pPr>
                  <w:r>
                    <w:rPr>
                      <w:rFonts w:hint="eastAsia" w:ascii="Times New Roman" w:hAnsi="Times New Roman" w:eastAsia="等线" w:cs="Times New Roman"/>
                      <w:color w:val="auto"/>
                      <w:kern w:val="0"/>
                      <w:sz w:val="21"/>
                      <w:szCs w:val="21"/>
                      <w:lang w:val="en-US" w:eastAsia="zh-CN"/>
                    </w:rPr>
                    <w:t>0.129</w:t>
                  </w:r>
                </w:p>
              </w:tc>
            </w:tr>
            <w:tr w14:paraId="382C0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85" w:type="pct"/>
                  <w:tcBorders>
                    <w:tl2br w:val="nil"/>
                    <w:tr2bl w:val="nil"/>
                  </w:tcBorders>
                  <w:noWrap/>
                  <w:vAlign w:val="center"/>
                </w:tcPr>
                <w:p w14:paraId="401B48BF">
                  <w:pPr>
                    <w:widowControl/>
                    <w:spacing w:line="240" w:lineRule="auto"/>
                    <w:ind w:firstLine="0" w:firstLineChars="0"/>
                    <w:jc w:val="center"/>
                    <w:rPr>
                      <w:rFonts w:hint="default" w:ascii="Times New Roman" w:hAnsi="Times New Roman" w:eastAsia="等线" w:cs="Times New Roman"/>
                      <w:color w:val="auto"/>
                      <w:kern w:val="0"/>
                      <w:sz w:val="21"/>
                      <w:szCs w:val="21"/>
                    </w:rPr>
                  </w:pPr>
                  <w:r>
                    <w:rPr>
                      <w:rFonts w:hint="default" w:ascii="Times New Roman" w:hAnsi="Times New Roman" w:cs="Times New Roman"/>
                      <w:color w:val="auto"/>
                      <w:kern w:val="0"/>
                      <w:sz w:val="21"/>
                      <w:szCs w:val="21"/>
                    </w:rPr>
                    <w:t>合计</w:t>
                  </w:r>
                </w:p>
              </w:tc>
              <w:tc>
                <w:tcPr>
                  <w:tcW w:w="777" w:type="pct"/>
                  <w:tcBorders>
                    <w:tl2br w:val="nil"/>
                    <w:tr2bl w:val="nil"/>
                  </w:tcBorders>
                  <w:noWrap/>
                  <w:vAlign w:val="center"/>
                </w:tcPr>
                <w:p w14:paraId="5996ADD3">
                  <w:pPr>
                    <w:widowControl/>
                    <w:spacing w:line="240" w:lineRule="auto"/>
                    <w:ind w:firstLine="0" w:firstLineChars="0"/>
                    <w:jc w:val="center"/>
                    <w:rPr>
                      <w:rFonts w:hint="default" w:ascii="Times New Roman" w:hAnsi="Times New Roman" w:eastAsia="等线" w:cs="Times New Roman"/>
                      <w:color w:val="auto"/>
                      <w:kern w:val="0"/>
                      <w:sz w:val="21"/>
                      <w:szCs w:val="21"/>
                    </w:rPr>
                  </w:pPr>
                  <w:r>
                    <w:rPr>
                      <w:rFonts w:hint="default" w:ascii="Times New Roman" w:hAnsi="Times New Roman" w:eastAsia="等线" w:cs="Times New Roman"/>
                      <w:color w:val="auto"/>
                      <w:kern w:val="0"/>
                      <w:sz w:val="21"/>
                      <w:szCs w:val="21"/>
                    </w:rPr>
                    <w:t>0.0</w:t>
                  </w:r>
                  <w:r>
                    <w:rPr>
                      <w:rFonts w:hint="eastAsia" w:ascii="Times New Roman" w:hAnsi="Times New Roman" w:eastAsia="等线" w:cs="Times New Roman"/>
                      <w:color w:val="auto"/>
                      <w:kern w:val="0"/>
                      <w:sz w:val="21"/>
                      <w:szCs w:val="21"/>
                      <w:lang w:val="en-US" w:eastAsia="zh-CN"/>
                    </w:rPr>
                    <w:t>6113</w:t>
                  </w:r>
                </w:p>
              </w:tc>
              <w:tc>
                <w:tcPr>
                  <w:tcW w:w="522" w:type="pct"/>
                  <w:tcBorders>
                    <w:tl2br w:val="nil"/>
                    <w:tr2bl w:val="nil"/>
                  </w:tcBorders>
                  <w:noWrap/>
                  <w:vAlign w:val="center"/>
                </w:tcPr>
                <w:p w14:paraId="02BDAE7E">
                  <w:pPr>
                    <w:widowControl/>
                    <w:spacing w:line="240" w:lineRule="auto"/>
                    <w:ind w:firstLine="0" w:firstLineChars="0"/>
                    <w:jc w:val="center"/>
                    <w:rPr>
                      <w:rFonts w:hint="default" w:ascii="Times New Roman" w:hAnsi="Times New Roman" w:eastAsia="等线" w:cs="Times New Roman"/>
                      <w:color w:val="auto"/>
                      <w:kern w:val="0"/>
                      <w:sz w:val="21"/>
                      <w:szCs w:val="21"/>
                    </w:rPr>
                  </w:pPr>
                  <w:r>
                    <w:rPr>
                      <w:rFonts w:hint="default" w:ascii="Times New Roman" w:hAnsi="Times New Roman" w:eastAsia="等线" w:cs="Times New Roman"/>
                      <w:color w:val="auto"/>
                      <w:kern w:val="0"/>
                      <w:sz w:val="21"/>
                      <w:szCs w:val="21"/>
                    </w:rPr>
                    <w:fldChar w:fldCharType="begin"/>
                  </w:r>
                  <w:r>
                    <w:rPr>
                      <w:rFonts w:hint="default" w:ascii="Times New Roman" w:hAnsi="Times New Roman" w:eastAsia="等线" w:cs="Times New Roman"/>
                      <w:color w:val="auto"/>
                      <w:kern w:val="0"/>
                      <w:sz w:val="21"/>
                      <w:szCs w:val="21"/>
                    </w:rPr>
                    <w:instrText xml:space="preserve"> = sum(C3:C7) \* MERGEFORMAT </w:instrText>
                  </w:r>
                  <w:r>
                    <w:rPr>
                      <w:rFonts w:hint="default" w:ascii="Times New Roman" w:hAnsi="Times New Roman" w:eastAsia="等线" w:cs="Times New Roman"/>
                      <w:color w:val="auto"/>
                      <w:kern w:val="0"/>
                      <w:sz w:val="21"/>
                      <w:szCs w:val="21"/>
                    </w:rPr>
                    <w:fldChar w:fldCharType="separate"/>
                  </w:r>
                  <w:r>
                    <w:rPr>
                      <w:rFonts w:hint="default" w:ascii="Times New Roman" w:hAnsi="Times New Roman" w:eastAsia="等线" w:cs="Times New Roman"/>
                      <w:color w:val="auto"/>
                      <w:kern w:val="0"/>
                      <w:sz w:val="21"/>
                      <w:szCs w:val="21"/>
                    </w:rPr>
                    <w:t>0.6178</w:t>
                  </w:r>
                  <w:r>
                    <w:rPr>
                      <w:rFonts w:hint="default" w:ascii="Times New Roman" w:hAnsi="Times New Roman" w:eastAsia="等线" w:cs="Times New Roman"/>
                      <w:color w:val="auto"/>
                      <w:kern w:val="0"/>
                      <w:sz w:val="21"/>
                      <w:szCs w:val="21"/>
                    </w:rPr>
                    <w:fldChar w:fldCharType="end"/>
                  </w:r>
                </w:p>
              </w:tc>
              <w:tc>
                <w:tcPr>
                  <w:tcW w:w="632" w:type="pct"/>
                  <w:tcBorders>
                    <w:tl2br w:val="nil"/>
                    <w:tr2bl w:val="nil"/>
                  </w:tcBorders>
                  <w:noWrap/>
                  <w:vAlign w:val="center"/>
                </w:tcPr>
                <w:p w14:paraId="2F99A9C1">
                  <w:pPr>
                    <w:widowControl/>
                    <w:spacing w:line="240" w:lineRule="auto"/>
                    <w:ind w:firstLine="0" w:firstLineChars="0"/>
                    <w:jc w:val="center"/>
                    <w:rPr>
                      <w:rFonts w:hint="eastAsia" w:ascii="Times New Roman" w:hAnsi="Times New Roman" w:eastAsia="等线" w:cs="Times New Roman"/>
                      <w:color w:val="auto"/>
                      <w:kern w:val="0"/>
                      <w:sz w:val="21"/>
                      <w:szCs w:val="21"/>
                      <w:lang w:val="en-US" w:eastAsia="zh-CN"/>
                    </w:rPr>
                  </w:pPr>
                  <w:r>
                    <w:rPr>
                      <w:rFonts w:hint="default" w:ascii="Times New Roman" w:hAnsi="Times New Roman" w:eastAsia="等线" w:cs="Times New Roman"/>
                      <w:color w:val="auto"/>
                      <w:kern w:val="0"/>
                      <w:sz w:val="21"/>
                      <w:szCs w:val="21"/>
                    </w:rPr>
                    <w:t>0.0</w:t>
                  </w:r>
                  <w:r>
                    <w:rPr>
                      <w:rFonts w:hint="eastAsia" w:ascii="Times New Roman" w:hAnsi="Times New Roman" w:eastAsia="等线" w:cs="Times New Roman"/>
                      <w:color w:val="auto"/>
                      <w:kern w:val="0"/>
                      <w:sz w:val="21"/>
                      <w:szCs w:val="21"/>
                      <w:lang w:val="en-US" w:eastAsia="zh-CN"/>
                    </w:rPr>
                    <w:t>7</w:t>
                  </w:r>
                </w:p>
              </w:tc>
              <w:tc>
                <w:tcPr>
                  <w:tcW w:w="594" w:type="pct"/>
                  <w:tcBorders>
                    <w:tl2br w:val="nil"/>
                    <w:tr2bl w:val="nil"/>
                  </w:tcBorders>
                  <w:noWrap/>
                  <w:vAlign w:val="center"/>
                </w:tcPr>
                <w:p w14:paraId="2428E777">
                  <w:pPr>
                    <w:widowControl/>
                    <w:spacing w:line="240" w:lineRule="auto"/>
                    <w:ind w:firstLine="0" w:firstLineChars="0"/>
                    <w:jc w:val="center"/>
                    <w:rPr>
                      <w:rFonts w:hint="default" w:ascii="Times New Roman" w:hAnsi="Times New Roman" w:eastAsia="等线" w:cs="Times New Roman"/>
                      <w:color w:val="auto"/>
                      <w:kern w:val="0"/>
                      <w:sz w:val="21"/>
                      <w:szCs w:val="21"/>
                      <w:lang w:val="en-US"/>
                    </w:rPr>
                  </w:pPr>
                  <w:r>
                    <w:rPr>
                      <w:rFonts w:hint="default" w:ascii="Times New Roman" w:hAnsi="Times New Roman" w:eastAsia="等线" w:cs="Times New Roman"/>
                      <w:color w:val="auto"/>
                      <w:kern w:val="0"/>
                      <w:sz w:val="21"/>
                      <w:szCs w:val="21"/>
                      <w:lang w:val="en-US"/>
                    </w:rPr>
                    <w:fldChar w:fldCharType="begin"/>
                  </w:r>
                  <w:r>
                    <w:rPr>
                      <w:rFonts w:hint="default" w:ascii="Times New Roman" w:hAnsi="Times New Roman" w:eastAsia="等线" w:cs="Times New Roman"/>
                      <w:color w:val="auto"/>
                      <w:kern w:val="0"/>
                      <w:sz w:val="21"/>
                      <w:szCs w:val="21"/>
                      <w:lang w:val="en-US"/>
                    </w:rPr>
                    <w:instrText xml:space="preserve"> = sum(E3:E7) \* MERGEFORMAT </w:instrText>
                  </w:r>
                  <w:r>
                    <w:rPr>
                      <w:rFonts w:hint="default" w:ascii="Times New Roman" w:hAnsi="Times New Roman" w:eastAsia="等线" w:cs="Times New Roman"/>
                      <w:color w:val="auto"/>
                      <w:kern w:val="0"/>
                      <w:sz w:val="21"/>
                      <w:szCs w:val="21"/>
                      <w:lang w:val="en-US"/>
                    </w:rPr>
                    <w:fldChar w:fldCharType="separate"/>
                  </w:r>
                  <w:r>
                    <w:rPr>
                      <w:rFonts w:hint="default" w:ascii="Times New Roman" w:hAnsi="Times New Roman" w:eastAsia="等线" w:cs="Times New Roman"/>
                      <w:color w:val="auto"/>
                      <w:kern w:val="0"/>
                      <w:sz w:val="21"/>
                      <w:szCs w:val="21"/>
                      <w:lang w:val="en-US"/>
                    </w:rPr>
                    <w:t>0.60895</w:t>
                  </w:r>
                  <w:r>
                    <w:rPr>
                      <w:rFonts w:hint="default" w:ascii="Times New Roman" w:hAnsi="Times New Roman" w:eastAsia="等线" w:cs="Times New Roman"/>
                      <w:color w:val="auto"/>
                      <w:kern w:val="0"/>
                      <w:sz w:val="21"/>
                      <w:szCs w:val="21"/>
                      <w:lang w:val="en-US"/>
                    </w:rPr>
                    <w:fldChar w:fldCharType="end"/>
                  </w:r>
                </w:p>
              </w:tc>
              <w:tc>
                <w:tcPr>
                  <w:tcW w:w="601" w:type="pct"/>
                  <w:tcBorders>
                    <w:tl2br w:val="nil"/>
                    <w:tr2bl w:val="nil"/>
                  </w:tcBorders>
                  <w:noWrap/>
                  <w:vAlign w:val="center"/>
                </w:tcPr>
                <w:p w14:paraId="4C4A7C03">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kern w:val="0"/>
                      <w:sz w:val="21"/>
                      <w:szCs w:val="21"/>
                    </w:rPr>
                  </w:pPr>
                  <w:r>
                    <w:rPr>
                      <w:rFonts w:hint="eastAsia" w:ascii="Times New Roman" w:hAnsi="Times New Roman" w:eastAsia="宋体" w:cs="Times New Roman"/>
                      <w:color w:val="auto"/>
                      <w:sz w:val="21"/>
                      <w:szCs w:val="21"/>
                      <w:lang w:val="en-US" w:eastAsia="zh-CN"/>
                    </w:rPr>
                    <w:t>0.25495</w:t>
                  </w:r>
                </w:p>
              </w:tc>
              <w:tc>
                <w:tcPr>
                  <w:tcW w:w="586" w:type="pct"/>
                  <w:tcBorders>
                    <w:tl2br w:val="nil"/>
                    <w:tr2bl w:val="nil"/>
                  </w:tcBorders>
                  <w:noWrap/>
                  <w:vAlign w:val="center"/>
                </w:tcPr>
                <w:p w14:paraId="65BDC7FB">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kern w:val="0"/>
                      <w:sz w:val="21"/>
                      <w:szCs w:val="21"/>
                    </w:rPr>
                  </w:pPr>
                  <w:r>
                    <w:rPr>
                      <w:rFonts w:hint="default" w:ascii="Times New Roman" w:hAnsi="Times New Roman" w:eastAsia="等线" w:cs="Times New Roman"/>
                      <w:color w:val="auto"/>
                      <w:kern w:val="0"/>
                      <w:sz w:val="21"/>
                      <w:szCs w:val="21"/>
                    </w:rPr>
                    <w:fldChar w:fldCharType="begin"/>
                  </w:r>
                  <w:r>
                    <w:rPr>
                      <w:rFonts w:hint="default" w:ascii="Times New Roman" w:hAnsi="Times New Roman" w:eastAsia="等线" w:cs="Times New Roman"/>
                      <w:color w:val="auto"/>
                      <w:kern w:val="0"/>
                      <w:sz w:val="21"/>
                      <w:szCs w:val="21"/>
                    </w:rPr>
                    <w:instrText xml:space="preserve"> = sum(G3:G7) \* MERGEFORMAT </w:instrText>
                  </w:r>
                  <w:r>
                    <w:rPr>
                      <w:rFonts w:hint="default" w:ascii="Times New Roman" w:hAnsi="Times New Roman" w:eastAsia="等线" w:cs="Times New Roman"/>
                      <w:color w:val="auto"/>
                      <w:kern w:val="0"/>
                      <w:sz w:val="21"/>
                      <w:szCs w:val="21"/>
                    </w:rPr>
                    <w:fldChar w:fldCharType="separate"/>
                  </w:r>
                  <w:r>
                    <w:rPr>
                      <w:rFonts w:hint="default" w:ascii="Times New Roman" w:hAnsi="Times New Roman" w:eastAsia="等线" w:cs="Times New Roman"/>
                      <w:color w:val="auto"/>
                      <w:kern w:val="0"/>
                      <w:sz w:val="21"/>
                      <w:szCs w:val="21"/>
                    </w:rPr>
                    <w:t>0.354</w:t>
                  </w:r>
                  <w:r>
                    <w:rPr>
                      <w:rFonts w:hint="default" w:ascii="Times New Roman" w:hAnsi="Times New Roman" w:eastAsia="等线" w:cs="Times New Roman"/>
                      <w:color w:val="auto"/>
                      <w:kern w:val="0"/>
                      <w:sz w:val="21"/>
                      <w:szCs w:val="21"/>
                    </w:rPr>
                    <w:fldChar w:fldCharType="end"/>
                  </w:r>
                </w:p>
              </w:tc>
            </w:tr>
            <w:bookmarkEnd w:id="15"/>
          </w:tbl>
          <w:p w14:paraId="713F2D80">
            <w:pPr>
              <w:adjustRightInd w:val="0"/>
              <w:snapToGrid w:val="0"/>
              <w:spacing w:line="440" w:lineRule="exact"/>
              <w:ind w:firstLine="482" w:firstLineChars="200"/>
              <w:rPr>
                <w:b/>
                <w:bCs/>
                <w:color w:val="auto"/>
                <w:sz w:val="24"/>
                <w:highlight w:val="none"/>
              </w:rPr>
            </w:pPr>
            <w:r>
              <w:rPr>
                <w:rFonts w:hint="eastAsia"/>
                <w:b/>
                <w:bCs/>
                <w:color w:val="auto"/>
                <w:sz w:val="24"/>
                <w:highlight w:val="none"/>
              </w:rPr>
              <w:t>2.</w:t>
            </w:r>
            <w:r>
              <w:rPr>
                <w:rFonts w:hint="eastAsia"/>
                <w:b/>
                <w:bCs/>
                <w:color w:val="auto"/>
                <w:sz w:val="24"/>
                <w:highlight w:val="none"/>
                <w:lang w:val="en-US" w:eastAsia="zh-CN"/>
              </w:rPr>
              <w:t>3</w:t>
            </w:r>
            <w:r>
              <w:rPr>
                <w:rFonts w:hint="eastAsia"/>
                <w:b/>
                <w:bCs/>
                <w:color w:val="auto"/>
                <w:sz w:val="24"/>
                <w:highlight w:val="none"/>
              </w:rPr>
              <w:t>.</w:t>
            </w:r>
            <w:r>
              <w:rPr>
                <w:b/>
                <w:bCs/>
                <w:color w:val="auto"/>
                <w:sz w:val="24"/>
                <w:highlight w:val="none"/>
              </w:rPr>
              <w:t>2、土石方平衡</w:t>
            </w:r>
          </w:p>
          <w:p w14:paraId="39BBAA54">
            <w:pPr>
              <w:adjustRightInd w:val="0"/>
              <w:snapToGrid w:val="0"/>
              <w:spacing w:line="440" w:lineRule="exact"/>
              <w:ind w:firstLine="480" w:firstLineChars="200"/>
              <w:rPr>
                <w:color w:val="auto"/>
                <w:sz w:val="24"/>
                <w:highlight w:val="none"/>
              </w:rPr>
            </w:pPr>
            <w:r>
              <w:rPr>
                <w:color w:val="auto"/>
                <w:sz w:val="24"/>
                <w:highlight w:val="none"/>
              </w:rPr>
              <w:t>根据《</w:t>
            </w:r>
            <w:r>
              <w:rPr>
                <w:rFonts w:hint="eastAsia"/>
                <w:color w:val="auto"/>
                <w:sz w:val="24"/>
                <w:highlight w:val="none"/>
                <w:lang w:eastAsia="zh-CN"/>
              </w:rPr>
              <w:t>大草房至六合一110kV送出线路工程</w:t>
            </w:r>
            <w:r>
              <w:rPr>
                <w:color w:val="auto"/>
                <w:sz w:val="24"/>
                <w:highlight w:val="none"/>
              </w:rPr>
              <w:t>水土保持方案报告表》可知，通过分析计算，本工程在建设过程中开挖土石方</w:t>
            </w:r>
            <w:r>
              <w:rPr>
                <w:rFonts w:hint="eastAsia"/>
                <w:color w:val="auto"/>
                <w:sz w:val="24"/>
                <w:highlight w:val="none"/>
                <w:lang w:val="en-US" w:eastAsia="zh-CN"/>
              </w:rPr>
              <w:t>0.81</w:t>
            </w:r>
            <w:r>
              <w:rPr>
                <w:color w:val="auto"/>
                <w:sz w:val="24"/>
                <w:highlight w:val="none"/>
              </w:rPr>
              <w:t>万m</w:t>
            </w:r>
            <w:r>
              <w:rPr>
                <w:color w:val="auto"/>
                <w:sz w:val="24"/>
                <w:highlight w:val="none"/>
                <w:vertAlign w:val="superscript"/>
              </w:rPr>
              <w:t>3</w:t>
            </w:r>
            <w:r>
              <w:rPr>
                <w:color w:val="auto"/>
                <w:sz w:val="24"/>
                <w:highlight w:val="none"/>
              </w:rPr>
              <w:t>（表土剥离0.</w:t>
            </w:r>
            <w:r>
              <w:rPr>
                <w:rFonts w:hint="eastAsia"/>
                <w:color w:val="auto"/>
                <w:sz w:val="24"/>
                <w:highlight w:val="none"/>
                <w:lang w:val="en-US" w:eastAsia="zh-CN"/>
              </w:rPr>
              <w:t>13</w:t>
            </w:r>
            <w:r>
              <w:rPr>
                <w:color w:val="auto"/>
                <w:sz w:val="24"/>
                <w:highlight w:val="none"/>
              </w:rPr>
              <w:t>万m</w:t>
            </w:r>
            <w:r>
              <w:rPr>
                <w:color w:val="auto"/>
                <w:sz w:val="24"/>
                <w:highlight w:val="none"/>
                <w:vertAlign w:val="superscript"/>
              </w:rPr>
              <w:t>3</w:t>
            </w:r>
            <w:r>
              <w:rPr>
                <w:color w:val="auto"/>
                <w:sz w:val="24"/>
                <w:highlight w:val="none"/>
              </w:rPr>
              <w:t>，基础开挖</w:t>
            </w:r>
            <w:r>
              <w:rPr>
                <w:rFonts w:hint="eastAsia"/>
                <w:color w:val="auto"/>
                <w:sz w:val="24"/>
                <w:highlight w:val="none"/>
                <w:lang w:val="en-US" w:eastAsia="zh-CN"/>
              </w:rPr>
              <w:t>0.68</w:t>
            </w:r>
            <w:r>
              <w:rPr>
                <w:color w:val="auto"/>
                <w:sz w:val="24"/>
                <w:highlight w:val="none"/>
              </w:rPr>
              <w:t>万m</w:t>
            </w:r>
            <w:r>
              <w:rPr>
                <w:color w:val="auto"/>
                <w:sz w:val="24"/>
                <w:highlight w:val="none"/>
                <w:vertAlign w:val="superscript"/>
              </w:rPr>
              <w:t>3</w:t>
            </w:r>
            <w:r>
              <w:rPr>
                <w:color w:val="auto"/>
                <w:sz w:val="24"/>
                <w:highlight w:val="none"/>
              </w:rPr>
              <w:t>），回填土方</w:t>
            </w:r>
            <w:r>
              <w:rPr>
                <w:rFonts w:hint="eastAsia"/>
                <w:color w:val="auto"/>
                <w:sz w:val="24"/>
                <w:highlight w:val="none"/>
                <w:lang w:val="en-US" w:eastAsia="zh-CN"/>
              </w:rPr>
              <w:t>0.81</w:t>
            </w:r>
            <w:r>
              <w:rPr>
                <w:color w:val="auto"/>
                <w:sz w:val="24"/>
                <w:highlight w:val="none"/>
              </w:rPr>
              <w:t>万m</w:t>
            </w:r>
            <w:r>
              <w:rPr>
                <w:color w:val="auto"/>
                <w:sz w:val="24"/>
                <w:highlight w:val="none"/>
                <w:vertAlign w:val="superscript"/>
              </w:rPr>
              <w:t>3</w:t>
            </w:r>
            <w:r>
              <w:rPr>
                <w:color w:val="auto"/>
                <w:sz w:val="24"/>
                <w:highlight w:val="none"/>
              </w:rPr>
              <w:t>（表土回填0.</w:t>
            </w:r>
            <w:r>
              <w:rPr>
                <w:rFonts w:hint="eastAsia"/>
                <w:color w:val="auto"/>
                <w:sz w:val="24"/>
                <w:highlight w:val="none"/>
                <w:lang w:val="en-US" w:eastAsia="zh-CN"/>
              </w:rPr>
              <w:t>13</w:t>
            </w:r>
            <w:r>
              <w:rPr>
                <w:color w:val="auto"/>
                <w:sz w:val="24"/>
                <w:highlight w:val="none"/>
              </w:rPr>
              <w:t>万m</w:t>
            </w:r>
            <w:r>
              <w:rPr>
                <w:color w:val="auto"/>
                <w:sz w:val="24"/>
                <w:highlight w:val="none"/>
                <w:vertAlign w:val="superscript"/>
              </w:rPr>
              <w:t>3</w:t>
            </w:r>
            <w:r>
              <w:rPr>
                <w:color w:val="auto"/>
                <w:sz w:val="24"/>
                <w:highlight w:val="none"/>
              </w:rPr>
              <w:t>，基础回填</w:t>
            </w:r>
            <w:r>
              <w:rPr>
                <w:rFonts w:hint="eastAsia"/>
                <w:color w:val="auto"/>
                <w:sz w:val="24"/>
                <w:highlight w:val="none"/>
                <w:lang w:val="en-US" w:eastAsia="zh-CN"/>
              </w:rPr>
              <w:t>0.68</w:t>
            </w:r>
            <w:r>
              <w:rPr>
                <w:color w:val="auto"/>
                <w:sz w:val="24"/>
                <w:highlight w:val="none"/>
              </w:rPr>
              <w:t>万m</w:t>
            </w:r>
            <w:r>
              <w:rPr>
                <w:color w:val="auto"/>
                <w:sz w:val="24"/>
                <w:highlight w:val="none"/>
                <w:vertAlign w:val="superscript"/>
              </w:rPr>
              <w:t>3</w:t>
            </w:r>
            <w:r>
              <w:rPr>
                <w:color w:val="auto"/>
                <w:sz w:val="24"/>
                <w:highlight w:val="none"/>
              </w:rPr>
              <w:t>），无弃方产生。</w:t>
            </w:r>
          </w:p>
          <w:p w14:paraId="130F2F10">
            <w:pPr>
              <w:adjustRightInd w:val="0"/>
              <w:snapToGrid w:val="0"/>
              <w:spacing w:line="240" w:lineRule="auto"/>
              <w:jc w:val="center"/>
              <w:rPr>
                <w:b/>
                <w:color w:val="auto"/>
                <w:sz w:val="24"/>
                <w:highlight w:val="none"/>
                <w:vertAlign w:val="superscript"/>
              </w:rPr>
            </w:pPr>
            <w:r>
              <w:rPr>
                <w:b/>
                <w:color w:val="auto"/>
                <w:sz w:val="24"/>
                <w:highlight w:val="none"/>
              </w:rPr>
              <w:t>表2-</w:t>
            </w:r>
            <w:r>
              <w:rPr>
                <w:rFonts w:hint="eastAsia"/>
                <w:b/>
                <w:color w:val="auto"/>
                <w:sz w:val="24"/>
                <w:highlight w:val="none"/>
                <w:lang w:val="en-US" w:eastAsia="zh-CN"/>
              </w:rPr>
              <w:t>6</w:t>
            </w:r>
            <w:r>
              <w:rPr>
                <w:b/>
                <w:color w:val="auto"/>
                <w:sz w:val="24"/>
                <w:highlight w:val="none"/>
              </w:rPr>
              <w:t xml:space="preserve">  土石方平衡分析表  单位：万m</w:t>
            </w:r>
            <w:r>
              <w:rPr>
                <w:b/>
                <w:color w:val="auto"/>
                <w:sz w:val="24"/>
                <w:highlight w:val="none"/>
                <w:vertAlign w:val="superscript"/>
              </w:rPr>
              <w:t>3</w:t>
            </w:r>
          </w:p>
          <w:tbl>
            <w:tblPr>
              <w:tblStyle w:val="30"/>
              <w:tblW w:w="8017"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407"/>
              <w:gridCol w:w="727"/>
              <w:gridCol w:w="900"/>
              <w:gridCol w:w="667"/>
              <w:gridCol w:w="704"/>
              <w:gridCol w:w="817"/>
              <w:gridCol w:w="640"/>
              <w:gridCol w:w="478"/>
              <w:gridCol w:w="560"/>
              <w:gridCol w:w="557"/>
              <w:gridCol w:w="560"/>
            </w:tblGrid>
            <w:tr w14:paraId="791B500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8" w:hRule="atLeast"/>
              </w:trPr>
              <w:tc>
                <w:tcPr>
                  <w:tcW w:w="877" w:type="pct"/>
                  <w:vMerge w:val="restart"/>
                  <w:tcBorders>
                    <w:tl2br w:val="nil"/>
                    <w:tr2bl w:val="nil"/>
                  </w:tcBorders>
                  <w:noWrap/>
                  <w:vAlign w:val="center"/>
                </w:tcPr>
                <w:p w14:paraId="42A5A386">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分区</w:t>
                  </w:r>
                </w:p>
              </w:tc>
              <w:tc>
                <w:tcPr>
                  <w:tcW w:w="1430" w:type="pct"/>
                  <w:gridSpan w:val="3"/>
                  <w:tcBorders>
                    <w:tl2br w:val="nil"/>
                    <w:tr2bl w:val="nil"/>
                  </w:tcBorders>
                  <w:noWrap/>
                  <w:vAlign w:val="center"/>
                </w:tcPr>
                <w:p w14:paraId="0F502AB8">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土石方开挖</w:t>
                  </w:r>
                </w:p>
              </w:tc>
              <w:tc>
                <w:tcPr>
                  <w:tcW w:w="1347" w:type="pct"/>
                  <w:gridSpan w:val="3"/>
                  <w:tcBorders>
                    <w:tl2br w:val="nil"/>
                    <w:tr2bl w:val="nil"/>
                  </w:tcBorders>
                  <w:noWrap/>
                  <w:vAlign w:val="center"/>
                </w:tcPr>
                <w:p w14:paraId="618F4470">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回填利用</w:t>
                  </w:r>
                </w:p>
              </w:tc>
              <w:tc>
                <w:tcPr>
                  <w:tcW w:w="647" w:type="pct"/>
                  <w:gridSpan w:val="2"/>
                  <w:tcBorders>
                    <w:tl2br w:val="nil"/>
                    <w:tr2bl w:val="nil"/>
                  </w:tcBorders>
                  <w:noWrap/>
                  <w:vAlign w:val="center"/>
                </w:tcPr>
                <w:p w14:paraId="7F9953C9">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外借（购）</w:t>
                  </w:r>
                </w:p>
              </w:tc>
              <w:tc>
                <w:tcPr>
                  <w:tcW w:w="696" w:type="pct"/>
                  <w:gridSpan w:val="2"/>
                  <w:tcBorders>
                    <w:tl2br w:val="nil"/>
                    <w:tr2bl w:val="nil"/>
                  </w:tcBorders>
                  <w:noWrap/>
                  <w:vAlign w:val="center"/>
                </w:tcPr>
                <w:p w14:paraId="03F34FB5">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废弃</w:t>
                  </w:r>
                </w:p>
              </w:tc>
            </w:tr>
            <w:tr w14:paraId="4BC801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8" w:hRule="atLeast"/>
              </w:trPr>
              <w:tc>
                <w:tcPr>
                  <w:tcW w:w="877" w:type="pct"/>
                  <w:vMerge w:val="continue"/>
                  <w:tcBorders>
                    <w:tl2br w:val="nil"/>
                    <w:tr2bl w:val="nil"/>
                  </w:tcBorders>
                  <w:noWrap/>
                  <w:vAlign w:val="center"/>
                </w:tcPr>
                <w:p w14:paraId="72AD4598">
                  <w:pPr>
                    <w:keepNext w:val="0"/>
                    <w:keepLines w:val="0"/>
                    <w:pageBreakBefore w:val="0"/>
                    <w:widowControl/>
                    <w:kinsoku/>
                    <w:wordWrap/>
                    <w:overflowPunct/>
                    <w:topLinePunct w:val="0"/>
                    <w:autoSpaceDE/>
                    <w:autoSpaceDN/>
                    <w:bidi w:val="0"/>
                    <w:adjustRightInd/>
                    <w:snapToGrid/>
                    <w:spacing w:line="0" w:lineRule="atLeast"/>
                    <w:ind w:firstLine="0" w:firstLineChars="0"/>
                    <w:jc w:val="center"/>
                    <w:rPr>
                      <w:rFonts w:hint="default" w:ascii="Times New Roman" w:hAnsi="Times New Roman" w:eastAsia="宋体" w:cs="Times New Roman"/>
                      <w:b/>
                      <w:bCs/>
                      <w:i w:val="0"/>
                      <w:iCs w:val="0"/>
                      <w:color w:val="auto"/>
                      <w:sz w:val="18"/>
                      <w:szCs w:val="18"/>
                      <w:u w:val="none"/>
                    </w:rPr>
                  </w:pPr>
                </w:p>
              </w:tc>
              <w:tc>
                <w:tcPr>
                  <w:tcW w:w="453" w:type="pct"/>
                  <w:tcBorders>
                    <w:tl2br w:val="nil"/>
                    <w:tr2bl w:val="nil"/>
                  </w:tcBorders>
                  <w:noWrap/>
                  <w:vAlign w:val="center"/>
                </w:tcPr>
                <w:p w14:paraId="4DA54046">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土石方</w:t>
                  </w:r>
                </w:p>
              </w:tc>
              <w:tc>
                <w:tcPr>
                  <w:tcW w:w="561" w:type="pct"/>
                  <w:tcBorders>
                    <w:tl2br w:val="nil"/>
                    <w:tr2bl w:val="nil"/>
                  </w:tcBorders>
                  <w:noWrap/>
                  <w:vAlign w:val="center"/>
                </w:tcPr>
                <w:p w14:paraId="6B175FDA">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剥离表土</w:t>
                  </w:r>
                </w:p>
              </w:tc>
              <w:tc>
                <w:tcPr>
                  <w:tcW w:w="415" w:type="pct"/>
                  <w:tcBorders>
                    <w:tl2br w:val="nil"/>
                    <w:tr2bl w:val="nil"/>
                  </w:tcBorders>
                  <w:noWrap/>
                  <w:vAlign w:val="center"/>
                </w:tcPr>
                <w:p w14:paraId="25697A17">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合计</w:t>
                  </w:r>
                </w:p>
              </w:tc>
              <w:tc>
                <w:tcPr>
                  <w:tcW w:w="439" w:type="pct"/>
                  <w:tcBorders>
                    <w:tl2br w:val="nil"/>
                    <w:tr2bl w:val="nil"/>
                  </w:tcBorders>
                  <w:noWrap/>
                  <w:vAlign w:val="center"/>
                </w:tcPr>
                <w:p w14:paraId="5E18406B">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土石方</w:t>
                  </w:r>
                </w:p>
              </w:tc>
              <w:tc>
                <w:tcPr>
                  <w:tcW w:w="509" w:type="pct"/>
                  <w:tcBorders>
                    <w:tl2br w:val="nil"/>
                    <w:tr2bl w:val="nil"/>
                  </w:tcBorders>
                  <w:noWrap/>
                  <w:vAlign w:val="center"/>
                </w:tcPr>
                <w:p w14:paraId="160D7815">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绿化覆土</w:t>
                  </w:r>
                </w:p>
              </w:tc>
              <w:tc>
                <w:tcPr>
                  <w:tcW w:w="397" w:type="pct"/>
                  <w:tcBorders>
                    <w:tl2br w:val="nil"/>
                    <w:tr2bl w:val="nil"/>
                  </w:tcBorders>
                  <w:noWrap/>
                  <w:vAlign w:val="center"/>
                </w:tcPr>
                <w:p w14:paraId="2C2853EB">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合计</w:t>
                  </w:r>
                </w:p>
              </w:tc>
              <w:tc>
                <w:tcPr>
                  <w:tcW w:w="298" w:type="pct"/>
                  <w:tcBorders>
                    <w:tl2br w:val="nil"/>
                    <w:tr2bl w:val="nil"/>
                  </w:tcBorders>
                  <w:noWrap/>
                  <w:vAlign w:val="center"/>
                </w:tcPr>
                <w:p w14:paraId="29E36DA7">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数量</w:t>
                  </w:r>
                </w:p>
              </w:tc>
              <w:tc>
                <w:tcPr>
                  <w:tcW w:w="349" w:type="pct"/>
                  <w:tcBorders>
                    <w:tl2br w:val="nil"/>
                    <w:tr2bl w:val="nil"/>
                  </w:tcBorders>
                  <w:noWrap/>
                  <w:vAlign w:val="center"/>
                </w:tcPr>
                <w:p w14:paraId="35D95644">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来源</w:t>
                  </w:r>
                </w:p>
              </w:tc>
              <w:tc>
                <w:tcPr>
                  <w:tcW w:w="347" w:type="pct"/>
                  <w:tcBorders>
                    <w:tl2br w:val="nil"/>
                    <w:tr2bl w:val="nil"/>
                  </w:tcBorders>
                  <w:noWrap/>
                  <w:vAlign w:val="center"/>
                </w:tcPr>
                <w:p w14:paraId="76D41B13">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数量</w:t>
                  </w:r>
                </w:p>
              </w:tc>
              <w:tc>
                <w:tcPr>
                  <w:tcW w:w="349" w:type="pct"/>
                  <w:tcBorders>
                    <w:tl2br w:val="nil"/>
                    <w:tr2bl w:val="nil"/>
                  </w:tcBorders>
                  <w:noWrap/>
                  <w:vAlign w:val="center"/>
                </w:tcPr>
                <w:p w14:paraId="6362A053">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去向</w:t>
                  </w:r>
                </w:p>
              </w:tc>
            </w:tr>
            <w:tr w14:paraId="5C08D1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21" w:hRule="atLeast"/>
              </w:trPr>
              <w:tc>
                <w:tcPr>
                  <w:tcW w:w="877" w:type="pct"/>
                  <w:tcBorders>
                    <w:tl2br w:val="nil"/>
                    <w:tr2bl w:val="nil"/>
                  </w:tcBorders>
                  <w:noWrap/>
                  <w:vAlign w:val="center"/>
                </w:tcPr>
                <w:p w14:paraId="70326EA4">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塔基区</w:t>
                  </w:r>
                </w:p>
              </w:tc>
              <w:tc>
                <w:tcPr>
                  <w:tcW w:w="453" w:type="pct"/>
                  <w:tcBorders>
                    <w:tl2br w:val="nil"/>
                    <w:tr2bl w:val="nil"/>
                  </w:tcBorders>
                  <w:noWrap/>
                  <w:vAlign w:val="center"/>
                </w:tcPr>
                <w:p w14:paraId="74EF3DDE">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0.46</w:t>
                  </w:r>
                </w:p>
              </w:tc>
              <w:tc>
                <w:tcPr>
                  <w:tcW w:w="561" w:type="pct"/>
                  <w:tcBorders>
                    <w:tl2br w:val="nil"/>
                    <w:tr2bl w:val="nil"/>
                  </w:tcBorders>
                  <w:noWrap/>
                  <w:vAlign w:val="center"/>
                </w:tcPr>
                <w:p w14:paraId="33727A9D">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0.10</w:t>
                  </w:r>
                </w:p>
              </w:tc>
              <w:tc>
                <w:tcPr>
                  <w:tcW w:w="415" w:type="pct"/>
                  <w:tcBorders>
                    <w:tl2br w:val="nil"/>
                    <w:tr2bl w:val="nil"/>
                  </w:tcBorders>
                  <w:noWrap/>
                  <w:vAlign w:val="center"/>
                </w:tcPr>
                <w:p w14:paraId="421CAD73">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0.56</w:t>
                  </w:r>
                </w:p>
              </w:tc>
              <w:tc>
                <w:tcPr>
                  <w:tcW w:w="439" w:type="pct"/>
                  <w:tcBorders>
                    <w:tl2br w:val="nil"/>
                    <w:tr2bl w:val="nil"/>
                  </w:tcBorders>
                  <w:noWrap/>
                  <w:vAlign w:val="center"/>
                </w:tcPr>
                <w:p w14:paraId="0F03D5A7">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0.46</w:t>
                  </w:r>
                </w:p>
              </w:tc>
              <w:tc>
                <w:tcPr>
                  <w:tcW w:w="509" w:type="pct"/>
                  <w:tcBorders>
                    <w:tl2br w:val="nil"/>
                    <w:tr2bl w:val="nil"/>
                  </w:tcBorders>
                  <w:noWrap/>
                  <w:vAlign w:val="center"/>
                </w:tcPr>
                <w:p w14:paraId="56D2B7EF">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0.10</w:t>
                  </w:r>
                </w:p>
              </w:tc>
              <w:tc>
                <w:tcPr>
                  <w:tcW w:w="397" w:type="pct"/>
                  <w:tcBorders>
                    <w:tl2br w:val="nil"/>
                    <w:tr2bl w:val="nil"/>
                  </w:tcBorders>
                  <w:noWrap/>
                  <w:vAlign w:val="center"/>
                </w:tcPr>
                <w:p w14:paraId="3A95A9DA">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0.56</w:t>
                  </w:r>
                </w:p>
              </w:tc>
              <w:tc>
                <w:tcPr>
                  <w:tcW w:w="298" w:type="pct"/>
                  <w:tcBorders>
                    <w:tl2br w:val="nil"/>
                    <w:tr2bl w:val="nil"/>
                  </w:tcBorders>
                  <w:noWrap/>
                  <w:vAlign w:val="center"/>
                </w:tcPr>
                <w:p w14:paraId="0E413032">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0</w:t>
                  </w:r>
                </w:p>
              </w:tc>
              <w:tc>
                <w:tcPr>
                  <w:tcW w:w="349" w:type="pct"/>
                  <w:tcBorders>
                    <w:tl2br w:val="nil"/>
                    <w:tr2bl w:val="nil"/>
                  </w:tcBorders>
                  <w:noWrap/>
                  <w:vAlign w:val="center"/>
                </w:tcPr>
                <w:p w14:paraId="66AFD237">
                  <w:pPr>
                    <w:keepNext w:val="0"/>
                    <w:keepLines w:val="0"/>
                    <w:pageBreakBefore w:val="0"/>
                    <w:widowControl/>
                    <w:kinsoku/>
                    <w:wordWrap/>
                    <w:overflowPunct/>
                    <w:topLinePunct w:val="0"/>
                    <w:autoSpaceDE/>
                    <w:autoSpaceDN/>
                    <w:bidi w:val="0"/>
                    <w:adjustRightInd/>
                    <w:snapToGrid/>
                    <w:spacing w:line="0" w:lineRule="atLeast"/>
                    <w:ind w:firstLine="0" w:firstLineChars="0"/>
                    <w:jc w:val="center"/>
                    <w:rPr>
                      <w:rFonts w:hint="default" w:ascii="Times New Roman" w:hAnsi="Times New Roman" w:eastAsia="宋体" w:cs="Times New Roman"/>
                      <w:b w:val="0"/>
                      <w:bCs w:val="0"/>
                      <w:i w:val="0"/>
                      <w:iCs w:val="0"/>
                      <w:color w:val="auto"/>
                      <w:sz w:val="18"/>
                      <w:szCs w:val="18"/>
                      <w:u w:val="none"/>
                    </w:rPr>
                  </w:pPr>
                </w:p>
              </w:tc>
              <w:tc>
                <w:tcPr>
                  <w:tcW w:w="347" w:type="pct"/>
                  <w:tcBorders>
                    <w:tl2br w:val="nil"/>
                    <w:tr2bl w:val="nil"/>
                  </w:tcBorders>
                  <w:noWrap/>
                  <w:vAlign w:val="center"/>
                </w:tcPr>
                <w:p w14:paraId="3F44BE76">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0</w:t>
                  </w:r>
                </w:p>
              </w:tc>
              <w:tc>
                <w:tcPr>
                  <w:tcW w:w="349" w:type="pct"/>
                  <w:tcBorders>
                    <w:tl2br w:val="nil"/>
                    <w:tr2bl w:val="nil"/>
                  </w:tcBorders>
                  <w:noWrap/>
                  <w:vAlign w:val="center"/>
                </w:tcPr>
                <w:p w14:paraId="353329BB">
                  <w:pPr>
                    <w:keepNext w:val="0"/>
                    <w:keepLines w:val="0"/>
                    <w:pageBreakBefore w:val="0"/>
                    <w:widowControl/>
                    <w:kinsoku/>
                    <w:wordWrap/>
                    <w:overflowPunct/>
                    <w:topLinePunct w:val="0"/>
                    <w:autoSpaceDE/>
                    <w:autoSpaceDN/>
                    <w:bidi w:val="0"/>
                    <w:adjustRightInd/>
                    <w:snapToGrid/>
                    <w:spacing w:line="0" w:lineRule="atLeast"/>
                    <w:ind w:firstLine="0" w:firstLineChars="0"/>
                    <w:jc w:val="center"/>
                    <w:rPr>
                      <w:rFonts w:hint="default" w:ascii="Times New Roman" w:hAnsi="Times New Roman" w:eastAsia="宋体" w:cs="Times New Roman"/>
                      <w:i w:val="0"/>
                      <w:iCs w:val="0"/>
                      <w:color w:val="auto"/>
                      <w:sz w:val="18"/>
                      <w:szCs w:val="18"/>
                      <w:u w:val="none"/>
                    </w:rPr>
                  </w:pPr>
                </w:p>
              </w:tc>
            </w:tr>
            <w:tr w14:paraId="5188403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21" w:hRule="atLeast"/>
              </w:trPr>
              <w:tc>
                <w:tcPr>
                  <w:tcW w:w="877" w:type="pct"/>
                  <w:tcBorders>
                    <w:tl2br w:val="nil"/>
                    <w:tr2bl w:val="nil"/>
                  </w:tcBorders>
                  <w:noWrap/>
                  <w:vAlign w:val="center"/>
                </w:tcPr>
                <w:p w14:paraId="141C86B1">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塔基施工场地区</w:t>
                  </w:r>
                </w:p>
              </w:tc>
              <w:tc>
                <w:tcPr>
                  <w:tcW w:w="453" w:type="pct"/>
                  <w:tcBorders>
                    <w:tl2br w:val="nil"/>
                    <w:tr2bl w:val="nil"/>
                  </w:tcBorders>
                  <w:noWrap/>
                  <w:vAlign w:val="center"/>
                </w:tcPr>
                <w:p w14:paraId="703CD744">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0.22</w:t>
                  </w:r>
                </w:p>
              </w:tc>
              <w:tc>
                <w:tcPr>
                  <w:tcW w:w="561" w:type="pct"/>
                  <w:tcBorders>
                    <w:tl2br w:val="nil"/>
                    <w:tr2bl w:val="nil"/>
                  </w:tcBorders>
                  <w:noWrap/>
                  <w:vAlign w:val="center"/>
                </w:tcPr>
                <w:p w14:paraId="668D4627">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0.03</w:t>
                  </w:r>
                </w:p>
              </w:tc>
              <w:tc>
                <w:tcPr>
                  <w:tcW w:w="415" w:type="pct"/>
                  <w:tcBorders>
                    <w:tl2br w:val="nil"/>
                    <w:tr2bl w:val="nil"/>
                  </w:tcBorders>
                  <w:noWrap/>
                  <w:vAlign w:val="center"/>
                </w:tcPr>
                <w:p w14:paraId="65953688">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0.25</w:t>
                  </w:r>
                </w:p>
              </w:tc>
              <w:tc>
                <w:tcPr>
                  <w:tcW w:w="439" w:type="pct"/>
                  <w:tcBorders>
                    <w:tl2br w:val="nil"/>
                    <w:tr2bl w:val="nil"/>
                  </w:tcBorders>
                  <w:noWrap/>
                  <w:vAlign w:val="center"/>
                </w:tcPr>
                <w:p w14:paraId="766F0588">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0.22</w:t>
                  </w:r>
                </w:p>
              </w:tc>
              <w:tc>
                <w:tcPr>
                  <w:tcW w:w="509" w:type="pct"/>
                  <w:tcBorders>
                    <w:tl2br w:val="nil"/>
                    <w:tr2bl w:val="nil"/>
                  </w:tcBorders>
                  <w:noWrap/>
                  <w:vAlign w:val="center"/>
                </w:tcPr>
                <w:p w14:paraId="07AEEB29">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0.03</w:t>
                  </w:r>
                </w:p>
              </w:tc>
              <w:tc>
                <w:tcPr>
                  <w:tcW w:w="397" w:type="pct"/>
                  <w:tcBorders>
                    <w:tl2br w:val="nil"/>
                    <w:tr2bl w:val="nil"/>
                  </w:tcBorders>
                  <w:noWrap/>
                  <w:vAlign w:val="center"/>
                </w:tcPr>
                <w:p w14:paraId="26F565AD">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0.25</w:t>
                  </w:r>
                </w:p>
              </w:tc>
              <w:tc>
                <w:tcPr>
                  <w:tcW w:w="298" w:type="pct"/>
                  <w:tcBorders>
                    <w:tl2br w:val="nil"/>
                    <w:tr2bl w:val="nil"/>
                  </w:tcBorders>
                  <w:noWrap/>
                  <w:vAlign w:val="center"/>
                </w:tcPr>
                <w:p w14:paraId="50B6ECB2">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0</w:t>
                  </w:r>
                </w:p>
              </w:tc>
              <w:tc>
                <w:tcPr>
                  <w:tcW w:w="349" w:type="pct"/>
                  <w:tcBorders>
                    <w:tl2br w:val="nil"/>
                    <w:tr2bl w:val="nil"/>
                  </w:tcBorders>
                  <w:noWrap/>
                  <w:vAlign w:val="center"/>
                </w:tcPr>
                <w:p w14:paraId="5C7EC4F0">
                  <w:pPr>
                    <w:keepNext w:val="0"/>
                    <w:keepLines w:val="0"/>
                    <w:pageBreakBefore w:val="0"/>
                    <w:widowControl/>
                    <w:kinsoku/>
                    <w:wordWrap/>
                    <w:overflowPunct/>
                    <w:topLinePunct w:val="0"/>
                    <w:autoSpaceDE/>
                    <w:autoSpaceDN/>
                    <w:bidi w:val="0"/>
                    <w:adjustRightInd/>
                    <w:snapToGrid/>
                    <w:spacing w:line="0" w:lineRule="atLeast"/>
                    <w:ind w:firstLine="0" w:firstLineChars="0"/>
                    <w:jc w:val="center"/>
                    <w:rPr>
                      <w:rFonts w:hint="default" w:ascii="Times New Roman" w:hAnsi="Times New Roman" w:eastAsia="宋体" w:cs="Times New Roman"/>
                      <w:b w:val="0"/>
                      <w:bCs w:val="0"/>
                      <w:i w:val="0"/>
                      <w:iCs w:val="0"/>
                      <w:color w:val="auto"/>
                      <w:sz w:val="18"/>
                      <w:szCs w:val="18"/>
                      <w:u w:val="none"/>
                    </w:rPr>
                  </w:pPr>
                </w:p>
              </w:tc>
              <w:tc>
                <w:tcPr>
                  <w:tcW w:w="347" w:type="pct"/>
                  <w:tcBorders>
                    <w:tl2br w:val="nil"/>
                    <w:tr2bl w:val="nil"/>
                  </w:tcBorders>
                  <w:noWrap/>
                  <w:vAlign w:val="center"/>
                </w:tcPr>
                <w:p w14:paraId="3864E967">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0</w:t>
                  </w:r>
                </w:p>
              </w:tc>
              <w:tc>
                <w:tcPr>
                  <w:tcW w:w="349" w:type="pct"/>
                  <w:tcBorders>
                    <w:tl2br w:val="nil"/>
                    <w:tr2bl w:val="nil"/>
                  </w:tcBorders>
                  <w:noWrap/>
                  <w:vAlign w:val="center"/>
                </w:tcPr>
                <w:p w14:paraId="5FBE57C6">
                  <w:pPr>
                    <w:keepNext w:val="0"/>
                    <w:keepLines w:val="0"/>
                    <w:pageBreakBefore w:val="0"/>
                    <w:widowControl/>
                    <w:kinsoku/>
                    <w:wordWrap/>
                    <w:overflowPunct/>
                    <w:topLinePunct w:val="0"/>
                    <w:autoSpaceDE/>
                    <w:autoSpaceDN/>
                    <w:bidi w:val="0"/>
                    <w:adjustRightInd/>
                    <w:snapToGrid/>
                    <w:spacing w:line="0" w:lineRule="atLeast"/>
                    <w:ind w:firstLine="0" w:firstLineChars="0"/>
                    <w:jc w:val="center"/>
                    <w:rPr>
                      <w:rFonts w:hint="default" w:ascii="Times New Roman" w:hAnsi="Times New Roman" w:eastAsia="宋体" w:cs="Times New Roman"/>
                      <w:i w:val="0"/>
                      <w:iCs w:val="0"/>
                      <w:color w:val="auto"/>
                      <w:sz w:val="18"/>
                      <w:szCs w:val="18"/>
                      <w:u w:val="none"/>
                    </w:rPr>
                  </w:pPr>
                </w:p>
              </w:tc>
            </w:tr>
            <w:tr w14:paraId="72368A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41" w:hRule="atLeast"/>
              </w:trPr>
              <w:tc>
                <w:tcPr>
                  <w:tcW w:w="877" w:type="pct"/>
                  <w:tcBorders>
                    <w:tl2br w:val="nil"/>
                    <w:tr2bl w:val="nil"/>
                  </w:tcBorders>
                  <w:noWrap/>
                  <w:vAlign w:val="center"/>
                </w:tcPr>
                <w:p w14:paraId="3D119E9E">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合计</w:t>
                  </w:r>
                </w:p>
              </w:tc>
              <w:tc>
                <w:tcPr>
                  <w:tcW w:w="453" w:type="pct"/>
                  <w:tcBorders>
                    <w:tl2br w:val="nil"/>
                    <w:tr2bl w:val="nil"/>
                  </w:tcBorders>
                  <w:noWrap/>
                  <w:vAlign w:val="center"/>
                </w:tcPr>
                <w:p w14:paraId="17C63154">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 xml:space="preserve">0.68 </w:t>
                  </w:r>
                </w:p>
              </w:tc>
              <w:tc>
                <w:tcPr>
                  <w:tcW w:w="561" w:type="pct"/>
                  <w:tcBorders>
                    <w:tl2br w:val="nil"/>
                    <w:tr2bl w:val="nil"/>
                  </w:tcBorders>
                  <w:noWrap/>
                  <w:vAlign w:val="center"/>
                </w:tcPr>
                <w:p w14:paraId="65CFCE68">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 xml:space="preserve">0.13 </w:t>
                  </w:r>
                </w:p>
              </w:tc>
              <w:tc>
                <w:tcPr>
                  <w:tcW w:w="415" w:type="pct"/>
                  <w:tcBorders>
                    <w:tl2br w:val="nil"/>
                    <w:tr2bl w:val="nil"/>
                  </w:tcBorders>
                  <w:noWrap/>
                  <w:vAlign w:val="center"/>
                </w:tcPr>
                <w:p w14:paraId="0EF03DB0">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0.81</w:t>
                  </w:r>
                </w:p>
              </w:tc>
              <w:tc>
                <w:tcPr>
                  <w:tcW w:w="439" w:type="pct"/>
                  <w:tcBorders>
                    <w:tl2br w:val="nil"/>
                    <w:tr2bl w:val="nil"/>
                  </w:tcBorders>
                  <w:noWrap/>
                  <w:vAlign w:val="center"/>
                </w:tcPr>
                <w:p w14:paraId="1CEC4BE1">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 xml:space="preserve">0.68 </w:t>
                  </w:r>
                </w:p>
              </w:tc>
              <w:tc>
                <w:tcPr>
                  <w:tcW w:w="509" w:type="pct"/>
                  <w:tcBorders>
                    <w:tl2br w:val="nil"/>
                    <w:tr2bl w:val="nil"/>
                  </w:tcBorders>
                  <w:noWrap/>
                  <w:vAlign w:val="center"/>
                </w:tcPr>
                <w:p w14:paraId="6B4CFEEF">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 xml:space="preserve">0.13 </w:t>
                  </w:r>
                </w:p>
              </w:tc>
              <w:tc>
                <w:tcPr>
                  <w:tcW w:w="397" w:type="pct"/>
                  <w:tcBorders>
                    <w:tl2br w:val="nil"/>
                    <w:tr2bl w:val="nil"/>
                  </w:tcBorders>
                  <w:noWrap/>
                  <w:vAlign w:val="center"/>
                </w:tcPr>
                <w:p w14:paraId="6E6E168C">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0.81</w:t>
                  </w:r>
                </w:p>
              </w:tc>
              <w:tc>
                <w:tcPr>
                  <w:tcW w:w="298" w:type="pct"/>
                  <w:tcBorders>
                    <w:tl2br w:val="nil"/>
                    <w:tr2bl w:val="nil"/>
                  </w:tcBorders>
                  <w:noWrap/>
                  <w:vAlign w:val="center"/>
                </w:tcPr>
                <w:p w14:paraId="6D2B63B8">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0</w:t>
                  </w:r>
                </w:p>
              </w:tc>
              <w:tc>
                <w:tcPr>
                  <w:tcW w:w="349" w:type="pct"/>
                  <w:tcBorders>
                    <w:tl2br w:val="nil"/>
                    <w:tr2bl w:val="nil"/>
                  </w:tcBorders>
                  <w:noWrap/>
                  <w:vAlign w:val="center"/>
                </w:tcPr>
                <w:p w14:paraId="1CC873F3">
                  <w:pPr>
                    <w:keepNext w:val="0"/>
                    <w:keepLines w:val="0"/>
                    <w:pageBreakBefore w:val="0"/>
                    <w:widowControl/>
                    <w:kinsoku/>
                    <w:wordWrap/>
                    <w:overflowPunct/>
                    <w:topLinePunct w:val="0"/>
                    <w:autoSpaceDE/>
                    <w:autoSpaceDN/>
                    <w:bidi w:val="0"/>
                    <w:adjustRightInd/>
                    <w:snapToGrid/>
                    <w:spacing w:line="0" w:lineRule="atLeast"/>
                    <w:ind w:firstLine="0" w:firstLineChars="0"/>
                    <w:jc w:val="center"/>
                    <w:rPr>
                      <w:rFonts w:hint="default" w:ascii="Times New Roman" w:hAnsi="Times New Roman" w:eastAsia="宋体" w:cs="Times New Roman"/>
                      <w:b/>
                      <w:bCs/>
                      <w:i w:val="0"/>
                      <w:iCs w:val="0"/>
                      <w:color w:val="auto"/>
                      <w:sz w:val="18"/>
                      <w:szCs w:val="18"/>
                      <w:u w:val="none"/>
                    </w:rPr>
                  </w:pPr>
                </w:p>
              </w:tc>
              <w:tc>
                <w:tcPr>
                  <w:tcW w:w="347" w:type="pct"/>
                  <w:tcBorders>
                    <w:tl2br w:val="nil"/>
                    <w:tr2bl w:val="nil"/>
                  </w:tcBorders>
                  <w:noWrap/>
                  <w:vAlign w:val="center"/>
                </w:tcPr>
                <w:p w14:paraId="694C9477">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 xml:space="preserve">0 </w:t>
                  </w:r>
                </w:p>
              </w:tc>
              <w:tc>
                <w:tcPr>
                  <w:tcW w:w="349" w:type="pct"/>
                  <w:tcBorders>
                    <w:tl2br w:val="nil"/>
                    <w:tr2bl w:val="nil"/>
                  </w:tcBorders>
                  <w:noWrap/>
                  <w:vAlign w:val="center"/>
                </w:tcPr>
                <w:p w14:paraId="3871DD14">
                  <w:pPr>
                    <w:keepNext w:val="0"/>
                    <w:keepLines w:val="0"/>
                    <w:pageBreakBefore w:val="0"/>
                    <w:widowControl/>
                    <w:kinsoku/>
                    <w:wordWrap/>
                    <w:overflowPunct/>
                    <w:topLinePunct w:val="0"/>
                    <w:autoSpaceDE/>
                    <w:autoSpaceDN/>
                    <w:bidi w:val="0"/>
                    <w:adjustRightInd/>
                    <w:snapToGrid/>
                    <w:spacing w:line="0" w:lineRule="atLeast"/>
                    <w:ind w:firstLine="0" w:firstLineChars="0"/>
                    <w:jc w:val="center"/>
                    <w:rPr>
                      <w:rFonts w:hint="default" w:ascii="Times New Roman" w:hAnsi="Times New Roman" w:eastAsia="宋体" w:cs="Times New Roman"/>
                      <w:b/>
                      <w:bCs/>
                      <w:i w:val="0"/>
                      <w:iCs w:val="0"/>
                      <w:color w:val="auto"/>
                      <w:sz w:val="18"/>
                      <w:szCs w:val="18"/>
                      <w:u w:val="none"/>
                    </w:rPr>
                  </w:pPr>
                </w:p>
              </w:tc>
            </w:tr>
          </w:tbl>
          <w:p w14:paraId="6F0C5268">
            <w:pPr>
              <w:adjustRightInd w:val="0"/>
              <w:snapToGrid w:val="0"/>
              <w:spacing w:line="440" w:lineRule="exact"/>
              <w:rPr>
                <w:b/>
                <w:bCs/>
                <w:color w:val="auto"/>
                <w:sz w:val="28"/>
                <w:szCs w:val="28"/>
              </w:rPr>
            </w:pPr>
            <w:r>
              <w:rPr>
                <w:b/>
                <w:bCs/>
                <w:color w:val="auto"/>
                <w:sz w:val="28"/>
                <w:szCs w:val="28"/>
              </w:rPr>
              <w:t>2.</w:t>
            </w:r>
            <w:r>
              <w:rPr>
                <w:rFonts w:hint="eastAsia"/>
                <w:b/>
                <w:bCs/>
                <w:color w:val="auto"/>
                <w:sz w:val="28"/>
                <w:szCs w:val="28"/>
                <w:lang w:val="en-US" w:eastAsia="zh-CN"/>
              </w:rPr>
              <w:t>4</w:t>
            </w:r>
            <w:r>
              <w:rPr>
                <w:b/>
                <w:bCs/>
                <w:color w:val="auto"/>
                <w:sz w:val="28"/>
                <w:szCs w:val="28"/>
              </w:rPr>
              <w:t>总平面布置</w:t>
            </w:r>
          </w:p>
          <w:p w14:paraId="1B1AB9B3">
            <w:pPr>
              <w:pStyle w:val="2"/>
              <w:adjustRightInd w:val="0"/>
              <w:spacing w:before="0" w:after="0" w:line="440" w:lineRule="exact"/>
              <w:ind w:right="0" w:firstLine="482" w:firstLineChars="200"/>
              <w:rPr>
                <w:b/>
                <w:bCs/>
                <w:color w:val="auto"/>
                <w:sz w:val="24"/>
                <w:szCs w:val="24"/>
              </w:rPr>
            </w:pPr>
            <w:r>
              <w:rPr>
                <w:rFonts w:hint="eastAsia"/>
                <w:b/>
                <w:bCs/>
                <w:color w:val="auto"/>
                <w:sz w:val="24"/>
                <w:szCs w:val="24"/>
              </w:rPr>
              <w:t>2.</w:t>
            </w:r>
            <w:r>
              <w:rPr>
                <w:rFonts w:hint="eastAsia"/>
                <w:b/>
                <w:bCs/>
                <w:color w:val="auto"/>
                <w:sz w:val="24"/>
                <w:szCs w:val="24"/>
                <w:lang w:val="en-US" w:eastAsia="zh-CN"/>
              </w:rPr>
              <w:t>4</w:t>
            </w:r>
            <w:r>
              <w:rPr>
                <w:rFonts w:hint="eastAsia"/>
                <w:b/>
                <w:bCs/>
                <w:color w:val="auto"/>
                <w:sz w:val="24"/>
                <w:szCs w:val="24"/>
              </w:rPr>
              <w:t>.</w:t>
            </w:r>
            <w:r>
              <w:rPr>
                <w:b/>
                <w:bCs/>
                <w:color w:val="auto"/>
                <w:sz w:val="24"/>
                <w:szCs w:val="24"/>
              </w:rPr>
              <w:t>1输电线路路径走向</w:t>
            </w:r>
          </w:p>
          <w:p w14:paraId="59BD1AA3">
            <w:pPr>
              <w:adjustRightInd w:val="0"/>
              <w:snapToGrid w:val="0"/>
              <w:spacing w:line="440" w:lineRule="exact"/>
              <w:ind w:firstLine="480" w:firstLineChars="200"/>
              <w:rPr>
                <w:color w:val="auto"/>
                <w:sz w:val="24"/>
              </w:rPr>
            </w:pPr>
            <w:r>
              <w:rPr>
                <w:rFonts w:hint="eastAsia"/>
                <w:color w:val="auto"/>
                <w:sz w:val="24"/>
              </w:rPr>
              <w:t>本工程新建线路从大草房光伏电站出线构架架空出线后，向北出线后右转从大山沟北面山脊走线，到达鲁珠河前右转，跨过鲁珠河，在山脊上跨过</w:t>
            </w:r>
            <w:r>
              <w:rPr>
                <w:rFonts w:hint="eastAsia"/>
                <w:color w:val="auto"/>
                <w:sz w:val="24"/>
                <w:lang w:eastAsia="zh-CN"/>
              </w:rPr>
              <w:t>生态保护红线</w:t>
            </w:r>
            <w:r>
              <w:rPr>
                <w:rFonts w:hint="eastAsia"/>
                <w:color w:val="auto"/>
                <w:sz w:val="24"/>
              </w:rPr>
              <w:t>，在石堆窝北面跨过铜沟河到达水井湾和荒沟中间山顶，</w:t>
            </w:r>
            <w:r>
              <w:rPr>
                <w:rFonts w:hint="eastAsia"/>
                <w:color w:val="auto"/>
                <w:sz w:val="24"/>
                <w:lang w:eastAsia="zh-CN"/>
              </w:rPr>
              <w:t>左</w:t>
            </w:r>
            <w:r>
              <w:rPr>
                <w:rFonts w:hint="eastAsia"/>
                <w:color w:val="auto"/>
                <w:sz w:val="24"/>
                <w:lang w:val="en-US" w:eastAsia="zh-CN"/>
              </w:rPr>
              <w:t>转</w:t>
            </w:r>
            <w:r>
              <w:rPr>
                <w:rFonts w:hint="eastAsia"/>
                <w:color w:val="auto"/>
                <w:sz w:val="24"/>
              </w:rPr>
              <w:t>从水井湾和荒沟之间走线到荒沟北面，右转沿山脊到达马家田北面山脊，</w:t>
            </w:r>
            <w:r>
              <w:rPr>
                <w:rFonts w:hint="eastAsia"/>
                <w:color w:val="auto"/>
                <w:sz w:val="24"/>
                <w:lang w:eastAsia="zh-CN"/>
              </w:rPr>
              <w:t>左转</w:t>
            </w:r>
            <w:r>
              <w:rPr>
                <w:rFonts w:hint="eastAsia"/>
                <w:color w:val="auto"/>
                <w:sz w:val="24"/>
              </w:rPr>
              <w:t>到达北面山脊，右转穿过500kV铜永甲线；</w:t>
            </w:r>
            <w:r>
              <w:rPr>
                <w:rFonts w:hint="eastAsia"/>
                <w:color w:val="auto"/>
                <w:sz w:val="24"/>
                <w:lang w:eastAsia="zh-CN"/>
              </w:rPr>
              <w:t>到达</w:t>
            </w:r>
            <w:r>
              <w:rPr>
                <w:rFonts w:hint="eastAsia"/>
                <w:color w:val="auto"/>
                <w:sz w:val="24"/>
              </w:rPr>
              <w:t>上寨，右转在上寨、丁家塘、唐家小脑包、箐门前北面走线，在冷水沟前右转，从箐里头和包谷箐之间穿过到达六合一光伏电站西北面，连续右转和六合至乐业变220kV送出线路并排进入六合一光伏电站。曲折系数1.</w:t>
            </w:r>
            <w:r>
              <w:rPr>
                <w:rFonts w:hint="eastAsia"/>
                <w:color w:val="auto"/>
                <w:sz w:val="24"/>
                <w:lang w:val="en-US" w:eastAsia="zh-CN"/>
              </w:rPr>
              <w:t>25</w:t>
            </w:r>
            <w:r>
              <w:rPr>
                <w:rFonts w:hint="eastAsia"/>
                <w:color w:val="auto"/>
                <w:sz w:val="24"/>
              </w:rPr>
              <w:t>。线路长度</w:t>
            </w:r>
            <w:r>
              <w:rPr>
                <w:rFonts w:hint="eastAsia"/>
                <w:color w:val="auto"/>
                <w:sz w:val="24"/>
                <w:lang w:val="en-US" w:eastAsia="zh-CN"/>
              </w:rPr>
              <w:t>16</w:t>
            </w:r>
            <w:r>
              <w:rPr>
                <w:rFonts w:hint="eastAsia"/>
                <w:color w:val="auto"/>
                <w:sz w:val="24"/>
              </w:rPr>
              <w:t>km</w:t>
            </w:r>
            <w:r>
              <w:rPr>
                <w:rFonts w:hint="eastAsia"/>
                <w:color w:val="auto"/>
                <w:sz w:val="24"/>
                <w:lang w:eastAsia="zh-CN"/>
              </w:rPr>
              <w:t>。</w:t>
            </w:r>
          </w:p>
          <w:p w14:paraId="68FE6A51">
            <w:pPr>
              <w:adjustRightInd w:val="0"/>
              <w:snapToGrid w:val="0"/>
              <w:spacing w:line="440" w:lineRule="exact"/>
              <w:ind w:firstLine="482" w:firstLineChars="200"/>
              <w:rPr>
                <w:b/>
                <w:bCs/>
                <w:color w:val="auto"/>
                <w:sz w:val="24"/>
              </w:rPr>
            </w:pPr>
            <w:r>
              <w:rPr>
                <w:rFonts w:hint="eastAsia"/>
                <w:b/>
                <w:bCs/>
                <w:color w:val="auto"/>
                <w:sz w:val="24"/>
              </w:rPr>
              <w:t>2.</w:t>
            </w:r>
            <w:r>
              <w:rPr>
                <w:rFonts w:hint="eastAsia"/>
                <w:b/>
                <w:bCs/>
                <w:color w:val="auto"/>
                <w:sz w:val="24"/>
                <w:lang w:val="en-US" w:eastAsia="zh-CN"/>
              </w:rPr>
              <w:t>4</w:t>
            </w:r>
            <w:r>
              <w:rPr>
                <w:rFonts w:hint="eastAsia"/>
                <w:b/>
                <w:bCs/>
                <w:color w:val="auto"/>
                <w:sz w:val="24"/>
              </w:rPr>
              <w:t>.</w:t>
            </w:r>
            <w:r>
              <w:rPr>
                <w:b/>
                <w:bCs/>
                <w:color w:val="auto"/>
                <w:sz w:val="24"/>
              </w:rPr>
              <w:t>2、输电线路交叉跨越情况</w:t>
            </w:r>
          </w:p>
          <w:p w14:paraId="3FBDB65E">
            <w:pPr>
              <w:adjustRightInd w:val="0"/>
              <w:snapToGrid w:val="0"/>
              <w:spacing w:line="440" w:lineRule="exact"/>
              <w:ind w:firstLine="480" w:firstLineChars="200"/>
              <w:rPr>
                <w:color w:val="auto"/>
                <w:sz w:val="24"/>
              </w:rPr>
            </w:pPr>
            <w:r>
              <w:rPr>
                <w:color w:val="auto"/>
                <w:sz w:val="24"/>
              </w:rPr>
              <w:t>工程设计中已按照《110～750kV架空输电线路设计规范》（GB50545-2010）规定对跨越道路、送电线路、房屋等保留足够的净空。项目交跨工程情况见下表。</w:t>
            </w:r>
          </w:p>
          <w:p w14:paraId="00A36640">
            <w:pPr>
              <w:spacing w:line="240" w:lineRule="auto"/>
              <w:jc w:val="center"/>
              <w:rPr>
                <w:b/>
                <w:bCs/>
                <w:color w:val="auto"/>
                <w:sz w:val="24"/>
              </w:rPr>
            </w:pPr>
            <w:r>
              <w:rPr>
                <w:b/>
                <w:bCs/>
                <w:color w:val="auto"/>
                <w:sz w:val="24"/>
              </w:rPr>
              <w:t>表2-</w:t>
            </w:r>
            <w:r>
              <w:rPr>
                <w:rFonts w:hint="eastAsia"/>
                <w:b/>
                <w:bCs/>
                <w:color w:val="auto"/>
                <w:sz w:val="24"/>
                <w:lang w:val="en-US" w:eastAsia="zh-CN"/>
              </w:rPr>
              <w:t>7</w:t>
            </w:r>
            <w:r>
              <w:rPr>
                <w:b/>
                <w:bCs/>
                <w:color w:val="auto"/>
                <w:sz w:val="24"/>
              </w:rPr>
              <w:t xml:space="preserve">  线路主要交叉跨越表</w:t>
            </w:r>
          </w:p>
          <w:tbl>
            <w:tblPr>
              <w:tblStyle w:val="3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84"/>
              <w:gridCol w:w="2144"/>
              <w:gridCol w:w="955"/>
              <w:gridCol w:w="1873"/>
              <w:gridCol w:w="1391"/>
              <w:gridCol w:w="1075"/>
            </w:tblGrid>
            <w:tr w14:paraId="6F597F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4" w:type="pct"/>
                  <w:tcBorders>
                    <w:tl2br w:val="nil"/>
                    <w:tr2bl w:val="nil"/>
                  </w:tcBorders>
                  <w:noWrap/>
                  <w:vAlign w:val="center"/>
                </w:tcPr>
                <w:p w14:paraId="2B2B950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sz w:val="21"/>
                      <w:szCs w:val="21"/>
                      <w:u w:val="none"/>
                      <w:lang w:val="en-US" w:eastAsia="zh-CN"/>
                    </w:rPr>
                    <w:t>序号</w:t>
                  </w:r>
                </w:p>
              </w:tc>
              <w:tc>
                <w:tcPr>
                  <w:tcW w:w="1335" w:type="pct"/>
                  <w:tcBorders>
                    <w:tl2br w:val="nil"/>
                    <w:tr2bl w:val="nil"/>
                  </w:tcBorders>
                  <w:noWrap/>
                  <w:vAlign w:val="center"/>
                </w:tcPr>
                <w:p w14:paraId="66246F9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sz w:val="21"/>
                      <w:szCs w:val="21"/>
                      <w:u w:val="none"/>
                      <w:lang w:val="en-US" w:eastAsia="zh-CN"/>
                    </w:rPr>
                    <w:t>被跨越物</w:t>
                  </w:r>
                </w:p>
              </w:tc>
              <w:tc>
                <w:tcPr>
                  <w:tcW w:w="595" w:type="pct"/>
                  <w:tcBorders>
                    <w:tl2br w:val="nil"/>
                    <w:tr2bl w:val="nil"/>
                  </w:tcBorders>
                  <w:noWrap/>
                  <w:vAlign w:val="center"/>
                </w:tcPr>
                <w:p w14:paraId="6743075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sz w:val="21"/>
                      <w:szCs w:val="21"/>
                      <w:u w:val="none"/>
                      <w:lang w:val="en-US" w:eastAsia="zh-CN"/>
                    </w:rPr>
                    <w:t>穿跨情况</w:t>
                  </w:r>
                </w:p>
              </w:tc>
              <w:tc>
                <w:tcPr>
                  <w:tcW w:w="1167" w:type="pct"/>
                  <w:tcBorders>
                    <w:tl2br w:val="nil"/>
                    <w:tr2bl w:val="nil"/>
                  </w:tcBorders>
                  <w:noWrap/>
                  <w:vAlign w:val="center"/>
                </w:tcPr>
                <w:p w14:paraId="560246D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sz w:val="21"/>
                      <w:szCs w:val="21"/>
                      <w:u w:val="none"/>
                      <w:lang w:val="en-US" w:eastAsia="zh-CN"/>
                    </w:rPr>
                    <w:t>被跨越区段</w:t>
                  </w:r>
                </w:p>
              </w:tc>
              <w:tc>
                <w:tcPr>
                  <w:tcW w:w="866" w:type="pct"/>
                  <w:tcBorders>
                    <w:tl2br w:val="nil"/>
                    <w:tr2bl w:val="nil"/>
                  </w:tcBorders>
                  <w:noWrap/>
                  <w:vAlign w:val="center"/>
                </w:tcPr>
                <w:p w14:paraId="5F42A85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sz w:val="21"/>
                      <w:szCs w:val="21"/>
                      <w:u w:val="none"/>
                      <w:lang w:val="en-US" w:eastAsia="zh-CN"/>
                    </w:rPr>
                    <w:t>本工程线路区段</w:t>
                  </w:r>
                </w:p>
              </w:tc>
              <w:tc>
                <w:tcPr>
                  <w:tcW w:w="670" w:type="pct"/>
                  <w:tcBorders>
                    <w:tl2br w:val="nil"/>
                    <w:tr2bl w:val="nil"/>
                  </w:tcBorders>
                  <w:noWrap/>
                  <w:vAlign w:val="center"/>
                </w:tcPr>
                <w:p w14:paraId="6EAA941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sz w:val="21"/>
                      <w:szCs w:val="21"/>
                      <w:u w:val="none"/>
                      <w:lang w:val="en-US" w:eastAsia="zh-CN"/>
                    </w:rPr>
                    <w:t>跨越方案</w:t>
                  </w:r>
                </w:p>
              </w:tc>
            </w:tr>
            <w:tr w14:paraId="10F8DA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4" w:type="pct"/>
                  <w:tcBorders>
                    <w:tl2br w:val="nil"/>
                    <w:tr2bl w:val="nil"/>
                  </w:tcBorders>
                  <w:noWrap/>
                  <w:vAlign w:val="center"/>
                </w:tcPr>
                <w:p w14:paraId="6E82F5F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1</w:t>
                  </w:r>
                </w:p>
              </w:tc>
              <w:tc>
                <w:tcPr>
                  <w:tcW w:w="1335" w:type="pct"/>
                  <w:tcBorders>
                    <w:tl2br w:val="nil"/>
                    <w:tr2bl w:val="nil"/>
                  </w:tcBorders>
                  <w:noWrap/>
                  <w:vAlign w:val="center"/>
                </w:tcPr>
                <w:p w14:paraId="2C67E40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500kV铜水甲线</w:t>
                  </w:r>
                </w:p>
              </w:tc>
              <w:tc>
                <w:tcPr>
                  <w:tcW w:w="595" w:type="pct"/>
                  <w:tcBorders>
                    <w:tl2br w:val="nil"/>
                    <w:tr2bl w:val="nil"/>
                  </w:tcBorders>
                  <w:noWrap/>
                  <w:vAlign w:val="center"/>
                </w:tcPr>
                <w:p w14:paraId="21D3FC9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穿越</w:t>
                  </w:r>
                </w:p>
              </w:tc>
              <w:tc>
                <w:tcPr>
                  <w:tcW w:w="1167" w:type="pct"/>
                  <w:tcBorders>
                    <w:tl2br w:val="nil"/>
                    <w:tr2bl w:val="nil"/>
                  </w:tcBorders>
                  <w:noWrap/>
                  <w:vAlign w:val="center"/>
                </w:tcPr>
                <w:p w14:paraId="6DB515A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#123~#124</w:t>
                  </w:r>
                </w:p>
              </w:tc>
              <w:tc>
                <w:tcPr>
                  <w:tcW w:w="866" w:type="pct"/>
                  <w:tcBorders>
                    <w:tl2br w:val="nil"/>
                    <w:tr2bl w:val="nil"/>
                  </w:tcBorders>
                  <w:noWrap/>
                  <w:vAlign w:val="center"/>
                </w:tcPr>
                <w:p w14:paraId="07A152D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N29~N30</w:t>
                  </w:r>
                </w:p>
              </w:tc>
              <w:tc>
                <w:tcPr>
                  <w:tcW w:w="670" w:type="pct"/>
                  <w:tcBorders>
                    <w:tl2br w:val="nil"/>
                    <w:tr2bl w:val="nil"/>
                  </w:tcBorders>
                  <w:noWrap/>
                  <w:vAlign w:val="center"/>
                </w:tcPr>
                <w:p w14:paraId="2A19B28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带电穿越</w:t>
                  </w:r>
                </w:p>
              </w:tc>
            </w:tr>
            <w:tr w14:paraId="45B364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4" w:type="pct"/>
                  <w:tcBorders>
                    <w:tl2br w:val="nil"/>
                    <w:tr2bl w:val="nil"/>
                  </w:tcBorders>
                  <w:noWrap/>
                  <w:vAlign w:val="center"/>
                </w:tcPr>
                <w:p w14:paraId="54919D4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2</w:t>
                  </w:r>
                </w:p>
              </w:tc>
              <w:tc>
                <w:tcPr>
                  <w:tcW w:w="1335" w:type="pct"/>
                  <w:tcBorders>
                    <w:tl2br w:val="nil"/>
                    <w:tr2bl w:val="nil"/>
                  </w:tcBorders>
                  <w:noWrap/>
                  <w:vAlign w:val="center"/>
                </w:tcPr>
                <w:p w14:paraId="72A736E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35kV无名线</w:t>
                  </w:r>
                </w:p>
              </w:tc>
              <w:tc>
                <w:tcPr>
                  <w:tcW w:w="595" w:type="pct"/>
                  <w:tcBorders>
                    <w:tl2br w:val="nil"/>
                    <w:tr2bl w:val="nil"/>
                  </w:tcBorders>
                  <w:noWrap/>
                  <w:vAlign w:val="center"/>
                </w:tcPr>
                <w:p w14:paraId="271E966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穿越</w:t>
                  </w:r>
                </w:p>
              </w:tc>
              <w:tc>
                <w:tcPr>
                  <w:tcW w:w="1167" w:type="pct"/>
                  <w:tcBorders>
                    <w:tl2br w:val="nil"/>
                    <w:tr2bl w:val="nil"/>
                  </w:tcBorders>
                  <w:noWrap/>
                  <w:vAlign w:val="center"/>
                </w:tcPr>
                <w:p w14:paraId="669A135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无杆号（跨越2次）</w:t>
                  </w:r>
                </w:p>
              </w:tc>
              <w:tc>
                <w:tcPr>
                  <w:tcW w:w="866" w:type="pct"/>
                  <w:tcBorders>
                    <w:tl2br w:val="nil"/>
                    <w:tr2bl w:val="nil"/>
                  </w:tcBorders>
                  <w:noWrap/>
                  <w:vAlign w:val="center"/>
                </w:tcPr>
                <w:p w14:paraId="78CC406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N20~N21</w:t>
                  </w:r>
                </w:p>
              </w:tc>
              <w:tc>
                <w:tcPr>
                  <w:tcW w:w="670" w:type="pct"/>
                  <w:tcBorders>
                    <w:tl2br w:val="nil"/>
                    <w:tr2bl w:val="nil"/>
                  </w:tcBorders>
                  <w:noWrap/>
                  <w:vAlign w:val="center"/>
                </w:tcPr>
                <w:p w14:paraId="0E2D906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带电穿越</w:t>
                  </w:r>
                </w:p>
              </w:tc>
            </w:tr>
            <w:tr w14:paraId="55F865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4" w:type="pct"/>
                  <w:tcBorders>
                    <w:tl2br w:val="nil"/>
                    <w:tr2bl w:val="nil"/>
                  </w:tcBorders>
                  <w:noWrap/>
                  <w:vAlign w:val="center"/>
                </w:tcPr>
                <w:p w14:paraId="4C74DC5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3</w:t>
                  </w:r>
                </w:p>
              </w:tc>
              <w:tc>
                <w:tcPr>
                  <w:tcW w:w="1335" w:type="pct"/>
                  <w:tcBorders>
                    <w:tl2br w:val="nil"/>
                    <w:tr2bl w:val="nil"/>
                  </w:tcBorders>
                  <w:noWrap/>
                  <w:vAlign w:val="center"/>
                </w:tcPr>
                <w:p w14:paraId="3D4665D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35kV集线路回线</w:t>
                  </w:r>
                </w:p>
              </w:tc>
              <w:tc>
                <w:tcPr>
                  <w:tcW w:w="595" w:type="pct"/>
                  <w:tcBorders>
                    <w:tl2br w:val="nil"/>
                    <w:tr2bl w:val="nil"/>
                  </w:tcBorders>
                  <w:noWrap/>
                  <w:vAlign w:val="center"/>
                </w:tcPr>
                <w:p w14:paraId="5C18BB9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穿越</w:t>
                  </w:r>
                </w:p>
              </w:tc>
              <w:tc>
                <w:tcPr>
                  <w:tcW w:w="1167" w:type="pct"/>
                  <w:tcBorders>
                    <w:tl2br w:val="nil"/>
                    <w:tr2bl w:val="nil"/>
                  </w:tcBorders>
                  <w:noWrap/>
                  <w:vAlign w:val="center"/>
                </w:tcPr>
                <w:p w14:paraId="3375DB5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无杆号</w:t>
                  </w:r>
                </w:p>
              </w:tc>
              <w:tc>
                <w:tcPr>
                  <w:tcW w:w="866" w:type="pct"/>
                  <w:tcBorders>
                    <w:tl2br w:val="nil"/>
                    <w:tr2bl w:val="nil"/>
                  </w:tcBorders>
                  <w:noWrap/>
                  <w:vAlign w:val="center"/>
                </w:tcPr>
                <w:p w14:paraId="68C0F40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N25~N26</w:t>
                  </w:r>
                </w:p>
              </w:tc>
              <w:tc>
                <w:tcPr>
                  <w:tcW w:w="670" w:type="pct"/>
                  <w:tcBorders>
                    <w:tl2br w:val="nil"/>
                    <w:tr2bl w:val="nil"/>
                  </w:tcBorders>
                  <w:noWrap/>
                  <w:vAlign w:val="center"/>
                </w:tcPr>
                <w:p w14:paraId="5D48600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停电跨越</w:t>
                  </w:r>
                </w:p>
              </w:tc>
            </w:tr>
            <w:tr w14:paraId="09FA44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4" w:type="pct"/>
                  <w:tcBorders>
                    <w:tl2br w:val="nil"/>
                    <w:tr2bl w:val="nil"/>
                  </w:tcBorders>
                  <w:noWrap/>
                  <w:vAlign w:val="center"/>
                </w:tcPr>
                <w:p w14:paraId="68F9173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4</w:t>
                  </w:r>
                </w:p>
              </w:tc>
              <w:tc>
                <w:tcPr>
                  <w:tcW w:w="1335" w:type="pct"/>
                  <w:tcBorders>
                    <w:tl2br w:val="nil"/>
                    <w:tr2bl w:val="nil"/>
                  </w:tcBorders>
                  <w:noWrap/>
                  <w:vAlign w:val="center"/>
                </w:tcPr>
                <w:p w14:paraId="22362C6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35kV无名线</w:t>
                  </w:r>
                </w:p>
              </w:tc>
              <w:tc>
                <w:tcPr>
                  <w:tcW w:w="595" w:type="pct"/>
                  <w:tcBorders>
                    <w:tl2br w:val="nil"/>
                    <w:tr2bl w:val="nil"/>
                  </w:tcBorders>
                  <w:noWrap/>
                  <w:vAlign w:val="center"/>
                </w:tcPr>
                <w:p w14:paraId="159E95E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穿越</w:t>
                  </w:r>
                </w:p>
              </w:tc>
              <w:tc>
                <w:tcPr>
                  <w:tcW w:w="1167" w:type="pct"/>
                  <w:tcBorders>
                    <w:tl2br w:val="nil"/>
                    <w:tr2bl w:val="nil"/>
                  </w:tcBorders>
                  <w:noWrap/>
                  <w:vAlign w:val="center"/>
                </w:tcPr>
                <w:p w14:paraId="301E9A9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无杆号</w:t>
                  </w:r>
                </w:p>
              </w:tc>
              <w:tc>
                <w:tcPr>
                  <w:tcW w:w="866" w:type="pct"/>
                  <w:tcBorders>
                    <w:tl2br w:val="nil"/>
                    <w:tr2bl w:val="nil"/>
                  </w:tcBorders>
                  <w:noWrap/>
                  <w:vAlign w:val="center"/>
                </w:tcPr>
                <w:p w14:paraId="072D2DF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N38~N39</w:t>
                  </w:r>
                </w:p>
              </w:tc>
              <w:tc>
                <w:tcPr>
                  <w:tcW w:w="670" w:type="pct"/>
                  <w:tcBorders>
                    <w:tl2br w:val="nil"/>
                    <w:tr2bl w:val="nil"/>
                  </w:tcBorders>
                  <w:noWrap/>
                  <w:vAlign w:val="center"/>
                </w:tcPr>
                <w:p w14:paraId="648E7F4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停电跨越</w:t>
                  </w:r>
                </w:p>
              </w:tc>
            </w:tr>
            <w:tr w14:paraId="4C1C8B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4" w:type="pct"/>
                  <w:tcBorders>
                    <w:tl2br w:val="nil"/>
                    <w:tr2bl w:val="nil"/>
                  </w:tcBorders>
                  <w:noWrap/>
                  <w:vAlign w:val="center"/>
                </w:tcPr>
                <w:p w14:paraId="61DBA9D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5</w:t>
                  </w:r>
                </w:p>
              </w:tc>
              <w:tc>
                <w:tcPr>
                  <w:tcW w:w="1335" w:type="pct"/>
                  <w:tcBorders>
                    <w:tl2br w:val="nil"/>
                    <w:tr2bl w:val="nil"/>
                  </w:tcBorders>
                  <w:noWrap/>
                  <w:vAlign w:val="center"/>
                </w:tcPr>
                <w:p w14:paraId="1D683B4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10kV中寨线</w:t>
                  </w:r>
                </w:p>
              </w:tc>
              <w:tc>
                <w:tcPr>
                  <w:tcW w:w="595" w:type="pct"/>
                  <w:tcBorders>
                    <w:tl2br w:val="nil"/>
                    <w:tr2bl w:val="nil"/>
                  </w:tcBorders>
                  <w:noWrap/>
                  <w:vAlign w:val="center"/>
                </w:tcPr>
                <w:p w14:paraId="5C6677B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穿越</w:t>
                  </w:r>
                </w:p>
              </w:tc>
              <w:tc>
                <w:tcPr>
                  <w:tcW w:w="1167" w:type="pct"/>
                  <w:tcBorders>
                    <w:tl2br w:val="nil"/>
                    <w:tr2bl w:val="nil"/>
                  </w:tcBorders>
                  <w:noWrap/>
                  <w:vAlign w:val="center"/>
                </w:tcPr>
                <w:p w14:paraId="383CA33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#51~#52</w:t>
                  </w:r>
                </w:p>
              </w:tc>
              <w:tc>
                <w:tcPr>
                  <w:tcW w:w="866" w:type="pct"/>
                  <w:tcBorders>
                    <w:tl2br w:val="nil"/>
                    <w:tr2bl w:val="nil"/>
                  </w:tcBorders>
                  <w:noWrap/>
                  <w:vAlign w:val="center"/>
                </w:tcPr>
                <w:p w14:paraId="3EF17ED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N10~N11</w:t>
                  </w:r>
                </w:p>
              </w:tc>
              <w:tc>
                <w:tcPr>
                  <w:tcW w:w="670" w:type="pct"/>
                  <w:tcBorders>
                    <w:tl2br w:val="nil"/>
                    <w:tr2bl w:val="nil"/>
                  </w:tcBorders>
                  <w:noWrap/>
                  <w:vAlign w:val="center"/>
                </w:tcPr>
                <w:p w14:paraId="2C16FA8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封网跨越</w:t>
                  </w:r>
                </w:p>
              </w:tc>
            </w:tr>
            <w:tr w14:paraId="443347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4" w:type="pct"/>
                  <w:tcBorders>
                    <w:tl2br w:val="nil"/>
                    <w:tr2bl w:val="nil"/>
                  </w:tcBorders>
                  <w:noWrap/>
                  <w:vAlign w:val="center"/>
                </w:tcPr>
                <w:p w14:paraId="58CB391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6</w:t>
                  </w:r>
                </w:p>
              </w:tc>
              <w:tc>
                <w:tcPr>
                  <w:tcW w:w="1335" w:type="pct"/>
                  <w:tcBorders>
                    <w:tl2br w:val="nil"/>
                    <w:tr2bl w:val="nil"/>
                  </w:tcBorders>
                  <w:noWrap/>
                  <w:vAlign w:val="center"/>
                </w:tcPr>
                <w:p w14:paraId="4EBCFC3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10kV鲁珠线康家管支线</w:t>
                  </w:r>
                </w:p>
              </w:tc>
              <w:tc>
                <w:tcPr>
                  <w:tcW w:w="595" w:type="pct"/>
                  <w:tcBorders>
                    <w:tl2br w:val="nil"/>
                    <w:tr2bl w:val="nil"/>
                  </w:tcBorders>
                  <w:noWrap/>
                  <w:vAlign w:val="center"/>
                </w:tcPr>
                <w:p w14:paraId="0D69205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穿越</w:t>
                  </w:r>
                </w:p>
              </w:tc>
              <w:tc>
                <w:tcPr>
                  <w:tcW w:w="1167" w:type="pct"/>
                  <w:tcBorders>
                    <w:tl2br w:val="nil"/>
                    <w:tr2bl w:val="nil"/>
                  </w:tcBorders>
                  <w:noWrap/>
                  <w:vAlign w:val="center"/>
                </w:tcPr>
                <w:p w14:paraId="31C9CEA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#8~#9</w:t>
                  </w:r>
                </w:p>
              </w:tc>
              <w:tc>
                <w:tcPr>
                  <w:tcW w:w="866" w:type="pct"/>
                  <w:tcBorders>
                    <w:tl2br w:val="nil"/>
                    <w:tr2bl w:val="nil"/>
                  </w:tcBorders>
                  <w:noWrap/>
                  <w:vAlign w:val="center"/>
                </w:tcPr>
                <w:p w14:paraId="5406E31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N28~N29</w:t>
                  </w:r>
                </w:p>
              </w:tc>
              <w:tc>
                <w:tcPr>
                  <w:tcW w:w="670" w:type="pct"/>
                  <w:tcBorders>
                    <w:tl2br w:val="nil"/>
                    <w:tr2bl w:val="nil"/>
                  </w:tcBorders>
                  <w:noWrap/>
                  <w:vAlign w:val="center"/>
                </w:tcPr>
                <w:p w14:paraId="4D6D83A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封网跨越</w:t>
                  </w:r>
                </w:p>
              </w:tc>
            </w:tr>
            <w:tr w14:paraId="2BD038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4" w:type="pct"/>
                  <w:tcBorders>
                    <w:tl2br w:val="nil"/>
                    <w:tr2bl w:val="nil"/>
                  </w:tcBorders>
                  <w:noWrap/>
                  <w:vAlign w:val="center"/>
                </w:tcPr>
                <w:p w14:paraId="72DE272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sz w:val="21"/>
                      <w:szCs w:val="21"/>
                      <w:u w:val="none"/>
                      <w:lang w:val="en-US" w:eastAsia="zh-CN"/>
                    </w:rPr>
                    <w:t>7</w:t>
                  </w:r>
                </w:p>
              </w:tc>
              <w:tc>
                <w:tcPr>
                  <w:tcW w:w="1335" w:type="pct"/>
                  <w:tcBorders>
                    <w:tl2br w:val="nil"/>
                    <w:tr2bl w:val="nil"/>
                  </w:tcBorders>
                  <w:noWrap/>
                  <w:vAlign w:val="center"/>
                </w:tcPr>
                <w:p w14:paraId="1C0238F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10kV鲁珠线冷水沟支线</w:t>
                  </w:r>
                </w:p>
              </w:tc>
              <w:tc>
                <w:tcPr>
                  <w:tcW w:w="595" w:type="pct"/>
                  <w:tcBorders>
                    <w:tl2br w:val="nil"/>
                    <w:tr2bl w:val="nil"/>
                  </w:tcBorders>
                  <w:noWrap/>
                  <w:vAlign w:val="center"/>
                </w:tcPr>
                <w:p w14:paraId="3D1DE59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穿越</w:t>
                  </w:r>
                </w:p>
              </w:tc>
              <w:tc>
                <w:tcPr>
                  <w:tcW w:w="1167" w:type="pct"/>
                  <w:tcBorders>
                    <w:tl2br w:val="nil"/>
                    <w:tr2bl w:val="nil"/>
                  </w:tcBorders>
                  <w:noWrap/>
                  <w:vAlign w:val="center"/>
                </w:tcPr>
                <w:p w14:paraId="79FA592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#15~#16</w:t>
                  </w:r>
                </w:p>
              </w:tc>
              <w:tc>
                <w:tcPr>
                  <w:tcW w:w="866" w:type="pct"/>
                  <w:tcBorders>
                    <w:tl2br w:val="nil"/>
                    <w:tr2bl w:val="nil"/>
                  </w:tcBorders>
                  <w:noWrap/>
                  <w:vAlign w:val="center"/>
                </w:tcPr>
                <w:p w14:paraId="5DDA42B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N35~N36</w:t>
                  </w:r>
                </w:p>
              </w:tc>
              <w:tc>
                <w:tcPr>
                  <w:tcW w:w="670" w:type="pct"/>
                  <w:tcBorders>
                    <w:tl2br w:val="nil"/>
                    <w:tr2bl w:val="nil"/>
                  </w:tcBorders>
                  <w:noWrap/>
                  <w:vAlign w:val="center"/>
                </w:tcPr>
                <w:p w14:paraId="31B18FF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封网跨越</w:t>
                  </w:r>
                </w:p>
              </w:tc>
            </w:tr>
            <w:tr w14:paraId="0E58A9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4" w:type="pct"/>
                  <w:tcBorders>
                    <w:tl2br w:val="nil"/>
                    <w:tr2bl w:val="nil"/>
                  </w:tcBorders>
                  <w:noWrap/>
                  <w:vAlign w:val="center"/>
                </w:tcPr>
                <w:p w14:paraId="1413DD6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sz w:val="21"/>
                      <w:szCs w:val="21"/>
                      <w:u w:val="none"/>
                      <w:lang w:val="en-US" w:eastAsia="zh-CN"/>
                    </w:rPr>
                    <w:t>8</w:t>
                  </w:r>
                </w:p>
              </w:tc>
              <w:tc>
                <w:tcPr>
                  <w:tcW w:w="1335" w:type="pct"/>
                  <w:tcBorders>
                    <w:tl2br w:val="nil"/>
                    <w:tr2bl w:val="nil"/>
                  </w:tcBorders>
                  <w:noWrap/>
                  <w:vAlign w:val="center"/>
                </w:tcPr>
                <w:p w14:paraId="0A3FCA4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低压线</w:t>
                  </w:r>
                </w:p>
              </w:tc>
              <w:tc>
                <w:tcPr>
                  <w:tcW w:w="595" w:type="pct"/>
                  <w:tcBorders>
                    <w:tl2br w:val="nil"/>
                    <w:tr2bl w:val="nil"/>
                  </w:tcBorders>
                  <w:noWrap/>
                  <w:vAlign w:val="center"/>
                </w:tcPr>
                <w:p w14:paraId="3B8CB02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跨越</w:t>
                  </w:r>
                </w:p>
              </w:tc>
              <w:tc>
                <w:tcPr>
                  <w:tcW w:w="1167" w:type="pct"/>
                  <w:tcBorders>
                    <w:tl2br w:val="nil"/>
                    <w:tr2bl w:val="nil"/>
                  </w:tcBorders>
                  <w:noWrap/>
                  <w:vAlign w:val="center"/>
                </w:tcPr>
                <w:p w14:paraId="623202D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#5.1~#5.2</w:t>
                  </w:r>
                </w:p>
              </w:tc>
              <w:tc>
                <w:tcPr>
                  <w:tcW w:w="866" w:type="pct"/>
                  <w:tcBorders>
                    <w:tl2br w:val="nil"/>
                    <w:tr2bl w:val="nil"/>
                  </w:tcBorders>
                  <w:noWrap/>
                  <w:vAlign w:val="center"/>
                </w:tcPr>
                <w:p w14:paraId="5F6F931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N10~N11</w:t>
                  </w:r>
                </w:p>
              </w:tc>
              <w:tc>
                <w:tcPr>
                  <w:tcW w:w="670" w:type="pct"/>
                  <w:tcBorders>
                    <w:tl2br w:val="nil"/>
                    <w:tr2bl w:val="nil"/>
                  </w:tcBorders>
                  <w:noWrap/>
                  <w:vAlign w:val="center"/>
                </w:tcPr>
                <w:p w14:paraId="57A25FB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封网跨越</w:t>
                  </w:r>
                </w:p>
              </w:tc>
            </w:tr>
            <w:tr w14:paraId="190CC1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4" w:type="pct"/>
                  <w:tcBorders>
                    <w:tl2br w:val="nil"/>
                    <w:tr2bl w:val="nil"/>
                  </w:tcBorders>
                  <w:noWrap/>
                  <w:vAlign w:val="center"/>
                </w:tcPr>
                <w:p w14:paraId="75C0D9C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sz w:val="21"/>
                      <w:szCs w:val="21"/>
                      <w:u w:val="none"/>
                      <w:lang w:val="en-US" w:eastAsia="zh-CN"/>
                    </w:rPr>
                    <w:t>9</w:t>
                  </w:r>
                </w:p>
              </w:tc>
              <w:tc>
                <w:tcPr>
                  <w:tcW w:w="1335" w:type="pct"/>
                  <w:tcBorders>
                    <w:tl2br w:val="nil"/>
                    <w:tr2bl w:val="nil"/>
                  </w:tcBorders>
                  <w:noWrap/>
                  <w:vAlign w:val="center"/>
                </w:tcPr>
                <w:p w14:paraId="370F1CA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低压线</w:t>
                  </w:r>
                </w:p>
              </w:tc>
              <w:tc>
                <w:tcPr>
                  <w:tcW w:w="595" w:type="pct"/>
                  <w:tcBorders>
                    <w:tl2br w:val="nil"/>
                    <w:tr2bl w:val="nil"/>
                  </w:tcBorders>
                  <w:noWrap/>
                  <w:vAlign w:val="center"/>
                </w:tcPr>
                <w:p w14:paraId="6244F47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跨越</w:t>
                  </w:r>
                </w:p>
              </w:tc>
              <w:tc>
                <w:tcPr>
                  <w:tcW w:w="1167" w:type="pct"/>
                  <w:tcBorders>
                    <w:tl2br w:val="nil"/>
                    <w:tr2bl w:val="nil"/>
                  </w:tcBorders>
                  <w:noWrap/>
                  <w:vAlign w:val="center"/>
                </w:tcPr>
                <w:p w14:paraId="1F85D93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无杆号</w:t>
                  </w:r>
                </w:p>
              </w:tc>
              <w:tc>
                <w:tcPr>
                  <w:tcW w:w="866" w:type="pct"/>
                  <w:tcBorders>
                    <w:tl2br w:val="nil"/>
                    <w:tr2bl w:val="nil"/>
                  </w:tcBorders>
                  <w:noWrap/>
                  <w:vAlign w:val="center"/>
                </w:tcPr>
                <w:p w14:paraId="57173C1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N15~N16</w:t>
                  </w:r>
                </w:p>
              </w:tc>
              <w:tc>
                <w:tcPr>
                  <w:tcW w:w="670" w:type="pct"/>
                  <w:tcBorders>
                    <w:tl2br w:val="nil"/>
                    <w:tr2bl w:val="nil"/>
                  </w:tcBorders>
                  <w:noWrap/>
                  <w:vAlign w:val="center"/>
                </w:tcPr>
                <w:p w14:paraId="0797C72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封网跨越</w:t>
                  </w:r>
                </w:p>
              </w:tc>
            </w:tr>
            <w:tr w14:paraId="170F51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4" w:type="pct"/>
                  <w:tcBorders>
                    <w:tl2br w:val="nil"/>
                    <w:tr2bl w:val="nil"/>
                  </w:tcBorders>
                  <w:noWrap/>
                  <w:vAlign w:val="center"/>
                </w:tcPr>
                <w:p w14:paraId="4EF42B7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sz w:val="21"/>
                      <w:szCs w:val="21"/>
                      <w:u w:val="none"/>
                      <w:lang w:val="en-US" w:eastAsia="zh-CN"/>
                    </w:rPr>
                    <w:t>10</w:t>
                  </w:r>
                </w:p>
              </w:tc>
              <w:tc>
                <w:tcPr>
                  <w:tcW w:w="1335" w:type="pct"/>
                  <w:tcBorders>
                    <w:tl2br w:val="nil"/>
                    <w:tr2bl w:val="nil"/>
                  </w:tcBorders>
                  <w:noWrap/>
                  <w:vAlign w:val="center"/>
                </w:tcPr>
                <w:p w14:paraId="3EFEB9C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低压线</w:t>
                  </w:r>
                </w:p>
              </w:tc>
              <w:tc>
                <w:tcPr>
                  <w:tcW w:w="595" w:type="pct"/>
                  <w:tcBorders>
                    <w:tl2br w:val="nil"/>
                    <w:tr2bl w:val="nil"/>
                  </w:tcBorders>
                  <w:noWrap/>
                  <w:vAlign w:val="center"/>
                </w:tcPr>
                <w:p w14:paraId="182F3CF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跨越</w:t>
                  </w:r>
                </w:p>
              </w:tc>
              <w:tc>
                <w:tcPr>
                  <w:tcW w:w="1167" w:type="pct"/>
                  <w:tcBorders>
                    <w:tl2br w:val="nil"/>
                    <w:tr2bl w:val="nil"/>
                  </w:tcBorders>
                  <w:noWrap/>
                  <w:vAlign w:val="center"/>
                </w:tcPr>
                <w:p w14:paraId="3874F35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无杆号</w:t>
                  </w:r>
                </w:p>
              </w:tc>
              <w:tc>
                <w:tcPr>
                  <w:tcW w:w="866" w:type="pct"/>
                  <w:tcBorders>
                    <w:tl2br w:val="nil"/>
                    <w:tr2bl w:val="nil"/>
                  </w:tcBorders>
                  <w:noWrap/>
                  <w:vAlign w:val="center"/>
                </w:tcPr>
                <w:p w14:paraId="4BAC7A5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N19~N20</w:t>
                  </w:r>
                </w:p>
              </w:tc>
              <w:tc>
                <w:tcPr>
                  <w:tcW w:w="670" w:type="pct"/>
                  <w:tcBorders>
                    <w:tl2br w:val="nil"/>
                    <w:tr2bl w:val="nil"/>
                  </w:tcBorders>
                  <w:noWrap/>
                  <w:vAlign w:val="center"/>
                </w:tcPr>
                <w:p w14:paraId="5A285B9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封网跨越</w:t>
                  </w:r>
                </w:p>
              </w:tc>
            </w:tr>
            <w:tr w14:paraId="23C58A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4" w:type="pct"/>
                  <w:tcBorders>
                    <w:tl2br w:val="nil"/>
                    <w:tr2bl w:val="nil"/>
                  </w:tcBorders>
                  <w:noWrap/>
                  <w:vAlign w:val="center"/>
                </w:tcPr>
                <w:p w14:paraId="7F22FF6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11</w:t>
                  </w:r>
                </w:p>
              </w:tc>
              <w:tc>
                <w:tcPr>
                  <w:tcW w:w="1335" w:type="pct"/>
                  <w:tcBorders>
                    <w:tl2br w:val="nil"/>
                    <w:tr2bl w:val="nil"/>
                  </w:tcBorders>
                  <w:noWrap/>
                  <w:vAlign w:val="center"/>
                </w:tcPr>
                <w:p w14:paraId="5479C0F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低压线</w:t>
                  </w:r>
                </w:p>
              </w:tc>
              <w:tc>
                <w:tcPr>
                  <w:tcW w:w="595" w:type="pct"/>
                  <w:tcBorders>
                    <w:tl2br w:val="nil"/>
                    <w:tr2bl w:val="nil"/>
                  </w:tcBorders>
                  <w:noWrap/>
                  <w:vAlign w:val="center"/>
                </w:tcPr>
                <w:p w14:paraId="411289B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跨越</w:t>
                  </w:r>
                </w:p>
              </w:tc>
              <w:tc>
                <w:tcPr>
                  <w:tcW w:w="1167" w:type="pct"/>
                  <w:tcBorders>
                    <w:tl2br w:val="nil"/>
                    <w:tr2bl w:val="nil"/>
                  </w:tcBorders>
                  <w:noWrap/>
                  <w:vAlign w:val="center"/>
                </w:tcPr>
                <w:p w14:paraId="29E0610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无杆号</w:t>
                  </w:r>
                </w:p>
              </w:tc>
              <w:tc>
                <w:tcPr>
                  <w:tcW w:w="866" w:type="pct"/>
                  <w:tcBorders>
                    <w:tl2br w:val="nil"/>
                    <w:tr2bl w:val="nil"/>
                  </w:tcBorders>
                  <w:noWrap/>
                  <w:vAlign w:val="center"/>
                </w:tcPr>
                <w:p w14:paraId="32DED36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N34~N35</w:t>
                  </w:r>
                </w:p>
              </w:tc>
              <w:tc>
                <w:tcPr>
                  <w:tcW w:w="670" w:type="pct"/>
                  <w:tcBorders>
                    <w:tl2br w:val="nil"/>
                    <w:tr2bl w:val="nil"/>
                  </w:tcBorders>
                  <w:noWrap/>
                  <w:vAlign w:val="center"/>
                </w:tcPr>
                <w:p w14:paraId="154A853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封网跨越</w:t>
                  </w:r>
                </w:p>
              </w:tc>
            </w:tr>
          </w:tbl>
          <w:p w14:paraId="02B483A8">
            <w:pPr>
              <w:adjustRightInd w:val="0"/>
              <w:snapToGrid w:val="0"/>
              <w:spacing w:line="440" w:lineRule="exact"/>
              <w:ind w:firstLine="480" w:firstLineChars="200"/>
              <w:rPr>
                <w:color w:val="auto"/>
                <w:sz w:val="24"/>
              </w:rPr>
            </w:pPr>
            <w:r>
              <w:rPr>
                <w:color w:val="auto"/>
                <w:sz w:val="24"/>
              </w:rPr>
              <w:t>根据《110～750kV架空输电线路设计规范》（GB50545-2010）规定，项目导线对地面及建筑物的距离，在最大弧垂和最大风偏时，应不小于下表所列数值：</w:t>
            </w:r>
          </w:p>
          <w:p w14:paraId="3735E523">
            <w:pPr>
              <w:spacing w:line="240" w:lineRule="auto"/>
              <w:jc w:val="center"/>
              <w:rPr>
                <w:b/>
                <w:bCs/>
                <w:color w:val="auto"/>
                <w:sz w:val="24"/>
              </w:rPr>
            </w:pPr>
            <w:r>
              <w:rPr>
                <w:b/>
                <w:bCs/>
                <w:color w:val="auto"/>
                <w:sz w:val="24"/>
              </w:rPr>
              <w:t>表2-</w:t>
            </w:r>
            <w:r>
              <w:rPr>
                <w:rFonts w:hint="eastAsia"/>
                <w:b/>
                <w:bCs/>
                <w:color w:val="auto"/>
                <w:sz w:val="24"/>
                <w:lang w:val="en-US" w:eastAsia="zh-CN"/>
              </w:rPr>
              <w:t>8</w:t>
            </w:r>
            <w:r>
              <w:rPr>
                <w:b/>
                <w:bCs/>
                <w:color w:val="auto"/>
                <w:sz w:val="24"/>
              </w:rPr>
              <w:t xml:space="preserve">  安全距离要求</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99"/>
              <w:gridCol w:w="1723"/>
              <w:gridCol w:w="1897"/>
            </w:tblGrid>
            <w:tr w14:paraId="1ECB4B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42" w:type="pct"/>
                  <w:tcBorders>
                    <w:tl2br w:val="single" w:color="auto" w:sz="4" w:space="0"/>
                  </w:tcBorders>
                  <w:noWrap w:val="0"/>
                  <w:vAlign w:val="center"/>
                </w:tcPr>
                <w:p w14:paraId="0D4BC4F4">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 xml:space="preserve">                标称电压（kV）</w:t>
                  </w:r>
                </w:p>
                <w:p w14:paraId="0C09030A">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both"/>
                    <w:textAlignment w:val="auto"/>
                    <w:rPr>
                      <w:rFonts w:ascii="Times New Roman"/>
                      <w:color w:val="auto"/>
                      <w:sz w:val="21"/>
                      <w:szCs w:val="21"/>
                    </w:rPr>
                  </w:pPr>
                  <w:r>
                    <w:rPr>
                      <w:rFonts w:ascii="Times New Roman"/>
                      <w:color w:val="auto"/>
                      <w:sz w:val="21"/>
                      <w:szCs w:val="21"/>
                    </w:rPr>
                    <w:t>线路经过地区</w:t>
                  </w:r>
                </w:p>
              </w:tc>
              <w:tc>
                <w:tcPr>
                  <w:tcW w:w="1074" w:type="pct"/>
                  <w:noWrap w:val="0"/>
                  <w:vAlign w:val="center"/>
                </w:tcPr>
                <w:p w14:paraId="7265DFB4">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110kV</w:t>
                  </w:r>
                </w:p>
              </w:tc>
              <w:tc>
                <w:tcPr>
                  <w:tcW w:w="1182" w:type="pct"/>
                  <w:noWrap w:val="0"/>
                  <w:vAlign w:val="center"/>
                </w:tcPr>
                <w:p w14:paraId="68B4A30F">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备注</w:t>
                  </w:r>
                </w:p>
              </w:tc>
            </w:tr>
            <w:tr w14:paraId="155EA8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42" w:type="pct"/>
                  <w:noWrap w:val="0"/>
                  <w:vAlign w:val="center"/>
                </w:tcPr>
                <w:p w14:paraId="38BBBB13">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居民区（m）</w:t>
                  </w:r>
                </w:p>
              </w:tc>
              <w:tc>
                <w:tcPr>
                  <w:tcW w:w="1074" w:type="pct"/>
                  <w:noWrap w:val="0"/>
                  <w:vAlign w:val="center"/>
                </w:tcPr>
                <w:p w14:paraId="06FCA379">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7.0</w:t>
                  </w:r>
                </w:p>
              </w:tc>
              <w:tc>
                <w:tcPr>
                  <w:tcW w:w="1182" w:type="pct"/>
                  <w:noWrap w:val="0"/>
                  <w:vAlign w:val="center"/>
                </w:tcPr>
                <w:p w14:paraId="7B4D76A0">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最小垂直距离</w:t>
                  </w:r>
                </w:p>
              </w:tc>
            </w:tr>
            <w:tr w14:paraId="5005F6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42" w:type="pct"/>
                  <w:noWrap w:val="0"/>
                  <w:vAlign w:val="center"/>
                </w:tcPr>
                <w:p w14:paraId="44286F7F">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非居民区（m）</w:t>
                  </w:r>
                </w:p>
              </w:tc>
              <w:tc>
                <w:tcPr>
                  <w:tcW w:w="1074" w:type="pct"/>
                  <w:noWrap w:val="0"/>
                  <w:vAlign w:val="center"/>
                </w:tcPr>
                <w:p w14:paraId="3EC7022A">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6.0</w:t>
                  </w:r>
                </w:p>
              </w:tc>
              <w:tc>
                <w:tcPr>
                  <w:tcW w:w="1182" w:type="pct"/>
                  <w:noWrap w:val="0"/>
                  <w:vAlign w:val="center"/>
                </w:tcPr>
                <w:p w14:paraId="1B1DB620">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最小垂直距离</w:t>
                  </w:r>
                </w:p>
              </w:tc>
            </w:tr>
            <w:tr w14:paraId="41CD73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42" w:type="pct"/>
                  <w:noWrap w:val="0"/>
                  <w:vAlign w:val="center"/>
                </w:tcPr>
                <w:p w14:paraId="381F37E5">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交通困难地区（m）</w:t>
                  </w:r>
                </w:p>
              </w:tc>
              <w:tc>
                <w:tcPr>
                  <w:tcW w:w="1074" w:type="pct"/>
                  <w:noWrap w:val="0"/>
                  <w:vAlign w:val="center"/>
                </w:tcPr>
                <w:p w14:paraId="7B076D9F">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5.0</w:t>
                  </w:r>
                </w:p>
              </w:tc>
              <w:tc>
                <w:tcPr>
                  <w:tcW w:w="1182" w:type="pct"/>
                  <w:noWrap w:val="0"/>
                  <w:vAlign w:val="center"/>
                </w:tcPr>
                <w:p w14:paraId="2F900195">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最小垂直距离</w:t>
                  </w:r>
                </w:p>
              </w:tc>
            </w:tr>
            <w:tr w14:paraId="65F05D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42" w:type="pct"/>
                  <w:noWrap w:val="0"/>
                  <w:vAlign w:val="center"/>
                </w:tcPr>
                <w:p w14:paraId="14D199F3">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步行可到达的山坡（m）</w:t>
                  </w:r>
                </w:p>
              </w:tc>
              <w:tc>
                <w:tcPr>
                  <w:tcW w:w="1074" w:type="pct"/>
                  <w:noWrap w:val="0"/>
                  <w:vAlign w:val="center"/>
                </w:tcPr>
                <w:p w14:paraId="36152E3B">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5.0</w:t>
                  </w:r>
                </w:p>
              </w:tc>
              <w:tc>
                <w:tcPr>
                  <w:tcW w:w="1182" w:type="pct"/>
                  <w:noWrap w:val="0"/>
                  <w:vAlign w:val="center"/>
                </w:tcPr>
                <w:p w14:paraId="63E837B9">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最小净空距离</w:t>
                  </w:r>
                </w:p>
              </w:tc>
            </w:tr>
            <w:tr w14:paraId="0E808C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42" w:type="pct"/>
                  <w:noWrap w:val="0"/>
                  <w:vAlign w:val="center"/>
                </w:tcPr>
                <w:p w14:paraId="35E05B85">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步行不能到达的山坡、峭壁和岩石（m）</w:t>
                  </w:r>
                </w:p>
              </w:tc>
              <w:tc>
                <w:tcPr>
                  <w:tcW w:w="1074" w:type="pct"/>
                  <w:noWrap w:val="0"/>
                  <w:vAlign w:val="center"/>
                </w:tcPr>
                <w:p w14:paraId="16CC5223">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3.0</w:t>
                  </w:r>
                </w:p>
              </w:tc>
              <w:tc>
                <w:tcPr>
                  <w:tcW w:w="1182" w:type="pct"/>
                  <w:noWrap w:val="0"/>
                  <w:vAlign w:val="center"/>
                </w:tcPr>
                <w:p w14:paraId="73377A40">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最小净空距离</w:t>
                  </w:r>
                </w:p>
              </w:tc>
            </w:tr>
            <w:tr w14:paraId="516D75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2742" w:type="pct"/>
                  <w:noWrap w:val="0"/>
                  <w:vAlign w:val="center"/>
                </w:tcPr>
                <w:p w14:paraId="60D64DC3">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导线与建筑物之间的最小垂直距离（m）</w:t>
                  </w:r>
                </w:p>
              </w:tc>
              <w:tc>
                <w:tcPr>
                  <w:tcW w:w="1074" w:type="pct"/>
                  <w:noWrap w:val="0"/>
                  <w:vAlign w:val="center"/>
                </w:tcPr>
                <w:p w14:paraId="02E5D2F5">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5.0</w:t>
                  </w:r>
                </w:p>
              </w:tc>
              <w:tc>
                <w:tcPr>
                  <w:tcW w:w="1182" w:type="pct"/>
                  <w:noWrap w:val="0"/>
                  <w:vAlign w:val="center"/>
                </w:tcPr>
                <w:p w14:paraId="38865763">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最大弧垂时</w:t>
                  </w:r>
                </w:p>
              </w:tc>
            </w:tr>
            <w:tr w14:paraId="632935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42" w:type="pct"/>
                  <w:noWrap w:val="0"/>
                  <w:vAlign w:val="center"/>
                </w:tcPr>
                <w:p w14:paraId="419C9D85">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边导线与建筑物之间的最小距离（m）</w:t>
                  </w:r>
                </w:p>
              </w:tc>
              <w:tc>
                <w:tcPr>
                  <w:tcW w:w="1074" w:type="pct"/>
                  <w:noWrap w:val="0"/>
                  <w:vAlign w:val="center"/>
                </w:tcPr>
                <w:p w14:paraId="3C7771F4">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4.0</w:t>
                  </w:r>
                </w:p>
              </w:tc>
              <w:tc>
                <w:tcPr>
                  <w:tcW w:w="1182" w:type="pct"/>
                  <w:noWrap w:val="0"/>
                  <w:vAlign w:val="center"/>
                </w:tcPr>
                <w:p w14:paraId="7F1A1214">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考虑风偏后</w:t>
                  </w:r>
                </w:p>
              </w:tc>
            </w:tr>
            <w:tr w14:paraId="3C5BC4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42" w:type="pct"/>
                  <w:noWrap w:val="0"/>
                  <w:vAlign w:val="center"/>
                </w:tcPr>
                <w:p w14:paraId="12A97489">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边导线与不在规划范围城市建筑物之间的最小水平距离（m）</w:t>
                  </w:r>
                </w:p>
              </w:tc>
              <w:tc>
                <w:tcPr>
                  <w:tcW w:w="1074" w:type="pct"/>
                  <w:noWrap w:val="0"/>
                  <w:vAlign w:val="center"/>
                </w:tcPr>
                <w:p w14:paraId="1B972153">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2.0</w:t>
                  </w:r>
                </w:p>
              </w:tc>
              <w:tc>
                <w:tcPr>
                  <w:tcW w:w="1182" w:type="pct"/>
                  <w:noWrap w:val="0"/>
                  <w:vAlign w:val="center"/>
                </w:tcPr>
                <w:p w14:paraId="3E3A6CA2">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无风时</w:t>
                  </w:r>
                </w:p>
              </w:tc>
            </w:tr>
            <w:tr w14:paraId="34D402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42" w:type="pct"/>
                  <w:noWrap w:val="0"/>
                  <w:vAlign w:val="center"/>
                </w:tcPr>
                <w:p w14:paraId="0A01E05D">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导线与树木之间的垂直距离（m）</w:t>
                  </w:r>
                </w:p>
              </w:tc>
              <w:tc>
                <w:tcPr>
                  <w:tcW w:w="1074" w:type="pct"/>
                  <w:noWrap w:val="0"/>
                  <w:vAlign w:val="center"/>
                </w:tcPr>
                <w:p w14:paraId="2D191F06">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4.0</w:t>
                  </w:r>
                </w:p>
              </w:tc>
              <w:tc>
                <w:tcPr>
                  <w:tcW w:w="1182" w:type="pct"/>
                  <w:noWrap w:val="0"/>
                  <w:vAlign w:val="center"/>
                </w:tcPr>
                <w:p w14:paraId="2D6A772F">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p>
              </w:tc>
            </w:tr>
            <w:tr w14:paraId="0A934A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42" w:type="pct"/>
                  <w:noWrap w:val="0"/>
                  <w:vAlign w:val="center"/>
                </w:tcPr>
                <w:p w14:paraId="4ED793EC">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导线与树木之间的最小净空距离（m）</w:t>
                  </w:r>
                </w:p>
              </w:tc>
              <w:tc>
                <w:tcPr>
                  <w:tcW w:w="1074" w:type="pct"/>
                  <w:noWrap w:val="0"/>
                  <w:vAlign w:val="center"/>
                </w:tcPr>
                <w:p w14:paraId="58D2BAEC">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3.5</w:t>
                  </w:r>
                </w:p>
              </w:tc>
              <w:tc>
                <w:tcPr>
                  <w:tcW w:w="1182" w:type="pct"/>
                  <w:noWrap w:val="0"/>
                  <w:vAlign w:val="center"/>
                </w:tcPr>
                <w:p w14:paraId="679D2685">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最大计算风偏下</w:t>
                  </w:r>
                </w:p>
              </w:tc>
            </w:tr>
            <w:tr w14:paraId="5AD4F7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42" w:type="pct"/>
                  <w:noWrap w:val="0"/>
                  <w:vAlign w:val="center"/>
                </w:tcPr>
                <w:p w14:paraId="12EC7A4E">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导线与果树、经济作物、城市灌木及街道树之间的垂直距离（m）</w:t>
                  </w:r>
                </w:p>
              </w:tc>
              <w:tc>
                <w:tcPr>
                  <w:tcW w:w="1074" w:type="pct"/>
                  <w:noWrap w:val="0"/>
                  <w:vAlign w:val="center"/>
                </w:tcPr>
                <w:p w14:paraId="5DC27952">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3.0</w:t>
                  </w:r>
                </w:p>
              </w:tc>
              <w:tc>
                <w:tcPr>
                  <w:tcW w:w="1182" w:type="pct"/>
                  <w:noWrap w:val="0"/>
                  <w:vAlign w:val="center"/>
                </w:tcPr>
                <w:p w14:paraId="6E13AB11">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p>
              </w:tc>
            </w:tr>
            <w:tr w14:paraId="33AF1E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42" w:type="pct"/>
                  <w:noWrap w:val="0"/>
                  <w:vAlign w:val="center"/>
                </w:tcPr>
                <w:p w14:paraId="7B0FBF02">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送电线路与弱电线路（架空明线）的交叉角（°）</w:t>
                  </w:r>
                </w:p>
              </w:tc>
              <w:tc>
                <w:tcPr>
                  <w:tcW w:w="1074" w:type="pct"/>
                  <w:noWrap w:val="0"/>
                  <w:vAlign w:val="center"/>
                </w:tcPr>
                <w:p w14:paraId="26E9AEF0">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一级≥45，二级≥30，三级不限制</w:t>
                  </w:r>
                </w:p>
              </w:tc>
              <w:tc>
                <w:tcPr>
                  <w:tcW w:w="1182" w:type="pct"/>
                  <w:noWrap w:val="0"/>
                  <w:vAlign w:val="center"/>
                </w:tcPr>
                <w:p w14:paraId="7AABA6D2">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p>
              </w:tc>
            </w:tr>
            <w:tr w14:paraId="7431DC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42" w:type="pct"/>
                  <w:noWrap w:val="0"/>
                  <w:vAlign w:val="center"/>
                </w:tcPr>
                <w:p w14:paraId="6B260B00">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距边导线投影20m，无雨、无雪、无雾、0.5MHz的无线电干扰值（dB）</w:t>
                  </w:r>
                </w:p>
              </w:tc>
              <w:tc>
                <w:tcPr>
                  <w:tcW w:w="1074" w:type="pct"/>
                  <w:noWrap w:val="0"/>
                  <w:vAlign w:val="center"/>
                </w:tcPr>
                <w:p w14:paraId="11661222">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46</w:t>
                  </w:r>
                </w:p>
              </w:tc>
              <w:tc>
                <w:tcPr>
                  <w:tcW w:w="1182" w:type="pct"/>
                  <w:noWrap w:val="0"/>
                  <w:vAlign w:val="center"/>
                </w:tcPr>
                <w:p w14:paraId="0138F6F4">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p>
              </w:tc>
            </w:tr>
            <w:tr w14:paraId="012DDF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42" w:type="pct"/>
                  <w:noWrap w:val="0"/>
                  <w:vAlign w:val="center"/>
                </w:tcPr>
                <w:p w14:paraId="161837B9">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可听噪音（dB）</w:t>
                  </w:r>
                </w:p>
              </w:tc>
              <w:tc>
                <w:tcPr>
                  <w:tcW w:w="1074" w:type="pct"/>
                  <w:noWrap w:val="0"/>
                  <w:vAlign w:val="center"/>
                </w:tcPr>
                <w:p w14:paraId="26103F1C">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≤60</w:t>
                  </w:r>
                </w:p>
              </w:tc>
              <w:tc>
                <w:tcPr>
                  <w:tcW w:w="1182" w:type="pct"/>
                  <w:noWrap w:val="0"/>
                  <w:vAlign w:val="center"/>
                </w:tcPr>
                <w:p w14:paraId="74608B1A">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坏天气、线路走廊边缘下</w:t>
                  </w:r>
                </w:p>
              </w:tc>
            </w:tr>
            <w:tr w14:paraId="04FC27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42" w:type="pct"/>
                  <w:noWrap w:val="0"/>
                  <w:vAlign w:val="center"/>
                </w:tcPr>
                <w:p w14:paraId="772BB9DB">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不同回路不同相导线间的最小相间距离（m）</w:t>
                  </w:r>
                </w:p>
              </w:tc>
              <w:tc>
                <w:tcPr>
                  <w:tcW w:w="1074" w:type="pct"/>
                  <w:noWrap w:val="0"/>
                  <w:vAlign w:val="center"/>
                </w:tcPr>
                <w:p w14:paraId="3F4DBA55">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r>
                    <w:rPr>
                      <w:rFonts w:ascii="Times New Roman"/>
                      <w:color w:val="auto"/>
                      <w:sz w:val="21"/>
                      <w:szCs w:val="21"/>
                    </w:rPr>
                    <w:t>4.0</w:t>
                  </w:r>
                </w:p>
              </w:tc>
              <w:tc>
                <w:tcPr>
                  <w:tcW w:w="1182" w:type="pct"/>
                  <w:noWrap w:val="0"/>
                  <w:vAlign w:val="center"/>
                </w:tcPr>
                <w:p w14:paraId="41D48CB4">
                  <w:pPr>
                    <w:pStyle w:val="65"/>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ascii="Times New Roman"/>
                      <w:color w:val="auto"/>
                      <w:sz w:val="21"/>
                      <w:szCs w:val="21"/>
                    </w:rPr>
                  </w:pPr>
                </w:p>
              </w:tc>
            </w:tr>
            <w:tr w14:paraId="2CD39B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42" w:type="pct"/>
                  <w:noWrap w:val="0"/>
                  <w:vAlign w:val="center"/>
                </w:tcPr>
                <w:p w14:paraId="69C52BF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color w:val="auto"/>
                      <w:szCs w:val="21"/>
                    </w:rPr>
                  </w:pPr>
                  <w:r>
                    <w:rPr>
                      <w:color w:val="auto"/>
                      <w:szCs w:val="21"/>
                    </w:rPr>
                    <w:t>导线排列方式改变时的最小净空距离（m）</w:t>
                  </w:r>
                </w:p>
              </w:tc>
              <w:tc>
                <w:tcPr>
                  <w:tcW w:w="1074" w:type="pct"/>
                  <w:noWrap w:val="0"/>
                  <w:vAlign w:val="center"/>
                </w:tcPr>
                <w:p w14:paraId="5319530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color w:val="auto"/>
                      <w:szCs w:val="21"/>
                    </w:rPr>
                  </w:pPr>
                  <w:r>
                    <w:rPr>
                      <w:color w:val="auto"/>
                      <w:szCs w:val="21"/>
                    </w:rPr>
                    <w:t>2.5</w:t>
                  </w:r>
                  <w:r>
                    <w:rPr>
                      <w:rFonts w:hint="eastAsia"/>
                      <w:color w:val="auto"/>
                      <w:szCs w:val="21"/>
                      <w:lang w:eastAsia="zh-CN"/>
                    </w:rPr>
                    <w:t>~</w:t>
                  </w:r>
                  <w:r>
                    <w:rPr>
                      <w:color w:val="auto"/>
                      <w:szCs w:val="21"/>
                    </w:rPr>
                    <w:t>3.0</w:t>
                  </w:r>
                </w:p>
              </w:tc>
              <w:tc>
                <w:tcPr>
                  <w:tcW w:w="1182" w:type="pct"/>
                  <w:noWrap w:val="0"/>
                  <w:vAlign w:val="center"/>
                </w:tcPr>
                <w:p w14:paraId="6BB782A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color w:val="auto"/>
                      <w:szCs w:val="21"/>
                    </w:rPr>
                  </w:pPr>
                </w:p>
              </w:tc>
            </w:tr>
          </w:tbl>
          <w:p w14:paraId="79641BE0">
            <w:pPr>
              <w:adjustRightInd w:val="0"/>
              <w:snapToGrid w:val="0"/>
              <w:spacing w:line="440" w:lineRule="exact"/>
              <w:rPr>
                <w:b/>
                <w:bCs/>
                <w:color w:val="auto"/>
                <w:sz w:val="28"/>
                <w:szCs w:val="28"/>
              </w:rPr>
            </w:pPr>
            <w:r>
              <w:rPr>
                <w:b/>
                <w:bCs/>
                <w:color w:val="auto"/>
                <w:sz w:val="28"/>
                <w:szCs w:val="28"/>
              </w:rPr>
              <w:t>2.</w:t>
            </w:r>
            <w:r>
              <w:rPr>
                <w:rFonts w:hint="eastAsia"/>
                <w:b/>
                <w:bCs/>
                <w:color w:val="auto"/>
                <w:sz w:val="28"/>
                <w:szCs w:val="28"/>
                <w:lang w:val="en-US" w:eastAsia="zh-CN"/>
              </w:rPr>
              <w:t>5</w:t>
            </w:r>
            <w:r>
              <w:rPr>
                <w:b/>
                <w:bCs/>
                <w:color w:val="auto"/>
                <w:sz w:val="28"/>
                <w:szCs w:val="28"/>
              </w:rPr>
              <w:t>施工现场布置情况</w:t>
            </w:r>
          </w:p>
          <w:p w14:paraId="21DF22C4">
            <w:pPr>
              <w:adjustRightInd w:val="0"/>
              <w:snapToGrid w:val="0"/>
              <w:spacing w:line="440" w:lineRule="exact"/>
              <w:ind w:firstLine="482" w:firstLineChars="200"/>
              <w:rPr>
                <w:b/>
                <w:color w:val="auto"/>
                <w:sz w:val="24"/>
              </w:rPr>
            </w:pPr>
            <w:r>
              <w:rPr>
                <w:rFonts w:hint="eastAsia"/>
                <w:b/>
                <w:color w:val="auto"/>
                <w:sz w:val="24"/>
              </w:rPr>
              <w:t>2.</w:t>
            </w:r>
            <w:r>
              <w:rPr>
                <w:rFonts w:hint="eastAsia"/>
                <w:b/>
                <w:color w:val="auto"/>
                <w:sz w:val="24"/>
                <w:lang w:val="en-US" w:eastAsia="zh-CN"/>
              </w:rPr>
              <w:t>5</w:t>
            </w:r>
            <w:r>
              <w:rPr>
                <w:rFonts w:hint="eastAsia"/>
                <w:b/>
                <w:color w:val="auto"/>
                <w:sz w:val="24"/>
              </w:rPr>
              <w:t>.</w:t>
            </w:r>
            <w:r>
              <w:rPr>
                <w:b/>
                <w:color w:val="auto"/>
                <w:sz w:val="24"/>
              </w:rPr>
              <w:t>1施工营地</w:t>
            </w:r>
          </w:p>
          <w:p w14:paraId="5FBED0AA">
            <w:pPr>
              <w:adjustRightInd w:val="0"/>
              <w:snapToGrid w:val="0"/>
              <w:spacing w:line="440" w:lineRule="exact"/>
              <w:ind w:firstLine="480" w:firstLineChars="200"/>
              <w:rPr>
                <w:color w:val="auto"/>
                <w:sz w:val="24"/>
              </w:rPr>
            </w:pPr>
            <w:r>
              <w:rPr>
                <w:color w:val="auto"/>
                <w:sz w:val="24"/>
              </w:rPr>
              <w:t>本项目输电线路施工点分散，每个施工点需要堆放的材料不多，输电线路施工人员生活依托线路沿线居民生活设施，因此，输电线路不单独设置施工营地。</w:t>
            </w:r>
          </w:p>
          <w:p w14:paraId="64B8A6CC">
            <w:pPr>
              <w:adjustRightInd w:val="0"/>
              <w:snapToGrid w:val="0"/>
              <w:spacing w:line="440" w:lineRule="exact"/>
              <w:ind w:firstLine="482" w:firstLineChars="200"/>
              <w:rPr>
                <w:b/>
                <w:color w:val="auto"/>
                <w:sz w:val="24"/>
              </w:rPr>
            </w:pPr>
            <w:r>
              <w:rPr>
                <w:rFonts w:hint="eastAsia"/>
                <w:b/>
                <w:color w:val="auto"/>
                <w:sz w:val="24"/>
              </w:rPr>
              <w:t>2.</w:t>
            </w:r>
            <w:r>
              <w:rPr>
                <w:rFonts w:hint="eastAsia"/>
                <w:b/>
                <w:color w:val="auto"/>
                <w:sz w:val="24"/>
                <w:lang w:val="en-US" w:eastAsia="zh-CN"/>
              </w:rPr>
              <w:t>5</w:t>
            </w:r>
            <w:r>
              <w:rPr>
                <w:rFonts w:hint="eastAsia"/>
                <w:b/>
                <w:color w:val="auto"/>
                <w:sz w:val="24"/>
              </w:rPr>
              <w:t>.</w:t>
            </w:r>
            <w:r>
              <w:rPr>
                <w:b/>
                <w:color w:val="auto"/>
                <w:sz w:val="24"/>
              </w:rPr>
              <w:t>2堆料场</w:t>
            </w:r>
          </w:p>
          <w:p w14:paraId="5A48D659">
            <w:pPr>
              <w:adjustRightInd w:val="0"/>
              <w:snapToGrid w:val="0"/>
              <w:spacing w:line="440" w:lineRule="exact"/>
              <w:ind w:firstLine="480" w:firstLineChars="200"/>
              <w:rPr>
                <w:rFonts w:hint="eastAsia"/>
                <w:color w:val="auto"/>
                <w:sz w:val="24"/>
              </w:rPr>
            </w:pPr>
            <w:r>
              <w:rPr>
                <w:rFonts w:hint="eastAsia"/>
                <w:color w:val="auto"/>
                <w:sz w:val="24"/>
              </w:rPr>
              <w:t>本项目输电线路施工点分散，每个施工点需要堆放的材料不多，因此，施工材料运至施工点附近后，就近安放于较宽阔的路边，由人工运输至施工点逐一进行安装，施工材料堆放时间不长，尽量做到当日安装，若遇需隔天安装的，对施工材料进行篷布覆盖，输电线路不单独另设堆料场。</w:t>
            </w:r>
          </w:p>
          <w:p w14:paraId="38F20A48">
            <w:pPr>
              <w:adjustRightInd w:val="0"/>
              <w:snapToGrid w:val="0"/>
              <w:spacing w:line="440" w:lineRule="exact"/>
              <w:ind w:firstLine="480" w:firstLineChars="200"/>
              <w:rPr>
                <w:rFonts w:hint="eastAsia"/>
                <w:color w:val="auto"/>
                <w:sz w:val="24"/>
              </w:rPr>
            </w:pPr>
            <w:r>
              <w:rPr>
                <w:rFonts w:hint="eastAsia"/>
                <w:color w:val="auto"/>
                <w:sz w:val="24"/>
              </w:rPr>
              <w:t>根据沿线交通情况，工程沿线拟租用已有库房或场地作为堆料场，具体地点由施工单位选定，便于塔材、钢材、线材、水泥、金具和绝缘子的集散。如线路沿线无可供租用的场地，可将材料堆放于塔基施工场地和牵张场的材料堆放区。</w:t>
            </w:r>
          </w:p>
          <w:p w14:paraId="0A3B41B2">
            <w:pPr>
              <w:adjustRightInd w:val="0"/>
              <w:snapToGrid w:val="0"/>
              <w:spacing w:line="440" w:lineRule="exact"/>
              <w:ind w:firstLine="482" w:firstLineChars="200"/>
              <w:rPr>
                <w:b/>
                <w:color w:val="auto"/>
                <w:sz w:val="24"/>
                <w:highlight w:val="none"/>
              </w:rPr>
            </w:pPr>
            <w:r>
              <w:rPr>
                <w:rFonts w:hint="eastAsia"/>
                <w:b/>
                <w:color w:val="auto"/>
                <w:sz w:val="24"/>
                <w:highlight w:val="none"/>
              </w:rPr>
              <w:t>2.</w:t>
            </w:r>
            <w:r>
              <w:rPr>
                <w:rFonts w:hint="eastAsia"/>
                <w:b/>
                <w:color w:val="auto"/>
                <w:sz w:val="24"/>
                <w:highlight w:val="none"/>
                <w:lang w:val="en-US" w:eastAsia="zh-CN"/>
              </w:rPr>
              <w:t>5</w:t>
            </w:r>
            <w:r>
              <w:rPr>
                <w:rFonts w:hint="eastAsia"/>
                <w:b/>
                <w:color w:val="auto"/>
                <w:sz w:val="24"/>
                <w:highlight w:val="none"/>
              </w:rPr>
              <w:t>.3</w:t>
            </w:r>
            <w:r>
              <w:rPr>
                <w:b/>
                <w:color w:val="auto"/>
                <w:sz w:val="24"/>
                <w:highlight w:val="none"/>
              </w:rPr>
              <w:t>弃渣（土）场</w:t>
            </w:r>
          </w:p>
          <w:p w14:paraId="5C5CC4A3">
            <w:pPr>
              <w:adjustRightInd w:val="0"/>
              <w:snapToGrid w:val="0"/>
              <w:spacing w:line="440" w:lineRule="exact"/>
              <w:ind w:firstLine="480" w:firstLineChars="200"/>
              <w:rPr>
                <w:color w:val="auto"/>
                <w:sz w:val="24"/>
              </w:rPr>
            </w:pPr>
            <w:r>
              <w:rPr>
                <w:color w:val="auto"/>
                <w:sz w:val="24"/>
              </w:rPr>
              <w:t>本项目输电线路建设开挖区主要是杆塔基础，开挖区呈点状分布，开挖面积较小，产生的开挖土石方量较小，因此，输电线路施工期不设弃渣场，开挖土石方临时堆存在塔基开挖处，等塔基浇筑结束后及时填筑在塔基周围低洼处，或用作塔基护坡；塔基的施工为逐个开挖回填。</w:t>
            </w:r>
          </w:p>
          <w:p w14:paraId="4ED1C44F">
            <w:pPr>
              <w:adjustRightInd w:val="0"/>
              <w:snapToGrid w:val="0"/>
              <w:spacing w:line="440" w:lineRule="exact"/>
              <w:ind w:firstLine="482" w:firstLineChars="200"/>
              <w:rPr>
                <w:b/>
                <w:bCs/>
                <w:color w:val="auto"/>
                <w:sz w:val="24"/>
                <w:lang w:bidi="ar"/>
              </w:rPr>
            </w:pPr>
            <w:r>
              <w:rPr>
                <w:rFonts w:hint="eastAsia"/>
                <w:b/>
                <w:bCs/>
                <w:color w:val="auto"/>
                <w:sz w:val="24"/>
              </w:rPr>
              <w:t>2.</w:t>
            </w:r>
            <w:r>
              <w:rPr>
                <w:rFonts w:hint="eastAsia"/>
                <w:b/>
                <w:bCs/>
                <w:color w:val="auto"/>
                <w:sz w:val="24"/>
                <w:lang w:val="en-US" w:eastAsia="zh-CN"/>
              </w:rPr>
              <w:t>5.</w:t>
            </w:r>
            <w:r>
              <w:rPr>
                <w:rFonts w:hint="eastAsia"/>
                <w:b/>
                <w:bCs/>
                <w:color w:val="auto"/>
                <w:sz w:val="24"/>
              </w:rPr>
              <w:t>4</w:t>
            </w:r>
            <w:r>
              <w:rPr>
                <w:b/>
                <w:bCs/>
                <w:color w:val="auto"/>
                <w:sz w:val="24"/>
                <w:lang w:bidi="ar"/>
              </w:rPr>
              <w:t>施工交通</w:t>
            </w:r>
          </w:p>
          <w:p w14:paraId="6ADCD4EF">
            <w:pPr>
              <w:pStyle w:val="23"/>
              <w:adjustRightInd w:val="0"/>
              <w:snapToGrid w:val="0"/>
              <w:spacing w:line="440" w:lineRule="exact"/>
              <w:ind w:left="0" w:leftChars="0" w:firstLine="480" w:firstLineChars="200"/>
              <w:rPr>
                <w:color w:val="auto"/>
                <w:sz w:val="24"/>
              </w:rPr>
            </w:pPr>
            <w:r>
              <w:rPr>
                <w:color w:val="auto"/>
                <w:sz w:val="24"/>
              </w:rPr>
              <w:t>工程沿线周边有</w:t>
            </w:r>
            <w:r>
              <w:rPr>
                <w:rFonts w:hint="eastAsia"/>
                <w:color w:val="auto"/>
                <w:sz w:val="24"/>
                <w:lang w:val="en-US" w:eastAsia="zh-CN"/>
              </w:rPr>
              <w:t>银昆</w:t>
            </w:r>
            <w:r>
              <w:rPr>
                <w:color w:val="auto"/>
                <w:sz w:val="24"/>
              </w:rPr>
              <w:t>高速、国道G21</w:t>
            </w:r>
            <w:r>
              <w:rPr>
                <w:rFonts w:hint="eastAsia"/>
                <w:color w:val="auto"/>
                <w:sz w:val="24"/>
                <w:lang w:val="en-US" w:eastAsia="zh-CN"/>
              </w:rPr>
              <w:t>3</w:t>
            </w:r>
            <w:r>
              <w:rPr>
                <w:color w:val="auto"/>
                <w:sz w:val="24"/>
              </w:rPr>
              <w:t>以及乡村道路等，基本满足工程需要，塔基施工区可利用现有村道、机耕道等将铁塔组件及其基础施工材料运抵铁塔附近或铁塔附近的山脚处，再通过人抬的方式运至铁塔下部施工场地内</w:t>
            </w:r>
            <w:r>
              <w:rPr>
                <w:rFonts w:cs="Times New Roman"/>
                <w:color w:val="auto"/>
                <w:spacing w:val="0"/>
              </w:rPr>
              <w:t>，</w:t>
            </w:r>
            <w:r>
              <w:rPr>
                <w:rFonts w:ascii="Times New Roman" w:hAnsi="Times New Roman" w:cs="Times New Roman"/>
                <w:color w:val="auto"/>
                <w:spacing w:val="0"/>
                <w:sz w:val="24"/>
                <w:szCs w:val="32"/>
              </w:rPr>
              <w:t>需人抬道路约</w:t>
            </w:r>
            <w:r>
              <w:rPr>
                <w:rFonts w:hint="eastAsia" w:ascii="Times New Roman" w:hAnsi="Times New Roman" w:cs="Times New Roman"/>
                <w:color w:val="auto"/>
                <w:spacing w:val="0"/>
                <w:sz w:val="24"/>
                <w:szCs w:val="32"/>
                <w:lang w:val="en-US" w:eastAsia="zh-CN"/>
              </w:rPr>
              <w:t>86</w:t>
            </w:r>
            <w:r>
              <w:rPr>
                <w:rFonts w:hint="eastAsia" w:ascii="Times New Roman" w:hAnsi="Times New Roman" w:cs="Times New Roman"/>
                <w:color w:val="auto"/>
                <w:spacing w:val="0"/>
                <w:sz w:val="24"/>
                <w:szCs w:val="32"/>
              </w:rPr>
              <w:t>0</w:t>
            </w:r>
            <w:r>
              <w:rPr>
                <w:rFonts w:ascii="Times New Roman" w:hAnsi="Times New Roman" w:cs="Times New Roman"/>
                <w:color w:val="auto"/>
                <w:spacing w:val="0"/>
                <w:sz w:val="24"/>
                <w:szCs w:val="32"/>
              </w:rPr>
              <w:t>m，宽1.</w:t>
            </w:r>
            <w:r>
              <w:rPr>
                <w:rFonts w:hint="eastAsia" w:ascii="Times New Roman" w:hAnsi="Times New Roman" w:cs="Times New Roman"/>
                <w:color w:val="auto"/>
                <w:spacing w:val="0"/>
                <w:sz w:val="24"/>
                <w:szCs w:val="32"/>
              </w:rPr>
              <w:t>5</w:t>
            </w:r>
            <w:r>
              <w:rPr>
                <w:rFonts w:ascii="Times New Roman" w:hAnsi="Times New Roman" w:cs="Times New Roman"/>
                <w:color w:val="auto"/>
                <w:spacing w:val="0"/>
                <w:sz w:val="24"/>
                <w:szCs w:val="32"/>
              </w:rPr>
              <w:t>m，总占地面积为</w:t>
            </w:r>
            <w:r>
              <w:rPr>
                <w:rFonts w:hint="eastAsia" w:ascii="Times New Roman" w:hAnsi="Times New Roman" w:cs="Times New Roman"/>
                <w:color w:val="auto"/>
                <w:spacing w:val="0"/>
                <w:sz w:val="24"/>
                <w:szCs w:val="32"/>
                <w:lang w:val="en-US" w:eastAsia="zh-CN"/>
              </w:rPr>
              <w:t>0.129</w:t>
            </w:r>
            <w:r>
              <w:rPr>
                <w:rFonts w:ascii="Times New Roman" w:hAnsi="Times New Roman" w:cs="Times New Roman"/>
                <w:color w:val="auto"/>
                <w:spacing w:val="0"/>
                <w:sz w:val="24"/>
                <w:szCs w:val="32"/>
              </w:rPr>
              <w:t>hm</w:t>
            </w:r>
            <w:r>
              <w:rPr>
                <w:rFonts w:ascii="Times New Roman" w:hAnsi="Times New Roman" w:cs="Times New Roman"/>
                <w:color w:val="auto"/>
                <w:spacing w:val="0"/>
                <w:sz w:val="24"/>
                <w:szCs w:val="32"/>
                <w:vertAlign w:val="superscript"/>
              </w:rPr>
              <w:t>2</w:t>
            </w:r>
            <w:r>
              <w:rPr>
                <w:rFonts w:ascii="Times New Roman" w:hAnsi="Times New Roman" w:cs="Times New Roman"/>
                <w:color w:val="auto"/>
                <w:spacing w:val="0"/>
                <w:sz w:val="24"/>
                <w:szCs w:val="32"/>
              </w:rPr>
              <w:t>。</w:t>
            </w:r>
            <w:r>
              <w:rPr>
                <w:color w:val="auto"/>
                <w:sz w:val="24"/>
              </w:rPr>
              <w:t>人抬道路不进行表土剥离，施工结束后撒草恢复。</w:t>
            </w:r>
          </w:p>
          <w:p w14:paraId="3EDBF9A1">
            <w:pPr>
              <w:adjustRightInd w:val="0"/>
              <w:snapToGrid w:val="0"/>
              <w:spacing w:line="440" w:lineRule="exact"/>
              <w:ind w:firstLine="482" w:firstLineChars="200"/>
              <w:rPr>
                <w:rFonts w:hint="eastAsia" w:eastAsia="宋体"/>
                <w:b/>
                <w:bCs/>
                <w:color w:val="auto"/>
                <w:sz w:val="24"/>
                <w:lang w:eastAsia="zh-CN" w:bidi="ar"/>
              </w:rPr>
            </w:pPr>
            <w:r>
              <w:rPr>
                <w:rFonts w:hint="eastAsia"/>
                <w:b/>
                <w:bCs/>
                <w:color w:val="auto"/>
                <w:sz w:val="24"/>
              </w:rPr>
              <w:t>2.</w:t>
            </w:r>
            <w:r>
              <w:rPr>
                <w:rFonts w:hint="eastAsia"/>
                <w:b/>
                <w:bCs/>
                <w:color w:val="auto"/>
                <w:sz w:val="24"/>
                <w:lang w:val="en-US" w:eastAsia="zh-CN"/>
              </w:rPr>
              <w:t>5</w:t>
            </w:r>
            <w:r>
              <w:rPr>
                <w:rFonts w:hint="eastAsia"/>
                <w:b/>
                <w:bCs/>
                <w:color w:val="auto"/>
                <w:sz w:val="24"/>
              </w:rPr>
              <w:t>.</w:t>
            </w:r>
            <w:r>
              <w:rPr>
                <w:rFonts w:hint="eastAsia"/>
                <w:b/>
                <w:bCs/>
                <w:color w:val="auto"/>
                <w:sz w:val="24"/>
                <w:lang w:val="en-US" w:eastAsia="zh-CN"/>
              </w:rPr>
              <w:t>5</w:t>
            </w:r>
            <w:r>
              <w:rPr>
                <w:rFonts w:hint="eastAsia"/>
                <w:b/>
                <w:bCs/>
                <w:color w:val="auto"/>
                <w:sz w:val="24"/>
                <w:lang w:val="en-US" w:eastAsia="zh-CN" w:bidi="ar"/>
              </w:rPr>
              <w:t>牵张场</w:t>
            </w:r>
          </w:p>
          <w:p w14:paraId="201676B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工程导线采用张力放线。张力放线可以防止导线磨损，针对采用张力放线的线路要设置张力场和牵引场（即牵张场）。牵张场设置原则为：每5～7km设置一处，或者控制在塔位不超过15基的线路范围内，要求地形平坦开阔，适合大型机械作业。根据线路路径特点及牵张场设置要求，牵张场选择地形平缓的场地。张力放线后尽快进行架设，一般以张力放线施工阶段做紧线段，以直线塔为紧线塔，紧线完毕后尽快进行附件安装。</w:t>
            </w:r>
          </w:p>
          <w:p w14:paraId="0FB54FA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主体资料，牵张场一般选择地形平缓的场地进行施工，尽量避免占用林地及农田，施工过程中不破坏原始地貌，牵张场均采取直接铺设钢板或苫布铺垫的方式，使用完毕后恢复原始功能。本项目输电线路施工期间设置牵张场</w:t>
            </w:r>
            <w:r>
              <w:rPr>
                <w:rFonts w:hint="eastAsia" w:ascii="Times New Roman" w:hAnsi="Times New Roman" w:cs="Times New Roman"/>
                <w:color w:val="auto"/>
                <w:sz w:val="24"/>
                <w:szCs w:val="24"/>
                <w:lang w:val="en-US" w:eastAsia="zh-CN"/>
              </w:rPr>
              <w:t>3</w:t>
            </w:r>
            <w:r>
              <w:rPr>
                <w:rFonts w:hint="default" w:ascii="Times New Roman" w:hAnsi="Times New Roman" w:eastAsia="宋体" w:cs="Times New Roman"/>
                <w:color w:val="auto"/>
                <w:sz w:val="24"/>
                <w:szCs w:val="24"/>
              </w:rPr>
              <w:t>处，每处占地面积约2</w:t>
            </w:r>
            <w:r>
              <w:rPr>
                <w:rFonts w:hint="eastAsia" w:ascii="Times New Roman" w:hAnsi="Times New Roman" w:eastAsia="宋体" w:cs="Times New Roman"/>
                <w:color w:val="auto"/>
                <w:sz w:val="24"/>
                <w:szCs w:val="24"/>
                <w:lang w:val="en-US" w:eastAsia="zh-CN"/>
              </w:rPr>
              <w:t>0</w:t>
            </w:r>
            <w:r>
              <w:rPr>
                <w:rFonts w:hint="default" w:ascii="Times New Roman" w:hAnsi="Times New Roman" w:eastAsia="宋体" w:cs="Times New Roman"/>
                <w:color w:val="auto"/>
                <w:sz w:val="24"/>
                <w:szCs w:val="24"/>
              </w:rPr>
              <w:t>0m</w:t>
            </w:r>
            <w:r>
              <w:rPr>
                <w:rFonts w:hint="default" w:ascii="Times New Roman" w:hAnsi="Times New Roman" w:eastAsia="宋体" w:cs="Times New Roman"/>
                <w:color w:val="auto"/>
                <w:sz w:val="24"/>
                <w:szCs w:val="24"/>
                <w:vertAlign w:val="superscript"/>
              </w:rPr>
              <w:t>2</w:t>
            </w:r>
            <w:r>
              <w:rPr>
                <w:rFonts w:hint="default" w:ascii="Times New Roman" w:hAnsi="Times New Roman" w:eastAsia="宋体" w:cs="Times New Roman"/>
                <w:color w:val="auto"/>
                <w:sz w:val="24"/>
                <w:szCs w:val="24"/>
              </w:rPr>
              <w:t>，牵张场占地面积约</w:t>
            </w:r>
            <w:r>
              <w:rPr>
                <w:rFonts w:hint="eastAsia" w:ascii="Times New Roman" w:hAnsi="Times New Roman" w:cs="Times New Roman"/>
                <w:color w:val="auto"/>
                <w:sz w:val="24"/>
                <w:szCs w:val="24"/>
                <w:lang w:val="en-US" w:eastAsia="zh-CN"/>
              </w:rPr>
              <w:t>0.06h</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2</w:t>
            </w:r>
            <w:r>
              <w:rPr>
                <w:rFonts w:hint="default" w:ascii="Times New Roman" w:hAnsi="Times New Roman" w:eastAsia="宋体" w:cs="Times New Roman"/>
                <w:color w:val="auto"/>
                <w:sz w:val="24"/>
                <w:szCs w:val="24"/>
              </w:rPr>
              <w:t>。根据调查，牵张场用于摆放牵引机械，不进行地表扰动。</w:t>
            </w:r>
          </w:p>
          <w:p w14:paraId="43A545CC">
            <w:pPr>
              <w:adjustRightInd w:val="0"/>
              <w:snapToGrid w:val="0"/>
              <w:spacing w:line="440" w:lineRule="exact"/>
              <w:rPr>
                <w:b/>
                <w:bCs/>
                <w:color w:val="auto"/>
                <w:sz w:val="28"/>
                <w:szCs w:val="28"/>
              </w:rPr>
            </w:pPr>
            <w:r>
              <w:rPr>
                <w:b/>
                <w:bCs/>
                <w:color w:val="auto"/>
                <w:sz w:val="28"/>
                <w:szCs w:val="28"/>
              </w:rPr>
              <w:t>2.</w:t>
            </w:r>
            <w:r>
              <w:rPr>
                <w:rFonts w:hint="eastAsia"/>
                <w:b/>
                <w:bCs/>
                <w:color w:val="auto"/>
                <w:sz w:val="28"/>
                <w:szCs w:val="28"/>
                <w:lang w:val="en-US" w:eastAsia="zh-CN"/>
              </w:rPr>
              <w:t>6</w:t>
            </w:r>
            <w:r>
              <w:rPr>
                <w:b/>
                <w:bCs/>
                <w:color w:val="auto"/>
                <w:sz w:val="28"/>
                <w:szCs w:val="28"/>
              </w:rPr>
              <w:t>项目拆迁及安置</w:t>
            </w:r>
          </w:p>
          <w:p w14:paraId="546F301E">
            <w:pPr>
              <w:pStyle w:val="2"/>
              <w:adjustRightInd w:val="0"/>
              <w:spacing w:before="0" w:after="0" w:line="440" w:lineRule="exact"/>
              <w:ind w:right="0" w:firstLine="480" w:firstLineChars="200"/>
              <w:rPr>
                <w:color w:val="auto"/>
                <w:sz w:val="24"/>
              </w:rPr>
            </w:pPr>
            <w:r>
              <w:rPr>
                <w:color w:val="auto"/>
                <w:sz w:val="24"/>
              </w:rPr>
              <w:t>根据工程占地及现场调查情况，本项目输电线路拟定时已避让民房，不涉及拆迁及移民安置问题，也不涉及专项设施改（迁）建问题。</w:t>
            </w:r>
          </w:p>
        </w:tc>
      </w:tr>
      <w:tr w14:paraId="2F841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3" w:type="pct"/>
            <w:noWrap w:val="0"/>
            <w:vAlign w:val="center"/>
          </w:tcPr>
          <w:p w14:paraId="2DCEF1DE">
            <w:pPr>
              <w:pStyle w:val="25"/>
              <w:spacing w:before="0" w:beforeAutospacing="0" w:after="0" w:afterAutospacing="0"/>
              <w:jc w:val="center"/>
              <w:rPr>
                <w:rFonts w:ascii="Times New Roman" w:hAnsi="Times New Roman"/>
                <w:color w:val="auto"/>
                <w:szCs w:val="24"/>
              </w:rPr>
            </w:pPr>
            <w:r>
              <w:rPr>
                <w:rFonts w:ascii="Times New Roman" w:hAnsi="Times New Roman"/>
                <w:b/>
                <w:bCs/>
                <w:color w:val="auto"/>
                <w:szCs w:val="24"/>
              </w:rPr>
              <w:t>施工方案</w:t>
            </w:r>
          </w:p>
        </w:tc>
        <w:tc>
          <w:tcPr>
            <w:tcW w:w="4736" w:type="pct"/>
            <w:noWrap w:val="0"/>
            <w:vAlign w:val="center"/>
          </w:tcPr>
          <w:p w14:paraId="4FEBA251">
            <w:pPr>
              <w:adjustRightInd w:val="0"/>
              <w:snapToGrid w:val="0"/>
              <w:spacing w:line="440" w:lineRule="exact"/>
              <w:rPr>
                <w:rFonts w:hint="default" w:ascii="Times New Roman" w:hAnsi="Times New Roman" w:eastAsia="宋体" w:cs="Times New Roman"/>
                <w:b/>
                <w:bCs/>
                <w:color w:val="auto"/>
                <w:sz w:val="28"/>
                <w:szCs w:val="28"/>
              </w:rPr>
            </w:pPr>
            <w:r>
              <w:rPr>
                <w:rFonts w:hint="eastAsia" w:ascii="Times New Roman" w:hAnsi="Times New Roman" w:eastAsia="宋体" w:cs="Times New Roman"/>
                <w:b/>
                <w:bCs/>
                <w:color w:val="auto"/>
                <w:sz w:val="28"/>
                <w:szCs w:val="28"/>
                <w:lang w:val="en-US" w:eastAsia="zh-CN"/>
              </w:rPr>
              <w:t>2.7</w:t>
            </w:r>
            <w:r>
              <w:rPr>
                <w:rFonts w:hint="default" w:ascii="Times New Roman" w:hAnsi="Times New Roman" w:eastAsia="宋体" w:cs="Times New Roman"/>
                <w:b/>
                <w:bCs/>
                <w:color w:val="auto"/>
                <w:sz w:val="28"/>
                <w:szCs w:val="28"/>
              </w:rPr>
              <w:t>劳动定员及建设工期</w:t>
            </w:r>
          </w:p>
          <w:p w14:paraId="6211C26B">
            <w:pPr>
              <w:numPr>
                <w:ilvl w:val="0"/>
                <w:numId w:val="2"/>
              </w:numPr>
              <w:adjustRightInd w:val="0"/>
              <w:snapToGrid w:val="0"/>
              <w:spacing w:line="440" w:lineRule="exact"/>
              <w:ind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劳动定员</w:t>
            </w:r>
          </w:p>
          <w:p w14:paraId="2139C0A5">
            <w:pPr>
              <w:adjustRightInd w:val="0"/>
              <w:snapToGrid w:val="0"/>
              <w:spacing w:line="440" w:lineRule="exact"/>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施工期：施工人员</w:t>
            </w:r>
            <w:r>
              <w:rPr>
                <w:rFonts w:hint="eastAsia"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lang w:val="en-US" w:eastAsia="zh-CN"/>
              </w:rPr>
              <w:t>0</w:t>
            </w:r>
            <w:r>
              <w:rPr>
                <w:rFonts w:hint="default" w:ascii="Times New Roman" w:hAnsi="Times New Roman" w:cs="Times New Roman"/>
                <w:color w:val="auto"/>
                <w:sz w:val="24"/>
                <w:szCs w:val="24"/>
              </w:rPr>
              <w:t>人，其中5名管理人员，其余为施工人员，施工人员均为当地</w:t>
            </w:r>
            <w:r>
              <w:rPr>
                <w:rFonts w:hint="default" w:ascii="Times New Roman" w:hAnsi="Times New Roman" w:cs="Times New Roman"/>
                <w:color w:val="auto"/>
                <w:sz w:val="24"/>
                <w:szCs w:val="24"/>
                <w:lang w:val="en-US" w:eastAsia="zh-CN"/>
              </w:rPr>
              <w:t>村民</w:t>
            </w:r>
            <w:r>
              <w:rPr>
                <w:rFonts w:hint="default" w:ascii="Times New Roman" w:hAnsi="Times New Roman" w:cs="Times New Roman"/>
                <w:color w:val="auto"/>
                <w:sz w:val="24"/>
                <w:szCs w:val="24"/>
              </w:rPr>
              <w:t>，人员均不在施工营地食宿。</w:t>
            </w:r>
          </w:p>
          <w:p w14:paraId="7CA693E8">
            <w:pPr>
              <w:adjustRightInd w:val="0"/>
              <w:snapToGrid w:val="0"/>
              <w:spacing w:line="440" w:lineRule="exact"/>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运营期：不设置人员。</w:t>
            </w:r>
          </w:p>
          <w:p w14:paraId="332CB09A">
            <w:pPr>
              <w:adjustRightInd w:val="0"/>
              <w:snapToGrid w:val="0"/>
              <w:spacing w:line="440" w:lineRule="exact"/>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（2）建设进度计划</w:t>
            </w:r>
          </w:p>
          <w:p w14:paraId="5971F4C3">
            <w:pPr>
              <w:adjustRightInd w:val="0"/>
              <w:snapToGrid w:val="0"/>
              <w:spacing w:line="440" w:lineRule="exact"/>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本项目计划202</w:t>
            </w:r>
            <w:r>
              <w:rPr>
                <w:rFonts w:hint="default"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rPr>
              <w:t>年</w:t>
            </w:r>
            <w:r>
              <w:rPr>
                <w:rFonts w:hint="default" w:ascii="Times New Roman" w:hAnsi="Times New Roman" w:cs="Times New Roman"/>
                <w:color w:val="auto"/>
                <w:sz w:val="24"/>
                <w:szCs w:val="24"/>
                <w:lang w:val="en-US" w:eastAsia="zh-CN"/>
              </w:rPr>
              <w:t>10</w:t>
            </w:r>
            <w:r>
              <w:rPr>
                <w:rFonts w:hint="default" w:ascii="Times New Roman" w:hAnsi="Times New Roman" w:cs="Times New Roman"/>
                <w:color w:val="auto"/>
                <w:sz w:val="24"/>
                <w:szCs w:val="24"/>
              </w:rPr>
              <w:t>月开始施工，施工期为</w:t>
            </w:r>
            <w:r>
              <w:rPr>
                <w:rFonts w:hint="eastAsia" w:ascii="Times New Roman" w:hAnsi="Times New Roman" w:cs="Times New Roman"/>
                <w:color w:val="auto"/>
                <w:sz w:val="24"/>
                <w:szCs w:val="24"/>
                <w:lang w:val="en-US" w:eastAsia="zh-CN"/>
              </w:rPr>
              <w:t>8</w:t>
            </w:r>
            <w:r>
              <w:rPr>
                <w:rFonts w:hint="default" w:ascii="Times New Roman" w:hAnsi="Times New Roman" w:cs="Times New Roman"/>
                <w:color w:val="auto"/>
                <w:sz w:val="24"/>
                <w:szCs w:val="24"/>
                <w:lang w:val="en-US" w:eastAsia="zh-CN"/>
              </w:rPr>
              <w:t>个</w:t>
            </w:r>
            <w:r>
              <w:rPr>
                <w:rFonts w:hint="default" w:ascii="Times New Roman" w:hAnsi="Times New Roman" w:cs="Times New Roman"/>
                <w:color w:val="auto"/>
                <w:sz w:val="24"/>
                <w:szCs w:val="24"/>
              </w:rPr>
              <w:t>月，目前项目</w:t>
            </w:r>
            <w:r>
              <w:rPr>
                <w:rFonts w:hint="default" w:ascii="Times New Roman" w:hAnsi="Times New Roman" w:cs="Times New Roman"/>
                <w:color w:val="auto"/>
                <w:sz w:val="24"/>
                <w:szCs w:val="24"/>
                <w:lang w:val="en-US" w:eastAsia="zh-CN"/>
              </w:rPr>
              <w:t>未开工</w:t>
            </w:r>
            <w:r>
              <w:rPr>
                <w:rFonts w:hint="default" w:ascii="Times New Roman" w:hAnsi="Times New Roman" w:cs="Times New Roman"/>
                <w:color w:val="auto"/>
                <w:sz w:val="24"/>
                <w:szCs w:val="24"/>
              </w:rPr>
              <w:t>建设，</w:t>
            </w:r>
            <w:r>
              <w:rPr>
                <w:rFonts w:hint="eastAsia" w:ascii="Times New Roman" w:hAnsi="Times New Roman" w:cs="Times New Roman"/>
                <w:color w:val="auto"/>
                <w:sz w:val="24"/>
                <w:szCs w:val="24"/>
                <w:lang w:eastAsia="zh-CN"/>
              </w:rPr>
              <w:t>正在</w:t>
            </w:r>
            <w:r>
              <w:rPr>
                <w:rFonts w:hint="default" w:ascii="Times New Roman" w:hAnsi="Times New Roman" w:cs="Times New Roman"/>
                <w:color w:val="auto"/>
                <w:sz w:val="24"/>
                <w:szCs w:val="24"/>
              </w:rPr>
              <w:t>办理环评审批手续，工程施工进度表2-</w:t>
            </w:r>
            <w:r>
              <w:rPr>
                <w:rFonts w:hint="eastAsia" w:ascii="Times New Roman" w:hAnsi="Times New Roman" w:cs="Times New Roman"/>
                <w:color w:val="auto"/>
                <w:sz w:val="24"/>
                <w:szCs w:val="24"/>
                <w:lang w:val="en-US" w:eastAsia="zh-CN"/>
              </w:rPr>
              <w:t>9</w:t>
            </w:r>
            <w:r>
              <w:rPr>
                <w:rFonts w:hint="default" w:ascii="Times New Roman" w:hAnsi="Times New Roman" w:cs="Times New Roman"/>
                <w:color w:val="auto"/>
                <w:sz w:val="24"/>
                <w:szCs w:val="24"/>
              </w:rPr>
              <w:t>。</w:t>
            </w:r>
          </w:p>
          <w:p w14:paraId="76017119">
            <w:pPr>
              <w:tabs>
                <w:tab w:val="left" w:pos="3540"/>
              </w:tabs>
              <w:adjustRightInd w:val="0"/>
              <w:snapToGrid w:val="0"/>
              <w:spacing w:line="240" w:lineRule="auto"/>
              <w:jc w:val="center"/>
              <w:rPr>
                <w:rFonts w:hint="default" w:ascii="Times New Roman" w:hAnsi="Times New Roman" w:cs="Times New Roman"/>
                <w:b/>
                <w:bCs/>
                <w:color w:val="auto"/>
                <w:position w:val="-3"/>
                <w:sz w:val="24"/>
                <w:szCs w:val="24"/>
              </w:rPr>
            </w:pPr>
            <w:r>
              <w:rPr>
                <w:rFonts w:hint="default" w:ascii="Times New Roman" w:hAnsi="Times New Roman" w:cs="Times New Roman"/>
                <w:b/>
                <w:bCs/>
                <w:color w:val="auto"/>
                <w:position w:val="-3"/>
                <w:sz w:val="24"/>
                <w:szCs w:val="24"/>
              </w:rPr>
              <w:t>表2-</w:t>
            </w:r>
            <w:r>
              <w:rPr>
                <w:rFonts w:hint="eastAsia" w:ascii="Times New Roman" w:hAnsi="Times New Roman" w:cs="Times New Roman"/>
                <w:b/>
                <w:bCs/>
                <w:color w:val="auto"/>
                <w:position w:val="-3"/>
                <w:sz w:val="24"/>
                <w:szCs w:val="24"/>
                <w:lang w:val="en-US" w:eastAsia="zh-CN"/>
              </w:rPr>
              <w:t>9</w:t>
            </w:r>
            <w:r>
              <w:rPr>
                <w:rFonts w:hint="default" w:ascii="Times New Roman" w:hAnsi="Times New Roman" w:cs="Times New Roman"/>
                <w:b/>
                <w:bCs/>
                <w:color w:val="auto"/>
                <w:spacing w:val="-1"/>
                <w:position w:val="-3"/>
                <w:sz w:val="24"/>
                <w:szCs w:val="24"/>
              </w:rPr>
              <w:t xml:space="preserve">  </w:t>
            </w:r>
            <w:r>
              <w:rPr>
                <w:rFonts w:hint="default" w:ascii="Times New Roman" w:hAnsi="Times New Roman" w:cs="Times New Roman"/>
                <w:b/>
                <w:bCs/>
                <w:color w:val="auto"/>
                <w:position w:val="-3"/>
                <w:sz w:val="24"/>
                <w:szCs w:val="24"/>
              </w:rPr>
              <w:t>主</w:t>
            </w:r>
            <w:r>
              <w:rPr>
                <w:rFonts w:hint="default" w:ascii="Times New Roman" w:hAnsi="Times New Roman" w:cs="Times New Roman"/>
                <w:b/>
                <w:bCs/>
                <w:color w:val="auto"/>
                <w:spacing w:val="2"/>
                <w:position w:val="-3"/>
                <w:sz w:val="24"/>
                <w:szCs w:val="24"/>
              </w:rPr>
              <w:t>体</w:t>
            </w:r>
            <w:r>
              <w:rPr>
                <w:rFonts w:hint="default" w:ascii="Times New Roman" w:hAnsi="Times New Roman" w:cs="Times New Roman"/>
                <w:b/>
                <w:bCs/>
                <w:color w:val="auto"/>
                <w:position w:val="-3"/>
                <w:sz w:val="24"/>
                <w:szCs w:val="24"/>
              </w:rPr>
              <w:t>工</w:t>
            </w:r>
            <w:r>
              <w:rPr>
                <w:rFonts w:hint="default" w:ascii="Times New Roman" w:hAnsi="Times New Roman" w:cs="Times New Roman"/>
                <w:b/>
                <w:bCs/>
                <w:color w:val="auto"/>
                <w:spacing w:val="2"/>
                <w:position w:val="-3"/>
                <w:sz w:val="24"/>
                <w:szCs w:val="24"/>
              </w:rPr>
              <w:t>程</w:t>
            </w:r>
            <w:r>
              <w:rPr>
                <w:rFonts w:hint="default" w:ascii="Times New Roman" w:hAnsi="Times New Roman" w:cs="Times New Roman"/>
                <w:b/>
                <w:bCs/>
                <w:color w:val="auto"/>
                <w:position w:val="-3"/>
                <w:sz w:val="24"/>
                <w:szCs w:val="24"/>
              </w:rPr>
              <w:t>计划</w:t>
            </w:r>
            <w:r>
              <w:rPr>
                <w:rFonts w:hint="default" w:ascii="Times New Roman" w:hAnsi="Times New Roman" w:cs="Times New Roman"/>
                <w:b/>
                <w:bCs/>
                <w:color w:val="auto"/>
                <w:spacing w:val="2"/>
                <w:position w:val="-3"/>
                <w:sz w:val="24"/>
                <w:szCs w:val="24"/>
              </w:rPr>
              <w:t>施</w:t>
            </w:r>
            <w:r>
              <w:rPr>
                <w:rFonts w:hint="default" w:ascii="Times New Roman" w:hAnsi="Times New Roman" w:cs="Times New Roman"/>
                <w:b/>
                <w:bCs/>
                <w:color w:val="auto"/>
                <w:position w:val="-3"/>
                <w:sz w:val="24"/>
                <w:szCs w:val="24"/>
              </w:rPr>
              <w:t>工</w:t>
            </w:r>
            <w:r>
              <w:rPr>
                <w:rFonts w:hint="default" w:ascii="Times New Roman" w:hAnsi="Times New Roman" w:cs="Times New Roman"/>
                <w:b/>
                <w:bCs/>
                <w:color w:val="auto"/>
                <w:spacing w:val="2"/>
                <w:position w:val="-3"/>
                <w:sz w:val="24"/>
                <w:szCs w:val="24"/>
              </w:rPr>
              <w:t>进</w:t>
            </w:r>
            <w:r>
              <w:rPr>
                <w:rFonts w:hint="default" w:ascii="Times New Roman" w:hAnsi="Times New Roman" w:cs="Times New Roman"/>
                <w:b/>
                <w:bCs/>
                <w:color w:val="auto"/>
                <w:position w:val="-3"/>
                <w:sz w:val="24"/>
                <w:szCs w:val="24"/>
              </w:rPr>
              <w:t>度安</w:t>
            </w:r>
            <w:r>
              <w:rPr>
                <w:rFonts w:hint="default" w:ascii="Times New Roman" w:hAnsi="Times New Roman" w:cs="Times New Roman"/>
                <w:b/>
                <w:bCs/>
                <w:color w:val="auto"/>
                <w:spacing w:val="2"/>
                <w:position w:val="-3"/>
                <w:sz w:val="24"/>
                <w:szCs w:val="24"/>
              </w:rPr>
              <w:t>排</w:t>
            </w:r>
            <w:r>
              <w:rPr>
                <w:rFonts w:hint="default" w:ascii="Times New Roman" w:hAnsi="Times New Roman" w:cs="Times New Roman"/>
                <w:b/>
                <w:bCs/>
                <w:color w:val="auto"/>
                <w:position w:val="-3"/>
                <w:sz w:val="24"/>
                <w:szCs w:val="24"/>
              </w:rPr>
              <w:t>表</w:t>
            </w:r>
          </w:p>
          <w:tbl>
            <w:tblPr>
              <w:tblStyle w:val="3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9"/>
              <w:gridCol w:w="2913"/>
              <w:gridCol w:w="3927"/>
            </w:tblGrid>
            <w:tr w14:paraId="544F52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5" w:type="pct"/>
                  <w:tcBorders>
                    <w:tl2br w:val="nil"/>
                    <w:tr2bl w:val="nil"/>
                  </w:tcBorders>
                  <w:noWrap w:val="0"/>
                  <w:vAlign w:val="center"/>
                </w:tcPr>
                <w:p w14:paraId="605C19C6">
                  <w:pPr>
                    <w:pStyle w:val="28"/>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建设内容</w:t>
                  </w:r>
                </w:p>
              </w:tc>
              <w:tc>
                <w:tcPr>
                  <w:tcW w:w="1816" w:type="pct"/>
                  <w:tcBorders>
                    <w:tl2br w:val="nil"/>
                    <w:tr2bl w:val="nil"/>
                  </w:tcBorders>
                  <w:noWrap w:val="0"/>
                  <w:vAlign w:val="center"/>
                </w:tcPr>
                <w:p w14:paraId="5475BA13">
                  <w:pPr>
                    <w:pStyle w:val="28"/>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时间</w:t>
                  </w:r>
                </w:p>
              </w:tc>
              <w:tc>
                <w:tcPr>
                  <w:tcW w:w="2448" w:type="pct"/>
                  <w:tcBorders>
                    <w:tl2br w:val="nil"/>
                    <w:tr2bl w:val="nil"/>
                  </w:tcBorders>
                  <w:noWrap w:val="0"/>
                  <w:vAlign w:val="center"/>
                </w:tcPr>
                <w:p w14:paraId="177F1A99">
                  <w:pPr>
                    <w:pStyle w:val="28"/>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工程内容</w:t>
                  </w:r>
                </w:p>
              </w:tc>
            </w:tr>
            <w:tr w14:paraId="399FDC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5" w:type="pct"/>
                  <w:vMerge w:val="restart"/>
                  <w:tcBorders>
                    <w:tl2br w:val="nil"/>
                    <w:tr2bl w:val="nil"/>
                  </w:tcBorders>
                  <w:noWrap w:val="0"/>
                  <w:vAlign w:val="center"/>
                </w:tcPr>
                <w:p w14:paraId="441CF958">
                  <w:pPr>
                    <w:pStyle w:val="28"/>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主体工程</w:t>
                  </w:r>
                </w:p>
              </w:tc>
              <w:tc>
                <w:tcPr>
                  <w:tcW w:w="1816" w:type="pct"/>
                  <w:tcBorders>
                    <w:tl2br w:val="nil"/>
                    <w:tr2bl w:val="nil"/>
                  </w:tcBorders>
                  <w:noWrap w:val="0"/>
                  <w:vAlign w:val="center"/>
                </w:tcPr>
                <w:p w14:paraId="77499E60">
                  <w:pPr>
                    <w:pStyle w:val="28"/>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202</w:t>
                  </w:r>
                  <w:r>
                    <w:rPr>
                      <w:rFonts w:hint="default" w:ascii="Times New Roman" w:hAnsi="Times New Roman" w:cs="Times New Roman"/>
                      <w:b w:val="0"/>
                      <w:bCs w:val="0"/>
                      <w:color w:val="auto"/>
                      <w:sz w:val="21"/>
                      <w:szCs w:val="21"/>
                      <w:lang w:val="en-US" w:eastAsia="zh-CN"/>
                    </w:rPr>
                    <w:t>6</w:t>
                  </w:r>
                  <w:r>
                    <w:rPr>
                      <w:rFonts w:hint="default" w:ascii="Times New Roman" w:hAnsi="Times New Roman" w:eastAsia="宋体" w:cs="Times New Roman"/>
                      <w:b w:val="0"/>
                      <w:bCs w:val="0"/>
                      <w:color w:val="auto"/>
                      <w:sz w:val="21"/>
                      <w:szCs w:val="21"/>
                    </w:rPr>
                    <w:t>年</w:t>
                  </w:r>
                  <w:r>
                    <w:rPr>
                      <w:rFonts w:hint="default" w:ascii="Times New Roman" w:hAnsi="Times New Roman" w:eastAsia="宋体" w:cs="Times New Roman"/>
                      <w:b w:val="0"/>
                      <w:bCs w:val="0"/>
                      <w:color w:val="auto"/>
                      <w:sz w:val="21"/>
                      <w:szCs w:val="21"/>
                      <w:lang w:val="en-US" w:eastAsia="zh-CN"/>
                    </w:rPr>
                    <w:t>6</w:t>
                  </w:r>
                  <w:r>
                    <w:rPr>
                      <w:rFonts w:hint="default" w:ascii="Times New Roman" w:hAnsi="Times New Roman" w:eastAsia="宋体" w:cs="Times New Roman"/>
                      <w:b w:val="0"/>
                      <w:bCs w:val="0"/>
                      <w:color w:val="auto"/>
                      <w:sz w:val="21"/>
                      <w:szCs w:val="21"/>
                    </w:rPr>
                    <w:t>月</w:t>
                  </w:r>
                  <w:r>
                    <w:rPr>
                      <w:rFonts w:hint="eastAsia"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rPr>
                    <w:t>202</w:t>
                  </w:r>
                  <w:r>
                    <w:rPr>
                      <w:rFonts w:hint="default" w:ascii="Times New Roman" w:hAnsi="Times New Roman" w:cs="Times New Roman"/>
                      <w:b w:val="0"/>
                      <w:bCs w:val="0"/>
                      <w:color w:val="auto"/>
                      <w:sz w:val="21"/>
                      <w:szCs w:val="21"/>
                      <w:lang w:val="en-US" w:eastAsia="zh-CN"/>
                    </w:rPr>
                    <w:t>6</w:t>
                  </w:r>
                  <w:r>
                    <w:rPr>
                      <w:rFonts w:hint="default" w:ascii="Times New Roman" w:hAnsi="Times New Roman" w:eastAsia="宋体" w:cs="Times New Roman"/>
                      <w:b w:val="0"/>
                      <w:bCs w:val="0"/>
                      <w:color w:val="auto"/>
                      <w:sz w:val="21"/>
                      <w:szCs w:val="21"/>
                    </w:rPr>
                    <w:t>年</w:t>
                  </w:r>
                  <w:r>
                    <w:rPr>
                      <w:rFonts w:hint="default" w:ascii="Times New Roman" w:hAnsi="Times New Roman" w:eastAsia="宋体" w:cs="Times New Roman"/>
                      <w:b w:val="0"/>
                      <w:bCs w:val="0"/>
                      <w:color w:val="auto"/>
                      <w:sz w:val="21"/>
                      <w:szCs w:val="21"/>
                      <w:lang w:val="en-US" w:eastAsia="zh-CN"/>
                    </w:rPr>
                    <w:t>7</w:t>
                  </w:r>
                  <w:r>
                    <w:rPr>
                      <w:rFonts w:hint="default" w:ascii="Times New Roman" w:hAnsi="Times New Roman" w:eastAsia="宋体" w:cs="Times New Roman"/>
                      <w:b w:val="0"/>
                      <w:bCs w:val="0"/>
                      <w:color w:val="auto"/>
                      <w:sz w:val="21"/>
                      <w:szCs w:val="21"/>
                    </w:rPr>
                    <w:t>月</w:t>
                  </w:r>
                </w:p>
              </w:tc>
              <w:tc>
                <w:tcPr>
                  <w:tcW w:w="2448" w:type="pct"/>
                  <w:tcBorders>
                    <w:tl2br w:val="nil"/>
                    <w:tr2bl w:val="nil"/>
                  </w:tcBorders>
                  <w:noWrap w:val="0"/>
                  <w:vAlign w:val="center"/>
                </w:tcPr>
                <w:p w14:paraId="22D299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可研编制和审批</w:t>
                  </w:r>
                </w:p>
              </w:tc>
            </w:tr>
            <w:tr w14:paraId="58ABDF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5" w:type="pct"/>
                  <w:vMerge w:val="continue"/>
                  <w:tcBorders>
                    <w:tl2br w:val="nil"/>
                    <w:tr2bl w:val="nil"/>
                  </w:tcBorders>
                  <w:noWrap w:val="0"/>
                  <w:vAlign w:val="center"/>
                </w:tcPr>
                <w:p w14:paraId="35071F72">
                  <w:pPr>
                    <w:pStyle w:val="28"/>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rPr>
                  </w:pPr>
                </w:p>
              </w:tc>
              <w:tc>
                <w:tcPr>
                  <w:tcW w:w="1816" w:type="pct"/>
                  <w:tcBorders>
                    <w:tl2br w:val="nil"/>
                    <w:tr2bl w:val="nil"/>
                  </w:tcBorders>
                  <w:noWrap w:val="0"/>
                  <w:vAlign w:val="center"/>
                </w:tcPr>
                <w:p w14:paraId="7980576C">
                  <w:pPr>
                    <w:pStyle w:val="28"/>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202</w:t>
                  </w:r>
                  <w:r>
                    <w:rPr>
                      <w:rFonts w:hint="default" w:ascii="Times New Roman" w:hAnsi="Times New Roman" w:cs="Times New Roman"/>
                      <w:b w:val="0"/>
                      <w:bCs w:val="0"/>
                      <w:color w:val="auto"/>
                      <w:sz w:val="21"/>
                      <w:szCs w:val="21"/>
                      <w:lang w:val="en-US" w:eastAsia="zh-CN"/>
                    </w:rPr>
                    <w:t>6</w:t>
                  </w:r>
                  <w:r>
                    <w:rPr>
                      <w:rFonts w:hint="default" w:ascii="Times New Roman" w:hAnsi="Times New Roman" w:eastAsia="宋体" w:cs="Times New Roman"/>
                      <w:b w:val="0"/>
                      <w:bCs w:val="0"/>
                      <w:color w:val="auto"/>
                      <w:sz w:val="21"/>
                      <w:szCs w:val="21"/>
                    </w:rPr>
                    <w:t>年</w:t>
                  </w:r>
                  <w:r>
                    <w:rPr>
                      <w:rFonts w:hint="default" w:ascii="Times New Roman" w:hAnsi="Times New Roman" w:eastAsia="宋体" w:cs="Times New Roman"/>
                      <w:b w:val="0"/>
                      <w:bCs w:val="0"/>
                      <w:color w:val="auto"/>
                      <w:sz w:val="21"/>
                      <w:szCs w:val="21"/>
                      <w:lang w:val="en-US" w:eastAsia="zh-CN"/>
                    </w:rPr>
                    <w:t>8</w:t>
                  </w:r>
                  <w:r>
                    <w:rPr>
                      <w:rFonts w:hint="default" w:ascii="Times New Roman" w:hAnsi="Times New Roman" w:eastAsia="宋体" w:cs="Times New Roman"/>
                      <w:b w:val="0"/>
                      <w:bCs w:val="0"/>
                      <w:color w:val="auto"/>
                      <w:sz w:val="21"/>
                      <w:szCs w:val="21"/>
                    </w:rPr>
                    <w:t>月</w:t>
                  </w:r>
                </w:p>
              </w:tc>
              <w:tc>
                <w:tcPr>
                  <w:tcW w:w="2448" w:type="pct"/>
                  <w:tcBorders>
                    <w:tl2br w:val="nil"/>
                    <w:tr2bl w:val="nil"/>
                  </w:tcBorders>
                  <w:noWrap w:val="0"/>
                  <w:vAlign w:val="center"/>
                </w:tcPr>
                <w:p w14:paraId="657BA0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方案设计</w:t>
                  </w:r>
                </w:p>
              </w:tc>
            </w:tr>
            <w:tr w14:paraId="42E8AA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5" w:type="pct"/>
                  <w:vMerge w:val="continue"/>
                  <w:tcBorders>
                    <w:tl2br w:val="nil"/>
                    <w:tr2bl w:val="nil"/>
                  </w:tcBorders>
                  <w:noWrap w:val="0"/>
                  <w:vAlign w:val="center"/>
                </w:tcPr>
                <w:p w14:paraId="343DF3E2">
                  <w:pPr>
                    <w:pStyle w:val="28"/>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rPr>
                  </w:pPr>
                </w:p>
              </w:tc>
              <w:tc>
                <w:tcPr>
                  <w:tcW w:w="1816" w:type="pct"/>
                  <w:tcBorders>
                    <w:tl2br w:val="nil"/>
                    <w:tr2bl w:val="nil"/>
                  </w:tcBorders>
                  <w:noWrap w:val="0"/>
                  <w:vAlign w:val="center"/>
                </w:tcPr>
                <w:p w14:paraId="725CE756">
                  <w:pPr>
                    <w:pStyle w:val="28"/>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202</w:t>
                  </w:r>
                  <w:r>
                    <w:rPr>
                      <w:rFonts w:hint="default" w:ascii="Times New Roman" w:hAnsi="Times New Roman" w:cs="Times New Roman"/>
                      <w:b w:val="0"/>
                      <w:bCs w:val="0"/>
                      <w:color w:val="auto"/>
                      <w:sz w:val="21"/>
                      <w:szCs w:val="21"/>
                      <w:lang w:val="en-US" w:eastAsia="zh-CN"/>
                    </w:rPr>
                    <w:t>6</w:t>
                  </w:r>
                  <w:r>
                    <w:rPr>
                      <w:rFonts w:hint="default" w:ascii="Times New Roman" w:hAnsi="Times New Roman" w:eastAsia="宋体" w:cs="Times New Roman"/>
                      <w:b w:val="0"/>
                      <w:bCs w:val="0"/>
                      <w:color w:val="auto"/>
                      <w:sz w:val="21"/>
                      <w:szCs w:val="21"/>
                    </w:rPr>
                    <w:t>年</w:t>
                  </w:r>
                  <w:r>
                    <w:rPr>
                      <w:rFonts w:hint="default" w:ascii="Times New Roman" w:hAnsi="Times New Roman" w:eastAsia="宋体" w:cs="Times New Roman"/>
                      <w:b w:val="0"/>
                      <w:bCs w:val="0"/>
                      <w:color w:val="auto"/>
                      <w:sz w:val="21"/>
                      <w:szCs w:val="21"/>
                      <w:lang w:val="en-US" w:eastAsia="zh-CN"/>
                    </w:rPr>
                    <w:t>8</w:t>
                  </w:r>
                  <w:r>
                    <w:rPr>
                      <w:rFonts w:hint="default" w:ascii="Times New Roman" w:hAnsi="Times New Roman" w:eastAsia="宋体" w:cs="Times New Roman"/>
                      <w:b w:val="0"/>
                      <w:bCs w:val="0"/>
                      <w:color w:val="auto"/>
                      <w:sz w:val="21"/>
                      <w:szCs w:val="21"/>
                    </w:rPr>
                    <w:t>月</w:t>
                  </w:r>
                  <w:r>
                    <w:rPr>
                      <w:rFonts w:hint="eastAsia"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rPr>
                    <w:t>202</w:t>
                  </w:r>
                  <w:r>
                    <w:rPr>
                      <w:rFonts w:hint="default" w:ascii="Times New Roman" w:hAnsi="Times New Roman" w:cs="Times New Roman"/>
                      <w:b w:val="0"/>
                      <w:bCs w:val="0"/>
                      <w:color w:val="auto"/>
                      <w:sz w:val="21"/>
                      <w:szCs w:val="21"/>
                      <w:lang w:val="en-US" w:eastAsia="zh-CN"/>
                    </w:rPr>
                    <w:t>6</w:t>
                  </w:r>
                  <w:r>
                    <w:rPr>
                      <w:rFonts w:hint="default" w:ascii="Times New Roman" w:hAnsi="Times New Roman" w:eastAsia="宋体" w:cs="Times New Roman"/>
                      <w:b w:val="0"/>
                      <w:bCs w:val="0"/>
                      <w:color w:val="auto"/>
                      <w:sz w:val="21"/>
                      <w:szCs w:val="21"/>
                    </w:rPr>
                    <w:t>年</w:t>
                  </w:r>
                  <w:r>
                    <w:rPr>
                      <w:rFonts w:hint="default" w:ascii="Times New Roman" w:hAnsi="Times New Roman" w:eastAsia="宋体" w:cs="Times New Roman"/>
                      <w:b w:val="0"/>
                      <w:bCs w:val="0"/>
                      <w:color w:val="auto"/>
                      <w:sz w:val="21"/>
                      <w:szCs w:val="21"/>
                      <w:lang w:val="en-US" w:eastAsia="zh-CN"/>
                    </w:rPr>
                    <w:t>9</w:t>
                  </w:r>
                  <w:r>
                    <w:rPr>
                      <w:rFonts w:hint="default" w:ascii="Times New Roman" w:hAnsi="Times New Roman" w:eastAsia="宋体" w:cs="Times New Roman"/>
                      <w:b w:val="0"/>
                      <w:bCs w:val="0"/>
                      <w:color w:val="auto"/>
                      <w:sz w:val="21"/>
                      <w:szCs w:val="21"/>
                    </w:rPr>
                    <w:t>月</w:t>
                  </w:r>
                </w:p>
              </w:tc>
              <w:tc>
                <w:tcPr>
                  <w:tcW w:w="2448" w:type="pct"/>
                  <w:tcBorders>
                    <w:tl2br w:val="nil"/>
                    <w:tr2bl w:val="nil"/>
                  </w:tcBorders>
                  <w:noWrap w:val="0"/>
                  <w:vAlign w:val="center"/>
                </w:tcPr>
                <w:p w14:paraId="736BC6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环评评审及审批</w:t>
                  </w:r>
                </w:p>
              </w:tc>
            </w:tr>
            <w:tr w14:paraId="4122FB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5" w:type="pct"/>
                  <w:vMerge w:val="continue"/>
                  <w:tcBorders>
                    <w:tl2br w:val="nil"/>
                    <w:tr2bl w:val="nil"/>
                  </w:tcBorders>
                  <w:noWrap w:val="0"/>
                  <w:vAlign w:val="center"/>
                </w:tcPr>
                <w:p w14:paraId="58254EF1">
                  <w:pPr>
                    <w:pStyle w:val="28"/>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rPr>
                  </w:pPr>
                </w:p>
              </w:tc>
              <w:tc>
                <w:tcPr>
                  <w:tcW w:w="1816" w:type="pct"/>
                  <w:tcBorders>
                    <w:tl2br w:val="nil"/>
                    <w:tr2bl w:val="nil"/>
                  </w:tcBorders>
                  <w:noWrap w:val="0"/>
                  <w:vAlign w:val="center"/>
                </w:tcPr>
                <w:p w14:paraId="30A0D4C5">
                  <w:pPr>
                    <w:pStyle w:val="28"/>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202</w:t>
                  </w:r>
                  <w:r>
                    <w:rPr>
                      <w:rFonts w:hint="default" w:ascii="Times New Roman" w:hAnsi="Times New Roman" w:cs="Times New Roman"/>
                      <w:b w:val="0"/>
                      <w:bCs w:val="0"/>
                      <w:color w:val="auto"/>
                      <w:sz w:val="21"/>
                      <w:szCs w:val="21"/>
                      <w:lang w:val="en-US" w:eastAsia="zh-CN"/>
                    </w:rPr>
                    <w:t>6</w:t>
                  </w:r>
                  <w:r>
                    <w:rPr>
                      <w:rFonts w:hint="default" w:ascii="Times New Roman" w:hAnsi="Times New Roman" w:eastAsia="宋体" w:cs="Times New Roman"/>
                      <w:b w:val="0"/>
                      <w:bCs w:val="0"/>
                      <w:color w:val="auto"/>
                      <w:sz w:val="21"/>
                      <w:szCs w:val="21"/>
                    </w:rPr>
                    <w:t>年</w:t>
                  </w:r>
                  <w:r>
                    <w:rPr>
                      <w:rFonts w:hint="default" w:ascii="Times New Roman" w:hAnsi="Times New Roman" w:eastAsia="宋体" w:cs="Times New Roman"/>
                      <w:b w:val="0"/>
                      <w:bCs w:val="0"/>
                      <w:color w:val="auto"/>
                      <w:sz w:val="21"/>
                      <w:szCs w:val="21"/>
                      <w:lang w:val="en-US" w:eastAsia="zh-CN"/>
                    </w:rPr>
                    <w:t>10</w:t>
                  </w:r>
                  <w:r>
                    <w:rPr>
                      <w:rFonts w:hint="default" w:ascii="Times New Roman" w:hAnsi="Times New Roman" w:eastAsia="宋体" w:cs="Times New Roman"/>
                      <w:b w:val="0"/>
                      <w:bCs w:val="0"/>
                      <w:color w:val="auto"/>
                      <w:sz w:val="21"/>
                      <w:szCs w:val="21"/>
                    </w:rPr>
                    <w:t>月</w:t>
                  </w:r>
                </w:p>
              </w:tc>
              <w:tc>
                <w:tcPr>
                  <w:tcW w:w="2448" w:type="pct"/>
                  <w:tcBorders>
                    <w:tl2br w:val="nil"/>
                    <w:tr2bl w:val="nil"/>
                  </w:tcBorders>
                  <w:noWrap w:val="0"/>
                  <w:vAlign w:val="center"/>
                </w:tcPr>
                <w:p w14:paraId="4A3265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建筑施工、人员培训</w:t>
                  </w:r>
                </w:p>
              </w:tc>
            </w:tr>
            <w:tr w14:paraId="70D925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5" w:type="pct"/>
                  <w:vMerge w:val="continue"/>
                  <w:tcBorders>
                    <w:tl2br w:val="nil"/>
                    <w:tr2bl w:val="nil"/>
                  </w:tcBorders>
                  <w:noWrap w:val="0"/>
                  <w:vAlign w:val="center"/>
                </w:tcPr>
                <w:p w14:paraId="4DBB10CB">
                  <w:pPr>
                    <w:pStyle w:val="28"/>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rPr>
                  </w:pPr>
                </w:p>
              </w:tc>
              <w:tc>
                <w:tcPr>
                  <w:tcW w:w="1816" w:type="pct"/>
                  <w:tcBorders>
                    <w:tl2br w:val="nil"/>
                    <w:tr2bl w:val="nil"/>
                  </w:tcBorders>
                  <w:noWrap w:val="0"/>
                  <w:vAlign w:val="center"/>
                </w:tcPr>
                <w:p w14:paraId="16E476F1">
                  <w:pPr>
                    <w:pStyle w:val="28"/>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202</w:t>
                  </w:r>
                  <w:r>
                    <w:rPr>
                      <w:rFonts w:hint="default" w:ascii="Times New Roman" w:hAnsi="Times New Roman" w:cs="Times New Roman"/>
                      <w:b w:val="0"/>
                      <w:bCs w:val="0"/>
                      <w:color w:val="auto"/>
                      <w:sz w:val="21"/>
                      <w:szCs w:val="21"/>
                      <w:lang w:val="en-US" w:eastAsia="zh-CN"/>
                    </w:rPr>
                    <w:t>6</w:t>
                  </w:r>
                  <w:r>
                    <w:rPr>
                      <w:rFonts w:hint="default" w:ascii="Times New Roman" w:hAnsi="Times New Roman" w:eastAsia="宋体" w:cs="Times New Roman"/>
                      <w:b w:val="0"/>
                      <w:bCs w:val="0"/>
                      <w:color w:val="auto"/>
                      <w:sz w:val="21"/>
                      <w:szCs w:val="21"/>
                    </w:rPr>
                    <w:t>年</w:t>
                  </w:r>
                  <w:r>
                    <w:rPr>
                      <w:rFonts w:hint="default" w:ascii="Times New Roman" w:hAnsi="Times New Roman" w:eastAsia="宋体" w:cs="Times New Roman"/>
                      <w:b w:val="0"/>
                      <w:bCs w:val="0"/>
                      <w:color w:val="auto"/>
                      <w:sz w:val="21"/>
                      <w:szCs w:val="21"/>
                      <w:lang w:val="en-US" w:eastAsia="zh-CN"/>
                    </w:rPr>
                    <w:t>12</w:t>
                  </w:r>
                  <w:r>
                    <w:rPr>
                      <w:rFonts w:hint="default" w:ascii="Times New Roman" w:hAnsi="Times New Roman" w:eastAsia="宋体" w:cs="Times New Roman"/>
                      <w:b w:val="0"/>
                      <w:bCs w:val="0"/>
                      <w:color w:val="auto"/>
                      <w:sz w:val="21"/>
                      <w:szCs w:val="21"/>
                    </w:rPr>
                    <w:t>月</w:t>
                  </w:r>
                  <w:r>
                    <w:rPr>
                      <w:rFonts w:hint="eastAsia"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rPr>
                    <w:t>202</w:t>
                  </w:r>
                  <w:r>
                    <w:rPr>
                      <w:rFonts w:hint="default" w:ascii="Times New Roman" w:hAnsi="Times New Roman" w:cs="Times New Roman"/>
                      <w:b w:val="0"/>
                      <w:bCs w:val="0"/>
                      <w:color w:val="auto"/>
                      <w:sz w:val="21"/>
                      <w:szCs w:val="21"/>
                      <w:lang w:val="en-US" w:eastAsia="zh-CN"/>
                    </w:rPr>
                    <w:t>7</w:t>
                  </w:r>
                  <w:r>
                    <w:rPr>
                      <w:rFonts w:hint="default" w:ascii="Times New Roman" w:hAnsi="Times New Roman" w:eastAsia="宋体" w:cs="Times New Roman"/>
                      <w:b w:val="0"/>
                      <w:bCs w:val="0"/>
                      <w:color w:val="auto"/>
                      <w:sz w:val="21"/>
                      <w:szCs w:val="21"/>
                    </w:rPr>
                    <w:t>年</w:t>
                  </w:r>
                  <w:r>
                    <w:rPr>
                      <w:rFonts w:hint="eastAsia" w:cs="Times New Roman"/>
                      <w:b w:val="0"/>
                      <w:bCs w:val="0"/>
                      <w:color w:val="auto"/>
                      <w:sz w:val="21"/>
                      <w:szCs w:val="21"/>
                      <w:lang w:val="en-US" w:eastAsia="zh-CN"/>
                    </w:rPr>
                    <w:t>4</w:t>
                  </w:r>
                  <w:r>
                    <w:rPr>
                      <w:rFonts w:hint="default" w:ascii="Times New Roman" w:hAnsi="Times New Roman" w:eastAsia="宋体" w:cs="Times New Roman"/>
                      <w:b w:val="0"/>
                      <w:bCs w:val="0"/>
                      <w:color w:val="auto"/>
                      <w:sz w:val="21"/>
                      <w:szCs w:val="21"/>
                    </w:rPr>
                    <w:t>月</w:t>
                  </w:r>
                </w:p>
              </w:tc>
              <w:tc>
                <w:tcPr>
                  <w:tcW w:w="2448" w:type="pct"/>
                  <w:tcBorders>
                    <w:tl2br w:val="nil"/>
                    <w:tr2bl w:val="nil"/>
                  </w:tcBorders>
                  <w:noWrap w:val="0"/>
                  <w:vAlign w:val="center"/>
                </w:tcPr>
                <w:p w14:paraId="05FADD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完工、调试、验收</w:t>
                  </w:r>
                </w:p>
              </w:tc>
            </w:tr>
          </w:tbl>
          <w:p w14:paraId="157B46BC">
            <w:pPr>
              <w:adjustRightInd w:val="0"/>
              <w:snapToGrid w:val="0"/>
              <w:spacing w:line="440" w:lineRule="exact"/>
              <w:rPr>
                <w:b/>
                <w:bCs/>
                <w:color w:val="auto"/>
                <w:sz w:val="28"/>
                <w:szCs w:val="28"/>
              </w:rPr>
            </w:pPr>
            <w:r>
              <w:rPr>
                <w:b/>
                <w:bCs/>
                <w:color w:val="auto"/>
                <w:sz w:val="28"/>
                <w:szCs w:val="28"/>
              </w:rPr>
              <w:t>2.8施工工艺流程</w:t>
            </w:r>
          </w:p>
          <w:p w14:paraId="6F19EBCD">
            <w:pPr>
              <w:adjustRightInd w:val="0"/>
              <w:snapToGrid w:val="0"/>
              <w:spacing w:line="440" w:lineRule="exact"/>
              <w:ind w:firstLine="480" w:firstLineChars="200"/>
              <w:rPr>
                <w:bCs/>
                <w:color w:val="auto"/>
                <w:sz w:val="24"/>
              </w:rPr>
            </w:pPr>
            <w:r>
              <w:rPr>
                <w:color w:val="auto"/>
                <w:sz w:val="24"/>
              </w:rPr>
              <w:t>本项目为输变电项目，工程施工包括架空输电线路施工，架空输电线路施工主要有施工材料运输、基础施工、杆塔组立以及导线架设等</w:t>
            </w:r>
            <w:r>
              <w:rPr>
                <w:rFonts w:hint="eastAsia"/>
                <w:color w:val="auto"/>
                <w:sz w:val="24"/>
                <w:lang w:eastAsia="zh-CN"/>
              </w:rPr>
              <w:t>。</w:t>
            </w:r>
            <w:r>
              <w:rPr>
                <w:bCs/>
                <w:color w:val="auto"/>
                <w:sz w:val="24"/>
              </w:rPr>
              <w:t>具体施工方案流程见图2-</w:t>
            </w:r>
            <w:r>
              <w:rPr>
                <w:rFonts w:hint="eastAsia"/>
                <w:bCs/>
                <w:color w:val="auto"/>
                <w:sz w:val="24"/>
                <w:lang w:val="en-US" w:eastAsia="zh-CN"/>
              </w:rPr>
              <w:t>5</w:t>
            </w:r>
            <w:r>
              <w:rPr>
                <w:bCs/>
                <w:color w:val="auto"/>
                <w:sz w:val="24"/>
              </w:rPr>
              <w:t>。</w:t>
            </w:r>
          </w:p>
          <w:p w14:paraId="12E8239D">
            <w:pPr>
              <w:adjustRightInd w:val="0"/>
              <w:snapToGrid w:val="0"/>
              <w:spacing w:line="240" w:lineRule="auto"/>
              <w:jc w:val="center"/>
              <w:rPr>
                <w:bCs/>
                <w:color w:val="auto"/>
                <w:sz w:val="24"/>
              </w:rPr>
            </w:pPr>
            <w:r>
              <w:rPr>
                <w:bCs/>
                <w:color w:val="auto"/>
                <w:sz w:val="24"/>
              </w:rPr>
              <w:object>
                <v:shape id="_x0000_i1025" o:spt="75" type="#_x0000_t75" style="height:149.95pt;width:385.95pt;" o:ole="t" filled="f" o:preferrelative="t" stroked="f" coordsize="21600,21600">
                  <v:path/>
                  <v:fill on="f" focussize="0,0"/>
                  <v:stroke on="f"/>
                  <v:imagedata r:id="rId29" o:title=""/>
                  <o:lock v:ext="edit" aspectratio="f"/>
                  <w10:wrap type="none"/>
                  <w10:anchorlock/>
                </v:shape>
                <o:OLEObject Type="Embed" ProgID="Visio.Drawing.15" ShapeID="_x0000_i1025" DrawAspect="Content" ObjectID="_1468075725" r:id="rId28">
                  <o:LockedField>false</o:LockedField>
                </o:OLEObject>
              </w:object>
            </w:r>
          </w:p>
          <w:p w14:paraId="1D199674">
            <w:pPr>
              <w:adjustRightInd w:val="0"/>
              <w:snapToGrid w:val="0"/>
              <w:spacing w:line="240" w:lineRule="auto"/>
              <w:jc w:val="center"/>
              <w:rPr>
                <w:b/>
                <w:color w:val="auto"/>
                <w:sz w:val="24"/>
              </w:rPr>
            </w:pPr>
            <w:r>
              <w:rPr>
                <w:b/>
                <w:color w:val="auto"/>
                <w:sz w:val="24"/>
              </w:rPr>
              <w:t>图2-</w:t>
            </w:r>
            <w:r>
              <w:rPr>
                <w:rFonts w:hint="eastAsia"/>
                <w:b/>
                <w:color w:val="auto"/>
                <w:sz w:val="24"/>
                <w:lang w:val="en-US" w:eastAsia="zh-CN"/>
              </w:rPr>
              <w:t>5</w:t>
            </w:r>
            <w:r>
              <w:rPr>
                <w:b/>
                <w:color w:val="auto"/>
                <w:sz w:val="24"/>
              </w:rPr>
              <w:t xml:space="preserve">  项目施工工艺流程及产污节点示意图</w:t>
            </w:r>
          </w:p>
          <w:p w14:paraId="20DFE935">
            <w:pPr>
              <w:adjustRightInd w:val="0"/>
              <w:snapToGrid w:val="0"/>
              <w:spacing w:line="440" w:lineRule="exact"/>
              <w:ind w:firstLine="482" w:firstLineChars="200"/>
              <w:rPr>
                <w:b/>
                <w:bCs/>
                <w:color w:val="auto"/>
                <w:sz w:val="24"/>
              </w:rPr>
            </w:pPr>
            <w:r>
              <w:rPr>
                <w:b/>
                <w:bCs/>
                <w:color w:val="auto"/>
                <w:sz w:val="24"/>
              </w:rPr>
              <w:t>工艺简述：</w:t>
            </w:r>
          </w:p>
          <w:p w14:paraId="0BE943A9">
            <w:pPr>
              <w:adjustRightInd w:val="0"/>
              <w:snapToGrid w:val="0"/>
              <w:spacing w:line="440" w:lineRule="exact"/>
              <w:ind w:firstLine="482" w:firstLineChars="200"/>
              <w:rPr>
                <w:b/>
                <w:bCs/>
                <w:color w:val="auto"/>
                <w:sz w:val="24"/>
              </w:rPr>
            </w:pPr>
            <w:r>
              <w:rPr>
                <w:rFonts w:hint="eastAsia"/>
                <w:b/>
                <w:bCs/>
                <w:color w:val="auto"/>
                <w:sz w:val="24"/>
              </w:rPr>
              <w:t>2.8.</w:t>
            </w:r>
            <w:r>
              <w:rPr>
                <w:b/>
                <w:bCs/>
                <w:color w:val="auto"/>
                <w:sz w:val="24"/>
              </w:rPr>
              <w:t>1架空输电线路</w:t>
            </w:r>
          </w:p>
          <w:p w14:paraId="07937E9C">
            <w:pPr>
              <w:adjustRightInd w:val="0"/>
              <w:snapToGrid w:val="0"/>
              <w:spacing w:line="440" w:lineRule="exact"/>
              <w:ind w:firstLine="480" w:firstLineChars="200"/>
              <w:rPr>
                <w:color w:val="auto"/>
                <w:sz w:val="24"/>
              </w:rPr>
            </w:pPr>
            <w:r>
              <w:rPr>
                <w:color w:val="auto"/>
                <w:sz w:val="24"/>
              </w:rPr>
              <w:t>①施工准备</w:t>
            </w:r>
          </w:p>
          <w:p w14:paraId="7E352324">
            <w:pPr>
              <w:adjustRightInd w:val="0"/>
              <w:snapToGrid w:val="0"/>
              <w:spacing w:line="440" w:lineRule="exact"/>
              <w:ind w:firstLine="480" w:firstLineChars="200"/>
              <w:rPr>
                <w:color w:val="auto"/>
                <w:sz w:val="24"/>
              </w:rPr>
            </w:pPr>
            <w:r>
              <w:rPr>
                <w:color w:val="auto"/>
                <w:sz w:val="24"/>
              </w:rPr>
              <w:t>施工准备阶段主要是场地平整、施工备料的施工，本工程线路交通比较方便，材料运输尽量利用已有公路和机械运输道路，机动车辆无法到达的地方，采用人抬道路完成施工材料的二次搬运任务。</w:t>
            </w:r>
          </w:p>
          <w:p w14:paraId="75896447">
            <w:pPr>
              <w:adjustRightInd w:val="0"/>
              <w:snapToGrid w:val="0"/>
              <w:spacing w:line="440" w:lineRule="exact"/>
              <w:ind w:firstLine="480" w:firstLineChars="200"/>
              <w:rPr>
                <w:color w:val="auto"/>
                <w:sz w:val="24"/>
              </w:rPr>
            </w:pPr>
            <w:r>
              <w:rPr>
                <w:color w:val="auto"/>
                <w:sz w:val="24"/>
              </w:rPr>
              <w:t>②塔基施工</w:t>
            </w:r>
          </w:p>
          <w:p w14:paraId="45A4F579">
            <w:pPr>
              <w:adjustRightInd w:val="0"/>
              <w:snapToGrid w:val="0"/>
              <w:spacing w:line="440" w:lineRule="exact"/>
              <w:ind w:firstLine="480" w:firstLineChars="200"/>
              <w:rPr>
                <w:color w:val="auto"/>
                <w:sz w:val="24"/>
              </w:rPr>
            </w:pPr>
            <w:r>
              <w:rPr>
                <w:color w:val="auto"/>
                <w:sz w:val="24"/>
              </w:rPr>
              <w:t>线路在确保安全和质量的前提下，尽量减小开挖的范围，避免不必要的开挖和过多的破坏原状土，以利于水土保持要求和塔基边坡的稳定。岩石和地质比较稳定的塔位，在设计允许的前提下，基础底板尽量采用以土代模的施工方法，减少土石方的开挖量。</w:t>
            </w:r>
          </w:p>
          <w:p w14:paraId="34DDD492">
            <w:pPr>
              <w:adjustRightInd w:val="0"/>
              <w:snapToGrid w:val="0"/>
              <w:spacing w:line="440" w:lineRule="exact"/>
              <w:ind w:firstLine="480" w:firstLineChars="200"/>
              <w:rPr>
                <w:color w:val="auto"/>
                <w:sz w:val="24"/>
              </w:rPr>
            </w:pPr>
            <w:r>
              <w:rPr>
                <w:color w:val="auto"/>
                <w:sz w:val="24"/>
              </w:rPr>
              <w:t>基坑开挖尽量保持坑壁成型完好，并做好弃土的处理，避免坑内积水以及影响周围环境和破坏植被，基础坑开挖好后应尽快浇筑混凝土。为减少砂石含泥量，保证混凝土强度，采取砂石与地面隔离的堆放（砂石堆放在纤维布上面），对开挖基面较小的塔位，采取用编织袋分装的方式进行人力运输。基础拆模后，经监理验收合格进行回填，回填土按要求分层夯实，并清除掺杂的草、树根等杂物。</w:t>
            </w:r>
          </w:p>
          <w:p w14:paraId="4EE45ABA">
            <w:pPr>
              <w:adjustRightInd w:val="0"/>
              <w:snapToGrid w:val="0"/>
              <w:spacing w:line="440" w:lineRule="exact"/>
              <w:ind w:firstLine="480" w:firstLineChars="200"/>
              <w:rPr>
                <w:color w:val="auto"/>
                <w:sz w:val="24"/>
              </w:rPr>
            </w:pPr>
            <w:r>
              <w:rPr>
                <w:color w:val="auto"/>
                <w:sz w:val="24"/>
              </w:rPr>
              <w:t>另外，在铁塔基础基面土方开挖时，根据铁塔不等高腿的配置情况，结合现场实际地形慎重进行挖方作业；挖方时，上坡边坡一次按规定放足，避免立塔完成后进行二次放坡；基础高差超过3m时，注意内边坡保护，尽量少挖土方，当内边坡放坡不足时，砌挡土墙；对降基较大的塔位，在坡脚修筑截水沟，在坡顶修筑截水沟，有效地疏导坡上的水流，防止雨水对已开挖坡面和基面的冲刷；施工中</w:t>
            </w:r>
            <w:r>
              <w:rPr>
                <w:rFonts w:hint="eastAsia"/>
                <w:color w:val="auto"/>
                <w:sz w:val="24"/>
                <w:lang w:eastAsia="zh-CN"/>
              </w:rPr>
              <w:t>维护</w:t>
            </w:r>
            <w:r>
              <w:rPr>
                <w:color w:val="auto"/>
                <w:sz w:val="24"/>
              </w:rPr>
              <w:t>边坡稳定和尽量不破坏自然植被。</w:t>
            </w:r>
          </w:p>
          <w:p w14:paraId="7EBC4A31">
            <w:pPr>
              <w:adjustRightInd w:val="0"/>
              <w:snapToGrid w:val="0"/>
              <w:spacing w:line="440" w:lineRule="exact"/>
              <w:ind w:firstLine="480" w:firstLineChars="200"/>
              <w:rPr>
                <w:color w:val="auto"/>
                <w:sz w:val="24"/>
              </w:rPr>
            </w:pPr>
            <w:r>
              <w:rPr>
                <w:color w:val="auto"/>
                <w:sz w:val="24"/>
              </w:rPr>
              <w:t>基础施工时，尽量缩短基坑</w:t>
            </w:r>
            <w:r>
              <w:rPr>
                <w:rFonts w:hint="eastAsia"/>
                <w:color w:val="auto"/>
                <w:sz w:val="24"/>
                <w:lang w:eastAsia="zh-CN"/>
              </w:rPr>
              <w:t>暴露</w:t>
            </w:r>
            <w:r>
              <w:rPr>
                <w:color w:val="auto"/>
                <w:sz w:val="24"/>
              </w:rPr>
              <w:t>时间，做到随挖随</w:t>
            </w:r>
            <w:r>
              <w:rPr>
                <w:rFonts w:hint="eastAsia"/>
                <w:color w:val="auto"/>
                <w:sz w:val="24"/>
                <w:lang w:eastAsia="zh-CN"/>
              </w:rPr>
              <w:t>浇筑</w:t>
            </w:r>
            <w:r>
              <w:rPr>
                <w:color w:val="auto"/>
                <w:sz w:val="24"/>
              </w:rPr>
              <w:t>基础，同时做好基面及基坑的排水工作；基坑开挖时，</w:t>
            </w:r>
            <w:r>
              <w:rPr>
                <w:rFonts w:hint="eastAsia"/>
                <w:color w:val="auto"/>
                <w:sz w:val="24"/>
                <w:lang w:eastAsia="zh-CN"/>
              </w:rPr>
              <w:t>尽量减少</w:t>
            </w:r>
            <w:r>
              <w:rPr>
                <w:color w:val="auto"/>
                <w:sz w:val="24"/>
              </w:rPr>
              <w:t>对基底土层的扰动。剥离表土采用编织袋装填之后集中堆置于塔基附近的空地上（塔基施工</w:t>
            </w:r>
            <w:r>
              <w:rPr>
                <w:rFonts w:hint="eastAsia"/>
                <w:color w:val="auto"/>
                <w:sz w:val="24"/>
                <w:lang w:eastAsia="zh-CN"/>
              </w:rPr>
              <w:t>场</w:t>
            </w:r>
            <w:r>
              <w:rPr>
                <w:color w:val="auto"/>
                <w:sz w:val="24"/>
              </w:rPr>
              <w:t>地），施工结束后作为绿化覆土。</w:t>
            </w:r>
          </w:p>
          <w:p w14:paraId="4993BCB7">
            <w:pPr>
              <w:adjustRightInd w:val="0"/>
              <w:snapToGrid w:val="0"/>
              <w:spacing w:line="440" w:lineRule="exact"/>
              <w:ind w:firstLine="480" w:firstLineChars="200"/>
              <w:rPr>
                <w:color w:val="auto"/>
                <w:sz w:val="24"/>
              </w:rPr>
            </w:pPr>
            <w:r>
              <w:rPr>
                <w:color w:val="auto"/>
                <w:sz w:val="24"/>
              </w:rPr>
              <w:t>③铁塔组立及架线施工</w:t>
            </w:r>
          </w:p>
          <w:p w14:paraId="26BD2B10">
            <w:pPr>
              <w:adjustRightInd w:val="0"/>
              <w:snapToGrid w:val="0"/>
              <w:spacing w:line="440" w:lineRule="exact"/>
              <w:ind w:firstLine="480" w:firstLineChars="200"/>
              <w:rPr>
                <w:color w:val="auto"/>
                <w:sz w:val="24"/>
              </w:rPr>
            </w:pPr>
            <w:r>
              <w:rPr>
                <w:color w:val="auto"/>
                <w:sz w:val="24"/>
              </w:rPr>
              <w:t>1）铁塔组立</w:t>
            </w:r>
          </w:p>
          <w:p w14:paraId="7332757C">
            <w:pPr>
              <w:adjustRightInd w:val="0"/>
              <w:snapToGrid w:val="0"/>
              <w:spacing w:line="440" w:lineRule="exact"/>
              <w:ind w:firstLine="480" w:firstLineChars="200"/>
              <w:rPr>
                <w:color w:val="auto"/>
                <w:sz w:val="24"/>
              </w:rPr>
            </w:pPr>
            <w:r>
              <w:rPr>
                <w:color w:val="auto"/>
                <w:sz w:val="24"/>
              </w:rPr>
              <w:t>工程铁塔安装施工采用分解组塔的施工方法。在实际施工过程中，根据铁塔的形式、高度、重量以及施工场地、施工设备等施工现场情况，确定正装分解组塔或倒装分解组塔。利用支立抱杆，吊装铁塔构件，抱杆通过牵引绳的连接拉动，随铁塔高度的增高而上升，各个构件顶端和底部支脚采用螺栓连接。</w:t>
            </w:r>
          </w:p>
          <w:p w14:paraId="70927143">
            <w:pPr>
              <w:adjustRightInd w:val="0"/>
              <w:snapToGrid w:val="0"/>
              <w:spacing w:line="440" w:lineRule="exact"/>
              <w:ind w:firstLine="480" w:firstLineChars="200"/>
              <w:rPr>
                <w:color w:val="auto"/>
                <w:sz w:val="24"/>
              </w:rPr>
            </w:pPr>
            <w:r>
              <w:rPr>
                <w:color w:val="auto"/>
                <w:sz w:val="24"/>
              </w:rPr>
              <w:t>2）架线及附件安装</w:t>
            </w:r>
          </w:p>
          <w:p w14:paraId="25F739D1">
            <w:pPr>
              <w:adjustRightInd w:val="0"/>
              <w:snapToGrid w:val="0"/>
              <w:spacing w:line="440" w:lineRule="exact"/>
              <w:ind w:firstLine="480" w:firstLineChars="200"/>
              <w:rPr>
                <w:color w:val="auto"/>
                <w:sz w:val="24"/>
              </w:rPr>
            </w:pPr>
            <w:r>
              <w:rPr>
                <w:color w:val="auto"/>
                <w:sz w:val="24"/>
              </w:rPr>
              <w:t>线路架线采用张力架线方法施工，张力架线施工方法为：架空地线展放及收紧、展放导引绳、牵放牵引绳、牵放导线、锚固导线、紧线临锚、附件安装、压接升空、间隔棒安装、耐张塔平衡挂线和跳线安装等。线路沿线设置牵张场，采用张力机紧线，一般以张力放线施工段作为紧线段，以直线塔作为紧线操作塔。紧线完毕后进行附件、线夹、</w:t>
            </w:r>
            <w:r>
              <w:rPr>
                <w:rFonts w:hint="eastAsia"/>
                <w:color w:val="auto"/>
                <w:sz w:val="24"/>
                <w:lang w:eastAsia="zh-CN"/>
              </w:rPr>
              <w:t>防震</w:t>
            </w:r>
            <w:r>
              <w:rPr>
                <w:color w:val="auto"/>
                <w:sz w:val="24"/>
              </w:rPr>
              <w:t>金具、间隔棒等安装。架线施工中对交叉跨越情况一般采用占地和扰动均较小的搭建竹木塔架的方法，在需跨越的线路、公路的两侧搭建竹木塔架，竹木塔架高度以不影响其运行为准。</w:t>
            </w:r>
          </w:p>
          <w:p w14:paraId="63465AB2">
            <w:pPr>
              <w:adjustRightInd w:val="0"/>
              <w:snapToGrid w:val="0"/>
              <w:spacing w:line="440" w:lineRule="exact"/>
              <w:ind w:firstLine="480" w:firstLineChars="200"/>
              <w:rPr>
                <w:color w:val="auto"/>
                <w:sz w:val="24"/>
              </w:rPr>
            </w:pPr>
            <w:r>
              <w:rPr>
                <w:color w:val="auto"/>
                <w:sz w:val="24"/>
              </w:rPr>
              <w:t>另外，项目根据实际地形情况</w:t>
            </w:r>
            <w:r>
              <w:rPr>
                <w:rFonts w:hint="eastAsia"/>
                <w:color w:val="auto"/>
                <w:sz w:val="24"/>
              </w:rPr>
              <w:t>及跨越生态保护红线段，</w:t>
            </w:r>
            <w:r>
              <w:rPr>
                <w:color w:val="auto"/>
                <w:sz w:val="24"/>
              </w:rPr>
              <w:t>结合使用无人机放线技术具体施工工艺如下：无人机放线一般是在机身下悬挂一平衡重物，导引绳连接其上，在地面展放机械的配合下牵引飞过塔位。由塔上人员配合或机上操作人员借助导杆将导引绳放入牵引滑车槽内，再用导引绳牵牵引绳，通过相与相间渡绳等操作，最后用牵引绳牵放导线。</w:t>
            </w:r>
          </w:p>
          <w:p w14:paraId="7B0D8F97">
            <w:pPr>
              <w:adjustRightInd w:val="0"/>
              <w:snapToGrid w:val="0"/>
              <w:spacing w:line="440" w:lineRule="exact"/>
              <w:ind w:firstLine="480" w:firstLineChars="200"/>
              <w:rPr>
                <w:color w:val="auto"/>
                <w:sz w:val="24"/>
              </w:rPr>
            </w:pPr>
            <w:r>
              <w:rPr>
                <w:color w:val="auto"/>
                <w:sz w:val="24"/>
              </w:rPr>
              <w:t>④临时施工场地施工工艺</w:t>
            </w:r>
          </w:p>
          <w:p w14:paraId="3C73DA2B">
            <w:pPr>
              <w:adjustRightInd w:val="0"/>
              <w:snapToGrid w:val="0"/>
              <w:spacing w:line="440" w:lineRule="exact"/>
              <w:ind w:firstLine="480" w:firstLineChars="200"/>
              <w:rPr>
                <w:color w:val="auto"/>
                <w:sz w:val="24"/>
              </w:rPr>
            </w:pPr>
            <w:r>
              <w:rPr>
                <w:color w:val="auto"/>
                <w:sz w:val="24"/>
              </w:rPr>
              <w:t>根据设计资料，本项目施工期间布置了临时施工场地，临时施工场地施工期间应减少施工扰动面积，避免大挖大填。占用林地的施工场地，植被清除后能够满足材料堆放区域即可；占用耕地区域，宜采用草席铺垫，减少地表扰动，施工结束后翻松平整。</w:t>
            </w:r>
          </w:p>
          <w:p w14:paraId="30B5DB44">
            <w:pPr>
              <w:adjustRightInd w:val="0"/>
              <w:snapToGrid w:val="0"/>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lang w:val="en-US" w:eastAsia="zh-CN"/>
              </w:rPr>
              <w:t>⑤</w:t>
            </w:r>
            <w:r>
              <w:rPr>
                <w:rFonts w:hint="eastAsia" w:ascii="宋体" w:hAnsi="宋体" w:eastAsia="宋体" w:cs="宋体"/>
                <w:color w:val="auto"/>
                <w:sz w:val="24"/>
              </w:rPr>
              <w:t>生态保护红线</w:t>
            </w:r>
            <w:r>
              <w:rPr>
                <w:rFonts w:hint="eastAsia" w:ascii="Times New Roman" w:hAnsi="Times New Roman" w:eastAsia="宋体" w:cs="Times New Roman"/>
                <w:color w:val="auto"/>
                <w:sz w:val="24"/>
                <w:lang w:eastAsia="zh-CN"/>
              </w:rPr>
              <w:t>邻近</w:t>
            </w:r>
            <w:r>
              <w:rPr>
                <w:rFonts w:hint="default" w:ascii="Times New Roman" w:hAnsi="Times New Roman" w:eastAsia="宋体" w:cs="Times New Roman"/>
                <w:color w:val="auto"/>
                <w:sz w:val="24"/>
              </w:rPr>
              <w:t>区域</w:t>
            </w:r>
            <w:r>
              <w:rPr>
                <w:rFonts w:hint="eastAsia" w:ascii="宋体" w:hAnsi="宋体" w:eastAsia="宋体" w:cs="宋体"/>
                <w:color w:val="auto"/>
                <w:sz w:val="24"/>
              </w:rPr>
              <w:t>施工方案</w:t>
            </w:r>
          </w:p>
          <w:p w14:paraId="4AB196D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项目线路在生态保护红线</w:t>
            </w:r>
            <w:r>
              <w:rPr>
                <w:rFonts w:hint="eastAsia" w:ascii="Times New Roman" w:hAnsi="Times New Roman" w:eastAsia="宋体" w:cs="Times New Roman"/>
                <w:color w:val="auto"/>
                <w:sz w:val="24"/>
                <w:lang w:eastAsia="zh-CN"/>
              </w:rPr>
              <w:t>邻近</w:t>
            </w:r>
            <w:r>
              <w:rPr>
                <w:rFonts w:hint="default" w:ascii="Times New Roman" w:hAnsi="Times New Roman" w:eastAsia="宋体" w:cs="Times New Roman"/>
                <w:color w:val="auto"/>
                <w:sz w:val="24"/>
              </w:rPr>
              <w:t>区域施工时，采取施工组织如下：</w:t>
            </w:r>
          </w:p>
          <w:p w14:paraId="768947D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1）塔基施工临时场地和基础施工</w:t>
            </w:r>
          </w:p>
          <w:p w14:paraId="26D34D7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生态保护红线内及</w:t>
            </w:r>
            <w:r>
              <w:rPr>
                <w:rFonts w:hint="eastAsia" w:ascii="Times New Roman" w:hAnsi="Times New Roman" w:eastAsia="宋体" w:cs="Times New Roman"/>
                <w:color w:val="auto"/>
                <w:sz w:val="24"/>
                <w:lang w:eastAsia="zh-CN"/>
              </w:rPr>
              <w:t>邻近</w:t>
            </w:r>
            <w:r>
              <w:rPr>
                <w:rFonts w:hint="default" w:ascii="Times New Roman" w:hAnsi="Times New Roman" w:eastAsia="宋体" w:cs="Times New Roman"/>
                <w:color w:val="auto"/>
                <w:sz w:val="24"/>
              </w:rPr>
              <w:t>区域的塔基应优化施工工艺，尽量减少塔基临时占地，设置施工控制带，对施工场地四周进行拦挡围护，严格控制施工红线，避开生态保护红线范围内的水土流失易发区。塔基基础尽量采用人工开挖，减少开挖面，减少土石方开挖量，缩短土石方开挖面的暴露时间，尤其是针对表土比较松散的塔位，要及时进行加固，缩短施工时间；施工期间加强塔基的水土保持措施，提高水土流失防治标准，根据塔基处地形情况砌筑浆砌石护坡、截排水沟和沉砂池，对占地范围内的表土进行剥离，对临时堆土采用密目网进行遮盖，用编织袋进行拦挡，尽量减少新增水土流失量。</w:t>
            </w:r>
          </w:p>
          <w:p w14:paraId="44AB389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2）架线施工</w:t>
            </w:r>
          </w:p>
          <w:p w14:paraId="6B227CBB">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highlight w:val="yellow"/>
              </w:rPr>
            </w:pPr>
            <w:r>
              <w:rPr>
                <w:rFonts w:hint="default" w:ascii="Times New Roman" w:hAnsi="Times New Roman" w:eastAsia="宋体" w:cs="Times New Roman"/>
                <w:color w:val="auto"/>
                <w:sz w:val="24"/>
                <w:highlight w:val="none"/>
              </w:rPr>
              <w:t>牵张场布置间距一般为5</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7km，布置在转角塔位置附近的地势平坦区域。根据沿线生态保护红线的分布情况，新建架空线路穿越成片生态保护红线的路径长度最长段为N</w:t>
            </w:r>
            <w:r>
              <w:rPr>
                <w:rFonts w:hint="eastAsia" w:ascii="Times New Roman" w:hAnsi="Times New Roman" w:eastAsia="宋体" w:cs="Times New Roman"/>
                <w:color w:val="auto"/>
                <w:sz w:val="24"/>
                <w:highlight w:val="none"/>
                <w:lang w:val="en-US" w:eastAsia="zh-CN"/>
              </w:rPr>
              <w:t>7</w:t>
            </w:r>
            <w:r>
              <w:rPr>
                <w:rFonts w:hint="default" w:ascii="Times New Roman" w:hAnsi="Times New Roman" w:eastAsia="宋体" w:cs="Times New Roman"/>
                <w:color w:val="auto"/>
                <w:sz w:val="24"/>
                <w:highlight w:val="none"/>
              </w:rPr>
              <w:t>~N</w:t>
            </w:r>
            <w:r>
              <w:rPr>
                <w:rFonts w:hint="eastAsia" w:ascii="Times New Roman" w:hAnsi="Times New Roman" w:eastAsia="宋体" w:cs="Times New Roman"/>
                <w:color w:val="auto"/>
                <w:sz w:val="24"/>
                <w:highlight w:val="none"/>
                <w:lang w:val="en-US" w:eastAsia="zh-CN"/>
              </w:rPr>
              <w:t>8</w:t>
            </w:r>
            <w:r>
              <w:rPr>
                <w:rFonts w:hint="default" w:ascii="Times New Roman" w:hAnsi="Times New Roman" w:eastAsia="宋体" w:cs="Times New Roman"/>
                <w:color w:val="auto"/>
                <w:sz w:val="24"/>
                <w:highlight w:val="none"/>
              </w:rPr>
              <w:t>段约</w:t>
            </w:r>
            <w:r>
              <w:rPr>
                <w:rFonts w:hint="eastAsia" w:ascii="Times New Roman" w:hAnsi="Times New Roman" w:eastAsia="宋体" w:cs="Times New Roman"/>
                <w:color w:val="auto"/>
                <w:sz w:val="24"/>
                <w:highlight w:val="none"/>
                <w:lang w:val="en-US" w:eastAsia="zh-CN"/>
              </w:rPr>
              <w:t>89.2m</w:t>
            </w:r>
            <w:r>
              <w:rPr>
                <w:rFonts w:hint="default" w:ascii="Times New Roman" w:hAnsi="Times New Roman" w:eastAsia="宋体" w:cs="Times New Roman"/>
                <w:color w:val="auto"/>
                <w:sz w:val="24"/>
                <w:highlight w:val="none"/>
              </w:rPr>
              <w:t>线路</w:t>
            </w:r>
            <w:r>
              <w:rPr>
                <w:rFonts w:hint="eastAsia" w:ascii="Times New Roman" w:hAnsi="Times New Roman" w:eastAsia="宋体" w:cs="Times New Roman"/>
                <w:color w:val="auto"/>
                <w:sz w:val="24"/>
                <w:highlight w:val="none"/>
                <w:lang w:eastAsia="zh-CN"/>
              </w:rPr>
              <w:t>，在</w:t>
            </w:r>
            <w:r>
              <w:rPr>
                <w:rFonts w:hint="default" w:ascii="Times New Roman" w:hAnsi="Times New Roman" w:eastAsia="宋体" w:cs="Times New Roman"/>
                <w:color w:val="auto"/>
                <w:sz w:val="24"/>
                <w:highlight w:val="none"/>
              </w:rPr>
              <w:t>优化牵张场布局的前提下，本项目可不在生态保护红线内设牵张场</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也不设置塔基</w:t>
            </w:r>
            <w:r>
              <w:rPr>
                <w:rFonts w:hint="default" w:ascii="Times New Roman" w:hAnsi="Times New Roman" w:eastAsia="宋体" w:cs="Times New Roman"/>
                <w:color w:val="auto"/>
                <w:sz w:val="24"/>
                <w:highlight w:val="none"/>
              </w:rPr>
              <w:t>。</w:t>
            </w:r>
          </w:p>
          <w:p w14:paraId="23E79DC4">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架线施工采用无人机等环境友好型架线方式，以减少对生态保护红线内植被的破坏。</w:t>
            </w:r>
          </w:p>
          <w:p w14:paraId="79486BE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3）施工便道及材料运输</w:t>
            </w:r>
          </w:p>
          <w:p w14:paraId="663C898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施工道路尽量利用生态保护红线内现有道路，没有道路的塔位</w:t>
            </w:r>
            <w:r>
              <w:rPr>
                <w:rFonts w:hint="default" w:ascii="Times New Roman" w:hAnsi="Times New Roman" w:eastAsia="宋体" w:cs="Times New Roman"/>
                <w:color w:val="auto"/>
                <w:sz w:val="24"/>
                <w:highlight w:val="none"/>
                <w:lang w:val="en-US" w:eastAsia="zh-CN"/>
              </w:rPr>
              <w:t>设置人抬道路</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rPr>
              <w:t>施工结束后及时对临时占地进行土地整治，并利用生态保护红线范围内常见的非外来物种进行植被恢复。</w:t>
            </w:r>
          </w:p>
          <w:p w14:paraId="18D4A5F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4）跨越生态保护红线段工艺流程</w:t>
            </w:r>
          </w:p>
          <w:p w14:paraId="43574F6B">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根据实际地形情况</w:t>
            </w:r>
            <w:r>
              <w:rPr>
                <w:rFonts w:hint="eastAsia" w:ascii="Times New Roman" w:hAnsi="Times New Roman" w:eastAsia="宋体" w:cs="Times New Roman"/>
                <w:color w:val="auto"/>
                <w:sz w:val="24"/>
                <w:lang w:val="en-US" w:eastAsia="zh-CN"/>
              </w:rPr>
              <w:t>及跨越生态保护红线段，</w:t>
            </w:r>
            <w:r>
              <w:rPr>
                <w:rFonts w:hint="eastAsia" w:ascii="Times New Roman" w:hAnsi="Times New Roman" w:cs="Times New Roman"/>
                <w:color w:val="auto"/>
                <w:sz w:val="24"/>
                <w:lang w:val="en-US" w:eastAsia="zh-CN"/>
              </w:rPr>
              <w:t>必须</w:t>
            </w:r>
            <w:r>
              <w:rPr>
                <w:rFonts w:hint="default" w:ascii="Times New Roman" w:hAnsi="Times New Roman" w:eastAsia="宋体" w:cs="Times New Roman"/>
                <w:color w:val="auto"/>
                <w:sz w:val="24"/>
                <w:lang w:val="en-US" w:eastAsia="zh-CN"/>
              </w:rPr>
              <w:t>使用无人机放线技术具体施工工艺如下：无人机放线一般是在机身下悬挂一平衡重物，导引绳连接其上，在地面展放机械的配合下牵引飞过塔位。由塔上人员配合或机上操作人员借助导杆将导引绳放入牵引滑车槽内，再用导引绳牵牵引绳，通过相与相间渡绳等操作，最后用牵引绳牵放导线。</w:t>
            </w:r>
          </w:p>
          <w:p w14:paraId="40EF9B5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项目</w:t>
            </w:r>
            <w:r>
              <w:rPr>
                <w:rFonts w:hint="eastAsia" w:ascii="Times New Roman" w:hAnsi="Times New Roman" w:cs="Times New Roman"/>
                <w:color w:val="auto"/>
                <w:sz w:val="24"/>
                <w:lang w:val="en-US" w:eastAsia="zh-CN"/>
              </w:rPr>
              <w:t>禁止</w:t>
            </w:r>
            <w:r>
              <w:rPr>
                <w:rFonts w:hint="default" w:ascii="Times New Roman" w:hAnsi="Times New Roman" w:eastAsia="宋体" w:cs="Times New Roman"/>
                <w:color w:val="auto"/>
                <w:sz w:val="24"/>
                <w:lang w:val="en-US" w:eastAsia="zh-CN"/>
              </w:rPr>
              <w:t>在生态保护红线内及</w:t>
            </w:r>
            <w:r>
              <w:rPr>
                <w:rFonts w:hint="eastAsia" w:ascii="Times New Roman" w:hAnsi="Times New Roman" w:cs="Times New Roman"/>
                <w:color w:val="auto"/>
                <w:sz w:val="24"/>
                <w:lang w:val="en-US" w:eastAsia="zh-CN"/>
              </w:rPr>
              <w:t>邻近</w:t>
            </w:r>
            <w:r>
              <w:rPr>
                <w:rFonts w:hint="default" w:ascii="Times New Roman" w:hAnsi="Times New Roman" w:eastAsia="宋体" w:cs="Times New Roman"/>
                <w:color w:val="auto"/>
                <w:sz w:val="24"/>
                <w:lang w:val="en-US" w:eastAsia="zh-CN"/>
              </w:rPr>
              <w:t>区域内</w:t>
            </w:r>
            <w:r>
              <w:rPr>
                <w:rFonts w:hint="eastAsia" w:ascii="Times New Roman" w:hAnsi="Times New Roman" w:eastAsia="宋体" w:cs="Times New Roman"/>
                <w:color w:val="auto"/>
                <w:sz w:val="24"/>
                <w:lang w:val="en-US" w:eastAsia="zh-CN"/>
              </w:rPr>
              <w:t>设置</w:t>
            </w:r>
            <w:r>
              <w:rPr>
                <w:rFonts w:hint="default" w:ascii="Times New Roman" w:hAnsi="Times New Roman" w:eastAsia="宋体" w:cs="Times New Roman"/>
                <w:color w:val="auto"/>
                <w:sz w:val="24"/>
                <w:lang w:val="en-US" w:eastAsia="zh-CN"/>
              </w:rPr>
              <w:t>牵张场</w:t>
            </w:r>
            <w:r>
              <w:rPr>
                <w:rFonts w:hint="eastAsia" w:ascii="Times New Roman" w:hAnsi="Times New Roman" w:eastAsia="宋体" w:cs="Times New Roman"/>
                <w:color w:val="auto"/>
                <w:sz w:val="24"/>
                <w:lang w:val="en-US" w:eastAsia="zh-CN"/>
              </w:rPr>
              <w:t>、施工临时道路、跨越施工场地、施工营地、材料站等临时场地。加强施工管理，规范施工活动，对施工期间产生的施工废污水和固体废物进行分类收集处理，施工结束后及时清理现场，禁止排入生态保护红线范围内造成污染。施工结束后及时对生态保护红线范围内及邻近区域的临时占地（包含塔基、牵张场施工临时占地）进行土地整治、表土回铺，植被恢复尽可能利用植被自然更新，并利用生态保护红线范围内的常见物种进行植被恢复，严禁引入外来物种，尽量维护生态保护红线范围内的生物多样性，并加强后期管理维护。</w:t>
            </w:r>
          </w:p>
          <w:p w14:paraId="152129D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5）施工生活区和材料站</w:t>
            </w:r>
          </w:p>
          <w:p w14:paraId="0BC397F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不在生态保护红线范围内设置施工营地、材料站等临时场地。</w:t>
            </w:r>
          </w:p>
          <w:p w14:paraId="6E7B604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6）余土处置</w:t>
            </w:r>
          </w:p>
          <w:p w14:paraId="34D273C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本项目不设置取、弃土点，处于陡坡的铁塔，</w:t>
            </w:r>
            <w:r>
              <w:rPr>
                <w:rFonts w:hint="eastAsia" w:ascii="Times New Roman" w:hAnsi="Times New Roman" w:eastAsia="宋体" w:cs="Times New Roman"/>
                <w:color w:val="auto"/>
                <w:sz w:val="24"/>
                <w:lang w:eastAsia="zh-CN"/>
              </w:rPr>
              <w:t>降低</w:t>
            </w:r>
            <w:r>
              <w:rPr>
                <w:rFonts w:hint="default" w:ascii="Times New Roman" w:hAnsi="Times New Roman" w:eastAsia="宋体" w:cs="Times New Roman"/>
                <w:color w:val="auto"/>
                <w:sz w:val="24"/>
              </w:rPr>
              <w:t>基面与基坑开挖的产生的余土无法就地堆稳时，选择塔基施工区域的凹地进行堆放、平整，并撒播草籽进行植被恢复，并加强后期管理维护。</w:t>
            </w:r>
          </w:p>
          <w:p w14:paraId="439FF6F4">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7）施工废污水、固体废物处置</w:t>
            </w:r>
          </w:p>
          <w:p w14:paraId="2C5500E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加强施工管理，规范施工活动，对施工期间产生的施工废污水和固体废物进行分类收集处理。塔基施工场地利用设置的沉砂池处理后循环利用；施工人员就近租用当地现有民房，产生的生活污水纳入当地现有系统处置，不直接排入天然水体；施工人员产生的生活垃圾经垃圾桶收集后清运至附近乡镇垃圾桶集中转运。施工结束后及时清理现场，避免残留污染物在生态保护红线范围内造成污染。</w:t>
            </w:r>
          </w:p>
          <w:p w14:paraId="3B1162BE">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8）植被恢复</w:t>
            </w:r>
          </w:p>
          <w:p w14:paraId="4D2839AE">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color w:val="auto"/>
                <w:sz w:val="24"/>
              </w:rPr>
            </w:pPr>
            <w:r>
              <w:rPr>
                <w:rFonts w:hint="default" w:ascii="Times New Roman" w:hAnsi="Times New Roman" w:eastAsia="宋体" w:cs="Times New Roman"/>
                <w:color w:val="auto"/>
                <w:sz w:val="24"/>
              </w:rPr>
              <w:t>施工结束后及时对生态保护红线范围内及邻近区域的临时占地（包含塔基、牵张场</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施工临时占地）进行土地整治、表土回铺，植被恢复尽可能利用植被自然更新，并利用生态保护红线范围内的常见物种进行植被恢复，严禁引入外来物种，尽量维护生态保护红线范围内的生物多样性，并加强后期管理维护。</w:t>
            </w:r>
          </w:p>
        </w:tc>
      </w:tr>
      <w:tr w14:paraId="71BB9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3" w:type="pct"/>
            <w:noWrap w:val="0"/>
            <w:vAlign w:val="center"/>
          </w:tcPr>
          <w:p w14:paraId="29EEF1A6">
            <w:pPr>
              <w:pStyle w:val="25"/>
              <w:spacing w:before="0" w:beforeAutospacing="0" w:after="0" w:afterAutospacing="0"/>
              <w:jc w:val="center"/>
              <w:rPr>
                <w:rFonts w:ascii="Times New Roman" w:hAnsi="Times New Roman"/>
                <w:color w:val="auto"/>
                <w:szCs w:val="24"/>
              </w:rPr>
            </w:pPr>
            <w:r>
              <w:rPr>
                <w:rFonts w:ascii="Times New Roman" w:hAnsi="Times New Roman"/>
                <w:b/>
                <w:bCs/>
                <w:color w:val="auto"/>
                <w:szCs w:val="24"/>
              </w:rPr>
              <w:t>其他</w:t>
            </w:r>
          </w:p>
        </w:tc>
        <w:tc>
          <w:tcPr>
            <w:tcW w:w="4736" w:type="pct"/>
            <w:noWrap w:val="0"/>
            <w:vAlign w:val="center"/>
          </w:tcPr>
          <w:p w14:paraId="1EAAC9E2">
            <w:pPr>
              <w:keepNext/>
              <w:keepLines/>
              <w:adjustRightInd w:val="0"/>
              <w:snapToGrid w:val="0"/>
              <w:spacing w:line="440" w:lineRule="exact"/>
              <w:ind w:firstLine="482" w:firstLineChars="200"/>
              <w:outlineLvl w:val="3"/>
              <w:rPr>
                <w:b/>
                <w:bCs/>
                <w:color w:val="auto"/>
                <w:sz w:val="24"/>
              </w:rPr>
            </w:pPr>
            <w:r>
              <w:rPr>
                <w:rFonts w:hint="eastAsia"/>
                <w:b/>
                <w:bCs/>
                <w:color w:val="auto"/>
                <w:sz w:val="24"/>
              </w:rPr>
              <w:t>1、</w:t>
            </w:r>
            <w:r>
              <w:rPr>
                <w:b/>
                <w:bCs/>
                <w:color w:val="auto"/>
                <w:sz w:val="24"/>
              </w:rPr>
              <w:t>新建线路路径方案比选</w:t>
            </w:r>
          </w:p>
          <w:p w14:paraId="614E3C01">
            <w:pPr>
              <w:adjustRightInd w:val="0"/>
              <w:snapToGrid w:val="0"/>
              <w:spacing w:line="440" w:lineRule="exact"/>
              <w:ind w:firstLine="482" w:firstLineChars="200"/>
              <w:rPr>
                <w:b/>
                <w:bCs/>
                <w:color w:val="auto"/>
                <w:sz w:val="24"/>
              </w:rPr>
            </w:pPr>
            <w:r>
              <w:rPr>
                <w:rFonts w:hint="eastAsia"/>
                <w:b/>
                <w:bCs/>
                <w:color w:val="auto"/>
                <w:sz w:val="24"/>
              </w:rPr>
              <w:t>（1）</w:t>
            </w:r>
            <w:r>
              <w:rPr>
                <w:b/>
                <w:bCs/>
                <w:color w:val="auto"/>
                <w:sz w:val="24"/>
              </w:rPr>
              <w:t>路径方案拟定原则</w:t>
            </w:r>
          </w:p>
          <w:p w14:paraId="0C6A844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color w:val="auto"/>
                <w:sz w:val="24"/>
              </w:rPr>
            </w:pPr>
            <w:r>
              <w:rPr>
                <w:rFonts w:hint="eastAsia"/>
                <w:color w:val="auto"/>
                <w:sz w:val="24"/>
              </w:rPr>
              <w:t>根据系统规划原则，综合考虑施工、运行、交通条件和线路长度等因素，进行多方案比较，使线路走向安全可靠，经济合理。</w:t>
            </w:r>
          </w:p>
          <w:p w14:paraId="6FA8714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color w:val="auto"/>
                <w:sz w:val="24"/>
              </w:rPr>
            </w:pPr>
            <w:r>
              <w:rPr>
                <w:rFonts w:hint="eastAsia"/>
                <w:color w:val="auto"/>
                <w:sz w:val="24"/>
              </w:rPr>
              <w:t>1）根据电力系统规划要求，综合考虑线路长度、地形地貌、地质、水文气象、冰区、交通、林木、矿产、障碍设施、交叉跨越、施工、运行及地方政府意见等因素，结合现场踏勘情况，进行多方案比较，使路径方案安全可靠、环境友好、经济合理。</w:t>
            </w:r>
          </w:p>
          <w:p w14:paraId="450B49C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color w:val="auto"/>
                <w:sz w:val="24"/>
              </w:rPr>
            </w:pPr>
            <w:r>
              <w:rPr>
                <w:rFonts w:hint="eastAsia"/>
                <w:color w:val="auto"/>
                <w:sz w:val="24"/>
              </w:rPr>
              <w:t>2）宜避开军事设施、城镇规划、大型工矿企业等重要设施，并应符合城镇规划，减少线路工程建设对地方发展的影响。</w:t>
            </w:r>
          </w:p>
          <w:p w14:paraId="7379F02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color w:val="auto"/>
                <w:sz w:val="24"/>
              </w:rPr>
            </w:pPr>
            <w:r>
              <w:rPr>
                <w:rFonts w:hint="eastAsia"/>
                <w:color w:val="auto"/>
                <w:sz w:val="24"/>
              </w:rPr>
              <w:t>3）在经济合理的前提下尽量避开高山大岭、恶劣地质区和重冰区、已有的各种矿产采空区、开采区、规划开采区及险恶地形、水网、不良地质地段，尽量避让林木密集覆盖区。</w:t>
            </w:r>
          </w:p>
          <w:p w14:paraId="37C5BE5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color w:val="auto"/>
                <w:sz w:val="24"/>
              </w:rPr>
            </w:pPr>
            <w:r>
              <w:rPr>
                <w:rFonts w:hint="eastAsia"/>
                <w:color w:val="auto"/>
                <w:sz w:val="24"/>
              </w:rPr>
              <w:t>4）宜避开自然保护区、风景名胜区、森林公园、水源保护地、生态严控区等敏感点，无法避开时，应取得相关主管部门意见并做好相关评估报批工作。</w:t>
            </w:r>
          </w:p>
          <w:p w14:paraId="378B789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color w:val="auto"/>
                <w:sz w:val="24"/>
              </w:rPr>
            </w:pPr>
            <w:r>
              <w:rPr>
                <w:rFonts w:hint="eastAsia"/>
                <w:color w:val="auto"/>
                <w:sz w:val="24"/>
              </w:rPr>
              <w:t>5）应考虑与地磁台站、电台、机场、电信线路、油气管线等邻近设施的相互影响。</w:t>
            </w:r>
          </w:p>
          <w:p w14:paraId="35F38A9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color w:val="auto"/>
                <w:sz w:val="24"/>
              </w:rPr>
            </w:pPr>
            <w:r>
              <w:rPr>
                <w:rFonts w:hint="eastAsia"/>
                <w:color w:val="auto"/>
                <w:sz w:val="24"/>
              </w:rPr>
              <w:t>6）尽可能靠近现有国道、省道、县道及乡村公路，改善交通条件，方便施工和运维。</w:t>
            </w:r>
          </w:p>
          <w:p w14:paraId="1A0ECE0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color w:val="auto"/>
                <w:sz w:val="24"/>
              </w:rPr>
            </w:pPr>
            <w:r>
              <w:rPr>
                <w:rFonts w:hint="eastAsia"/>
                <w:color w:val="auto"/>
                <w:sz w:val="24"/>
              </w:rPr>
              <w:t>7）充分考虑地形、地貌，避免大档距、大高差、相邻档距相差悬殊地段。</w:t>
            </w:r>
          </w:p>
          <w:p w14:paraId="313F9274">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color w:val="auto"/>
                <w:sz w:val="24"/>
              </w:rPr>
            </w:pPr>
            <w:r>
              <w:rPr>
                <w:rFonts w:hint="eastAsia"/>
                <w:color w:val="auto"/>
                <w:sz w:val="24"/>
              </w:rPr>
              <w:t>8）在路径选择中，充分体现以人为本、保护环境的意识，尽量避免大面积拆迁民房。</w:t>
            </w:r>
          </w:p>
          <w:p w14:paraId="2C1C2814">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color w:val="auto"/>
                <w:sz w:val="24"/>
              </w:rPr>
            </w:pPr>
            <w:r>
              <w:rPr>
                <w:rFonts w:hint="eastAsia"/>
                <w:color w:val="auto"/>
                <w:sz w:val="24"/>
              </w:rPr>
              <w:t>9）尽量减少与已建送电线路交叉跨越，特别是高电压等级的送电线路，以降低施工过程中的停电损失，提高运行的安全可靠性。</w:t>
            </w:r>
          </w:p>
          <w:p w14:paraId="2FB2CF4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color w:val="auto"/>
                <w:sz w:val="24"/>
              </w:rPr>
            </w:pPr>
            <w:r>
              <w:rPr>
                <w:rFonts w:hint="eastAsia"/>
                <w:color w:val="auto"/>
                <w:sz w:val="24"/>
              </w:rPr>
              <w:t>10）综合考虑与沿线已建、在建、拟建送电线路、公路、铁路及其它设</w:t>
            </w:r>
            <w:r>
              <w:rPr>
                <w:rFonts w:hint="eastAsia"/>
                <w:color w:val="auto"/>
                <w:sz w:val="24"/>
                <w:lang w:eastAsia="zh-CN"/>
              </w:rPr>
              <w:t>施之</w:t>
            </w:r>
            <w:r>
              <w:rPr>
                <w:rFonts w:hint="eastAsia"/>
                <w:color w:val="auto"/>
                <w:sz w:val="24"/>
              </w:rPr>
              <w:t>间的相互关系和影响。</w:t>
            </w:r>
          </w:p>
          <w:p w14:paraId="5C78E5AE">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color w:val="auto"/>
                <w:sz w:val="24"/>
              </w:rPr>
            </w:pPr>
            <w:r>
              <w:rPr>
                <w:rFonts w:hint="eastAsia"/>
                <w:color w:val="auto"/>
                <w:sz w:val="24"/>
              </w:rPr>
              <w:t>11）充分征求相关政府及部门对路径方案的意见和建议，以依法合规建设。</w:t>
            </w:r>
          </w:p>
          <w:p w14:paraId="40B6BF6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color w:val="auto"/>
                <w:sz w:val="24"/>
              </w:rPr>
            </w:pPr>
            <w:r>
              <w:rPr>
                <w:rFonts w:hint="eastAsia"/>
                <w:color w:val="auto"/>
                <w:sz w:val="24"/>
              </w:rPr>
              <w:t>12）尽量利用省、市分界地区，城镇、乡镇之间结合部，利用率较低的土地，减少对地方发展的影响。</w:t>
            </w:r>
          </w:p>
          <w:p w14:paraId="10E72401">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（2）方案描述</w:t>
            </w:r>
          </w:p>
          <w:p w14:paraId="50F2BC7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cs="Times New Roman"/>
                <w:b w:val="0"/>
                <w:bCs w:val="0"/>
                <w:color w:val="auto"/>
                <w:sz w:val="24"/>
                <w:szCs w:val="24"/>
                <w:highlight w:val="none"/>
                <w:lang w:eastAsia="zh-CN"/>
              </w:rPr>
            </w:pPr>
            <w:r>
              <w:rPr>
                <w:rFonts w:hint="default" w:ascii="Times New Roman" w:hAnsi="Times New Roman" w:eastAsia="宋体" w:cs="Times New Roman"/>
                <w:b w:val="0"/>
                <w:bCs w:val="0"/>
                <w:color w:val="auto"/>
                <w:sz w:val="24"/>
                <w:szCs w:val="24"/>
                <w:highlight w:val="none"/>
              </w:rPr>
              <w:t>沿线分布有公益林、稳定耕地、基本农田、矿权</w:t>
            </w:r>
            <w:r>
              <w:rPr>
                <w:rFonts w:hint="default" w:ascii="Times New Roman" w:hAnsi="Times New Roman"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lang w:val="en-US" w:eastAsia="zh-CN"/>
              </w:rPr>
              <w:t>生态保护红线</w:t>
            </w:r>
            <w:r>
              <w:rPr>
                <w:rFonts w:hint="default" w:ascii="Times New Roman" w:hAnsi="Times New Roman" w:eastAsia="宋体" w:cs="Times New Roman"/>
                <w:b w:val="0"/>
                <w:bCs w:val="0"/>
                <w:color w:val="auto"/>
                <w:sz w:val="24"/>
                <w:szCs w:val="24"/>
                <w:highlight w:val="none"/>
              </w:rPr>
              <w:t>等，路径选择需避让。根据《工程</w:t>
            </w:r>
            <w:r>
              <w:rPr>
                <w:rFonts w:hint="eastAsia" w:ascii="Times New Roman" w:hAnsi="Times New Roman" w:eastAsia="宋体" w:cs="Times New Roman"/>
                <w:b w:val="0"/>
                <w:bCs w:val="0"/>
                <w:color w:val="auto"/>
                <w:sz w:val="24"/>
                <w:szCs w:val="24"/>
                <w:highlight w:val="none"/>
                <w:lang w:val="en-US" w:eastAsia="zh-CN"/>
              </w:rPr>
              <w:t>可研</w:t>
            </w:r>
            <w:r>
              <w:rPr>
                <w:rFonts w:hint="default" w:ascii="Times New Roman" w:hAnsi="Times New Roman" w:eastAsia="宋体" w:cs="Times New Roman"/>
                <w:b w:val="0"/>
                <w:bCs w:val="0"/>
                <w:color w:val="auto"/>
                <w:sz w:val="24"/>
                <w:szCs w:val="24"/>
                <w:highlight w:val="none"/>
              </w:rPr>
              <w:t>报告》</w:t>
            </w:r>
            <w:r>
              <w:rPr>
                <w:rFonts w:hint="default" w:ascii="Times New Roman" w:hAnsi="Times New Roman" w:cs="Times New Roman"/>
                <w:b w:val="0"/>
                <w:bCs w:val="0"/>
                <w:color w:val="auto"/>
                <w:sz w:val="24"/>
                <w:szCs w:val="24"/>
                <w:highlight w:val="none"/>
                <w:lang w:eastAsia="zh-CN"/>
              </w:rPr>
              <w:t>，新建</w:t>
            </w:r>
            <w:r>
              <w:rPr>
                <w:rFonts w:hint="eastAsia" w:ascii="Times New Roman" w:hAnsi="Times New Roman" w:cs="Times New Roman"/>
                <w:b w:val="0"/>
                <w:bCs w:val="0"/>
                <w:color w:val="auto"/>
                <w:sz w:val="24"/>
                <w:szCs w:val="24"/>
                <w:highlight w:val="none"/>
                <w:lang w:val="en-US" w:eastAsia="zh-CN"/>
              </w:rPr>
              <w:t>11</w:t>
            </w:r>
            <w:r>
              <w:rPr>
                <w:rFonts w:hint="default" w:ascii="Times New Roman" w:hAnsi="Times New Roman" w:cs="Times New Roman"/>
                <w:b w:val="0"/>
                <w:bCs w:val="0"/>
                <w:color w:val="auto"/>
                <w:sz w:val="24"/>
                <w:szCs w:val="24"/>
                <w:highlight w:val="none"/>
                <w:lang w:eastAsia="zh-CN"/>
              </w:rPr>
              <w:t>0kV线路考虑</w:t>
            </w:r>
            <w:r>
              <w:rPr>
                <w:rFonts w:hint="default" w:ascii="Times New Roman" w:hAnsi="Times New Roman" w:cs="Times New Roman"/>
                <w:b w:val="0"/>
                <w:bCs w:val="0"/>
                <w:color w:val="auto"/>
                <w:sz w:val="24"/>
                <w:szCs w:val="24"/>
                <w:highlight w:val="none"/>
                <w:lang w:val="en-US" w:eastAsia="zh-CN"/>
              </w:rPr>
              <w:t>2</w:t>
            </w:r>
            <w:r>
              <w:rPr>
                <w:rFonts w:hint="default" w:ascii="Times New Roman" w:hAnsi="Times New Roman" w:cs="Times New Roman"/>
                <w:b w:val="0"/>
                <w:bCs w:val="0"/>
                <w:color w:val="auto"/>
                <w:sz w:val="24"/>
                <w:szCs w:val="24"/>
                <w:highlight w:val="none"/>
                <w:lang w:eastAsia="zh-CN"/>
              </w:rPr>
              <w:t>个方案，叙述如下：</w:t>
            </w:r>
          </w:p>
          <w:p w14:paraId="7E3C6FC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cs="Times New Roman"/>
                <w:b w:val="0"/>
                <w:bCs w:val="0"/>
                <w:color w:val="auto"/>
                <w:sz w:val="24"/>
                <w:szCs w:val="24"/>
                <w:highlight w:val="none"/>
                <w:lang w:eastAsia="zh-CN"/>
              </w:rPr>
            </w:pPr>
            <w:r>
              <w:rPr>
                <w:rFonts w:hint="default" w:ascii="Times New Roman" w:hAnsi="Times New Roman" w:cs="Times New Roman"/>
                <w:b w:val="0"/>
                <w:bCs w:val="0"/>
                <w:i w:val="0"/>
                <w:iCs w:val="0"/>
                <w:color w:val="auto"/>
                <w:sz w:val="24"/>
                <w:szCs w:val="24"/>
                <w:highlight w:val="none"/>
                <w:lang w:val="en-US" w:eastAsia="zh-CN"/>
              </w:rPr>
              <w:t>1</w:t>
            </w:r>
            <w:r>
              <w:rPr>
                <w:rFonts w:hint="default" w:ascii="Times New Roman" w:hAnsi="Times New Roman" w:cs="Times New Roman"/>
                <w:b w:val="0"/>
                <w:bCs w:val="0"/>
                <w:i w:val="0"/>
                <w:iCs w:val="0"/>
                <w:color w:val="auto"/>
                <w:sz w:val="24"/>
                <w:szCs w:val="24"/>
                <w:highlight w:val="none"/>
                <w:lang w:eastAsia="zh-CN"/>
              </w:rPr>
              <w:t>）方案</w:t>
            </w:r>
            <w:r>
              <w:rPr>
                <w:rFonts w:hint="default" w:ascii="Times New Roman" w:hAnsi="Times New Roman" w:cs="Times New Roman"/>
                <w:b w:val="0"/>
                <w:bCs w:val="0"/>
                <w:i w:val="0"/>
                <w:iCs w:val="0"/>
                <w:color w:val="auto"/>
                <w:sz w:val="24"/>
                <w:szCs w:val="24"/>
                <w:highlight w:val="none"/>
                <w:lang w:val="en-US" w:eastAsia="zh-CN"/>
              </w:rPr>
              <w:t>一</w:t>
            </w:r>
          </w:p>
          <w:p w14:paraId="0666E46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线路从大草房光伏电站出线构架架空出线后，向北出线后右转从大山沟北面山脊走线，到达鲁珠河前右转，跨过鲁珠河，在山脊上跨过</w:t>
            </w:r>
            <w:r>
              <w:rPr>
                <w:rFonts w:hint="eastAsia" w:ascii="Times New Roman" w:hAnsi="Times New Roman" w:cs="Times New Roman"/>
                <w:b w:val="0"/>
                <w:bCs w:val="0"/>
                <w:color w:val="auto"/>
                <w:sz w:val="24"/>
                <w:szCs w:val="24"/>
                <w:highlight w:val="none"/>
                <w:lang w:val="en-US" w:eastAsia="zh-CN"/>
              </w:rPr>
              <w:t>生态保护红线</w:t>
            </w:r>
            <w:r>
              <w:rPr>
                <w:rFonts w:hint="default" w:ascii="Times New Roman" w:hAnsi="Times New Roman" w:cs="Times New Roman"/>
                <w:b w:val="0"/>
                <w:bCs w:val="0"/>
                <w:color w:val="auto"/>
                <w:sz w:val="24"/>
                <w:szCs w:val="24"/>
                <w:highlight w:val="none"/>
                <w:lang w:val="en-US" w:eastAsia="zh-CN"/>
              </w:rPr>
              <w:t>，在石堆窝北面跨过铜沟河到达水井湾和荒沟中间山顶，</w:t>
            </w:r>
            <w:r>
              <w:rPr>
                <w:rFonts w:hint="eastAsia" w:ascii="Times New Roman" w:hAnsi="Times New Roman" w:cs="Times New Roman"/>
                <w:b w:val="0"/>
                <w:bCs w:val="0"/>
                <w:color w:val="auto"/>
                <w:sz w:val="24"/>
                <w:szCs w:val="24"/>
                <w:highlight w:val="none"/>
                <w:lang w:val="en-US" w:eastAsia="zh-CN"/>
              </w:rPr>
              <w:t>左转</w:t>
            </w:r>
            <w:r>
              <w:rPr>
                <w:rFonts w:hint="default" w:ascii="Times New Roman" w:hAnsi="Times New Roman" w:cs="Times New Roman"/>
                <w:b w:val="0"/>
                <w:bCs w:val="0"/>
                <w:color w:val="auto"/>
                <w:sz w:val="24"/>
                <w:szCs w:val="24"/>
                <w:highlight w:val="none"/>
                <w:lang w:val="en-US" w:eastAsia="zh-CN"/>
              </w:rPr>
              <w:t>从水井湾和荒沟之间走线到荒沟北面，右转沿山脊到达马家田北面山脊，</w:t>
            </w:r>
            <w:r>
              <w:rPr>
                <w:rFonts w:hint="eastAsia" w:ascii="Times New Roman" w:hAnsi="Times New Roman" w:cs="Times New Roman"/>
                <w:b w:val="0"/>
                <w:bCs w:val="0"/>
                <w:color w:val="auto"/>
                <w:sz w:val="24"/>
                <w:szCs w:val="24"/>
                <w:highlight w:val="none"/>
                <w:lang w:val="en-US" w:eastAsia="zh-CN"/>
              </w:rPr>
              <w:t>左转</w:t>
            </w:r>
            <w:r>
              <w:rPr>
                <w:rFonts w:hint="default" w:ascii="Times New Roman" w:hAnsi="Times New Roman" w:cs="Times New Roman"/>
                <w:b w:val="0"/>
                <w:bCs w:val="0"/>
                <w:color w:val="auto"/>
                <w:sz w:val="24"/>
                <w:szCs w:val="24"/>
                <w:highlight w:val="none"/>
                <w:lang w:val="en-US" w:eastAsia="zh-CN"/>
              </w:rPr>
              <w:t>到达北面山脊，右转穿过500kV铜永甲线；</w:t>
            </w:r>
            <w:r>
              <w:rPr>
                <w:rFonts w:hint="eastAsia" w:ascii="Times New Roman" w:hAnsi="Times New Roman" w:cs="Times New Roman"/>
                <w:b w:val="0"/>
                <w:bCs w:val="0"/>
                <w:color w:val="auto"/>
                <w:sz w:val="24"/>
                <w:szCs w:val="24"/>
                <w:highlight w:val="none"/>
                <w:lang w:val="en-US" w:eastAsia="zh-CN"/>
              </w:rPr>
              <w:t>到达</w:t>
            </w:r>
            <w:r>
              <w:rPr>
                <w:rFonts w:hint="default" w:ascii="Times New Roman" w:hAnsi="Times New Roman" w:cs="Times New Roman"/>
                <w:b w:val="0"/>
                <w:bCs w:val="0"/>
                <w:color w:val="auto"/>
                <w:sz w:val="24"/>
                <w:szCs w:val="24"/>
                <w:highlight w:val="none"/>
                <w:lang w:val="en-US" w:eastAsia="zh-CN"/>
              </w:rPr>
              <w:t>上寨，右转在上寨、丁家塘、唐家小脑包、箐门前北面走线，在冷水沟前右转，从箐里头和包谷箐之间穿过到达六合一光伏电站西北面，连续右转和六合至乐业变220kV送出线路并排进入六合一光伏电站。曲折系数1.25。线路长度16km</w:t>
            </w:r>
            <w:r>
              <w:rPr>
                <w:rFonts w:hint="eastAsia" w:ascii="Times New Roman" w:hAnsi="Times New Roman" w:cs="Times New Roman"/>
                <w:b w:val="0"/>
                <w:bCs w:val="0"/>
                <w:color w:val="auto"/>
                <w:sz w:val="24"/>
                <w:szCs w:val="24"/>
                <w:highlight w:val="none"/>
                <w:lang w:val="en-US" w:eastAsia="zh-CN"/>
              </w:rPr>
              <w:t>，均为架空线路。</w:t>
            </w:r>
          </w:p>
          <w:p w14:paraId="7E86930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cs="Times New Roman"/>
                <w:b w:val="0"/>
                <w:bCs w:val="0"/>
                <w:color w:val="auto"/>
                <w:sz w:val="24"/>
                <w:szCs w:val="24"/>
                <w:highlight w:val="none"/>
                <w:lang w:eastAsia="zh-CN"/>
              </w:rPr>
            </w:pPr>
            <w:r>
              <w:rPr>
                <w:rFonts w:hint="default" w:ascii="Times New Roman" w:hAnsi="Times New Roman" w:cs="Times New Roman"/>
                <w:b w:val="0"/>
                <w:bCs w:val="0"/>
                <w:color w:val="auto"/>
                <w:sz w:val="24"/>
                <w:szCs w:val="24"/>
                <w:highlight w:val="none"/>
                <w:lang w:val="en-US" w:eastAsia="zh-CN"/>
              </w:rPr>
              <w:t>2</w:t>
            </w:r>
            <w:r>
              <w:rPr>
                <w:rFonts w:hint="default" w:ascii="Times New Roman" w:hAnsi="Times New Roman" w:cs="Times New Roman"/>
                <w:b w:val="0"/>
                <w:bCs w:val="0"/>
                <w:color w:val="auto"/>
                <w:sz w:val="24"/>
                <w:szCs w:val="24"/>
                <w:highlight w:val="none"/>
                <w:lang w:eastAsia="zh-CN"/>
              </w:rPr>
              <w:t>）方案</w:t>
            </w:r>
            <w:r>
              <w:rPr>
                <w:rFonts w:hint="default" w:ascii="Times New Roman" w:hAnsi="Times New Roman" w:cs="Times New Roman"/>
                <w:b w:val="0"/>
                <w:bCs w:val="0"/>
                <w:color w:val="auto"/>
                <w:sz w:val="24"/>
                <w:szCs w:val="24"/>
                <w:highlight w:val="none"/>
                <w:lang w:val="en-US" w:eastAsia="zh-CN"/>
              </w:rPr>
              <w:t>二</w:t>
            </w:r>
          </w:p>
          <w:p w14:paraId="0D9582A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线路自拟建大草房110kV光伏升压站110kV侧向西南方向架空出线，随后立即右转向东北方向走线，避开光伏厂区，与规划500kV线路并行继续向东北方向走线，</w:t>
            </w:r>
            <w:r>
              <w:rPr>
                <w:rFonts w:hint="eastAsia" w:ascii="Times New Roman" w:hAnsi="Times New Roman" w:eastAsia="宋体" w:cs="Times New Roman"/>
                <w:b w:val="0"/>
                <w:bCs w:val="0"/>
                <w:color w:val="auto"/>
                <w:sz w:val="24"/>
                <w:szCs w:val="24"/>
                <w:highlight w:val="none"/>
                <w:lang w:val="en-US" w:eastAsia="zh-CN"/>
              </w:rPr>
              <w:t>途经</w:t>
            </w:r>
            <w:r>
              <w:rPr>
                <w:rFonts w:hint="default" w:ascii="Times New Roman" w:hAnsi="Times New Roman" w:eastAsia="宋体" w:cs="Times New Roman"/>
                <w:b w:val="0"/>
                <w:bCs w:val="0"/>
                <w:color w:val="auto"/>
                <w:sz w:val="24"/>
                <w:szCs w:val="24"/>
                <w:highlight w:val="none"/>
                <w:lang w:val="en-US" w:eastAsia="zh-CN"/>
              </w:rPr>
              <w:t>石砌窝、水井湾、红地丫口、康家箐、围家箐、王家村至六合升压站附近，随后架空引下转为电缆走线，最终接至拟建220kV六合升压站110kV侧进线间隔。架空线路全线单回路架设，新建线路路径长度约18.24km，其中架空线路路径长度约17.94km，电缆路径长0.3km。曲折系数1.4。</w:t>
            </w:r>
          </w:p>
          <w:p w14:paraId="554B9A84">
            <w:pPr>
              <w:pStyle w:val="3"/>
              <w:spacing w:line="240" w:lineRule="auto"/>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lang w:val="en-US" w:eastAsia="zh-CN"/>
              </w:rPr>
              <w:t>表2-</w:t>
            </w:r>
            <w:r>
              <w:rPr>
                <w:rFonts w:hint="eastAsia" w:ascii="Times New Roman" w:hAnsi="Times New Roman" w:cs="Times New Roman"/>
                <w:b/>
                <w:color w:val="auto"/>
                <w:sz w:val="24"/>
                <w:highlight w:val="none"/>
                <w:lang w:val="en-US" w:eastAsia="zh-CN"/>
              </w:rPr>
              <w:t>10</w:t>
            </w:r>
            <w:r>
              <w:rPr>
                <w:rFonts w:hint="default" w:ascii="Times New Roman" w:hAnsi="Times New Roman" w:cs="Times New Roman"/>
                <w:b/>
                <w:color w:val="auto"/>
                <w:sz w:val="24"/>
                <w:highlight w:val="none"/>
                <w:lang w:val="en-US" w:eastAsia="zh-CN"/>
              </w:rPr>
              <w:t xml:space="preserve">  </w:t>
            </w:r>
            <w:r>
              <w:rPr>
                <w:rFonts w:hint="default" w:ascii="Times New Roman" w:hAnsi="Times New Roman" w:cs="Times New Roman"/>
                <w:b/>
                <w:color w:val="auto"/>
                <w:sz w:val="24"/>
                <w:highlight w:val="none"/>
              </w:rPr>
              <w:t>线路路径方案综合比较表</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1263"/>
              <w:gridCol w:w="2961"/>
              <w:gridCol w:w="3179"/>
            </w:tblGrid>
            <w:tr w14:paraId="7A00B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9" w:type="pct"/>
                  <w:tcBorders>
                    <w:tl2br w:val="nil"/>
                    <w:tr2bl w:val="nil"/>
                  </w:tcBorders>
                  <w:noWrap w:val="0"/>
                  <w:vAlign w:val="center"/>
                </w:tcPr>
                <w:p w14:paraId="06A7467A">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序号</w:t>
                  </w:r>
                </w:p>
              </w:tc>
              <w:tc>
                <w:tcPr>
                  <w:tcW w:w="787" w:type="pct"/>
                  <w:tcBorders>
                    <w:tl2br w:val="nil"/>
                    <w:tr2bl w:val="nil"/>
                  </w:tcBorders>
                  <w:noWrap w:val="0"/>
                  <w:vAlign w:val="center"/>
                </w:tcPr>
                <w:p w14:paraId="4D1315E1">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项目</w:t>
                  </w:r>
                </w:p>
              </w:tc>
              <w:tc>
                <w:tcPr>
                  <w:tcW w:w="1848" w:type="pct"/>
                  <w:tcBorders>
                    <w:tl2br w:val="nil"/>
                    <w:tr2bl w:val="nil"/>
                  </w:tcBorders>
                  <w:noWrap w:val="0"/>
                  <w:vAlign w:val="center"/>
                </w:tcPr>
                <w:p w14:paraId="79DF33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kern w:val="2"/>
                      <w:sz w:val="21"/>
                      <w:szCs w:val="21"/>
                      <w:highlight w:val="none"/>
                      <w:lang w:val="en-US" w:eastAsia="zh-CN" w:bidi="ar-SA"/>
                    </w:rPr>
                  </w:pPr>
                  <w:r>
                    <w:rPr>
                      <w:rFonts w:hint="default" w:ascii="Times New Roman" w:hAnsi="Times New Roman" w:eastAsia="宋体" w:cs="Times New Roman"/>
                      <w:b/>
                      <w:bCs w:val="0"/>
                      <w:color w:val="auto"/>
                      <w:kern w:val="2"/>
                      <w:sz w:val="21"/>
                      <w:szCs w:val="21"/>
                      <w:highlight w:val="none"/>
                      <w:lang w:val="en-US" w:eastAsia="zh-CN" w:bidi="ar-SA"/>
                    </w:rPr>
                    <w:t>路径方案一</w:t>
                  </w:r>
                </w:p>
              </w:tc>
              <w:tc>
                <w:tcPr>
                  <w:tcW w:w="1984" w:type="pct"/>
                  <w:tcBorders>
                    <w:tl2br w:val="nil"/>
                    <w:tr2bl w:val="nil"/>
                  </w:tcBorders>
                  <w:noWrap w:val="0"/>
                  <w:vAlign w:val="center"/>
                </w:tcPr>
                <w:p w14:paraId="1D7880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kern w:val="2"/>
                      <w:sz w:val="21"/>
                      <w:szCs w:val="21"/>
                      <w:highlight w:val="none"/>
                      <w:lang w:val="en-US" w:eastAsia="zh-CN" w:bidi="ar-SA"/>
                    </w:rPr>
                  </w:pPr>
                  <w:r>
                    <w:rPr>
                      <w:rFonts w:hint="default" w:ascii="Times New Roman" w:hAnsi="Times New Roman" w:eastAsia="宋体" w:cs="Times New Roman"/>
                      <w:b/>
                      <w:bCs w:val="0"/>
                      <w:color w:val="auto"/>
                      <w:kern w:val="2"/>
                      <w:sz w:val="21"/>
                      <w:szCs w:val="21"/>
                      <w:highlight w:val="none"/>
                      <w:lang w:val="en-US" w:eastAsia="zh-CN" w:bidi="ar-SA"/>
                    </w:rPr>
                    <w:t>路径方案二</w:t>
                  </w:r>
                </w:p>
              </w:tc>
            </w:tr>
            <w:tr w14:paraId="78ECE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9" w:type="pct"/>
                  <w:tcBorders>
                    <w:tl2br w:val="nil"/>
                    <w:tr2bl w:val="nil"/>
                  </w:tcBorders>
                  <w:noWrap w:val="0"/>
                  <w:vAlign w:val="center"/>
                </w:tcPr>
                <w:p w14:paraId="7063B751">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w:t>
                  </w:r>
                </w:p>
              </w:tc>
              <w:tc>
                <w:tcPr>
                  <w:tcW w:w="787" w:type="pct"/>
                  <w:tcBorders>
                    <w:tl2br w:val="nil"/>
                    <w:tr2bl w:val="nil"/>
                  </w:tcBorders>
                  <w:noWrap w:val="0"/>
                  <w:vAlign w:val="center"/>
                </w:tcPr>
                <w:p w14:paraId="14182507">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线路长度</w:t>
                  </w:r>
                </w:p>
              </w:tc>
              <w:tc>
                <w:tcPr>
                  <w:tcW w:w="1848" w:type="pct"/>
                  <w:tcBorders>
                    <w:tl2br w:val="nil"/>
                    <w:tr2bl w:val="nil"/>
                  </w:tcBorders>
                  <w:noWrap w:val="0"/>
                  <w:vAlign w:val="center"/>
                </w:tcPr>
                <w:p w14:paraId="246BD1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16.0</w:t>
                  </w:r>
                  <w:r>
                    <w:rPr>
                      <w:rFonts w:hint="default" w:ascii="Times New Roman" w:hAnsi="Times New Roman" w:eastAsia="宋体" w:cs="Times New Roman"/>
                      <w:color w:val="auto"/>
                      <w:sz w:val="21"/>
                      <w:szCs w:val="21"/>
                      <w:highlight w:val="none"/>
                    </w:rPr>
                    <w:t>km</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架空</w:t>
                  </w:r>
                  <w:r>
                    <w:rPr>
                      <w:rFonts w:hint="eastAsia" w:ascii="Times New Roman" w:hAnsi="Times New Roman" w:eastAsia="宋体" w:cs="Times New Roman"/>
                      <w:color w:val="auto"/>
                      <w:sz w:val="21"/>
                      <w:szCs w:val="21"/>
                      <w:highlight w:val="none"/>
                      <w:lang w:eastAsia="zh-CN"/>
                    </w:rPr>
                    <w:t>）</w:t>
                  </w:r>
                </w:p>
              </w:tc>
              <w:tc>
                <w:tcPr>
                  <w:tcW w:w="1984" w:type="pct"/>
                  <w:tcBorders>
                    <w:tl2br w:val="nil"/>
                    <w:tr2bl w:val="nil"/>
                  </w:tcBorders>
                  <w:noWrap w:val="0"/>
                  <w:vAlign w:val="center"/>
                </w:tcPr>
                <w:p w14:paraId="04B499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18.24</w:t>
                  </w:r>
                  <w:r>
                    <w:rPr>
                      <w:rFonts w:hint="default" w:ascii="Times New Roman" w:hAnsi="Times New Roman" w:eastAsia="宋体" w:cs="Times New Roman"/>
                      <w:color w:val="auto"/>
                      <w:sz w:val="21"/>
                      <w:szCs w:val="21"/>
                      <w:highlight w:val="none"/>
                    </w:rPr>
                    <w:t>km</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架空+电缆</w:t>
                  </w:r>
                  <w:r>
                    <w:rPr>
                      <w:rFonts w:hint="eastAsia" w:ascii="Times New Roman" w:hAnsi="Times New Roman" w:eastAsia="宋体" w:cs="Times New Roman"/>
                      <w:color w:val="auto"/>
                      <w:sz w:val="21"/>
                      <w:szCs w:val="21"/>
                      <w:highlight w:val="none"/>
                      <w:lang w:eastAsia="zh-CN"/>
                    </w:rPr>
                    <w:t>）</w:t>
                  </w:r>
                </w:p>
              </w:tc>
            </w:tr>
            <w:tr w14:paraId="6FBBC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9" w:type="pct"/>
                  <w:tcBorders>
                    <w:tl2br w:val="nil"/>
                    <w:tr2bl w:val="nil"/>
                  </w:tcBorders>
                  <w:noWrap w:val="0"/>
                  <w:vAlign w:val="center"/>
                </w:tcPr>
                <w:p w14:paraId="517325AB">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2</w:t>
                  </w:r>
                </w:p>
              </w:tc>
              <w:tc>
                <w:tcPr>
                  <w:tcW w:w="787" w:type="pct"/>
                  <w:tcBorders>
                    <w:tl2br w:val="nil"/>
                    <w:tr2bl w:val="nil"/>
                  </w:tcBorders>
                  <w:noWrap w:val="0"/>
                  <w:vAlign w:val="center"/>
                </w:tcPr>
                <w:p w14:paraId="21511A08">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曲折系数</w:t>
                  </w:r>
                </w:p>
              </w:tc>
              <w:tc>
                <w:tcPr>
                  <w:tcW w:w="1848" w:type="pct"/>
                  <w:tcBorders>
                    <w:tl2br w:val="nil"/>
                    <w:tr2bl w:val="nil"/>
                  </w:tcBorders>
                  <w:noWrap w:val="0"/>
                  <w:vAlign w:val="center"/>
                </w:tcPr>
                <w:p w14:paraId="58F8B818">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1.25</w:t>
                  </w:r>
                </w:p>
              </w:tc>
              <w:tc>
                <w:tcPr>
                  <w:tcW w:w="1984" w:type="pct"/>
                  <w:tcBorders>
                    <w:tl2br w:val="nil"/>
                    <w:tr2bl w:val="nil"/>
                  </w:tcBorders>
                  <w:noWrap w:val="0"/>
                  <w:vAlign w:val="center"/>
                </w:tcPr>
                <w:p w14:paraId="6CF54DC1">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1.</w:t>
                  </w:r>
                  <w:r>
                    <w:rPr>
                      <w:rFonts w:hint="default" w:ascii="Times New Roman" w:hAnsi="Times New Roman" w:eastAsia="宋体" w:cs="Times New Roman"/>
                      <w:bCs/>
                      <w:color w:val="auto"/>
                      <w:sz w:val="21"/>
                      <w:szCs w:val="21"/>
                      <w:highlight w:val="none"/>
                      <w:lang w:val="en-US" w:eastAsia="zh-CN"/>
                    </w:rPr>
                    <w:t>4</w:t>
                  </w:r>
                </w:p>
              </w:tc>
            </w:tr>
            <w:tr w14:paraId="60F9A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9" w:type="pct"/>
                  <w:tcBorders>
                    <w:tl2br w:val="nil"/>
                    <w:tr2bl w:val="nil"/>
                  </w:tcBorders>
                  <w:noWrap w:val="0"/>
                  <w:vAlign w:val="center"/>
                </w:tcPr>
                <w:p w14:paraId="5F91F00B">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3</w:t>
                  </w:r>
                </w:p>
              </w:tc>
              <w:tc>
                <w:tcPr>
                  <w:tcW w:w="787" w:type="pct"/>
                  <w:tcBorders>
                    <w:tl2br w:val="nil"/>
                    <w:tr2bl w:val="nil"/>
                  </w:tcBorders>
                  <w:noWrap w:val="0"/>
                  <w:vAlign w:val="center"/>
                </w:tcPr>
                <w:p w14:paraId="151CA8E9">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杆塔用量</w:t>
                  </w:r>
                </w:p>
              </w:tc>
              <w:tc>
                <w:tcPr>
                  <w:tcW w:w="1848" w:type="pct"/>
                  <w:tcBorders>
                    <w:tl2br w:val="nil"/>
                    <w:tr2bl w:val="nil"/>
                  </w:tcBorders>
                  <w:noWrap w:val="0"/>
                  <w:vAlign w:val="center"/>
                </w:tcPr>
                <w:p w14:paraId="01E3D3D3">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45</w:t>
                  </w:r>
                  <w:r>
                    <w:rPr>
                      <w:rFonts w:hint="default" w:ascii="Times New Roman" w:hAnsi="Times New Roman" w:eastAsia="宋体" w:cs="Times New Roman"/>
                      <w:bCs/>
                      <w:color w:val="auto"/>
                      <w:sz w:val="21"/>
                      <w:szCs w:val="21"/>
                      <w:highlight w:val="none"/>
                    </w:rPr>
                    <w:t>基</w:t>
                  </w:r>
                </w:p>
              </w:tc>
              <w:tc>
                <w:tcPr>
                  <w:tcW w:w="1984" w:type="pct"/>
                  <w:tcBorders>
                    <w:tl2br w:val="nil"/>
                    <w:tr2bl w:val="nil"/>
                  </w:tcBorders>
                  <w:noWrap w:val="0"/>
                  <w:vAlign w:val="center"/>
                </w:tcPr>
                <w:p w14:paraId="0CA3B0CF">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bCs/>
                      <w:color w:val="auto"/>
                      <w:sz w:val="21"/>
                      <w:szCs w:val="21"/>
                      <w:highlight w:val="none"/>
                      <w:lang w:val="en-US" w:eastAsia="zh-CN"/>
                    </w:rPr>
                    <w:t>48</w:t>
                  </w:r>
                  <w:r>
                    <w:rPr>
                      <w:rFonts w:hint="default" w:ascii="Times New Roman" w:hAnsi="Times New Roman" w:eastAsia="宋体" w:cs="Times New Roman"/>
                      <w:bCs/>
                      <w:color w:val="auto"/>
                      <w:sz w:val="21"/>
                      <w:szCs w:val="21"/>
                      <w:highlight w:val="none"/>
                      <w:lang w:eastAsia="zh-CN"/>
                    </w:rPr>
                    <w:t>基</w:t>
                  </w:r>
                </w:p>
              </w:tc>
            </w:tr>
            <w:tr w14:paraId="2FD47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9" w:type="pct"/>
                  <w:tcBorders>
                    <w:tl2br w:val="nil"/>
                    <w:tr2bl w:val="nil"/>
                  </w:tcBorders>
                  <w:noWrap w:val="0"/>
                  <w:vAlign w:val="center"/>
                </w:tcPr>
                <w:p w14:paraId="39EFFB25">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4</w:t>
                  </w:r>
                </w:p>
              </w:tc>
              <w:tc>
                <w:tcPr>
                  <w:tcW w:w="787" w:type="pct"/>
                  <w:tcBorders>
                    <w:tl2br w:val="nil"/>
                    <w:tr2bl w:val="nil"/>
                  </w:tcBorders>
                  <w:noWrap w:val="0"/>
                  <w:vAlign w:val="center"/>
                </w:tcPr>
                <w:p w14:paraId="3155AC94">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基本农田</w:t>
                  </w:r>
                </w:p>
              </w:tc>
              <w:tc>
                <w:tcPr>
                  <w:tcW w:w="1848" w:type="pct"/>
                  <w:tcBorders>
                    <w:tl2br w:val="nil"/>
                    <w:tr2bl w:val="nil"/>
                  </w:tcBorders>
                  <w:noWrap w:val="0"/>
                  <w:vAlign w:val="center"/>
                </w:tcPr>
                <w:p w14:paraId="38988676">
                  <w:pPr>
                    <w:pStyle w:val="1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线路</w:t>
                  </w:r>
                  <w:r>
                    <w:rPr>
                      <w:rFonts w:hint="default" w:ascii="Times New Roman" w:hAnsi="Times New Roman" w:eastAsia="宋体" w:cs="Times New Roman"/>
                      <w:bCs/>
                      <w:color w:val="auto"/>
                      <w:sz w:val="21"/>
                      <w:szCs w:val="21"/>
                      <w:highlight w:val="none"/>
                    </w:rPr>
                    <w:t>已避让</w:t>
                  </w:r>
                  <w:r>
                    <w:rPr>
                      <w:rFonts w:hint="default" w:ascii="Times New Roman" w:hAnsi="Times New Roman" w:eastAsia="宋体" w:cs="Times New Roman"/>
                      <w:bCs/>
                      <w:color w:val="auto"/>
                      <w:sz w:val="21"/>
                      <w:szCs w:val="21"/>
                      <w:highlight w:val="none"/>
                      <w:lang w:val="en-US" w:eastAsia="zh-CN"/>
                    </w:rPr>
                    <w:t>基本农田，塔基不涉及占用基本农田，</w:t>
                  </w:r>
                  <w:r>
                    <w:rPr>
                      <w:rFonts w:hint="default" w:ascii="Times New Roman" w:hAnsi="Times New Roman" w:eastAsia="宋体" w:cs="Times New Roman"/>
                      <w:color w:val="auto"/>
                      <w:sz w:val="21"/>
                      <w:szCs w:val="21"/>
                      <w:highlight w:val="none"/>
                      <w:lang w:val="en-US" w:eastAsia="zh-CN"/>
                    </w:rPr>
                    <w:t>线路约100.5m跨越</w:t>
                  </w:r>
                  <w:r>
                    <w:rPr>
                      <w:rFonts w:hint="default" w:ascii="Times New Roman" w:hAnsi="Times New Roman" w:eastAsia="宋体" w:cs="Times New Roman"/>
                      <w:bCs/>
                      <w:color w:val="auto"/>
                      <w:sz w:val="21"/>
                      <w:szCs w:val="21"/>
                      <w:highlight w:val="none"/>
                    </w:rPr>
                    <w:t>基本农田</w:t>
                  </w:r>
                  <w:r>
                    <w:rPr>
                      <w:rFonts w:hint="default" w:ascii="Times New Roman" w:hAnsi="Times New Roman" w:eastAsia="宋体" w:cs="Times New Roman"/>
                      <w:bCs/>
                      <w:color w:val="auto"/>
                      <w:sz w:val="21"/>
                      <w:szCs w:val="21"/>
                      <w:highlight w:val="none"/>
                      <w:lang w:val="en-US" w:eastAsia="zh-CN"/>
                    </w:rPr>
                    <w:t>区域</w:t>
                  </w:r>
                </w:p>
              </w:tc>
              <w:tc>
                <w:tcPr>
                  <w:tcW w:w="1984" w:type="pct"/>
                  <w:tcBorders>
                    <w:tl2br w:val="nil"/>
                    <w:tr2bl w:val="nil"/>
                  </w:tcBorders>
                  <w:noWrap w:val="0"/>
                  <w:vAlign w:val="center"/>
                </w:tcPr>
                <w:p w14:paraId="5FAFAB58">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线路无法</w:t>
                  </w:r>
                  <w:r>
                    <w:rPr>
                      <w:rFonts w:hint="default" w:ascii="Times New Roman" w:hAnsi="Times New Roman" w:eastAsia="宋体" w:cs="Times New Roman"/>
                      <w:bCs/>
                      <w:color w:val="auto"/>
                      <w:sz w:val="21"/>
                      <w:szCs w:val="21"/>
                      <w:highlight w:val="none"/>
                    </w:rPr>
                    <w:t>避让基本农田</w:t>
                  </w:r>
                  <w:r>
                    <w:rPr>
                      <w:rFonts w:hint="default" w:ascii="Times New Roman" w:hAnsi="Times New Roman" w:eastAsia="宋体"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lang w:val="en-US" w:eastAsia="zh-CN"/>
                    </w:rPr>
                    <w:t>线路约163.2m跨越基本农田区域，1基塔涉及占用基本农田，占用面积约0.01公顷</w:t>
                  </w:r>
                </w:p>
              </w:tc>
            </w:tr>
            <w:tr w14:paraId="433A5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9" w:type="pct"/>
                  <w:tcBorders>
                    <w:tl2br w:val="nil"/>
                    <w:tr2bl w:val="nil"/>
                  </w:tcBorders>
                  <w:noWrap w:val="0"/>
                  <w:vAlign w:val="center"/>
                </w:tcPr>
                <w:p w14:paraId="3373132B">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5</w:t>
                  </w:r>
                </w:p>
              </w:tc>
              <w:tc>
                <w:tcPr>
                  <w:tcW w:w="787" w:type="pct"/>
                  <w:tcBorders>
                    <w:tl2br w:val="nil"/>
                    <w:tr2bl w:val="nil"/>
                  </w:tcBorders>
                  <w:noWrap w:val="0"/>
                  <w:vAlign w:val="center"/>
                </w:tcPr>
                <w:p w14:paraId="5496B3CC">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bCs/>
                      <w:color w:val="auto"/>
                      <w:sz w:val="21"/>
                      <w:szCs w:val="21"/>
                      <w:highlight w:val="none"/>
                      <w:lang w:eastAsia="zh-CN"/>
                    </w:rPr>
                    <w:t>生态保护红线</w:t>
                  </w:r>
                </w:p>
              </w:tc>
              <w:tc>
                <w:tcPr>
                  <w:tcW w:w="1848" w:type="pct"/>
                  <w:tcBorders>
                    <w:tl2br w:val="nil"/>
                    <w:tr2bl w:val="nil"/>
                  </w:tcBorders>
                  <w:noWrap w:val="0"/>
                  <w:vAlign w:val="center"/>
                </w:tcPr>
                <w:p w14:paraId="71636452">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线路约89.2</w:t>
                  </w:r>
                  <w:r>
                    <w:rPr>
                      <w:rFonts w:hint="default" w:ascii="Times New Roman" w:hAnsi="Times New Roman" w:eastAsia="宋体" w:cs="Times New Roman"/>
                      <w:bCs/>
                      <w:color w:val="auto"/>
                      <w:sz w:val="21"/>
                      <w:szCs w:val="21"/>
                      <w:highlight w:val="none"/>
                    </w:rPr>
                    <w:t>m</w:t>
                  </w:r>
                  <w:r>
                    <w:rPr>
                      <w:rFonts w:hint="default" w:ascii="Times New Roman" w:hAnsi="Times New Roman" w:eastAsia="宋体" w:cs="Times New Roman"/>
                      <w:bCs/>
                      <w:color w:val="auto"/>
                      <w:sz w:val="21"/>
                      <w:szCs w:val="21"/>
                      <w:highlight w:val="none"/>
                      <w:lang w:eastAsia="zh-CN"/>
                    </w:rPr>
                    <w:t>跨越生态保护红线</w:t>
                  </w:r>
                  <w:r>
                    <w:rPr>
                      <w:rFonts w:hint="default" w:ascii="Times New Roman" w:hAnsi="Times New Roman" w:eastAsia="宋体" w:cs="Times New Roman"/>
                      <w:bCs/>
                      <w:color w:val="auto"/>
                      <w:sz w:val="21"/>
                      <w:szCs w:val="21"/>
                      <w:highlight w:val="none"/>
                    </w:rPr>
                    <w:t>，</w:t>
                  </w:r>
                  <w:r>
                    <w:rPr>
                      <w:rFonts w:hint="default" w:ascii="Times New Roman" w:hAnsi="Times New Roman" w:eastAsia="宋体" w:cs="Times New Roman"/>
                      <w:bCs/>
                      <w:color w:val="auto"/>
                      <w:sz w:val="21"/>
                      <w:szCs w:val="21"/>
                      <w:highlight w:val="none"/>
                      <w:lang w:val="en-US" w:eastAsia="zh-CN"/>
                    </w:rPr>
                    <w:t>无立塔</w:t>
                  </w:r>
                </w:p>
              </w:tc>
              <w:tc>
                <w:tcPr>
                  <w:tcW w:w="1984" w:type="pct"/>
                  <w:tcBorders>
                    <w:tl2br w:val="nil"/>
                    <w:tr2bl w:val="nil"/>
                  </w:tcBorders>
                  <w:noWrap w:val="0"/>
                  <w:vAlign w:val="center"/>
                </w:tcPr>
                <w:p w14:paraId="1AE91F79">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线路约</w:t>
                  </w:r>
                  <w:r>
                    <w:rPr>
                      <w:rFonts w:hint="eastAsia" w:ascii="Times New Roman" w:hAnsi="Times New Roman" w:eastAsia="宋体" w:cs="Times New Roman"/>
                      <w:bCs/>
                      <w:color w:val="auto"/>
                      <w:sz w:val="21"/>
                      <w:szCs w:val="21"/>
                      <w:highlight w:val="none"/>
                      <w:lang w:val="en-US" w:eastAsia="zh-CN"/>
                    </w:rPr>
                    <w:t>76.8</w:t>
                  </w:r>
                  <w:r>
                    <w:rPr>
                      <w:rFonts w:hint="default" w:ascii="Times New Roman" w:hAnsi="Times New Roman" w:eastAsia="宋体" w:cs="Times New Roman"/>
                      <w:bCs/>
                      <w:color w:val="auto"/>
                      <w:sz w:val="21"/>
                      <w:szCs w:val="21"/>
                      <w:highlight w:val="none"/>
                    </w:rPr>
                    <w:t>m</w:t>
                  </w:r>
                  <w:r>
                    <w:rPr>
                      <w:rFonts w:hint="default" w:ascii="Times New Roman" w:hAnsi="Times New Roman" w:eastAsia="宋体" w:cs="Times New Roman"/>
                      <w:bCs/>
                      <w:color w:val="auto"/>
                      <w:sz w:val="21"/>
                      <w:szCs w:val="21"/>
                      <w:highlight w:val="none"/>
                      <w:lang w:val="en-US" w:eastAsia="zh-CN"/>
                    </w:rPr>
                    <w:t>跨越</w:t>
                  </w:r>
                  <w:r>
                    <w:rPr>
                      <w:rFonts w:hint="default" w:ascii="Times New Roman" w:hAnsi="Times New Roman" w:eastAsia="宋体" w:cs="Times New Roman"/>
                      <w:bCs/>
                      <w:color w:val="auto"/>
                      <w:sz w:val="21"/>
                      <w:szCs w:val="21"/>
                      <w:highlight w:val="none"/>
                      <w:lang w:eastAsia="zh-CN"/>
                    </w:rPr>
                    <w:t>生态保护红线</w:t>
                  </w:r>
                  <w:r>
                    <w:rPr>
                      <w:rFonts w:hint="default" w:ascii="Times New Roman" w:hAnsi="Times New Roman" w:eastAsia="宋体" w:cs="Times New Roman"/>
                      <w:bCs/>
                      <w:color w:val="auto"/>
                      <w:sz w:val="21"/>
                      <w:szCs w:val="21"/>
                      <w:highlight w:val="none"/>
                    </w:rPr>
                    <w:t>，</w:t>
                  </w:r>
                  <w:r>
                    <w:rPr>
                      <w:rFonts w:hint="default" w:ascii="Times New Roman" w:hAnsi="Times New Roman" w:eastAsia="宋体" w:cs="Times New Roman"/>
                      <w:bCs/>
                      <w:color w:val="auto"/>
                      <w:sz w:val="21"/>
                      <w:szCs w:val="21"/>
                      <w:highlight w:val="none"/>
                      <w:lang w:val="en-US" w:eastAsia="zh-CN"/>
                    </w:rPr>
                    <w:t>无立塔</w:t>
                  </w:r>
                </w:p>
              </w:tc>
            </w:tr>
            <w:tr w14:paraId="489D8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9" w:type="pct"/>
                  <w:tcBorders>
                    <w:tl2br w:val="nil"/>
                    <w:tr2bl w:val="nil"/>
                  </w:tcBorders>
                  <w:noWrap w:val="0"/>
                  <w:vAlign w:val="center"/>
                </w:tcPr>
                <w:p w14:paraId="6DA0F7F1">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6</w:t>
                  </w:r>
                </w:p>
              </w:tc>
              <w:tc>
                <w:tcPr>
                  <w:tcW w:w="787" w:type="pct"/>
                  <w:tcBorders>
                    <w:tl2br w:val="nil"/>
                    <w:tr2bl w:val="nil"/>
                  </w:tcBorders>
                  <w:noWrap w:val="0"/>
                  <w:vAlign w:val="center"/>
                </w:tcPr>
                <w:p w14:paraId="4CF23D88">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公益林</w:t>
                  </w:r>
                </w:p>
              </w:tc>
              <w:tc>
                <w:tcPr>
                  <w:tcW w:w="1848" w:type="pct"/>
                  <w:tcBorders>
                    <w:tl2br w:val="nil"/>
                    <w:tr2bl w:val="nil"/>
                  </w:tcBorders>
                  <w:noWrap w:val="0"/>
                  <w:vAlign w:val="center"/>
                </w:tcPr>
                <w:p w14:paraId="5C15FCB9">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不涉及占用国家一级公益林，不涉及占用国家二级公益林；2基塔占用省级公益林，面积0.0</w:t>
                  </w:r>
                  <w:r>
                    <w:rPr>
                      <w:rFonts w:hint="eastAsia" w:ascii="Times New Roman" w:hAnsi="Times New Roman" w:eastAsia="宋体" w:cs="Times New Roman"/>
                      <w:bCs/>
                      <w:color w:val="auto"/>
                      <w:sz w:val="21"/>
                      <w:szCs w:val="21"/>
                      <w:highlight w:val="none"/>
                      <w:lang w:val="en-US" w:eastAsia="zh-CN"/>
                    </w:rPr>
                    <w:t>1413</w:t>
                  </w:r>
                  <w:r>
                    <w:rPr>
                      <w:rFonts w:hint="default" w:ascii="Times New Roman" w:hAnsi="Times New Roman" w:eastAsia="宋体" w:cs="Times New Roman"/>
                      <w:bCs/>
                      <w:color w:val="auto"/>
                      <w:sz w:val="21"/>
                      <w:szCs w:val="21"/>
                      <w:highlight w:val="none"/>
                      <w:lang w:val="en-US" w:eastAsia="zh-CN"/>
                    </w:rPr>
                    <w:t>hm</w:t>
                  </w:r>
                  <w:r>
                    <w:rPr>
                      <w:rFonts w:hint="default" w:ascii="Times New Roman" w:hAnsi="Times New Roman" w:eastAsia="宋体" w:cs="Times New Roman"/>
                      <w:bCs/>
                      <w:color w:val="auto"/>
                      <w:sz w:val="21"/>
                      <w:szCs w:val="21"/>
                      <w:highlight w:val="none"/>
                      <w:vertAlign w:val="superscript"/>
                      <w:lang w:val="en-US" w:eastAsia="zh-CN"/>
                    </w:rPr>
                    <w:t>2</w:t>
                  </w:r>
                </w:p>
              </w:tc>
              <w:tc>
                <w:tcPr>
                  <w:tcW w:w="1984" w:type="pct"/>
                  <w:tcBorders>
                    <w:tl2br w:val="nil"/>
                    <w:tr2bl w:val="nil"/>
                  </w:tcBorders>
                  <w:noWrap w:val="0"/>
                  <w:vAlign w:val="center"/>
                </w:tcPr>
                <w:p w14:paraId="1CC11119">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不涉及占用国家一级公益林，占用国家二级公益林和省级公益林，2基塔无法避让；占用国家二级公益林面积0.02hm</w:t>
                  </w:r>
                  <w:r>
                    <w:rPr>
                      <w:rFonts w:hint="default" w:ascii="Times New Roman" w:hAnsi="Times New Roman" w:eastAsia="宋体" w:cs="Times New Roman"/>
                      <w:bCs/>
                      <w:color w:val="auto"/>
                      <w:sz w:val="21"/>
                      <w:szCs w:val="21"/>
                      <w:highlight w:val="none"/>
                      <w:vertAlign w:val="superscript"/>
                      <w:lang w:val="en-US" w:eastAsia="zh-CN"/>
                    </w:rPr>
                    <w:t>2</w:t>
                  </w:r>
                  <w:r>
                    <w:rPr>
                      <w:rFonts w:hint="default" w:ascii="Times New Roman" w:hAnsi="Times New Roman" w:eastAsia="宋体" w:cs="Times New Roman"/>
                      <w:bCs/>
                      <w:color w:val="auto"/>
                      <w:sz w:val="21"/>
                      <w:szCs w:val="21"/>
                      <w:highlight w:val="none"/>
                      <w:vertAlign w:val="baseline"/>
                      <w:lang w:val="en-US" w:eastAsia="zh-CN"/>
                    </w:rPr>
                    <w:t>；2基塔</w:t>
                  </w:r>
                  <w:r>
                    <w:rPr>
                      <w:rFonts w:hint="default" w:ascii="Times New Roman" w:hAnsi="Times New Roman" w:eastAsia="宋体" w:cs="Times New Roman"/>
                      <w:bCs/>
                      <w:color w:val="auto"/>
                      <w:sz w:val="21"/>
                      <w:szCs w:val="21"/>
                      <w:highlight w:val="none"/>
                      <w:lang w:val="en-US" w:eastAsia="zh-CN"/>
                    </w:rPr>
                    <w:t>占用省级公益林面积0.0</w:t>
                  </w:r>
                  <w:r>
                    <w:rPr>
                      <w:rFonts w:hint="eastAsia" w:ascii="Times New Roman" w:hAnsi="Times New Roman" w:eastAsia="宋体" w:cs="Times New Roman"/>
                      <w:bCs/>
                      <w:color w:val="auto"/>
                      <w:sz w:val="21"/>
                      <w:szCs w:val="21"/>
                      <w:highlight w:val="none"/>
                      <w:lang w:val="en-US" w:eastAsia="zh-CN"/>
                    </w:rPr>
                    <w:t>2</w:t>
                  </w:r>
                  <w:r>
                    <w:rPr>
                      <w:rFonts w:hint="default" w:ascii="Times New Roman" w:hAnsi="Times New Roman" w:eastAsia="宋体" w:cs="Times New Roman"/>
                      <w:bCs/>
                      <w:color w:val="auto"/>
                      <w:sz w:val="21"/>
                      <w:szCs w:val="21"/>
                      <w:highlight w:val="none"/>
                      <w:lang w:val="en-US" w:eastAsia="zh-CN"/>
                    </w:rPr>
                    <w:t>hm</w:t>
                  </w:r>
                  <w:r>
                    <w:rPr>
                      <w:rFonts w:hint="default" w:ascii="Times New Roman" w:hAnsi="Times New Roman" w:eastAsia="宋体" w:cs="Times New Roman"/>
                      <w:bCs/>
                      <w:color w:val="auto"/>
                      <w:sz w:val="21"/>
                      <w:szCs w:val="21"/>
                      <w:highlight w:val="none"/>
                      <w:vertAlign w:val="superscript"/>
                      <w:lang w:val="en-US" w:eastAsia="zh-CN"/>
                    </w:rPr>
                    <w:t>2</w:t>
                  </w:r>
                </w:p>
              </w:tc>
            </w:tr>
            <w:tr w14:paraId="7E03F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9" w:type="pct"/>
                  <w:tcBorders>
                    <w:tl2br w:val="nil"/>
                    <w:tr2bl w:val="nil"/>
                  </w:tcBorders>
                  <w:noWrap w:val="0"/>
                  <w:vAlign w:val="center"/>
                </w:tcPr>
                <w:p w14:paraId="70D03FF0">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7</w:t>
                  </w:r>
                </w:p>
              </w:tc>
              <w:tc>
                <w:tcPr>
                  <w:tcW w:w="787" w:type="pct"/>
                  <w:tcBorders>
                    <w:tl2br w:val="nil"/>
                    <w:tr2bl w:val="nil"/>
                  </w:tcBorders>
                  <w:noWrap w:val="0"/>
                  <w:vAlign w:val="center"/>
                </w:tcPr>
                <w:p w14:paraId="3960A25F">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海拔</w:t>
                  </w:r>
                </w:p>
              </w:tc>
              <w:tc>
                <w:tcPr>
                  <w:tcW w:w="1848" w:type="pct"/>
                  <w:tcBorders>
                    <w:tl2br w:val="nil"/>
                    <w:tr2bl w:val="nil"/>
                  </w:tcBorders>
                  <w:noWrap w:val="0"/>
                  <w:vAlign w:val="center"/>
                </w:tcPr>
                <w:p w14:paraId="3CC9D5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1900m</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2620m</w:t>
                  </w:r>
                </w:p>
              </w:tc>
              <w:tc>
                <w:tcPr>
                  <w:tcW w:w="1984" w:type="pct"/>
                  <w:tcBorders>
                    <w:tl2br w:val="nil"/>
                    <w:tr2bl w:val="nil"/>
                  </w:tcBorders>
                  <w:noWrap w:val="0"/>
                  <w:vAlign w:val="center"/>
                </w:tcPr>
                <w:p w14:paraId="2BCA11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1</w:t>
                  </w:r>
                  <w:r>
                    <w:rPr>
                      <w:rFonts w:hint="default" w:ascii="Times New Roman" w:hAnsi="Times New Roman" w:eastAsia="宋体" w:cs="Times New Roman"/>
                      <w:bCs/>
                      <w:color w:val="auto"/>
                      <w:sz w:val="21"/>
                      <w:szCs w:val="21"/>
                      <w:highlight w:val="none"/>
                      <w:lang w:val="en-US" w:eastAsia="zh-CN"/>
                    </w:rPr>
                    <w:t>890</w:t>
                  </w:r>
                  <w:r>
                    <w:rPr>
                      <w:rFonts w:hint="default" w:ascii="Times New Roman" w:hAnsi="Times New Roman" w:eastAsia="宋体" w:cs="Times New Roman"/>
                      <w:bCs/>
                      <w:color w:val="auto"/>
                      <w:sz w:val="21"/>
                      <w:szCs w:val="21"/>
                      <w:highlight w:val="none"/>
                    </w:rPr>
                    <w:t>m</w:t>
                  </w:r>
                  <w:r>
                    <w:rPr>
                      <w:rFonts w:hint="eastAsia" w:ascii="Times New Roman" w:hAnsi="Times New Roman" w:eastAsia="宋体"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rPr>
                    <w:t>2</w:t>
                  </w:r>
                  <w:r>
                    <w:rPr>
                      <w:rFonts w:hint="default" w:ascii="Times New Roman" w:hAnsi="Times New Roman" w:eastAsia="宋体" w:cs="Times New Roman"/>
                      <w:bCs/>
                      <w:color w:val="auto"/>
                      <w:sz w:val="21"/>
                      <w:szCs w:val="21"/>
                      <w:highlight w:val="none"/>
                      <w:lang w:val="en-US" w:eastAsia="zh-CN"/>
                    </w:rPr>
                    <w:t>600</w:t>
                  </w:r>
                </w:p>
              </w:tc>
            </w:tr>
            <w:tr w14:paraId="46FD1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379" w:type="pct"/>
                  <w:tcBorders>
                    <w:tl2br w:val="nil"/>
                    <w:tr2bl w:val="nil"/>
                  </w:tcBorders>
                  <w:noWrap w:val="0"/>
                  <w:vAlign w:val="center"/>
                </w:tcPr>
                <w:p w14:paraId="2D963070">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8</w:t>
                  </w:r>
                </w:p>
              </w:tc>
              <w:tc>
                <w:tcPr>
                  <w:tcW w:w="787" w:type="pct"/>
                  <w:tcBorders>
                    <w:tl2br w:val="nil"/>
                    <w:tr2bl w:val="nil"/>
                  </w:tcBorders>
                  <w:noWrap w:val="0"/>
                  <w:vAlign w:val="center"/>
                </w:tcPr>
                <w:p w14:paraId="79E88F7A">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地形</w:t>
                  </w:r>
                  <w:r>
                    <w:rPr>
                      <w:rFonts w:hint="default" w:ascii="Times New Roman" w:hAnsi="Times New Roman" w:eastAsia="宋体" w:cs="Times New Roman"/>
                      <w:bCs/>
                      <w:color w:val="auto"/>
                      <w:sz w:val="21"/>
                      <w:szCs w:val="21"/>
                      <w:highlight w:val="none"/>
                      <w:lang w:val="en-US" w:eastAsia="zh-CN"/>
                    </w:rPr>
                    <w:t>地貌</w:t>
                  </w:r>
                </w:p>
              </w:tc>
              <w:tc>
                <w:tcPr>
                  <w:tcW w:w="1848" w:type="pct"/>
                  <w:tcBorders>
                    <w:tl2br w:val="nil"/>
                    <w:tr2bl w:val="nil"/>
                  </w:tcBorders>
                  <w:noWrap w:val="0"/>
                  <w:vAlign w:val="center"/>
                </w:tcPr>
                <w:p w14:paraId="0136CD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en-US" w:bidi="ar-SA"/>
                    </w:rPr>
                  </w:pPr>
                  <w:r>
                    <w:rPr>
                      <w:rFonts w:hint="default" w:ascii="Times New Roman" w:hAnsi="Times New Roman" w:eastAsia="宋体" w:cs="Times New Roman"/>
                      <w:color w:val="auto"/>
                      <w:kern w:val="2"/>
                      <w:sz w:val="21"/>
                      <w:szCs w:val="21"/>
                      <w:highlight w:val="none"/>
                      <w:lang w:val="en-US" w:eastAsia="en-US" w:bidi="ar-SA"/>
                    </w:rPr>
                    <w:t>高山10%，山地70%，丘陵20%</w:t>
                  </w:r>
                </w:p>
              </w:tc>
              <w:tc>
                <w:tcPr>
                  <w:tcW w:w="1984" w:type="pct"/>
                  <w:tcBorders>
                    <w:tl2br w:val="nil"/>
                    <w:tr2bl w:val="nil"/>
                  </w:tcBorders>
                  <w:noWrap w:val="0"/>
                  <w:vAlign w:val="center"/>
                </w:tcPr>
                <w:p w14:paraId="2B21A27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en-US" w:bidi="ar-SA"/>
                    </w:rPr>
                  </w:pPr>
                  <w:r>
                    <w:rPr>
                      <w:rFonts w:hint="default" w:ascii="Times New Roman" w:hAnsi="Times New Roman" w:eastAsia="宋体" w:cs="Times New Roman"/>
                      <w:color w:val="auto"/>
                      <w:kern w:val="2"/>
                      <w:sz w:val="21"/>
                      <w:szCs w:val="21"/>
                      <w:highlight w:val="none"/>
                      <w:lang w:val="en-US" w:eastAsia="en-US" w:bidi="ar-SA"/>
                    </w:rPr>
                    <w:t>高山</w:t>
                  </w:r>
                  <w:r>
                    <w:rPr>
                      <w:rFonts w:hint="default" w:ascii="Times New Roman" w:hAnsi="Times New Roman" w:eastAsia="宋体" w:cs="Times New Roman"/>
                      <w:color w:val="auto"/>
                      <w:kern w:val="2"/>
                      <w:sz w:val="21"/>
                      <w:szCs w:val="21"/>
                      <w:highlight w:val="none"/>
                      <w:lang w:val="en-US" w:eastAsia="zh-CN" w:bidi="ar-SA"/>
                    </w:rPr>
                    <w:t>2</w:t>
                  </w:r>
                  <w:r>
                    <w:rPr>
                      <w:rFonts w:hint="default" w:ascii="Times New Roman" w:hAnsi="Times New Roman" w:eastAsia="宋体" w:cs="Times New Roman"/>
                      <w:color w:val="auto"/>
                      <w:kern w:val="2"/>
                      <w:sz w:val="21"/>
                      <w:szCs w:val="21"/>
                      <w:highlight w:val="none"/>
                      <w:lang w:val="en-US" w:eastAsia="en-US" w:bidi="ar-SA"/>
                    </w:rPr>
                    <w:t>0%，山地70%，丘陵</w:t>
                  </w: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eastAsia="宋体" w:cs="Times New Roman"/>
                      <w:color w:val="auto"/>
                      <w:kern w:val="2"/>
                      <w:sz w:val="21"/>
                      <w:szCs w:val="21"/>
                      <w:highlight w:val="none"/>
                      <w:lang w:val="en-US" w:eastAsia="en-US" w:bidi="ar-SA"/>
                    </w:rPr>
                    <w:t>0%</w:t>
                  </w:r>
                </w:p>
              </w:tc>
            </w:tr>
            <w:tr w14:paraId="0C228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9" w:type="pct"/>
                  <w:tcBorders>
                    <w:tl2br w:val="nil"/>
                    <w:tr2bl w:val="nil"/>
                  </w:tcBorders>
                  <w:noWrap w:val="0"/>
                  <w:vAlign w:val="center"/>
                </w:tcPr>
                <w:p w14:paraId="58AA0C8A">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9</w:t>
                  </w:r>
                </w:p>
              </w:tc>
              <w:tc>
                <w:tcPr>
                  <w:tcW w:w="787" w:type="pct"/>
                  <w:tcBorders>
                    <w:tl2br w:val="nil"/>
                    <w:tr2bl w:val="nil"/>
                  </w:tcBorders>
                  <w:noWrap w:val="0"/>
                  <w:vAlign w:val="center"/>
                </w:tcPr>
                <w:p w14:paraId="118D3629">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地层</w:t>
                  </w:r>
                  <w:r>
                    <w:rPr>
                      <w:rFonts w:hint="default" w:ascii="Times New Roman" w:hAnsi="Times New Roman" w:eastAsia="宋体" w:cs="Times New Roman"/>
                      <w:color w:val="auto"/>
                      <w:sz w:val="21"/>
                      <w:szCs w:val="21"/>
                      <w:highlight w:val="none"/>
                    </w:rPr>
                    <w:t>岩性</w:t>
                  </w:r>
                </w:p>
              </w:tc>
              <w:tc>
                <w:tcPr>
                  <w:tcW w:w="1848" w:type="pct"/>
                  <w:tcBorders>
                    <w:tl2br w:val="nil"/>
                    <w:tr2bl w:val="nil"/>
                  </w:tcBorders>
                  <w:noWrap w:val="0"/>
                  <w:vAlign w:val="center"/>
                </w:tcPr>
                <w:p w14:paraId="5A8BD22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坚土20%，松砂石60%，岩石20%，已避开不良地质地带。</w:t>
                  </w:r>
                </w:p>
              </w:tc>
              <w:tc>
                <w:tcPr>
                  <w:tcW w:w="1984" w:type="pct"/>
                  <w:tcBorders>
                    <w:tl2br w:val="nil"/>
                    <w:tr2bl w:val="nil"/>
                  </w:tcBorders>
                  <w:noWrap w:val="0"/>
                  <w:vAlign w:val="center"/>
                </w:tcPr>
                <w:p w14:paraId="6C2F821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en-US" w:bidi="ar-SA"/>
                    </w:rPr>
                  </w:pPr>
                  <w:r>
                    <w:rPr>
                      <w:rFonts w:hint="default" w:ascii="Times New Roman" w:hAnsi="Times New Roman" w:eastAsia="宋体" w:cs="Times New Roman"/>
                      <w:bCs/>
                      <w:color w:val="auto"/>
                      <w:sz w:val="21"/>
                      <w:szCs w:val="21"/>
                      <w:highlight w:val="none"/>
                    </w:rPr>
                    <w:t>普通土10%、坚土25%、松砂石25%、岩石40%，</w:t>
                  </w:r>
                  <w:r>
                    <w:rPr>
                      <w:rFonts w:hint="eastAsia" w:ascii="Times New Roman" w:hAnsi="Times New Roman" w:eastAsia="宋体" w:cs="Times New Roman"/>
                      <w:bCs/>
                      <w:color w:val="auto"/>
                      <w:sz w:val="21"/>
                      <w:szCs w:val="21"/>
                      <w:highlight w:val="none"/>
                      <w:lang w:eastAsia="zh-CN"/>
                    </w:rPr>
                    <w:t>以</w:t>
                  </w:r>
                  <w:r>
                    <w:rPr>
                      <w:rFonts w:hint="default" w:ascii="Times New Roman" w:hAnsi="Times New Roman" w:eastAsia="宋体" w:cs="Times New Roman"/>
                      <w:bCs/>
                      <w:color w:val="auto"/>
                      <w:sz w:val="21"/>
                      <w:szCs w:val="21"/>
                      <w:highlight w:val="none"/>
                    </w:rPr>
                    <w:t>避开不良地质地带。</w:t>
                  </w:r>
                </w:p>
              </w:tc>
            </w:tr>
            <w:tr w14:paraId="56938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9" w:type="pct"/>
                  <w:tcBorders>
                    <w:tl2br w:val="nil"/>
                    <w:tr2bl w:val="nil"/>
                  </w:tcBorders>
                  <w:noWrap w:val="0"/>
                  <w:vAlign w:val="center"/>
                </w:tcPr>
                <w:p w14:paraId="5A387013">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10</w:t>
                  </w:r>
                </w:p>
              </w:tc>
              <w:tc>
                <w:tcPr>
                  <w:tcW w:w="787" w:type="pct"/>
                  <w:tcBorders>
                    <w:tl2br w:val="nil"/>
                    <w:tr2bl w:val="nil"/>
                  </w:tcBorders>
                  <w:noWrap w:val="0"/>
                  <w:vAlign w:val="center"/>
                </w:tcPr>
                <w:p w14:paraId="4011D1EC">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沿线矿产及设施情况</w:t>
                  </w:r>
                </w:p>
              </w:tc>
              <w:tc>
                <w:tcPr>
                  <w:tcW w:w="1848" w:type="pct"/>
                  <w:tcBorders>
                    <w:tl2br w:val="nil"/>
                    <w:tr2bl w:val="nil"/>
                  </w:tcBorders>
                  <w:noWrap w:val="0"/>
                  <w:vAlign w:val="center"/>
                </w:tcPr>
                <w:p w14:paraId="40507EE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不涉及</w:t>
                  </w:r>
                </w:p>
              </w:tc>
              <w:tc>
                <w:tcPr>
                  <w:tcW w:w="1984" w:type="pct"/>
                  <w:tcBorders>
                    <w:tl2br w:val="nil"/>
                    <w:tr2bl w:val="nil"/>
                  </w:tcBorders>
                  <w:noWrap w:val="0"/>
                  <w:vAlign w:val="center"/>
                </w:tcPr>
                <w:p w14:paraId="447EFD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不涉及</w:t>
                  </w:r>
                </w:p>
              </w:tc>
            </w:tr>
            <w:tr w14:paraId="0E530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9" w:type="pct"/>
                  <w:tcBorders>
                    <w:tl2br w:val="nil"/>
                    <w:tr2bl w:val="nil"/>
                  </w:tcBorders>
                  <w:noWrap w:val="0"/>
                  <w:vAlign w:val="center"/>
                </w:tcPr>
                <w:p w14:paraId="5EAC1778">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11</w:t>
                  </w:r>
                </w:p>
              </w:tc>
              <w:tc>
                <w:tcPr>
                  <w:tcW w:w="787" w:type="pct"/>
                  <w:tcBorders>
                    <w:tl2br w:val="nil"/>
                    <w:tr2bl w:val="nil"/>
                  </w:tcBorders>
                  <w:noWrap w:val="0"/>
                  <w:vAlign w:val="center"/>
                </w:tcPr>
                <w:p w14:paraId="1401DB80">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设计覆冰厚度</w:t>
                  </w:r>
                </w:p>
              </w:tc>
              <w:tc>
                <w:tcPr>
                  <w:tcW w:w="1848" w:type="pct"/>
                  <w:tcBorders>
                    <w:tl2br w:val="nil"/>
                    <w:tr2bl w:val="nil"/>
                  </w:tcBorders>
                  <w:noWrap w:val="0"/>
                  <w:vAlign w:val="center"/>
                </w:tcPr>
                <w:p w14:paraId="19745B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bCs/>
                      <w:color w:val="auto"/>
                      <w:sz w:val="21"/>
                      <w:szCs w:val="21"/>
                      <w:highlight w:val="none"/>
                    </w:rPr>
                    <w:t>覆冰</w:t>
                  </w:r>
                  <w:r>
                    <w:rPr>
                      <w:rFonts w:hint="default" w:ascii="Times New Roman" w:hAnsi="Times New Roman" w:eastAsia="宋体" w:cs="Times New Roman"/>
                      <w:bCs/>
                      <w:color w:val="auto"/>
                      <w:sz w:val="21"/>
                      <w:szCs w:val="21"/>
                      <w:highlight w:val="none"/>
                      <w:lang w:val="en-US" w:eastAsia="zh-CN"/>
                    </w:rPr>
                    <w:t>10mm、</w:t>
                  </w:r>
                  <w:r>
                    <w:rPr>
                      <w:rFonts w:hint="default" w:ascii="Times New Roman" w:hAnsi="Times New Roman" w:eastAsia="宋体" w:cs="Times New Roman"/>
                      <w:bCs/>
                      <w:color w:val="auto"/>
                      <w:sz w:val="21"/>
                      <w:szCs w:val="21"/>
                      <w:highlight w:val="none"/>
                    </w:rPr>
                    <w:t>20mm</w:t>
                  </w:r>
                  <w:r>
                    <w:rPr>
                      <w:rFonts w:hint="default" w:ascii="Times New Roman" w:hAnsi="Times New Roman" w:eastAsia="宋体" w:cs="Times New Roman"/>
                      <w:bCs/>
                      <w:color w:val="auto"/>
                      <w:sz w:val="21"/>
                      <w:szCs w:val="21"/>
                      <w:highlight w:val="none"/>
                      <w:lang w:val="en-US" w:eastAsia="zh-CN"/>
                    </w:rPr>
                    <w:t>、3</w:t>
                  </w:r>
                  <w:r>
                    <w:rPr>
                      <w:rFonts w:hint="default" w:ascii="Times New Roman" w:hAnsi="Times New Roman" w:eastAsia="宋体" w:cs="Times New Roman"/>
                      <w:bCs/>
                      <w:color w:val="auto"/>
                      <w:sz w:val="21"/>
                      <w:szCs w:val="21"/>
                      <w:highlight w:val="none"/>
                    </w:rPr>
                    <w:t>0mm</w:t>
                  </w:r>
                  <w:r>
                    <w:rPr>
                      <w:rFonts w:hint="default" w:ascii="Times New Roman" w:hAnsi="Times New Roman" w:eastAsia="宋体" w:cs="Times New Roman"/>
                      <w:bCs/>
                      <w:color w:val="auto"/>
                      <w:sz w:val="21"/>
                      <w:szCs w:val="21"/>
                      <w:highlight w:val="none"/>
                      <w:lang w:eastAsia="zh-CN"/>
                    </w:rPr>
                    <w:t>；2</w:t>
                  </w:r>
                  <w:r>
                    <w:rPr>
                      <w:rFonts w:hint="default" w:ascii="Times New Roman" w:hAnsi="Times New Roman" w:eastAsia="宋体" w:cs="Times New Roman"/>
                      <w:bCs/>
                      <w:color w:val="auto"/>
                      <w:sz w:val="21"/>
                      <w:szCs w:val="21"/>
                      <w:highlight w:val="none"/>
                      <w:lang w:val="en-US" w:eastAsia="zh-CN"/>
                    </w:rPr>
                    <w:t>5</w:t>
                  </w:r>
                  <w:r>
                    <w:rPr>
                      <w:rFonts w:hint="default" w:ascii="Times New Roman" w:hAnsi="Times New Roman" w:eastAsia="宋体" w:cs="Times New Roman"/>
                      <w:bCs/>
                      <w:color w:val="auto"/>
                      <w:sz w:val="21"/>
                      <w:szCs w:val="21"/>
                      <w:highlight w:val="none"/>
                      <w:lang w:eastAsia="zh-CN"/>
                    </w:rPr>
                    <w:t>m/s风区</w:t>
                  </w:r>
                </w:p>
              </w:tc>
              <w:tc>
                <w:tcPr>
                  <w:tcW w:w="1984" w:type="pct"/>
                  <w:tcBorders>
                    <w:tl2br w:val="nil"/>
                    <w:tr2bl w:val="nil"/>
                  </w:tcBorders>
                  <w:noWrap w:val="0"/>
                  <w:vAlign w:val="center"/>
                </w:tcPr>
                <w:p w14:paraId="238D20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bCs/>
                      <w:color w:val="auto"/>
                      <w:sz w:val="21"/>
                      <w:szCs w:val="21"/>
                      <w:highlight w:val="none"/>
                    </w:rPr>
                    <w:t>覆冰</w:t>
                  </w:r>
                  <w:r>
                    <w:rPr>
                      <w:rFonts w:hint="default" w:ascii="Times New Roman" w:hAnsi="Times New Roman" w:eastAsia="宋体" w:cs="Times New Roman"/>
                      <w:bCs/>
                      <w:color w:val="auto"/>
                      <w:sz w:val="21"/>
                      <w:szCs w:val="21"/>
                      <w:highlight w:val="none"/>
                      <w:lang w:val="en-US" w:eastAsia="zh-CN"/>
                    </w:rPr>
                    <w:t>10mm、</w:t>
                  </w:r>
                  <w:r>
                    <w:rPr>
                      <w:rFonts w:hint="default" w:ascii="Times New Roman" w:hAnsi="Times New Roman" w:eastAsia="宋体" w:cs="Times New Roman"/>
                      <w:bCs/>
                      <w:color w:val="auto"/>
                      <w:sz w:val="21"/>
                      <w:szCs w:val="21"/>
                      <w:highlight w:val="none"/>
                    </w:rPr>
                    <w:t>20mm</w:t>
                  </w:r>
                  <w:r>
                    <w:rPr>
                      <w:rFonts w:hint="default" w:ascii="Times New Roman" w:hAnsi="Times New Roman" w:eastAsia="宋体" w:cs="Times New Roman"/>
                      <w:bCs/>
                      <w:color w:val="auto"/>
                      <w:sz w:val="21"/>
                      <w:szCs w:val="21"/>
                      <w:highlight w:val="none"/>
                      <w:lang w:val="en-US" w:eastAsia="zh-CN"/>
                    </w:rPr>
                    <w:t>、3</w:t>
                  </w:r>
                  <w:r>
                    <w:rPr>
                      <w:rFonts w:hint="default" w:ascii="Times New Roman" w:hAnsi="Times New Roman" w:eastAsia="宋体" w:cs="Times New Roman"/>
                      <w:bCs/>
                      <w:color w:val="auto"/>
                      <w:sz w:val="21"/>
                      <w:szCs w:val="21"/>
                      <w:highlight w:val="none"/>
                    </w:rPr>
                    <w:t>0mm</w:t>
                  </w:r>
                  <w:r>
                    <w:rPr>
                      <w:rFonts w:hint="default" w:ascii="Times New Roman" w:hAnsi="Times New Roman" w:eastAsia="宋体" w:cs="Times New Roman"/>
                      <w:bCs/>
                      <w:color w:val="auto"/>
                      <w:sz w:val="21"/>
                      <w:szCs w:val="21"/>
                      <w:highlight w:val="none"/>
                      <w:lang w:eastAsia="zh-CN"/>
                    </w:rPr>
                    <w:t>；2</w:t>
                  </w:r>
                  <w:r>
                    <w:rPr>
                      <w:rFonts w:hint="default" w:ascii="Times New Roman" w:hAnsi="Times New Roman" w:eastAsia="宋体" w:cs="Times New Roman"/>
                      <w:bCs/>
                      <w:color w:val="auto"/>
                      <w:sz w:val="21"/>
                      <w:szCs w:val="21"/>
                      <w:highlight w:val="none"/>
                      <w:lang w:val="en-US" w:eastAsia="zh-CN"/>
                    </w:rPr>
                    <w:t>5</w:t>
                  </w:r>
                  <w:r>
                    <w:rPr>
                      <w:rFonts w:hint="default" w:ascii="Times New Roman" w:hAnsi="Times New Roman" w:eastAsia="宋体" w:cs="Times New Roman"/>
                      <w:bCs/>
                      <w:color w:val="auto"/>
                      <w:sz w:val="21"/>
                      <w:szCs w:val="21"/>
                      <w:highlight w:val="none"/>
                      <w:lang w:eastAsia="zh-CN"/>
                    </w:rPr>
                    <w:t>m/s风区</w:t>
                  </w:r>
                </w:p>
              </w:tc>
            </w:tr>
            <w:tr w14:paraId="67A6E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9" w:type="pct"/>
                  <w:tcBorders>
                    <w:tl2br w:val="nil"/>
                    <w:tr2bl w:val="nil"/>
                  </w:tcBorders>
                  <w:noWrap w:val="0"/>
                  <w:vAlign w:val="center"/>
                </w:tcPr>
                <w:p w14:paraId="3DEFEBAE">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12</w:t>
                  </w:r>
                </w:p>
              </w:tc>
              <w:tc>
                <w:tcPr>
                  <w:tcW w:w="787" w:type="pct"/>
                  <w:tcBorders>
                    <w:tl2br w:val="nil"/>
                    <w:tr2bl w:val="nil"/>
                  </w:tcBorders>
                  <w:noWrap w:val="0"/>
                  <w:vAlign w:val="center"/>
                </w:tcPr>
                <w:p w14:paraId="65176880">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交叉跨越</w:t>
                  </w:r>
                </w:p>
              </w:tc>
              <w:tc>
                <w:tcPr>
                  <w:tcW w:w="1848" w:type="pct"/>
                  <w:tcBorders>
                    <w:tl2br w:val="nil"/>
                    <w:tr2bl w:val="nil"/>
                  </w:tcBorders>
                  <w:noWrap w:val="0"/>
                  <w:vAlign w:val="center"/>
                </w:tcPr>
                <w:p w14:paraId="536CA4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yellow"/>
                    </w:rPr>
                  </w:pPr>
                  <w:r>
                    <w:rPr>
                      <w:rFonts w:hint="default" w:ascii="Times New Roman" w:hAnsi="Times New Roman" w:eastAsia="宋体" w:cs="Times New Roman"/>
                      <w:color w:val="auto"/>
                      <w:spacing w:val="0"/>
                      <w:sz w:val="21"/>
                      <w:szCs w:val="21"/>
                      <w:lang w:eastAsia="zh-CN"/>
                    </w:rPr>
                    <w:t>线路下穿500kV铜永甲线1次</w:t>
                  </w:r>
                  <w:r>
                    <w:rPr>
                      <w:rFonts w:hint="default" w:ascii="Times New Roman" w:hAnsi="Times New Roman" w:eastAsia="宋体" w:cs="Times New Roman"/>
                      <w:color w:val="auto"/>
                      <w:spacing w:val="0"/>
                      <w:sz w:val="21"/>
                      <w:szCs w:val="21"/>
                    </w:rPr>
                    <w:t>，跨越35kV无名线2次，35kV集电线路1次，10kV线路2次，低压线3次，通信线3次</w:t>
                  </w:r>
                </w:p>
              </w:tc>
              <w:tc>
                <w:tcPr>
                  <w:tcW w:w="1984" w:type="pct"/>
                  <w:tcBorders>
                    <w:tl2br w:val="nil"/>
                    <w:tr2bl w:val="nil"/>
                  </w:tcBorders>
                  <w:noWrap w:val="0"/>
                  <w:vAlign w:val="center"/>
                </w:tcPr>
                <w:p w14:paraId="7F8758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yellow"/>
                    </w:rPr>
                  </w:pPr>
                  <w:r>
                    <w:rPr>
                      <w:rFonts w:hint="default" w:ascii="Times New Roman" w:hAnsi="Times New Roman" w:eastAsia="宋体" w:cs="Times New Roman"/>
                      <w:color w:val="auto"/>
                      <w:spacing w:val="0"/>
                      <w:sz w:val="21"/>
                      <w:szCs w:val="21"/>
                      <w:lang w:eastAsia="zh-CN"/>
                    </w:rPr>
                    <w:t>线路下穿500kV铜永甲线1次</w:t>
                  </w:r>
                  <w:r>
                    <w:rPr>
                      <w:rFonts w:hint="default" w:ascii="Times New Roman" w:hAnsi="Times New Roman" w:eastAsia="宋体" w:cs="Times New Roman"/>
                      <w:color w:val="auto"/>
                      <w:spacing w:val="0"/>
                      <w:sz w:val="21"/>
                      <w:szCs w:val="21"/>
                    </w:rPr>
                    <w:t>，跨越35kV无名线2次，35kV集电线路1次，10kV线路2次，低压线3次，通信线3次</w:t>
                  </w:r>
                </w:p>
              </w:tc>
            </w:tr>
            <w:tr w14:paraId="02658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9" w:type="pct"/>
                  <w:tcBorders>
                    <w:tl2br w:val="nil"/>
                    <w:tr2bl w:val="nil"/>
                  </w:tcBorders>
                  <w:noWrap w:val="0"/>
                  <w:vAlign w:val="center"/>
                </w:tcPr>
                <w:p w14:paraId="6D9679DA">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13</w:t>
                  </w:r>
                </w:p>
              </w:tc>
              <w:tc>
                <w:tcPr>
                  <w:tcW w:w="787" w:type="pct"/>
                  <w:tcBorders>
                    <w:tl2br w:val="nil"/>
                    <w:tr2bl w:val="nil"/>
                  </w:tcBorders>
                  <w:noWrap w:val="0"/>
                  <w:vAlign w:val="center"/>
                </w:tcPr>
                <w:p w14:paraId="1FBDB5C1">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森林情况</w:t>
                  </w:r>
                </w:p>
              </w:tc>
              <w:tc>
                <w:tcPr>
                  <w:tcW w:w="1848" w:type="pct"/>
                  <w:tcBorders>
                    <w:tl2br w:val="nil"/>
                    <w:tr2bl w:val="nil"/>
                  </w:tcBorders>
                  <w:noWrap w:val="0"/>
                  <w:vAlign w:val="center"/>
                </w:tcPr>
                <w:p w14:paraId="3CAC39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en-US" w:bidi="ar-SA"/>
                    </w:rPr>
                  </w:pPr>
                  <w:r>
                    <w:rPr>
                      <w:rFonts w:hint="default" w:ascii="Times New Roman" w:hAnsi="Times New Roman" w:eastAsia="宋体" w:cs="Times New Roman"/>
                      <w:bCs/>
                      <w:color w:val="auto"/>
                      <w:sz w:val="21"/>
                      <w:szCs w:val="21"/>
                      <w:highlight w:val="none"/>
                    </w:rPr>
                    <w:t>路径所经地带沿线森林覆盖率一般，沿线树种</w:t>
                  </w:r>
                  <w:r>
                    <w:rPr>
                      <w:rFonts w:hint="default" w:ascii="Times New Roman" w:hAnsi="Times New Roman" w:eastAsia="宋体" w:cs="Times New Roman"/>
                      <w:bCs/>
                      <w:color w:val="auto"/>
                      <w:sz w:val="21"/>
                      <w:szCs w:val="21"/>
                      <w:highlight w:val="none"/>
                      <w:lang w:eastAsia="zh-CN"/>
                    </w:rPr>
                    <w:t>以杂树为主</w:t>
                  </w:r>
                  <w:r>
                    <w:rPr>
                      <w:rFonts w:hint="default" w:ascii="Times New Roman" w:hAnsi="Times New Roman" w:eastAsia="宋体" w:cs="Times New Roman"/>
                      <w:bCs/>
                      <w:color w:val="auto"/>
                      <w:sz w:val="21"/>
                      <w:szCs w:val="21"/>
                      <w:highlight w:val="none"/>
                    </w:rPr>
                    <w:t>，树高基本在3</w:t>
                  </w:r>
                  <w:r>
                    <w:rPr>
                      <w:rFonts w:hint="eastAsia" w:ascii="Times New Roman" w:hAnsi="Times New Roman" w:eastAsia="宋体"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rPr>
                    <w:t>5米之间。路径选择对密集林地</w:t>
                  </w:r>
                  <w:r>
                    <w:rPr>
                      <w:rFonts w:hint="default" w:ascii="Times New Roman" w:hAnsi="Times New Roman" w:eastAsia="宋体" w:cs="Times New Roman"/>
                      <w:bCs/>
                      <w:color w:val="auto"/>
                      <w:sz w:val="21"/>
                      <w:szCs w:val="21"/>
                      <w:highlight w:val="none"/>
                      <w:lang w:eastAsia="zh-CN"/>
                    </w:rPr>
                    <w:t>做</w:t>
                  </w:r>
                  <w:r>
                    <w:rPr>
                      <w:rFonts w:hint="default" w:ascii="Times New Roman" w:hAnsi="Times New Roman" w:eastAsia="宋体" w:cs="Times New Roman"/>
                      <w:bCs/>
                      <w:color w:val="auto"/>
                      <w:sz w:val="21"/>
                      <w:szCs w:val="21"/>
                      <w:highlight w:val="none"/>
                    </w:rPr>
                    <w:t>了有效避让，在设计时对必须经过的森林地区和果林将考虑采用高塔进行跨越，以减少对森林的砍伐。</w:t>
                  </w:r>
                </w:p>
              </w:tc>
              <w:tc>
                <w:tcPr>
                  <w:tcW w:w="1984" w:type="pct"/>
                  <w:tcBorders>
                    <w:tl2br w:val="nil"/>
                    <w:tr2bl w:val="nil"/>
                  </w:tcBorders>
                  <w:noWrap w:val="0"/>
                  <w:vAlign w:val="center"/>
                </w:tcPr>
                <w:p w14:paraId="3E5F3D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en-US" w:bidi="ar-SA"/>
                    </w:rPr>
                  </w:pPr>
                  <w:r>
                    <w:rPr>
                      <w:rFonts w:hint="default" w:ascii="Times New Roman" w:hAnsi="Times New Roman" w:eastAsia="宋体" w:cs="Times New Roman"/>
                      <w:bCs/>
                      <w:color w:val="auto"/>
                      <w:sz w:val="21"/>
                      <w:szCs w:val="21"/>
                      <w:highlight w:val="none"/>
                    </w:rPr>
                    <w:t>线路所经地带沿线森林覆盖率一般，沿线树种主要以云南松树、杂树为主，树高基本在</w:t>
                  </w:r>
                  <w:r>
                    <w:rPr>
                      <w:rFonts w:hint="default" w:ascii="Times New Roman" w:hAnsi="Times New Roman" w:eastAsia="宋体" w:cs="Times New Roman"/>
                      <w:bCs/>
                      <w:color w:val="auto"/>
                      <w:sz w:val="21"/>
                      <w:szCs w:val="21"/>
                      <w:highlight w:val="none"/>
                      <w:lang w:val="en-US" w:eastAsia="zh-CN"/>
                    </w:rPr>
                    <w:t>5</w:t>
                  </w:r>
                  <w:r>
                    <w:rPr>
                      <w:rFonts w:hint="eastAsia" w:ascii="Times New Roman" w:hAnsi="Times New Roman" w:eastAsia="宋体" w:cs="Times New Roman"/>
                      <w:bCs/>
                      <w:color w:val="auto"/>
                      <w:sz w:val="21"/>
                      <w:szCs w:val="21"/>
                      <w:highlight w:val="none"/>
                      <w:lang w:val="en-US" w:eastAsia="zh-CN"/>
                    </w:rPr>
                    <w:t>—</w:t>
                  </w:r>
                  <w:r>
                    <w:rPr>
                      <w:rFonts w:hint="default" w:ascii="Times New Roman" w:hAnsi="Times New Roman" w:eastAsia="宋体" w:cs="Times New Roman"/>
                      <w:bCs/>
                      <w:color w:val="auto"/>
                      <w:sz w:val="21"/>
                      <w:szCs w:val="21"/>
                      <w:highlight w:val="none"/>
                      <w:lang w:val="en-US" w:eastAsia="zh-CN"/>
                    </w:rPr>
                    <w:t>15</w:t>
                  </w:r>
                  <w:r>
                    <w:rPr>
                      <w:rFonts w:hint="default" w:ascii="Times New Roman" w:hAnsi="Times New Roman" w:eastAsia="宋体" w:cs="Times New Roman"/>
                      <w:bCs/>
                      <w:color w:val="auto"/>
                      <w:sz w:val="21"/>
                      <w:szCs w:val="21"/>
                      <w:highlight w:val="none"/>
                    </w:rPr>
                    <w:t>米之间。路径选择对密集林地</w:t>
                  </w:r>
                  <w:r>
                    <w:rPr>
                      <w:rFonts w:hint="default" w:ascii="Times New Roman" w:hAnsi="Times New Roman" w:eastAsia="宋体" w:cs="Times New Roman"/>
                      <w:bCs/>
                      <w:color w:val="auto"/>
                      <w:sz w:val="21"/>
                      <w:szCs w:val="21"/>
                      <w:highlight w:val="none"/>
                      <w:lang w:eastAsia="zh-CN"/>
                    </w:rPr>
                    <w:t>做</w:t>
                  </w:r>
                  <w:r>
                    <w:rPr>
                      <w:rFonts w:hint="default" w:ascii="Times New Roman" w:hAnsi="Times New Roman" w:eastAsia="宋体" w:cs="Times New Roman"/>
                      <w:bCs/>
                      <w:color w:val="auto"/>
                      <w:sz w:val="21"/>
                      <w:szCs w:val="21"/>
                      <w:highlight w:val="none"/>
                    </w:rPr>
                    <w:t>了有效避让，在设计时对必须经过的森林地区和果林将考虑采用高塔进行跨越，以减少对森林的砍伐。</w:t>
                  </w:r>
                </w:p>
              </w:tc>
            </w:tr>
            <w:tr w14:paraId="0417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9" w:type="pct"/>
                  <w:tcBorders>
                    <w:tl2br w:val="nil"/>
                    <w:tr2bl w:val="nil"/>
                  </w:tcBorders>
                  <w:noWrap w:val="0"/>
                  <w:vAlign w:val="center"/>
                </w:tcPr>
                <w:p w14:paraId="12CF4AF5">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14</w:t>
                  </w:r>
                </w:p>
              </w:tc>
              <w:tc>
                <w:tcPr>
                  <w:tcW w:w="787" w:type="pct"/>
                  <w:tcBorders>
                    <w:tl2br w:val="nil"/>
                    <w:tr2bl w:val="nil"/>
                  </w:tcBorders>
                  <w:noWrap w:val="0"/>
                  <w:vAlign w:val="center"/>
                </w:tcPr>
                <w:p w14:paraId="4180235F">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交通运输条件</w:t>
                  </w:r>
                </w:p>
              </w:tc>
              <w:tc>
                <w:tcPr>
                  <w:tcW w:w="1848" w:type="pct"/>
                  <w:tcBorders>
                    <w:tl2br w:val="nil"/>
                    <w:tr2bl w:val="nil"/>
                  </w:tcBorders>
                  <w:noWrap w:val="0"/>
                  <w:vAlign w:val="center"/>
                </w:tcPr>
                <w:p w14:paraId="47DA0975">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沿线有乡镇道路及村寨砼路面，杆塔位有大部分山间小路，交通条件一般，汽车运距20km。</w:t>
                  </w:r>
                </w:p>
              </w:tc>
              <w:tc>
                <w:tcPr>
                  <w:tcW w:w="1984" w:type="pct"/>
                  <w:tcBorders>
                    <w:tl2br w:val="nil"/>
                    <w:tr2bl w:val="nil"/>
                  </w:tcBorders>
                  <w:noWrap w:val="0"/>
                  <w:vAlign w:val="center"/>
                </w:tcPr>
                <w:p w14:paraId="0CE0C890">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沿线有乡镇道路及村寨砼路面，杆塔位有大部分山间小路，交通条件一般，汽车运距20km。</w:t>
                  </w:r>
                </w:p>
              </w:tc>
            </w:tr>
            <w:tr w14:paraId="3C6AC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9" w:type="pct"/>
                  <w:tcBorders>
                    <w:tl2br w:val="nil"/>
                    <w:tr2bl w:val="nil"/>
                  </w:tcBorders>
                  <w:noWrap w:val="0"/>
                  <w:vAlign w:val="center"/>
                </w:tcPr>
                <w:p w14:paraId="20AEB1F7">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15</w:t>
                  </w:r>
                </w:p>
              </w:tc>
              <w:tc>
                <w:tcPr>
                  <w:tcW w:w="787" w:type="pct"/>
                  <w:tcBorders>
                    <w:tl2br w:val="nil"/>
                    <w:tr2bl w:val="nil"/>
                  </w:tcBorders>
                  <w:noWrap w:val="0"/>
                  <w:vAlign w:val="center"/>
                </w:tcPr>
                <w:p w14:paraId="1D79DE38">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施工及运行维护条件</w:t>
                  </w:r>
                </w:p>
              </w:tc>
              <w:tc>
                <w:tcPr>
                  <w:tcW w:w="1848" w:type="pct"/>
                  <w:tcBorders>
                    <w:tl2br w:val="nil"/>
                    <w:tr2bl w:val="nil"/>
                  </w:tcBorders>
                  <w:noWrap w:val="0"/>
                  <w:vAlign w:val="center"/>
                </w:tcPr>
                <w:p w14:paraId="1B9FF6D5">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线路所经区域森林覆盖较广，</w:t>
                  </w:r>
                  <w:r>
                    <w:rPr>
                      <w:rFonts w:hint="default" w:ascii="Times New Roman" w:hAnsi="Times New Roman" w:eastAsia="宋体" w:cs="Times New Roman"/>
                      <w:bCs/>
                      <w:color w:val="auto"/>
                      <w:sz w:val="21"/>
                      <w:szCs w:val="21"/>
                      <w:highlight w:val="none"/>
                      <w:lang w:eastAsia="zh-CN"/>
                    </w:rPr>
                    <w:t>施工</w:t>
                  </w:r>
                  <w:r>
                    <w:rPr>
                      <w:rFonts w:hint="default" w:ascii="Times New Roman" w:hAnsi="Times New Roman" w:eastAsia="宋体" w:cs="Times New Roman"/>
                      <w:bCs/>
                      <w:color w:val="auto"/>
                      <w:sz w:val="21"/>
                      <w:szCs w:val="21"/>
                      <w:highlight w:val="none"/>
                    </w:rPr>
                    <w:t>及运行维护较为困难，沿线所经地区树木较多，少部分需砍伐。</w:t>
                  </w:r>
                </w:p>
              </w:tc>
              <w:tc>
                <w:tcPr>
                  <w:tcW w:w="1984" w:type="pct"/>
                  <w:tcBorders>
                    <w:tl2br w:val="nil"/>
                    <w:tr2bl w:val="nil"/>
                  </w:tcBorders>
                  <w:noWrap w:val="0"/>
                  <w:vAlign w:val="center"/>
                </w:tcPr>
                <w:p w14:paraId="4CEB4F92">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线路所经区域森林覆盖较广，</w:t>
                  </w:r>
                  <w:r>
                    <w:rPr>
                      <w:rFonts w:hint="default" w:ascii="Times New Roman" w:hAnsi="Times New Roman" w:eastAsia="宋体" w:cs="Times New Roman"/>
                      <w:bCs/>
                      <w:color w:val="auto"/>
                      <w:sz w:val="21"/>
                      <w:szCs w:val="21"/>
                      <w:highlight w:val="none"/>
                      <w:lang w:eastAsia="zh-CN"/>
                    </w:rPr>
                    <w:t>施工</w:t>
                  </w:r>
                  <w:r>
                    <w:rPr>
                      <w:rFonts w:hint="default" w:ascii="Times New Roman" w:hAnsi="Times New Roman" w:eastAsia="宋体" w:cs="Times New Roman"/>
                      <w:bCs/>
                      <w:color w:val="auto"/>
                      <w:sz w:val="21"/>
                      <w:szCs w:val="21"/>
                      <w:highlight w:val="none"/>
                    </w:rPr>
                    <w:t>及运行维护较为困难，沿线所经地区树木较多，少部分需砍伐。</w:t>
                  </w:r>
                </w:p>
              </w:tc>
            </w:tr>
            <w:tr w14:paraId="067D2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9" w:type="pct"/>
                  <w:tcBorders>
                    <w:tl2br w:val="nil"/>
                    <w:tr2bl w:val="nil"/>
                  </w:tcBorders>
                  <w:noWrap w:val="0"/>
                  <w:vAlign w:val="center"/>
                </w:tcPr>
                <w:p w14:paraId="674F3F6A">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16</w:t>
                  </w:r>
                </w:p>
              </w:tc>
              <w:tc>
                <w:tcPr>
                  <w:tcW w:w="787" w:type="pct"/>
                  <w:tcBorders>
                    <w:tl2br w:val="nil"/>
                    <w:tr2bl w:val="nil"/>
                  </w:tcBorders>
                  <w:noWrap w:val="0"/>
                  <w:vAlign w:val="center"/>
                </w:tcPr>
                <w:p w14:paraId="14E829F6">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水环境影响</w:t>
                  </w:r>
                </w:p>
              </w:tc>
              <w:tc>
                <w:tcPr>
                  <w:tcW w:w="1848" w:type="pct"/>
                  <w:tcBorders>
                    <w:tl2br w:val="nil"/>
                    <w:tr2bl w:val="nil"/>
                  </w:tcBorders>
                  <w:noWrap w:val="0"/>
                  <w:vAlign w:val="center"/>
                </w:tcPr>
                <w:p w14:paraId="623B1B8C">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不涉及</w:t>
                  </w:r>
                  <w:r>
                    <w:rPr>
                      <w:rFonts w:hint="eastAsia" w:ascii="Times New Roman" w:hAnsi="Times New Roman" w:eastAsia="宋体" w:cs="Times New Roman"/>
                      <w:bCs/>
                      <w:color w:val="auto"/>
                      <w:sz w:val="21"/>
                      <w:szCs w:val="21"/>
                      <w:highlight w:val="none"/>
                      <w:lang w:val="en-US" w:eastAsia="zh-CN"/>
                    </w:rPr>
                    <w:t>饮用水水源保护区</w:t>
                  </w:r>
                  <w:r>
                    <w:rPr>
                      <w:rFonts w:hint="default" w:ascii="Times New Roman" w:hAnsi="Times New Roman" w:eastAsia="宋体" w:cs="Times New Roman"/>
                      <w:bCs/>
                      <w:color w:val="auto"/>
                      <w:sz w:val="21"/>
                      <w:szCs w:val="21"/>
                      <w:highlight w:val="none"/>
                      <w:lang w:val="en-US" w:eastAsia="zh-CN"/>
                    </w:rPr>
                    <w:t>；跨越鲁珠河</w:t>
                  </w:r>
                  <w:r>
                    <w:rPr>
                      <w:rFonts w:hint="eastAsia" w:ascii="Times New Roman" w:hAnsi="Times New Roman" w:eastAsia="宋体" w:cs="Times New Roman"/>
                      <w:bCs/>
                      <w:color w:val="auto"/>
                      <w:sz w:val="21"/>
                      <w:szCs w:val="21"/>
                      <w:highlight w:val="none"/>
                      <w:lang w:val="en-US" w:eastAsia="zh-CN"/>
                    </w:rPr>
                    <w:t>、大麦冲小河</w:t>
                  </w:r>
                  <w:r>
                    <w:rPr>
                      <w:rFonts w:hint="default" w:ascii="Times New Roman" w:hAnsi="Times New Roman" w:eastAsia="宋体" w:cs="Times New Roman"/>
                      <w:bCs/>
                      <w:color w:val="auto"/>
                      <w:sz w:val="21"/>
                      <w:szCs w:val="21"/>
                      <w:highlight w:val="none"/>
                      <w:lang w:val="en-US" w:eastAsia="zh-CN"/>
                    </w:rPr>
                    <w:t>、铜沟、冷水沟1次，不在水中立塔</w:t>
                  </w:r>
                </w:p>
              </w:tc>
              <w:tc>
                <w:tcPr>
                  <w:tcW w:w="1984" w:type="pct"/>
                  <w:tcBorders>
                    <w:tl2br w:val="nil"/>
                    <w:tr2bl w:val="nil"/>
                  </w:tcBorders>
                  <w:noWrap w:val="0"/>
                  <w:vAlign w:val="center"/>
                </w:tcPr>
                <w:p w14:paraId="09CCE2A5">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不涉及</w:t>
                  </w:r>
                  <w:r>
                    <w:rPr>
                      <w:rFonts w:hint="eastAsia" w:ascii="Times New Roman" w:hAnsi="Times New Roman" w:eastAsia="宋体" w:cs="Times New Roman"/>
                      <w:bCs/>
                      <w:color w:val="auto"/>
                      <w:sz w:val="21"/>
                      <w:szCs w:val="21"/>
                      <w:highlight w:val="none"/>
                      <w:lang w:val="en-US" w:eastAsia="zh-CN"/>
                    </w:rPr>
                    <w:t>饮用水水源保护区</w:t>
                  </w:r>
                  <w:r>
                    <w:rPr>
                      <w:rFonts w:hint="default" w:ascii="Times New Roman" w:hAnsi="Times New Roman" w:eastAsia="宋体" w:cs="Times New Roman"/>
                      <w:bCs/>
                      <w:color w:val="auto"/>
                      <w:sz w:val="21"/>
                      <w:szCs w:val="21"/>
                      <w:highlight w:val="none"/>
                      <w:lang w:val="en-US" w:eastAsia="zh-CN"/>
                    </w:rPr>
                    <w:t>；跨越鲁珠河、铜沟、冷水沟、围家箐1次，不在水中立塔</w:t>
                  </w:r>
                </w:p>
              </w:tc>
            </w:tr>
            <w:tr w14:paraId="6A5BC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9" w:type="pct"/>
                  <w:tcBorders>
                    <w:tl2br w:val="nil"/>
                    <w:tr2bl w:val="nil"/>
                  </w:tcBorders>
                  <w:noWrap w:val="0"/>
                  <w:vAlign w:val="center"/>
                </w:tcPr>
                <w:p w14:paraId="68BD9E27">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17</w:t>
                  </w:r>
                </w:p>
              </w:tc>
              <w:tc>
                <w:tcPr>
                  <w:tcW w:w="787" w:type="pct"/>
                  <w:tcBorders>
                    <w:tl2br w:val="nil"/>
                    <w:tr2bl w:val="nil"/>
                  </w:tcBorders>
                  <w:noWrap w:val="0"/>
                  <w:vAlign w:val="center"/>
                </w:tcPr>
                <w:p w14:paraId="2AD3BA3E">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大气环境</w:t>
                  </w:r>
                </w:p>
              </w:tc>
              <w:tc>
                <w:tcPr>
                  <w:tcW w:w="1848" w:type="pct"/>
                  <w:tcBorders>
                    <w:tl2br w:val="nil"/>
                    <w:tr2bl w:val="nil"/>
                  </w:tcBorders>
                  <w:noWrap w:val="0"/>
                  <w:vAlign w:val="center"/>
                </w:tcPr>
                <w:p w14:paraId="30AD9705">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lang w:val="en-US" w:eastAsia="zh-CN"/>
                    </w:rPr>
                    <w:t>居民点2个</w:t>
                  </w:r>
                </w:p>
              </w:tc>
              <w:tc>
                <w:tcPr>
                  <w:tcW w:w="1984" w:type="pct"/>
                  <w:tcBorders>
                    <w:tl2br w:val="nil"/>
                    <w:tr2bl w:val="nil"/>
                  </w:tcBorders>
                  <w:noWrap w:val="0"/>
                  <w:vAlign w:val="center"/>
                </w:tcPr>
                <w:p w14:paraId="2F694F1F">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lang w:val="en-US" w:eastAsia="zh-CN"/>
                    </w:rPr>
                    <w:t>居民点5个，跨越1处</w:t>
                  </w:r>
                </w:p>
              </w:tc>
            </w:tr>
            <w:tr w14:paraId="40214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9" w:type="pct"/>
                  <w:tcBorders>
                    <w:tl2br w:val="nil"/>
                    <w:tr2bl w:val="nil"/>
                  </w:tcBorders>
                  <w:noWrap w:val="0"/>
                  <w:vAlign w:val="center"/>
                </w:tcPr>
                <w:p w14:paraId="0DB59833">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18</w:t>
                  </w:r>
                </w:p>
              </w:tc>
              <w:tc>
                <w:tcPr>
                  <w:tcW w:w="787" w:type="pct"/>
                  <w:tcBorders>
                    <w:tl2br w:val="nil"/>
                    <w:tr2bl w:val="nil"/>
                  </w:tcBorders>
                  <w:noWrap w:val="0"/>
                  <w:vAlign w:val="center"/>
                </w:tcPr>
                <w:p w14:paraId="45DE0CAD">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噪声、电磁环境</w:t>
                  </w:r>
                </w:p>
              </w:tc>
              <w:tc>
                <w:tcPr>
                  <w:tcW w:w="1848" w:type="pct"/>
                  <w:tcBorders>
                    <w:tl2br w:val="nil"/>
                    <w:tr2bl w:val="nil"/>
                  </w:tcBorders>
                  <w:noWrap w:val="0"/>
                  <w:vAlign w:val="center"/>
                </w:tcPr>
                <w:p w14:paraId="18B26CED">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电磁、噪声保护目标2个</w:t>
                  </w:r>
                </w:p>
              </w:tc>
              <w:tc>
                <w:tcPr>
                  <w:tcW w:w="1984" w:type="pct"/>
                  <w:tcBorders>
                    <w:tl2br w:val="nil"/>
                    <w:tr2bl w:val="nil"/>
                  </w:tcBorders>
                  <w:noWrap w:val="0"/>
                  <w:vAlign w:val="center"/>
                </w:tcPr>
                <w:p w14:paraId="16250C27">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电磁、噪声保护目标5个</w:t>
                  </w:r>
                  <w:r>
                    <w:rPr>
                      <w:rFonts w:hint="default" w:ascii="Times New Roman" w:hAnsi="Times New Roman" w:eastAsia="宋体" w:cs="Times New Roman"/>
                      <w:bCs/>
                      <w:color w:val="auto"/>
                      <w:sz w:val="21"/>
                      <w:szCs w:val="21"/>
                      <w:highlight w:val="none"/>
                      <w:lang w:val="en-US" w:eastAsia="zh-CN"/>
                    </w:rPr>
                    <w:t>，跨越1处</w:t>
                  </w:r>
                </w:p>
              </w:tc>
            </w:tr>
            <w:tr w14:paraId="37204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79" w:type="pct"/>
                  <w:tcBorders>
                    <w:tl2br w:val="nil"/>
                    <w:tr2bl w:val="nil"/>
                  </w:tcBorders>
                  <w:noWrap w:val="0"/>
                  <w:vAlign w:val="center"/>
                </w:tcPr>
                <w:p w14:paraId="29E3D018">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19</w:t>
                  </w:r>
                </w:p>
              </w:tc>
              <w:tc>
                <w:tcPr>
                  <w:tcW w:w="787" w:type="pct"/>
                  <w:tcBorders>
                    <w:tl2br w:val="nil"/>
                    <w:tr2bl w:val="nil"/>
                  </w:tcBorders>
                  <w:noWrap w:val="0"/>
                  <w:vAlign w:val="center"/>
                </w:tcPr>
                <w:p w14:paraId="78300B3C">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lang w:val="en-US" w:eastAsia="zh-CN"/>
                    </w:rPr>
                    <w:t>占地及敏感区</w:t>
                  </w:r>
                </w:p>
              </w:tc>
              <w:tc>
                <w:tcPr>
                  <w:tcW w:w="1848" w:type="pct"/>
                  <w:tcBorders>
                    <w:tl2br w:val="nil"/>
                    <w:tr2bl w:val="nil"/>
                  </w:tcBorders>
                  <w:noWrap w:val="0"/>
                  <w:vAlign w:val="center"/>
                </w:tcPr>
                <w:p w14:paraId="472BD184">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lang w:val="en-US" w:eastAsia="zh-CN"/>
                    </w:rPr>
                    <w:t>永久占地</w:t>
                  </w:r>
                  <w:r>
                    <w:rPr>
                      <w:rFonts w:hint="default" w:ascii="Times New Roman" w:hAnsi="Times New Roman" w:eastAsia="宋体" w:cs="Times New Roman"/>
                      <w:color w:val="auto"/>
                      <w:sz w:val="21"/>
                      <w:szCs w:val="21"/>
                      <w:highlight w:val="none"/>
                      <w:lang w:val="en-US" w:eastAsia="zh-CN"/>
                    </w:rPr>
                    <w:t>0.25494</w:t>
                  </w:r>
                  <w:r>
                    <w:rPr>
                      <w:rFonts w:hint="default" w:ascii="Times New Roman" w:hAnsi="Times New Roman" w:eastAsia="宋体" w:cs="Times New Roman"/>
                      <w:bCs/>
                      <w:color w:val="auto"/>
                      <w:sz w:val="21"/>
                      <w:szCs w:val="21"/>
                      <w:highlight w:val="none"/>
                      <w:lang w:val="en-US" w:eastAsia="zh-CN"/>
                    </w:rPr>
                    <w:t>hm</w:t>
                  </w:r>
                  <w:r>
                    <w:rPr>
                      <w:rFonts w:hint="default" w:ascii="Times New Roman" w:hAnsi="Times New Roman" w:eastAsia="宋体" w:cs="Times New Roman"/>
                      <w:bCs/>
                      <w:color w:val="auto"/>
                      <w:sz w:val="21"/>
                      <w:szCs w:val="21"/>
                      <w:highlight w:val="none"/>
                      <w:vertAlign w:val="superscript"/>
                      <w:lang w:val="en-US" w:eastAsia="zh-CN"/>
                    </w:rPr>
                    <w:t>2</w:t>
                  </w:r>
                  <w:r>
                    <w:rPr>
                      <w:rFonts w:hint="default" w:ascii="Times New Roman" w:hAnsi="Times New Roman" w:eastAsia="宋体" w:cs="Times New Roman"/>
                      <w:bCs/>
                      <w:color w:val="auto"/>
                      <w:sz w:val="21"/>
                      <w:szCs w:val="21"/>
                      <w:highlight w:val="none"/>
                      <w:vertAlign w:val="baseline"/>
                      <w:lang w:val="en-US" w:eastAsia="zh-CN"/>
                    </w:rPr>
                    <w:t>，不涉及自然保护区、风景名胜区等敏感区</w:t>
                  </w:r>
                </w:p>
              </w:tc>
              <w:tc>
                <w:tcPr>
                  <w:tcW w:w="1984" w:type="pct"/>
                  <w:tcBorders>
                    <w:tl2br w:val="nil"/>
                    <w:tr2bl w:val="nil"/>
                  </w:tcBorders>
                  <w:noWrap w:val="0"/>
                  <w:vAlign w:val="center"/>
                </w:tcPr>
                <w:p w14:paraId="6A6DAEFC">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lang w:val="en-US" w:eastAsia="zh-CN"/>
                    </w:rPr>
                    <w:t>永久占地面积0.</w:t>
                  </w:r>
                  <w:r>
                    <w:rPr>
                      <w:rFonts w:hint="eastAsia" w:ascii="Times New Roman" w:hAnsi="Times New Roman" w:eastAsia="宋体" w:cs="Times New Roman"/>
                      <w:bCs/>
                      <w:color w:val="auto"/>
                      <w:sz w:val="21"/>
                      <w:szCs w:val="21"/>
                      <w:highlight w:val="none"/>
                      <w:lang w:val="en-US" w:eastAsia="zh-CN"/>
                    </w:rPr>
                    <w:t>2</w:t>
                  </w:r>
                  <w:r>
                    <w:rPr>
                      <w:rFonts w:hint="default" w:ascii="Times New Roman" w:hAnsi="Times New Roman" w:eastAsia="宋体" w:cs="Times New Roman"/>
                      <w:bCs/>
                      <w:color w:val="auto"/>
                      <w:sz w:val="21"/>
                      <w:szCs w:val="21"/>
                      <w:highlight w:val="none"/>
                      <w:lang w:val="en-US" w:eastAsia="zh-CN"/>
                    </w:rPr>
                    <w:t>8hm</w:t>
                  </w:r>
                  <w:r>
                    <w:rPr>
                      <w:rFonts w:hint="default" w:ascii="Times New Roman" w:hAnsi="Times New Roman" w:eastAsia="宋体" w:cs="Times New Roman"/>
                      <w:bCs/>
                      <w:color w:val="auto"/>
                      <w:sz w:val="21"/>
                      <w:szCs w:val="21"/>
                      <w:highlight w:val="none"/>
                      <w:vertAlign w:val="superscript"/>
                      <w:lang w:val="en-US" w:eastAsia="zh-CN"/>
                    </w:rPr>
                    <w:t>2</w:t>
                  </w:r>
                  <w:r>
                    <w:rPr>
                      <w:rFonts w:hint="default" w:ascii="Times New Roman" w:hAnsi="Times New Roman" w:eastAsia="宋体" w:cs="Times New Roman"/>
                      <w:bCs/>
                      <w:color w:val="auto"/>
                      <w:sz w:val="21"/>
                      <w:szCs w:val="21"/>
                      <w:highlight w:val="none"/>
                      <w:vertAlign w:val="baseline"/>
                      <w:lang w:val="en-US" w:eastAsia="zh-CN"/>
                    </w:rPr>
                    <w:t>，不涉及自然保护区、风景名胜区等敏感区</w:t>
                  </w:r>
                </w:p>
              </w:tc>
            </w:tr>
            <w:tr w14:paraId="7D166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1167" w:type="pct"/>
                  <w:gridSpan w:val="2"/>
                  <w:tcBorders>
                    <w:tl2br w:val="nil"/>
                    <w:tr2bl w:val="nil"/>
                  </w:tcBorders>
                  <w:noWrap w:val="0"/>
                  <w:vAlign w:val="center"/>
                </w:tcPr>
                <w:p w14:paraId="3F1F0F09">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比选</w:t>
                  </w:r>
                </w:p>
              </w:tc>
              <w:tc>
                <w:tcPr>
                  <w:tcW w:w="1848" w:type="pct"/>
                  <w:tcBorders>
                    <w:tl2br w:val="nil"/>
                    <w:tr2bl w:val="nil"/>
                  </w:tcBorders>
                  <w:noWrap w:val="0"/>
                  <w:vAlign w:val="center"/>
                </w:tcPr>
                <w:p w14:paraId="317BD224">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color w:val="auto"/>
                      <w:sz w:val="21"/>
                      <w:szCs w:val="21"/>
                      <w:highlight w:val="none"/>
                    </w:rPr>
                    <w:t>线路较</w:t>
                  </w:r>
                  <w:r>
                    <w:rPr>
                      <w:rFonts w:hint="default" w:ascii="Times New Roman" w:hAnsi="Times New Roman" w:eastAsia="宋体" w:cs="Times New Roman"/>
                      <w:color w:val="auto"/>
                      <w:sz w:val="21"/>
                      <w:szCs w:val="21"/>
                      <w:highlight w:val="none"/>
                      <w:lang w:val="en-US" w:eastAsia="zh-CN"/>
                    </w:rPr>
                    <w:t>短</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涉及跨越基本农田路线短，对基本农田影响较小</w:t>
                  </w:r>
                  <w:r>
                    <w:rPr>
                      <w:rFonts w:hint="default" w:ascii="Times New Roman" w:hAnsi="Times New Roman" w:eastAsia="宋体"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rPr>
                    <w:t>线路铁塔占用</w:t>
                  </w:r>
                  <w:r>
                    <w:rPr>
                      <w:rFonts w:hint="default" w:ascii="Times New Roman" w:hAnsi="Times New Roman" w:eastAsia="宋体" w:cs="Times New Roman"/>
                      <w:bCs/>
                      <w:color w:val="auto"/>
                      <w:sz w:val="21"/>
                      <w:szCs w:val="21"/>
                      <w:highlight w:val="none"/>
                      <w:lang w:val="en-US" w:eastAsia="zh-CN"/>
                    </w:rPr>
                    <w:t>省级公益林</w:t>
                  </w:r>
                  <w:r>
                    <w:rPr>
                      <w:rFonts w:hint="default" w:ascii="Times New Roman" w:hAnsi="Times New Roman" w:eastAsia="宋体" w:cs="Times New Roman"/>
                      <w:bCs/>
                      <w:color w:val="auto"/>
                      <w:sz w:val="21"/>
                      <w:szCs w:val="21"/>
                      <w:highlight w:val="none"/>
                    </w:rPr>
                    <w:t>，无法避让</w:t>
                  </w:r>
                  <w:r>
                    <w:rPr>
                      <w:rFonts w:hint="default" w:ascii="Times New Roman" w:hAnsi="Times New Roman" w:eastAsia="宋体"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rPr>
                    <w:t>线路避开施工困难区域、综合人力运输距离近，投资</w:t>
                  </w:r>
                  <w:r>
                    <w:rPr>
                      <w:rFonts w:hint="default" w:ascii="Times New Roman" w:hAnsi="Times New Roman" w:eastAsia="宋体" w:cs="Times New Roman"/>
                      <w:bCs/>
                      <w:color w:val="auto"/>
                      <w:sz w:val="21"/>
                      <w:szCs w:val="21"/>
                      <w:highlight w:val="none"/>
                      <w:lang w:val="en-US" w:eastAsia="zh-CN"/>
                    </w:rPr>
                    <w:t>小</w:t>
                  </w:r>
                  <w:r>
                    <w:rPr>
                      <w:rFonts w:hint="default" w:ascii="Times New Roman" w:hAnsi="Times New Roman" w:eastAsia="宋体" w:cs="Times New Roman"/>
                      <w:bCs/>
                      <w:color w:val="auto"/>
                      <w:sz w:val="21"/>
                      <w:szCs w:val="21"/>
                      <w:highlight w:val="none"/>
                    </w:rPr>
                    <w:t>。</w:t>
                  </w:r>
                </w:p>
              </w:tc>
              <w:tc>
                <w:tcPr>
                  <w:tcW w:w="1984" w:type="pct"/>
                  <w:tcBorders>
                    <w:tl2br w:val="nil"/>
                    <w:tr2bl w:val="nil"/>
                  </w:tcBorders>
                  <w:noWrap w:val="0"/>
                  <w:vAlign w:val="center"/>
                </w:tcPr>
                <w:p w14:paraId="38A3B4A7">
                  <w:pPr>
                    <w:pStyle w:val="123"/>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color w:val="auto"/>
                      <w:sz w:val="21"/>
                      <w:szCs w:val="21"/>
                      <w:highlight w:val="none"/>
                    </w:rPr>
                    <w:t>线路路径较</w:t>
                  </w:r>
                  <w:r>
                    <w:rPr>
                      <w:rFonts w:hint="default" w:ascii="Times New Roman" w:hAnsi="Times New Roman" w:eastAsia="宋体" w:cs="Times New Roman"/>
                      <w:color w:val="auto"/>
                      <w:sz w:val="21"/>
                      <w:szCs w:val="21"/>
                      <w:highlight w:val="none"/>
                      <w:lang w:val="en-US" w:eastAsia="zh-CN"/>
                    </w:rPr>
                    <w:t>长</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涉及基本农田路线长，对基本农田影响较大；</w:t>
                  </w:r>
                  <w:r>
                    <w:rPr>
                      <w:rFonts w:hint="eastAsia" w:ascii="Times New Roman" w:hAnsi="Times New Roman" w:eastAsia="宋体" w:cs="Times New Roman"/>
                      <w:color w:val="auto"/>
                      <w:sz w:val="21"/>
                      <w:szCs w:val="21"/>
                      <w:highlight w:val="none"/>
                      <w:lang w:val="en-US" w:eastAsia="zh-CN"/>
                    </w:rPr>
                    <w:t>跨越</w:t>
                  </w:r>
                  <w:r>
                    <w:rPr>
                      <w:rFonts w:hint="default" w:ascii="Times New Roman" w:hAnsi="Times New Roman" w:eastAsia="宋体" w:cs="Times New Roman"/>
                      <w:color w:val="auto"/>
                      <w:sz w:val="21"/>
                      <w:szCs w:val="21"/>
                      <w:highlight w:val="none"/>
                      <w:lang w:val="en-US" w:eastAsia="zh-CN"/>
                    </w:rPr>
                    <w:t>生态保护红</w:t>
                  </w:r>
                  <w:r>
                    <w:rPr>
                      <w:rFonts w:hint="eastAsia" w:ascii="Times New Roman" w:hAnsi="Times New Roman" w:eastAsia="宋体" w:cs="Times New Roman"/>
                      <w:color w:val="auto"/>
                      <w:sz w:val="21"/>
                      <w:szCs w:val="21"/>
                      <w:highlight w:val="none"/>
                      <w:lang w:val="en-US" w:eastAsia="zh-CN"/>
                    </w:rPr>
                    <w:t>线</w:t>
                  </w:r>
                  <w:r>
                    <w:rPr>
                      <w:rFonts w:hint="default" w:ascii="Times New Roman" w:hAnsi="Times New Roman" w:eastAsia="宋体" w:cs="Times New Roman"/>
                      <w:color w:val="auto"/>
                      <w:sz w:val="21"/>
                      <w:szCs w:val="21"/>
                      <w:highlight w:val="none"/>
                      <w:lang w:val="en-US" w:eastAsia="zh-CN"/>
                    </w:rPr>
                    <w:t>路</w:t>
                  </w:r>
                  <w:r>
                    <w:rPr>
                      <w:rFonts w:hint="eastAsia" w:ascii="Times New Roman" w:hAnsi="Times New Roman" w:eastAsia="宋体" w:cs="Times New Roman"/>
                      <w:color w:val="auto"/>
                      <w:sz w:val="21"/>
                      <w:szCs w:val="21"/>
                      <w:highlight w:val="none"/>
                      <w:lang w:val="en-US" w:eastAsia="zh-CN"/>
                    </w:rPr>
                    <w:t>段</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Cs/>
                      <w:color w:val="auto"/>
                      <w:sz w:val="21"/>
                      <w:szCs w:val="21"/>
                      <w:highlight w:val="none"/>
                      <w:lang w:val="en-US" w:eastAsia="zh-CN"/>
                    </w:rPr>
                    <w:t>生态影响</w:t>
                  </w:r>
                  <w:r>
                    <w:rPr>
                      <w:rFonts w:hint="eastAsia" w:ascii="Times New Roman" w:hAnsi="Times New Roman" w:eastAsia="宋体" w:cs="Times New Roman"/>
                      <w:bCs/>
                      <w:color w:val="auto"/>
                      <w:sz w:val="21"/>
                      <w:szCs w:val="21"/>
                      <w:highlight w:val="none"/>
                      <w:lang w:val="en-US" w:eastAsia="zh-CN"/>
                    </w:rPr>
                    <w:t>相对较小</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Cs/>
                      <w:color w:val="auto"/>
                      <w:sz w:val="21"/>
                      <w:szCs w:val="21"/>
                      <w:highlight w:val="none"/>
                      <w:lang w:val="en-US" w:eastAsia="zh-CN"/>
                    </w:rPr>
                    <w:t>线路铁塔占用国家二级公益林及省级公益林，无法避让；地势高差大，施工难度相对较大。</w:t>
                  </w:r>
                </w:p>
              </w:tc>
            </w:tr>
          </w:tbl>
          <w:p w14:paraId="6F479B8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综合</w:t>
            </w:r>
            <w:r>
              <w:rPr>
                <w:rFonts w:hint="default" w:ascii="Times New Roman" w:hAnsi="Times New Roman" w:eastAsia="宋体" w:cs="Times New Roman"/>
                <w:color w:val="auto"/>
                <w:sz w:val="24"/>
                <w:szCs w:val="24"/>
                <w:highlight w:val="none"/>
                <w:lang w:val="en-US" w:eastAsia="zh-CN"/>
              </w:rPr>
              <w:t>比较两个</w:t>
            </w:r>
            <w:r>
              <w:rPr>
                <w:rFonts w:hint="default" w:ascii="Times New Roman" w:hAnsi="Times New Roman" w:eastAsia="宋体" w:cs="Times New Roman"/>
                <w:color w:val="auto"/>
                <w:sz w:val="24"/>
                <w:szCs w:val="24"/>
                <w:highlight w:val="none"/>
              </w:rPr>
              <w:t>方案，线路均不涉及</w:t>
            </w:r>
            <w:r>
              <w:rPr>
                <w:rFonts w:hint="default" w:ascii="Times New Roman" w:hAnsi="Times New Roman" w:eastAsia="宋体" w:cs="Times New Roman"/>
                <w:color w:val="auto"/>
                <w:sz w:val="24"/>
                <w:szCs w:val="24"/>
                <w:highlight w:val="none"/>
                <w:lang w:val="en-US" w:eastAsia="zh-CN"/>
              </w:rPr>
              <w:t>占用</w:t>
            </w:r>
            <w:r>
              <w:rPr>
                <w:rFonts w:hint="default" w:ascii="Times New Roman" w:hAnsi="Times New Roman" w:eastAsia="宋体" w:cs="Times New Roman"/>
                <w:color w:val="auto"/>
                <w:sz w:val="24"/>
                <w:szCs w:val="24"/>
                <w:highlight w:val="none"/>
              </w:rPr>
              <w:t>风景名胜</w:t>
            </w:r>
            <w:r>
              <w:rPr>
                <w:rFonts w:hint="default" w:ascii="Times New Roman" w:hAnsi="Times New Roman" w:eastAsia="宋体" w:cs="Times New Roman"/>
                <w:color w:val="auto"/>
                <w:sz w:val="24"/>
                <w:szCs w:val="24"/>
                <w:highlight w:val="none"/>
                <w:lang w:val="en-US" w:eastAsia="zh-CN"/>
              </w:rPr>
              <w:t>区</w:t>
            </w:r>
            <w:r>
              <w:rPr>
                <w:rFonts w:hint="default" w:ascii="Times New Roman" w:hAnsi="Times New Roman" w:eastAsia="宋体" w:cs="Times New Roman"/>
                <w:color w:val="auto"/>
                <w:sz w:val="24"/>
                <w:szCs w:val="24"/>
                <w:highlight w:val="none"/>
              </w:rPr>
              <w:t>、自然保护区、饮用水水源保护区</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线路位于山区，均能避让线路沿线居民点，在施工建设中避免了拆迁、补偿问题；线路沿线均有乡村道路和机耕道路，交通较为便利，材料运输、施工建设、运行检修较为方便。</w:t>
            </w:r>
          </w:p>
          <w:p w14:paraId="57E908C5">
            <w:pPr>
              <w:pStyle w:val="14"/>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从线路长短看，</w:t>
            </w:r>
            <w:r>
              <w:rPr>
                <w:rFonts w:hint="default" w:ascii="Times New Roman" w:hAnsi="Times New Roman" w:eastAsia="宋体" w:cs="Times New Roman"/>
                <w:color w:val="auto"/>
                <w:sz w:val="24"/>
                <w:szCs w:val="24"/>
                <w:highlight w:val="none"/>
                <w:lang w:val="en-US" w:eastAsia="zh-CN"/>
              </w:rPr>
              <w:t>方案一较短，方案二长2.24km。方案二线路路径长，曲折系数高，投资大，</w:t>
            </w:r>
            <w:r>
              <w:rPr>
                <w:rFonts w:hint="default" w:ascii="Times New Roman" w:hAnsi="Times New Roman" w:eastAsia="宋体" w:cs="Times New Roman"/>
                <w:color w:val="auto"/>
                <w:sz w:val="24"/>
                <w:szCs w:val="24"/>
                <w:highlight w:val="none"/>
              </w:rPr>
              <w:t>运行维护投资</w:t>
            </w:r>
            <w:r>
              <w:rPr>
                <w:rFonts w:hint="default" w:ascii="Times New Roman" w:hAnsi="Times New Roman" w:eastAsia="宋体" w:cs="Times New Roman"/>
                <w:color w:val="auto"/>
                <w:sz w:val="24"/>
                <w:szCs w:val="24"/>
                <w:highlight w:val="none"/>
                <w:lang w:val="en-US" w:eastAsia="zh-CN"/>
              </w:rPr>
              <w:t>较大。</w:t>
            </w:r>
            <w:r>
              <w:rPr>
                <w:rFonts w:hint="eastAsia" w:ascii="Times New Roman" w:hAnsi="Times New Roman" w:eastAsia="宋体" w:cs="Times New Roman"/>
                <w:color w:val="auto"/>
                <w:sz w:val="24"/>
                <w:szCs w:val="24"/>
                <w:highlight w:val="none"/>
                <w:lang w:val="en-US" w:eastAsia="zh-CN"/>
              </w:rPr>
              <w:t>方案二涉及占用国家二级公益林，方案一不涉及，方案二涉及大气、噪声、电磁保护目标有5个，方案一仅2个，</w:t>
            </w:r>
            <w:r>
              <w:rPr>
                <w:rFonts w:hint="default" w:ascii="Times New Roman" w:hAnsi="Times New Roman" w:eastAsia="宋体" w:cs="Times New Roman"/>
                <w:color w:val="auto"/>
                <w:sz w:val="24"/>
                <w:szCs w:val="24"/>
                <w:highlight w:val="none"/>
                <w:lang w:val="en-US" w:eastAsia="zh-CN"/>
              </w:rPr>
              <w:t>另外，方案二2基塔涉及占用基本农田，对农业生态环境影响大，协调难度较大，因此，</w:t>
            </w:r>
            <w:r>
              <w:rPr>
                <w:rFonts w:hint="default" w:ascii="Times New Roman" w:hAnsi="Times New Roman" w:eastAsia="宋体" w:cs="Times New Roman"/>
                <w:color w:val="auto"/>
                <w:sz w:val="24"/>
                <w:szCs w:val="24"/>
                <w:highlight w:val="none"/>
              </w:rPr>
              <w:t>从</w:t>
            </w:r>
            <w:r>
              <w:rPr>
                <w:rFonts w:hint="default" w:ascii="Times New Roman" w:hAnsi="Times New Roman" w:eastAsia="宋体" w:cs="Times New Roman"/>
                <w:color w:val="auto"/>
                <w:sz w:val="24"/>
                <w:szCs w:val="24"/>
                <w:highlight w:val="none"/>
                <w:lang w:val="en-US" w:eastAsia="zh-CN"/>
              </w:rPr>
              <w:t>环保</w:t>
            </w:r>
            <w:r>
              <w:rPr>
                <w:rFonts w:hint="default" w:ascii="Times New Roman" w:hAnsi="Times New Roman" w:eastAsia="宋体" w:cs="Times New Roman"/>
                <w:color w:val="auto"/>
                <w:sz w:val="24"/>
                <w:szCs w:val="24"/>
                <w:highlight w:val="none"/>
              </w:rPr>
              <w:t>角度考虑，推荐方案</w:t>
            </w:r>
            <w:r>
              <w:rPr>
                <w:rFonts w:hint="default" w:ascii="Times New Roman" w:hAnsi="Times New Roman" w:eastAsia="宋体"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w:t>
            </w:r>
          </w:p>
          <w:p w14:paraId="401AFC6C">
            <w:pPr>
              <w:pStyle w:val="14"/>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综上，</w:t>
            </w:r>
            <w:r>
              <w:rPr>
                <w:rFonts w:hint="default" w:ascii="Times New Roman" w:hAnsi="Times New Roman" w:eastAsia="宋体" w:cs="Times New Roman"/>
                <w:color w:val="auto"/>
                <w:sz w:val="24"/>
                <w:szCs w:val="24"/>
                <w:highlight w:val="none"/>
              </w:rPr>
              <w:t>环评推荐方案</w:t>
            </w:r>
            <w:r>
              <w:rPr>
                <w:rFonts w:hint="default" w:ascii="Times New Roman" w:hAnsi="Times New Roman" w:eastAsia="宋体" w:cs="Times New Roman"/>
                <w:color w:val="auto"/>
                <w:sz w:val="24"/>
                <w:szCs w:val="24"/>
                <w:highlight w:val="none"/>
                <w:lang w:val="en-US" w:eastAsia="zh-CN"/>
              </w:rPr>
              <w:t>一，推荐方案与设计推荐方案一致</w:t>
            </w:r>
            <w:r>
              <w:rPr>
                <w:rFonts w:hint="default" w:ascii="Times New Roman" w:hAnsi="Times New Roman" w:eastAsia="宋体" w:cs="Times New Roman"/>
                <w:color w:val="auto"/>
                <w:sz w:val="24"/>
                <w:szCs w:val="24"/>
                <w:highlight w:val="none"/>
              </w:rPr>
              <w:t>。</w:t>
            </w:r>
          </w:p>
          <w:p w14:paraId="13F11C43">
            <w:pPr>
              <w:keepNext/>
              <w:keepLines/>
              <w:adjustRightInd w:val="0"/>
              <w:snapToGrid w:val="0"/>
              <w:spacing w:line="440" w:lineRule="exact"/>
              <w:ind w:firstLine="482" w:firstLineChars="200"/>
              <w:outlineLvl w:val="3"/>
              <w:rPr>
                <w:rFonts w:hint="eastAsia" w:ascii="Times New Roman" w:hAnsi="Times New Roman" w:eastAsia="宋体" w:cs="Times New Roman"/>
                <w:b/>
                <w:bCs/>
                <w:color w:val="auto"/>
                <w:sz w:val="24"/>
                <w:highlight w:val="none"/>
                <w:lang w:eastAsia="zh-CN"/>
              </w:rPr>
            </w:pPr>
            <w:r>
              <w:rPr>
                <w:rFonts w:hint="default" w:ascii="Times New Roman" w:hAnsi="Times New Roman" w:eastAsia="宋体"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rPr>
              <w:t>项目线路</w:t>
            </w:r>
            <w:r>
              <w:rPr>
                <w:rFonts w:hint="eastAsia" w:ascii="Times New Roman" w:hAnsi="Times New Roman" w:cs="Times New Roman"/>
                <w:b/>
                <w:bCs/>
                <w:color w:val="auto"/>
                <w:sz w:val="24"/>
                <w:highlight w:val="none"/>
                <w:lang w:eastAsia="zh-CN"/>
              </w:rPr>
              <w:t>不可避让跨越生态保护红线</w:t>
            </w:r>
          </w:p>
          <w:p w14:paraId="62A2C34A">
            <w:pPr>
              <w:adjustRightInd w:val="0"/>
              <w:snapToGrid w:val="0"/>
              <w:spacing w:line="440" w:lineRule="exact"/>
              <w:ind w:firstLine="480" w:firstLineChars="200"/>
              <w:rPr>
                <w:rFonts w:hint="default" w:ascii="Times New Roman" w:hAnsi="Times New Roman" w:eastAsia="宋体" w:cs="Times New Roman"/>
                <w:color w:val="auto"/>
                <w:kern w:val="0"/>
                <w:sz w:val="24"/>
                <w:szCs w:val="24"/>
                <w:highlight w:val="yellow"/>
                <w:lang w:val="en-US" w:eastAsia="zh-CN" w:bidi="ar"/>
              </w:rPr>
            </w:pPr>
            <w:r>
              <w:rPr>
                <w:rFonts w:hint="default" w:ascii="Times New Roman" w:hAnsi="Times New Roman" w:cs="Times New Roman"/>
                <w:color w:val="auto"/>
                <w:sz w:val="24"/>
                <w:highlight w:val="none"/>
                <w:lang w:val="en-US" w:eastAsia="zh-CN"/>
              </w:rPr>
              <w:t>根据线路路径方案拟定原则，结合室内选线和实地勘察，对线路路径进行优化，结合设计报告资料，</w:t>
            </w:r>
            <w:r>
              <w:rPr>
                <w:rFonts w:hint="default" w:ascii="Times New Roman" w:hAnsi="Times New Roman" w:eastAsia="宋体" w:cs="Times New Roman"/>
                <w:color w:val="auto"/>
                <w:kern w:val="0"/>
                <w:sz w:val="24"/>
                <w:szCs w:val="24"/>
                <w:highlight w:val="none"/>
                <w:lang w:val="en-US" w:eastAsia="zh-CN" w:bidi="ar"/>
              </w:rPr>
              <w:t>线路起点段因</w:t>
            </w:r>
            <w:r>
              <w:rPr>
                <w:rFonts w:hint="eastAsia" w:ascii="Times New Roman" w:hAnsi="Times New Roman" w:eastAsia="宋体" w:cs="Times New Roman"/>
                <w:color w:val="auto"/>
                <w:kern w:val="0"/>
                <w:sz w:val="24"/>
                <w:szCs w:val="24"/>
                <w:highlight w:val="none"/>
                <w:lang w:val="en-US" w:eastAsia="zh-CN" w:bidi="ar"/>
              </w:rPr>
              <w:t>11</w:t>
            </w:r>
            <w:r>
              <w:rPr>
                <w:rFonts w:hint="default" w:ascii="Times New Roman" w:hAnsi="Times New Roman" w:eastAsia="宋体" w:cs="Times New Roman"/>
                <w:color w:val="auto"/>
                <w:kern w:val="0"/>
                <w:sz w:val="24"/>
                <w:szCs w:val="24"/>
                <w:highlight w:val="none"/>
                <w:lang w:val="en-US" w:eastAsia="zh-CN" w:bidi="ar"/>
              </w:rPr>
              <w:t>0kV</w:t>
            </w:r>
            <w:r>
              <w:rPr>
                <w:rFonts w:hint="eastAsia" w:ascii="Times New Roman" w:hAnsi="Times New Roman" w:eastAsia="宋体" w:cs="Times New Roman"/>
                <w:color w:val="auto"/>
                <w:kern w:val="0"/>
                <w:sz w:val="24"/>
                <w:szCs w:val="24"/>
                <w:highlight w:val="none"/>
                <w:lang w:val="en-US" w:eastAsia="zh-CN" w:bidi="ar"/>
              </w:rPr>
              <w:t>大草房升压站</w:t>
            </w:r>
            <w:r>
              <w:rPr>
                <w:rFonts w:hint="default" w:ascii="Times New Roman" w:hAnsi="Times New Roman" w:eastAsia="宋体" w:cs="Times New Roman"/>
                <w:color w:val="auto"/>
                <w:kern w:val="0"/>
                <w:sz w:val="24"/>
                <w:szCs w:val="24"/>
                <w:highlight w:val="none"/>
                <w:lang w:val="en-US" w:eastAsia="zh-CN" w:bidi="ar"/>
              </w:rPr>
              <w:t>选址限制（</w:t>
            </w:r>
            <w:r>
              <w:rPr>
                <w:rFonts w:hint="default" w:ascii="Times New Roman" w:hAnsi="Times New Roman" w:cs="Times New Roman"/>
                <w:b w:val="0"/>
                <w:bCs w:val="0"/>
                <w:color w:val="auto"/>
                <w:sz w:val="24"/>
                <w:szCs w:val="24"/>
                <w:highlight w:val="none"/>
                <w:lang w:val="en-US" w:eastAsia="zh-CN"/>
              </w:rPr>
              <w:t>于202</w:t>
            </w:r>
            <w:r>
              <w:rPr>
                <w:rFonts w:hint="eastAsia" w:ascii="Times New Roman" w:hAnsi="Times New Roman" w:cs="Times New Roman"/>
                <w:b w:val="0"/>
                <w:bCs w:val="0"/>
                <w:color w:val="auto"/>
                <w:sz w:val="24"/>
                <w:szCs w:val="24"/>
                <w:highlight w:val="none"/>
                <w:lang w:val="en-US" w:eastAsia="zh-CN"/>
              </w:rPr>
              <w:t>6</w:t>
            </w:r>
            <w:r>
              <w:rPr>
                <w:rFonts w:hint="default" w:ascii="Times New Roman" w:hAnsi="Times New Roman" w:cs="Times New Roman"/>
                <w:b w:val="0"/>
                <w:bCs w:val="0"/>
                <w:color w:val="auto"/>
                <w:sz w:val="24"/>
                <w:szCs w:val="24"/>
                <w:highlight w:val="none"/>
                <w:lang w:val="en-US" w:eastAsia="zh-CN"/>
              </w:rPr>
              <w:t>年</w:t>
            </w:r>
            <w:r>
              <w:rPr>
                <w:rFonts w:hint="eastAsia" w:ascii="Times New Roman" w:hAnsi="Times New Roman" w:cs="Times New Roman"/>
                <w:b w:val="0"/>
                <w:bCs w:val="0"/>
                <w:color w:val="auto"/>
                <w:sz w:val="24"/>
                <w:szCs w:val="24"/>
                <w:highlight w:val="none"/>
                <w:lang w:val="en-US" w:eastAsia="zh-CN"/>
              </w:rPr>
              <w:t>6</w:t>
            </w:r>
            <w:r>
              <w:rPr>
                <w:rFonts w:hint="default" w:ascii="Times New Roman" w:hAnsi="Times New Roman" w:cs="Times New Roman"/>
                <w:b w:val="0"/>
                <w:bCs w:val="0"/>
                <w:color w:val="auto"/>
                <w:sz w:val="24"/>
                <w:szCs w:val="24"/>
                <w:highlight w:val="none"/>
                <w:lang w:val="en-US" w:eastAsia="zh-CN"/>
              </w:rPr>
              <w:t>月</w:t>
            </w:r>
            <w:r>
              <w:rPr>
                <w:rFonts w:hint="eastAsia" w:ascii="Times New Roman" w:hAnsi="Times New Roman" w:cs="Times New Roman"/>
                <w:b w:val="0"/>
                <w:bCs w:val="0"/>
                <w:color w:val="auto"/>
                <w:sz w:val="24"/>
                <w:szCs w:val="24"/>
                <w:highlight w:val="none"/>
                <w:lang w:val="en-US" w:eastAsia="zh-CN"/>
              </w:rPr>
              <w:t>2</w:t>
            </w:r>
            <w:r>
              <w:rPr>
                <w:rFonts w:hint="default" w:ascii="Times New Roman" w:hAnsi="Times New Roman" w:cs="Times New Roman"/>
                <w:b w:val="0"/>
                <w:bCs w:val="0"/>
                <w:color w:val="auto"/>
                <w:sz w:val="24"/>
                <w:szCs w:val="24"/>
                <w:highlight w:val="none"/>
                <w:lang w:val="en-US" w:eastAsia="zh-CN"/>
              </w:rPr>
              <w:t>日取得</w:t>
            </w:r>
            <w:r>
              <w:rPr>
                <w:rFonts w:hint="eastAsia" w:ascii="Times New Roman" w:hAnsi="Times New Roman" w:cs="Times New Roman"/>
                <w:b w:val="0"/>
                <w:bCs w:val="0"/>
                <w:color w:val="auto"/>
                <w:sz w:val="24"/>
                <w:szCs w:val="24"/>
                <w:highlight w:val="none"/>
                <w:lang w:val="en-US" w:eastAsia="zh-CN"/>
              </w:rPr>
              <w:t>曲靖市生态环境局关于火红乡湾子村委会大草房光伏项目（复合型光伏发电项目）（重新报批）环境影响报告表的批复（曲环审〔2026〕20号）</w:t>
            </w:r>
            <w:r>
              <w:rPr>
                <w:rFonts w:hint="default" w:ascii="Times New Roman" w:hAnsi="Times New Roman" w:eastAsia="宋体" w:cs="Times New Roman"/>
                <w:color w:val="auto"/>
                <w:kern w:val="0"/>
                <w:sz w:val="24"/>
                <w:szCs w:val="24"/>
                <w:highlight w:val="none"/>
                <w:lang w:val="en-US" w:eastAsia="zh-CN" w:bidi="ar"/>
              </w:rPr>
              <w:t>），线路终点段因</w:t>
            </w:r>
            <w:r>
              <w:rPr>
                <w:rFonts w:hint="eastAsia" w:ascii="Times New Roman" w:hAnsi="Times New Roman" w:eastAsia="宋体" w:cs="Times New Roman"/>
                <w:color w:val="auto"/>
                <w:kern w:val="0"/>
                <w:sz w:val="24"/>
                <w:szCs w:val="24"/>
                <w:highlight w:val="none"/>
                <w:lang w:val="en-US" w:eastAsia="zh-CN" w:bidi="ar"/>
              </w:rPr>
              <w:t>220kV六合一升压站</w:t>
            </w:r>
            <w:r>
              <w:rPr>
                <w:rFonts w:hint="default" w:ascii="Times New Roman" w:hAnsi="Times New Roman" w:eastAsia="宋体" w:cs="Times New Roman"/>
                <w:color w:val="auto"/>
                <w:kern w:val="0"/>
                <w:sz w:val="24"/>
                <w:szCs w:val="24"/>
                <w:highlight w:val="none"/>
                <w:lang w:val="en-US" w:eastAsia="zh-CN" w:bidi="ar"/>
              </w:rPr>
              <w:t>选址限制（</w:t>
            </w:r>
            <w:r>
              <w:rPr>
                <w:rFonts w:hint="eastAsia" w:ascii="Times New Roman" w:hAnsi="Times New Roman" w:cs="Times New Roman"/>
                <w:b w:val="0"/>
                <w:bCs w:val="0"/>
                <w:color w:val="auto"/>
                <w:sz w:val="24"/>
                <w:szCs w:val="24"/>
                <w:highlight w:val="none"/>
                <w:lang w:val="en-US" w:eastAsia="zh-CN"/>
              </w:rPr>
              <w:t>于2022年8月25日取得曲靖市生态环境局关于乐业镇六合村一期光伏项目（复合型光伏发电项目）环境影响报告表的批复（曲环审〔2022〕44号）</w:t>
            </w:r>
            <w:r>
              <w:rPr>
                <w:rFonts w:hint="default" w:ascii="Times New Roman" w:hAnsi="Times New Roman" w:eastAsia="宋体" w:cs="Times New Roman"/>
                <w:color w:val="auto"/>
                <w:kern w:val="0"/>
                <w:sz w:val="24"/>
                <w:szCs w:val="24"/>
                <w:highlight w:val="none"/>
                <w:lang w:val="en-US" w:eastAsia="zh-CN" w:bidi="ar"/>
              </w:rPr>
              <w:t>），线路整体由</w:t>
            </w:r>
            <w:r>
              <w:rPr>
                <w:rFonts w:hint="eastAsia" w:ascii="Times New Roman" w:hAnsi="Times New Roman" w:eastAsia="宋体" w:cs="Times New Roman"/>
                <w:color w:val="auto"/>
                <w:kern w:val="0"/>
                <w:sz w:val="24"/>
                <w:szCs w:val="24"/>
                <w:highlight w:val="none"/>
                <w:lang w:val="en-US" w:eastAsia="zh-CN" w:bidi="ar"/>
              </w:rPr>
              <w:t>西南</w:t>
            </w:r>
            <w:r>
              <w:rPr>
                <w:rFonts w:hint="default" w:ascii="Times New Roman" w:hAnsi="Times New Roman" w:eastAsia="宋体" w:cs="Times New Roman"/>
                <w:color w:val="auto"/>
                <w:kern w:val="0"/>
                <w:sz w:val="24"/>
                <w:szCs w:val="24"/>
                <w:highlight w:val="none"/>
                <w:lang w:val="en-US" w:eastAsia="zh-CN" w:bidi="ar"/>
              </w:rPr>
              <w:t>向</w:t>
            </w:r>
            <w:r>
              <w:rPr>
                <w:rFonts w:hint="eastAsia" w:ascii="Times New Roman" w:hAnsi="Times New Roman" w:eastAsia="宋体" w:cs="Times New Roman"/>
                <w:color w:val="auto"/>
                <w:kern w:val="0"/>
                <w:sz w:val="24"/>
                <w:szCs w:val="24"/>
                <w:highlight w:val="none"/>
                <w:lang w:val="en-US" w:eastAsia="zh-CN" w:bidi="ar"/>
              </w:rPr>
              <w:t>东北</w:t>
            </w:r>
            <w:r>
              <w:rPr>
                <w:rFonts w:hint="default" w:ascii="Times New Roman" w:hAnsi="Times New Roman" w:eastAsia="宋体" w:cs="Times New Roman"/>
                <w:color w:val="auto"/>
                <w:kern w:val="0"/>
                <w:sz w:val="24"/>
                <w:szCs w:val="24"/>
                <w:highlight w:val="none"/>
                <w:lang w:val="en-US" w:eastAsia="zh-CN" w:bidi="ar"/>
              </w:rPr>
              <w:t>布线，在</w:t>
            </w:r>
            <w:r>
              <w:rPr>
                <w:rFonts w:hint="eastAsia" w:ascii="Times New Roman" w:hAnsi="Times New Roman" w:eastAsia="宋体" w:cs="Times New Roman"/>
                <w:color w:val="auto"/>
                <w:kern w:val="0"/>
                <w:sz w:val="24"/>
                <w:szCs w:val="24"/>
                <w:highlight w:val="none"/>
                <w:lang w:val="en-US" w:eastAsia="zh-CN" w:bidi="ar"/>
              </w:rPr>
              <w:t>会泽县五星乡镇西侧</w:t>
            </w:r>
            <w:r>
              <w:rPr>
                <w:rFonts w:hint="default" w:ascii="Times New Roman" w:hAnsi="Times New Roman" w:eastAsia="宋体" w:cs="Times New Roman"/>
                <w:color w:val="auto"/>
                <w:kern w:val="0"/>
                <w:sz w:val="24"/>
                <w:szCs w:val="24"/>
                <w:highlight w:val="none"/>
                <w:lang w:val="en-US" w:eastAsia="zh-CN" w:bidi="ar"/>
              </w:rPr>
              <w:t>有零星块状分布生态保护红线，项目区域</w:t>
            </w:r>
            <w:r>
              <w:rPr>
                <w:rFonts w:hint="eastAsia" w:ascii="Times New Roman" w:hAnsi="Times New Roman" w:eastAsia="宋体" w:cs="Times New Roman"/>
                <w:color w:val="auto"/>
                <w:kern w:val="0"/>
                <w:sz w:val="24"/>
                <w:szCs w:val="24"/>
                <w:highlight w:val="none"/>
                <w:lang w:val="en-US" w:eastAsia="zh-CN" w:bidi="ar"/>
              </w:rPr>
              <w:t>东侧</w:t>
            </w:r>
            <w:r>
              <w:rPr>
                <w:rFonts w:hint="default" w:ascii="Times New Roman" w:hAnsi="Times New Roman" w:eastAsia="宋体" w:cs="Times New Roman"/>
                <w:color w:val="auto"/>
                <w:kern w:val="0"/>
                <w:sz w:val="24"/>
                <w:szCs w:val="24"/>
                <w:highlight w:val="none"/>
                <w:lang w:val="en-US" w:eastAsia="zh-CN" w:bidi="ar"/>
              </w:rPr>
              <w:t>为大面积的基本农田、</w:t>
            </w:r>
            <w:r>
              <w:rPr>
                <w:rFonts w:hint="eastAsia" w:ascii="Times New Roman" w:hAnsi="Times New Roman" w:eastAsia="宋体" w:cs="Times New Roman"/>
                <w:color w:val="auto"/>
                <w:kern w:val="0"/>
                <w:sz w:val="24"/>
                <w:szCs w:val="24"/>
                <w:highlight w:val="none"/>
                <w:lang w:val="en-US" w:eastAsia="zh-CN" w:bidi="ar"/>
              </w:rPr>
              <w:t>村庄</w:t>
            </w:r>
            <w:r>
              <w:rPr>
                <w:rFonts w:hint="default" w:ascii="Times New Roman" w:hAnsi="Times New Roman" w:eastAsia="宋体" w:cs="Times New Roman"/>
                <w:color w:val="auto"/>
                <w:kern w:val="0"/>
                <w:sz w:val="24"/>
                <w:szCs w:val="24"/>
                <w:highlight w:val="none"/>
                <w:lang w:val="en-US" w:eastAsia="zh-CN" w:bidi="ar"/>
              </w:rPr>
              <w:t>建成区，若将推荐线路向</w:t>
            </w:r>
            <w:r>
              <w:rPr>
                <w:rFonts w:hint="eastAsia" w:ascii="Times New Roman" w:hAnsi="Times New Roman" w:eastAsia="宋体" w:cs="Times New Roman"/>
                <w:color w:val="auto"/>
                <w:kern w:val="0"/>
                <w:sz w:val="24"/>
                <w:szCs w:val="24"/>
                <w:highlight w:val="none"/>
                <w:lang w:val="en-US" w:eastAsia="zh-CN" w:bidi="ar"/>
              </w:rPr>
              <w:t>西</w:t>
            </w:r>
            <w:r>
              <w:rPr>
                <w:rFonts w:hint="default" w:ascii="Times New Roman" w:hAnsi="Times New Roman" w:eastAsia="宋体" w:cs="Times New Roman"/>
                <w:color w:val="auto"/>
                <w:kern w:val="0"/>
                <w:sz w:val="24"/>
                <w:szCs w:val="24"/>
                <w:highlight w:val="none"/>
                <w:lang w:val="en-US" w:eastAsia="zh-CN" w:bidi="ar"/>
              </w:rPr>
              <w:t>侧偏移，线路大面积地穿越生态保护红线，将增加进入生态保护红线路径的长度，进而增加对生态保护红线的影响，生态保护红线零星分布，均无法避让生态保护红线；若要完全避开</w:t>
            </w:r>
            <w:r>
              <w:rPr>
                <w:rFonts w:hint="eastAsia" w:ascii="Times New Roman" w:hAnsi="Times New Roman" w:eastAsia="宋体" w:cs="Times New Roman"/>
                <w:color w:val="auto"/>
                <w:kern w:val="0"/>
                <w:sz w:val="24"/>
                <w:szCs w:val="24"/>
                <w:highlight w:val="none"/>
                <w:lang w:val="en-US" w:eastAsia="zh-CN" w:bidi="ar"/>
              </w:rPr>
              <w:t>生态保护红线</w:t>
            </w:r>
            <w:r>
              <w:rPr>
                <w:rFonts w:hint="default" w:ascii="Times New Roman" w:hAnsi="Times New Roman" w:eastAsia="宋体" w:cs="Times New Roman"/>
                <w:color w:val="auto"/>
                <w:kern w:val="0"/>
                <w:sz w:val="24"/>
                <w:szCs w:val="24"/>
                <w:highlight w:val="none"/>
                <w:lang w:val="en-US" w:eastAsia="zh-CN" w:bidi="ar"/>
              </w:rPr>
              <w:t>，线路路径将会进入</w:t>
            </w:r>
            <w:r>
              <w:rPr>
                <w:rFonts w:hint="eastAsia" w:ascii="Times New Roman" w:hAnsi="Times New Roman" w:eastAsia="宋体" w:cs="Times New Roman"/>
                <w:color w:val="auto"/>
                <w:kern w:val="0"/>
                <w:sz w:val="24"/>
                <w:szCs w:val="24"/>
                <w:highlight w:val="none"/>
                <w:lang w:val="en-US" w:eastAsia="zh-CN" w:bidi="ar"/>
              </w:rPr>
              <w:t>老窑冲</w:t>
            </w:r>
            <w:r>
              <w:rPr>
                <w:rFonts w:hint="default" w:ascii="Times New Roman" w:hAnsi="Times New Roman" w:eastAsia="宋体" w:cs="Times New Roman"/>
                <w:color w:val="auto"/>
                <w:kern w:val="0"/>
                <w:sz w:val="24"/>
                <w:szCs w:val="24"/>
                <w:highlight w:val="none"/>
                <w:lang w:val="en-US" w:eastAsia="zh-CN" w:bidi="ar"/>
              </w:rPr>
              <w:t>村、</w:t>
            </w:r>
            <w:r>
              <w:rPr>
                <w:rFonts w:hint="eastAsia" w:ascii="Times New Roman" w:hAnsi="Times New Roman" w:eastAsia="宋体" w:cs="Times New Roman"/>
                <w:color w:val="auto"/>
                <w:kern w:val="0"/>
                <w:sz w:val="24"/>
                <w:szCs w:val="24"/>
                <w:highlight w:val="none"/>
                <w:lang w:val="en-US" w:eastAsia="zh-CN" w:bidi="ar"/>
              </w:rPr>
              <w:t>水井湾</w:t>
            </w:r>
            <w:r>
              <w:rPr>
                <w:rFonts w:hint="default" w:ascii="Times New Roman" w:hAnsi="Times New Roman" w:eastAsia="宋体" w:cs="Times New Roman"/>
                <w:color w:val="auto"/>
                <w:kern w:val="0"/>
                <w:sz w:val="24"/>
                <w:szCs w:val="24"/>
                <w:highlight w:val="none"/>
                <w:lang w:val="en-US" w:eastAsia="zh-CN" w:bidi="ar"/>
              </w:rPr>
              <w:t>村、</w:t>
            </w:r>
            <w:r>
              <w:rPr>
                <w:rFonts w:hint="eastAsia" w:ascii="Times New Roman" w:hAnsi="Times New Roman" w:eastAsia="宋体" w:cs="Times New Roman"/>
                <w:color w:val="auto"/>
                <w:kern w:val="0"/>
                <w:sz w:val="24"/>
                <w:szCs w:val="24"/>
                <w:highlight w:val="none"/>
                <w:lang w:val="en-US" w:eastAsia="zh-CN" w:bidi="ar"/>
              </w:rPr>
              <w:t>康家箐</w:t>
            </w:r>
            <w:r>
              <w:rPr>
                <w:rFonts w:hint="default" w:ascii="Times New Roman" w:hAnsi="Times New Roman" w:eastAsia="宋体" w:cs="Times New Roman"/>
                <w:color w:val="auto"/>
                <w:kern w:val="0"/>
                <w:sz w:val="24"/>
                <w:szCs w:val="24"/>
                <w:highlight w:val="none"/>
                <w:lang w:val="en-US" w:eastAsia="zh-CN" w:bidi="ar"/>
              </w:rPr>
              <w:t>等居民聚集区；线路对周边居民的影响将增大，同时会占用更大面积的基本农田，对农业影响较大，因此，线路总体走线为线路大致从</w:t>
            </w:r>
            <w:r>
              <w:rPr>
                <w:rFonts w:hint="eastAsia" w:ascii="Times New Roman" w:hAnsi="Times New Roman" w:eastAsia="宋体" w:cs="Times New Roman"/>
                <w:color w:val="auto"/>
                <w:kern w:val="0"/>
                <w:sz w:val="24"/>
                <w:szCs w:val="24"/>
                <w:highlight w:val="none"/>
                <w:lang w:val="en-US" w:eastAsia="zh-CN" w:bidi="ar"/>
              </w:rPr>
              <w:t>110</w:t>
            </w:r>
            <w:r>
              <w:rPr>
                <w:rFonts w:hint="default" w:ascii="Times New Roman" w:hAnsi="Times New Roman" w:eastAsia="宋体" w:cs="Times New Roman"/>
                <w:color w:val="auto"/>
                <w:kern w:val="0"/>
                <w:sz w:val="24"/>
                <w:szCs w:val="24"/>
                <w:highlight w:val="none"/>
                <w:lang w:val="en-US" w:eastAsia="zh-CN" w:bidi="ar"/>
              </w:rPr>
              <w:t>kV大</w:t>
            </w:r>
            <w:r>
              <w:rPr>
                <w:rFonts w:hint="eastAsia" w:ascii="Times New Roman" w:hAnsi="Times New Roman" w:eastAsia="宋体" w:cs="Times New Roman"/>
                <w:color w:val="auto"/>
                <w:kern w:val="0"/>
                <w:sz w:val="24"/>
                <w:szCs w:val="24"/>
                <w:highlight w:val="none"/>
                <w:lang w:val="en-US" w:eastAsia="zh-CN" w:bidi="ar"/>
              </w:rPr>
              <w:t>草房</w:t>
            </w:r>
            <w:r>
              <w:rPr>
                <w:rFonts w:hint="default" w:ascii="Times New Roman" w:hAnsi="Times New Roman" w:eastAsia="宋体" w:cs="Times New Roman"/>
                <w:color w:val="auto"/>
                <w:kern w:val="0"/>
                <w:sz w:val="24"/>
                <w:szCs w:val="24"/>
                <w:highlight w:val="none"/>
                <w:lang w:val="en-US" w:eastAsia="zh-CN" w:bidi="ar"/>
              </w:rPr>
              <w:t>升压站出线构架向北出线，从</w:t>
            </w:r>
            <w:r>
              <w:rPr>
                <w:rFonts w:hint="eastAsia" w:ascii="Times New Roman" w:hAnsi="Times New Roman" w:eastAsia="宋体" w:cs="Times New Roman"/>
                <w:color w:val="auto"/>
                <w:kern w:val="0"/>
                <w:sz w:val="24"/>
                <w:szCs w:val="24"/>
                <w:highlight w:val="none"/>
                <w:lang w:val="en-US" w:eastAsia="zh-CN" w:bidi="ar"/>
              </w:rPr>
              <w:t>西南</w:t>
            </w:r>
            <w:r>
              <w:rPr>
                <w:rFonts w:hint="default" w:ascii="Times New Roman" w:hAnsi="Times New Roman" w:eastAsia="宋体" w:cs="Times New Roman"/>
                <w:color w:val="auto"/>
                <w:kern w:val="0"/>
                <w:sz w:val="24"/>
                <w:szCs w:val="24"/>
                <w:highlight w:val="none"/>
                <w:lang w:val="en-US" w:eastAsia="zh-CN" w:bidi="ar"/>
              </w:rPr>
              <w:t>向</w:t>
            </w:r>
            <w:r>
              <w:rPr>
                <w:rFonts w:hint="eastAsia" w:ascii="Times New Roman" w:hAnsi="Times New Roman" w:eastAsia="宋体" w:cs="Times New Roman"/>
                <w:color w:val="auto"/>
                <w:kern w:val="0"/>
                <w:sz w:val="24"/>
                <w:szCs w:val="24"/>
                <w:highlight w:val="none"/>
                <w:lang w:val="en-US" w:eastAsia="zh-CN" w:bidi="ar"/>
              </w:rPr>
              <w:t>东北</w:t>
            </w:r>
            <w:r>
              <w:rPr>
                <w:rFonts w:hint="default" w:ascii="Times New Roman" w:hAnsi="Times New Roman" w:eastAsia="宋体" w:cs="Times New Roman"/>
                <w:color w:val="auto"/>
                <w:kern w:val="0"/>
                <w:sz w:val="24"/>
                <w:szCs w:val="24"/>
                <w:highlight w:val="none"/>
                <w:lang w:val="en-US" w:eastAsia="zh-CN" w:bidi="ar"/>
              </w:rPr>
              <w:t>走向，区域内受</w:t>
            </w:r>
            <w:r>
              <w:rPr>
                <w:rFonts w:hint="eastAsia" w:ascii="Times New Roman" w:hAnsi="Times New Roman" w:eastAsia="宋体" w:cs="Times New Roman"/>
                <w:color w:val="auto"/>
                <w:kern w:val="0"/>
                <w:sz w:val="24"/>
                <w:szCs w:val="24"/>
                <w:highlight w:val="none"/>
                <w:lang w:val="en-US" w:eastAsia="zh-CN" w:bidi="ar"/>
              </w:rPr>
              <w:t>大面积基本农田、村镇</w:t>
            </w:r>
            <w:r>
              <w:rPr>
                <w:rFonts w:hint="default" w:ascii="Times New Roman" w:hAnsi="Times New Roman" w:eastAsia="宋体" w:cs="Times New Roman"/>
                <w:color w:val="auto"/>
                <w:kern w:val="0"/>
                <w:sz w:val="24"/>
                <w:szCs w:val="24"/>
                <w:highlight w:val="none"/>
                <w:lang w:val="en-US" w:eastAsia="zh-CN" w:bidi="ar"/>
              </w:rPr>
              <w:t>建成区、附近成片生态保护红线等限制，本工程线路路径为</w:t>
            </w:r>
            <w:r>
              <w:rPr>
                <w:rFonts w:hint="default" w:ascii="Times New Roman" w:hAnsi="Times New Roman" w:eastAsia="宋体" w:cs="Times New Roman"/>
                <w:bCs/>
                <w:color w:val="auto"/>
                <w:sz w:val="24"/>
                <w:highlight w:val="none"/>
                <w:lang w:val="en-US" w:eastAsia="zh-CN"/>
              </w:rPr>
              <w:t>东北向西南走向</w:t>
            </w:r>
            <w:r>
              <w:rPr>
                <w:rFonts w:hint="default" w:ascii="Times New Roman" w:hAnsi="Times New Roman" w:eastAsia="宋体" w:cs="Times New Roman"/>
                <w:color w:val="auto"/>
                <w:kern w:val="0"/>
                <w:sz w:val="24"/>
                <w:szCs w:val="24"/>
                <w:highlight w:val="none"/>
                <w:lang w:val="en-US" w:eastAsia="zh-CN" w:bidi="ar"/>
              </w:rPr>
              <w:t>，不可避免地跨越了金沙江下游—小江流域水土流失控制生态保护红线。</w:t>
            </w:r>
          </w:p>
          <w:p w14:paraId="11936C47">
            <w:pPr>
              <w:adjustRightInd w:val="0"/>
              <w:snapToGrid w:val="0"/>
              <w:spacing w:line="440" w:lineRule="exact"/>
              <w:ind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受自然条件、对居民点、大面积基本农田、矿区布局影响等因素的限制，输电线路共计约</w:t>
            </w:r>
            <w:r>
              <w:rPr>
                <w:rFonts w:hint="eastAsia" w:ascii="Times New Roman" w:hAnsi="Times New Roman" w:eastAsia="宋体" w:cs="Times New Roman"/>
                <w:bCs/>
                <w:color w:val="auto"/>
                <w:sz w:val="24"/>
                <w:highlight w:val="none"/>
                <w:lang w:val="en-US" w:eastAsia="zh-CN"/>
              </w:rPr>
              <w:t>89.2</w:t>
            </w:r>
            <w:r>
              <w:rPr>
                <w:rFonts w:hint="default" w:ascii="Times New Roman" w:hAnsi="Times New Roman" w:eastAsia="宋体" w:cs="Times New Roman"/>
                <w:bCs/>
                <w:color w:val="auto"/>
                <w:sz w:val="24"/>
                <w:highlight w:val="none"/>
                <w:lang w:val="en-US" w:eastAsia="zh-CN"/>
              </w:rPr>
              <w:t>米不可避让跨越生态保护红线，但不在生态保护红线范围内立塔，对生态环境影响相对较小。本工程线路路径为东北向西南走向，从生态保护红线边缘布线，不可避让的跨越生态保护红线。</w:t>
            </w:r>
          </w:p>
          <w:p w14:paraId="3543F08A">
            <w:pPr>
              <w:adjustRightInd w:val="0"/>
              <w:snapToGrid w:val="0"/>
              <w:spacing w:line="440" w:lineRule="exact"/>
              <w:ind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因此，工程线路跨越生态保护红线段路径方案具有不可避让性，具有唯一性。</w:t>
            </w:r>
          </w:p>
          <w:p w14:paraId="31028607">
            <w:pPr>
              <w:rPr>
                <w:rFonts w:hint="eastAsia"/>
                <w:bCs/>
                <w:color w:val="auto"/>
                <w:sz w:val="24"/>
              </w:rPr>
            </w:pPr>
          </w:p>
          <w:p w14:paraId="3D317812">
            <w:pPr>
              <w:pStyle w:val="6"/>
              <w:ind w:left="0" w:leftChars="0" w:firstLine="0" w:firstLineChars="0"/>
              <w:rPr>
                <w:rFonts w:hint="eastAsia"/>
                <w:bCs/>
                <w:color w:val="auto"/>
                <w:sz w:val="24"/>
              </w:rPr>
            </w:pPr>
          </w:p>
          <w:p w14:paraId="3FDB682E">
            <w:pPr>
              <w:pStyle w:val="29"/>
              <w:adjustRightInd w:val="0"/>
              <w:snapToGrid w:val="0"/>
              <w:spacing w:after="0" w:line="440" w:lineRule="exact"/>
              <w:ind w:left="0" w:leftChars="0" w:firstLine="480"/>
              <w:rPr>
                <w:bCs/>
                <w:color w:val="auto"/>
                <w:sz w:val="24"/>
              </w:rPr>
            </w:pPr>
          </w:p>
        </w:tc>
      </w:tr>
    </w:tbl>
    <w:p w14:paraId="70492240">
      <w:pPr>
        <w:pStyle w:val="25"/>
        <w:spacing w:before="0" w:beforeAutospacing="0" w:after="0" w:afterAutospacing="0"/>
        <w:ind w:firstLine="720"/>
        <w:jc w:val="center"/>
        <w:rPr>
          <w:rFonts w:ascii="Times New Roman" w:hAnsi="Times New Roman"/>
          <w:snapToGrid w:val="0"/>
          <w:color w:val="auto"/>
          <w:sz w:val="36"/>
          <w:szCs w:val="36"/>
        </w:rPr>
        <w:sectPr>
          <w:pgSz w:w="11906" w:h="16838"/>
          <w:pgMar w:top="1440" w:right="1740" w:bottom="1440" w:left="1684" w:header="794" w:footer="851" w:gutter="0"/>
          <w:pgBorders>
            <w:top w:val="none" w:sz="0" w:space="0"/>
            <w:left w:val="none" w:sz="0" w:space="0"/>
            <w:bottom w:val="none" w:sz="0" w:space="0"/>
            <w:right w:val="none" w:sz="0" w:space="0"/>
          </w:pgBorders>
          <w:pgNumType w:fmt="decimal"/>
          <w:cols w:space="720" w:num="1"/>
          <w:docGrid w:linePitch="312" w:charSpace="0"/>
        </w:sectPr>
      </w:pPr>
    </w:p>
    <w:p w14:paraId="7878FB4A">
      <w:pPr>
        <w:pStyle w:val="25"/>
        <w:spacing w:before="0" w:beforeAutospacing="0" w:after="0" w:afterAutospacing="0"/>
        <w:jc w:val="center"/>
        <w:outlineLvl w:val="0"/>
        <w:rPr>
          <w:rFonts w:ascii="Times New Roman" w:hAnsi="Times New Roman"/>
          <w:b/>
          <w:snapToGrid w:val="0"/>
          <w:color w:val="auto"/>
          <w:sz w:val="30"/>
          <w:szCs w:val="30"/>
        </w:rPr>
      </w:pPr>
      <w:bookmarkStart w:id="16" w:name="_Toc17544"/>
      <w:bookmarkStart w:id="17" w:name="_Toc1426"/>
      <w:r>
        <w:rPr>
          <w:rFonts w:ascii="Times New Roman" w:hAnsi="Times New Roman"/>
          <w:b/>
          <w:snapToGrid w:val="0"/>
          <w:color w:val="auto"/>
          <w:sz w:val="30"/>
          <w:szCs w:val="30"/>
        </w:rPr>
        <w:t>三、生态环境现状、保护目标及评价标准</w:t>
      </w:r>
      <w:bookmarkEnd w:id="16"/>
      <w:bookmarkEnd w:id="17"/>
    </w:p>
    <w:tbl>
      <w:tblPr>
        <w:tblStyle w:val="31"/>
        <w:tblW w:w="89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
        <w:gridCol w:w="8500"/>
      </w:tblGrid>
      <w:tr w14:paraId="68311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2" w:type="dxa"/>
            <w:noWrap w:val="0"/>
            <w:vAlign w:val="center"/>
          </w:tcPr>
          <w:p w14:paraId="643825AF">
            <w:pPr>
              <w:jc w:val="center"/>
              <w:rPr>
                <w:rFonts w:hint="default" w:ascii="Times New Roman" w:hAnsi="Times New Roman" w:cs="Times New Roman"/>
                <w:b/>
                <w:color w:val="auto"/>
                <w:sz w:val="24"/>
                <w:szCs w:val="24"/>
              </w:rPr>
            </w:pPr>
          </w:p>
          <w:p w14:paraId="7E109DEF">
            <w:pPr>
              <w:jc w:val="center"/>
              <w:rPr>
                <w:rFonts w:hint="default" w:ascii="Times New Roman" w:hAnsi="Times New Roman" w:cs="Times New Roman"/>
                <w:b/>
                <w:color w:val="auto"/>
                <w:sz w:val="24"/>
                <w:szCs w:val="24"/>
              </w:rPr>
            </w:pPr>
          </w:p>
          <w:p w14:paraId="5E141C2F">
            <w:pPr>
              <w:jc w:val="center"/>
              <w:rPr>
                <w:rFonts w:hint="default" w:ascii="Times New Roman" w:hAnsi="Times New Roman" w:cs="Times New Roman"/>
                <w:b/>
                <w:color w:val="auto"/>
                <w:sz w:val="24"/>
                <w:szCs w:val="24"/>
              </w:rPr>
            </w:pPr>
          </w:p>
          <w:p w14:paraId="787E74DD">
            <w:pPr>
              <w:jc w:val="center"/>
              <w:rPr>
                <w:rFonts w:hint="default" w:ascii="Times New Roman" w:hAnsi="Times New Roman" w:cs="Times New Roman"/>
                <w:b/>
                <w:color w:val="auto"/>
                <w:sz w:val="24"/>
                <w:szCs w:val="24"/>
              </w:rPr>
            </w:pPr>
          </w:p>
          <w:p w14:paraId="4B1AA25E">
            <w:pPr>
              <w:jc w:val="center"/>
              <w:rPr>
                <w:rFonts w:hint="default" w:ascii="Times New Roman" w:hAnsi="Times New Roman" w:cs="Times New Roman"/>
                <w:b/>
                <w:color w:val="auto"/>
                <w:sz w:val="24"/>
                <w:szCs w:val="24"/>
              </w:rPr>
            </w:pPr>
          </w:p>
          <w:p w14:paraId="4B76E042">
            <w:pPr>
              <w:jc w:val="center"/>
              <w:rPr>
                <w:rFonts w:hint="default" w:ascii="Times New Roman" w:hAnsi="Times New Roman" w:cs="Times New Roman"/>
                <w:b/>
                <w:color w:val="auto"/>
                <w:sz w:val="24"/>
                <w:szCs w:val="24"/>
              </w:rPr>
            </w:pPr>
          </w:p>
          <w:p w14:paraId="01DD9275">
            <w:pPr>
              <w:jc w:val="center"/>
              <w:rPr>
                <w:rFonts w:hint="default" w:ascii="Times New Roman" w:hAnsi="Times New Roman" w:cs="Times New Roman"/>
                <w:b/>
                <w:color w:val="auto"/>
                <w:sz w:val="24"/>
                <w:szCs w:val="24"/>
              </w:rPr>
            </w:pPr>
          </w:p>
          <w:p w14:paraId="7A08E1FD">
            <w:pPr>
              <w:jc w:val="center"/>
              <w:rPr>
                <w:rFonts w:hint="default" w:ascii="Times New Roman" w:hAnsi="Times New Roman" w:cs="Times New Roman"/>
                <w:b/>
                <w:color w:val="auto"/>
                <w:sz w:val="24"/>
                <w:szCs w:val="24"/>
              </w:rPr>
            </w:pPr>
          </w:p>
          <w:p w14:paraId="0E47FA96">
            <w:pPr>
              <w:jc w:val="center"/>
              <w:rPr>
                <w:rFonts w:hint="default" w:ascii="Times New Roman" w:hAnsi="Times New Roman" w:cs="Times New Roman"/>
                <w:b/>
                <w:color w:val="auto"/>
                <w:sz w:val="24"/>
                <w:szCs w:val="24"/>
              </w:rPr>
            </w:pPr>
          </w:p>
          <w:p w14:paraId="796348C5">
            <w:pPr>
              <w:jc w:val="center"/>
              <w:rPr>
                <w:rFonts w:hint="default" w:ascii="Times New Roman" w:hAnsi="Times New Roman" w:cs="Times New Roman"/>
                <w:b/>
                <w:color w:val="auto"/>
                <w:sz w:val="24"/>
                <w:szCs w:val="24"/>
              </w:rPr>
            </w:pPr>
          </w:p>
          <w:p w14:paraId="32C07B2C">
            <w:pPr>
              <w:jc w:val="center"/>
              <w:rPr>
                <w:rFonts w:hint="default" w:ascii="Times New Roman" w:hAnsi="Times New Roman" w:cs="Times New Roman"/>
                <w:b/>
                <w:color w:val="auto"/>
                <w:sz w:val="24"/>
                <w:szCs w:val="24"/>
              </w:rPr>
            </w:pPr>
          </w:p>
          <w:p w14:paraId="7903301E">
            <w:pPr>
              <w:jc w:val="center"/>
              <w:rPr>
                <w:rFonts w:hint="default" w:ascii="Times New Roman" w:hAnsi="Times New Roman" w:cs="Times New Roman"/>
                <w:b/>
                <w:color w:val="auto"/>
                <w:sz w:val="24"/>
                <w:szCs w:val="24"/>
              </w:rPr>
            </w:pPr>
          </w:p>
          <w:p w14:paraId="1CC3949A">
            <w:pPr>
              <w:jc w:val="center"/>
              <w:rPr>
                <w:rFonts w:hint="default" w:ascii="Times New Roman" w:hAnsi="Times New Roman" w:cs="Times New Roman"/>
                <w:b/>
                <w:color w:val="auto"/>
                <w:sz w:val="24"/>
                <w:szCs w:val="24"/>
              </w:rPr>
            </w:pPr>
          </w:p>
          <w:p w14:paraId="53ADB3A0">
            <w:pPr>
              <w:jc w:val="center"/>
              <w:rPr>
                <w:rFonts w:hint="default" w:ascii="Times New Roman" w:hAnsi="Times New Roman" w:cs="Times New Roman"/>
                <w:b/>
                <w:color w:val="auto"/>
                <w:sz w:val="24"/>
                <w:szCs w:val="24"/>
              </w:rPr>
            </w:pPr>
          </w:p>
          <w:p w14:paraId="11D37F2B">
            <w:pPr>
              <w:jc w:val="center"/>
              <w:rPr>
                <w:rFonts w:hint="default" w:ascii="Times New Roman" w:hAnsi="Times New Roman" w:cs="Times New Roman"/>
                <w:b/>
                <w:color w:val="auto"/>
                <w:sz w:val="24"/>
                <w:szCs w:val="24"/>
              </w:rPr>
            </w:pPr>
          </w:p>
          <w:p w14:paraId="1AD0B2CC">
            <w:pPr>
              <w:jc w:val="center"/>
              <w:rPr>
                <w:rFonts w:hint="default" w:ascii="Times New Roman" w:hAnsi="Times New Roman" w:cs="Times New Roman"/>
                <w:b/>
                <w:color w:val="auto"/>
                <w:sz w:val="24"/>
                <w:szCs w:val="24"/>
              </w:rPr>
            </w:pPr>
          </w:p>
          <w:p w14:paraId="2EE59E0F">
            <w:pPr>
              <w:jc w:val="center"/>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生态环境现状</w:t>
            </w:r>
          </w:p>
          <w:p w14:paraId="345481AD">
            <w:pPr>
              <w:jc w:val="center"/>
              <w:rPr>
                <w:rFonts w:hint="default" w:ascii="Times New Roman" w:hAnsi="Times New Roman" w:cs="Times New Roman"/>
                <w:b/>
                <w:color w:val="auto"/>
                <w:sz w:val="24"/>
                <w:szCs w:val="24"/>
              </w:rPr>
            </w:pPr>
          </w:p>
          <w:p w14:paraId="563955CE">
            <w:pPr>
              <w:jc w:val="center"/>
              <w:rPr>
                <w:rFonts w:hint="default" w:ascii="Times New Roman" w:hAnsi="Times New Roman" w:cs="Times New Roman"/>
                <w:b/>
                <w:color w:val="auto"/>
                <w:sz w:val="24"/>
                <w:szCs w:val="24"/>
              </w:rPr>
            </w:pPr>
          </w:p>
          <w:p w14:paraId="2620DBA6">
            <w:pPr>
              <w:jc w:val="center"/>
              <w:rPr>
                <w:rFonts w:hint="default" w:ascii="Times New Roman" w:hAnsi="Times New Roman" w:cs="Times New Roman"/>
                <w:b/>
                <w:color w:val="auto"/>
                <w:sz w:val="24"/>
                <w:szCs w:val="24"/>
              </w:rPr>
            </w:pPr>
          </w:p>
          <w:p w14:paraId="6FBFF006">
            <w:pPr>
              <w:jc w:val="center"/>
              <w:rPr>
                <w:rFonts w:hint="default" w:ascii="Times New Roman" w:hAnsi="Times New Roman" w:cs="Times New Roman"/>
                <w:b/>
                <w:color w:val="auto"/>
                <w:sz w:val="24"/>
                <w:szCs w:val="24"/>
              </w:rPr>
            </w:pPr>
          </w:p>
          <w:p w14:paraId="65841B70">
            <w:pPr>
              <w:jc w:val="center"/>
              <w:rPr>
                <w:rFonts w:hint="default" w:ascii="Times New Roman" w:hAnsi="Times New Roman" w:cs="Times New Roman"/>
                <w:b/>
                <w:color w:val="auto"/>
                <w:sz w:val="24"/>
                <w:szCs w:val="24"/>
              </w:rPr>
            </w:pPr>
          </w:p>
          <w:p w14:paraId="10FB60EF">
            <w:pPr>
              <w:jc w:val="center"/>
              <w:rPr>
                <w:rFonts w:hint="default" w:ascii="Times New Roman" w:hAnsi="Times New Roman" w:cs="Times New Roman"/>
                <w:b/>
                <w:color w:val="auto"/>
                <w:sz w:val="24"/>
                <w:szCs w:val="24"/>
              </w:rPr>
            </w:pPr>
          </w:p>
          <w:p w14:paraId="08060E24">
            <w:pPr>
              <w:jc w:val="center"/>
              <w:rPr>
                <w:rFonts w:hint="default" w:ascii="Times New Roman" w:hAnsi="Times New Roman" w:cs="Times New Roman"/>
                <w:b/>
                <w:color w:val="auto"/>
                <w:sz w:val="24"/>
                <w:szCs w:val="24"/>
              </w:rPr>
            </w:pPr>
          </w:p>
          <w:p w14:paraId="7EDF2310">
            <w:pPr>
              <w:jc w:val="center"/>
              <w:rPr>
                <w:rFonts w:hint="default" w:ascii="Times New Roman" w:hAnsi="Times New Roman" w:cs="Times New Roman"/>
                <w:b/>
                <w:color w:val="auto"/>
                <w:sz w:val="24"/>
                <w:szCs w:val="24"/>
              </w:rPr>
            </w:pPr>
          </w:p>
          <w:p w14:paraId="174DF066">
            <w:pPr>
              <w:jc w:val="center"/>
              <w:rPr>
                <w:rFonts w:hint="default" w:ascii="Times New Roman" w:hAnsi="Times New Roman" w:cs="Times New Roman"/>
                <w:b/>
                <w:color w:val="auto"/>
                <w:sz w:val="24"/>
                <w:szCs w:val="24"/>
              </w:rPr>
            </w:pPr>
          </w:p>
          <w:p w14:paraId="6F8F7CC1">
            <w:pPr>
              <w:jc w:val="center"/>
              <w:rPr>
                <w:rFonts w:hint="default" w:ascii="Times New Roman" w:hAnsi="Times New Roman" w:cs="Times New Roman"/>
                <w:b/>
                <w:color w:val="auto"/>
                <w:sz w:val="24"/>
                <w:szCs w:val="24"/>
              </w:rPr>
            </w:pPr>
          </w:p>
          <w:p w14:paraId="64D137ED">
            <w:pPr>
              <w:jc w:val="center"/>
              <w:rPr>
                <w:rFonts w:hint="default" w:ascii="Times New Roman" w:hAnsi="Times New Roman" w:cs="Times New Roman"/>
                <w:b/>
                <w:color w:val="auto"/>
                <w:sz w:val="24"/>
                <w:szCs w:val="24"/>
              </w:rPr>
            </w:pPr>
          </w:p>
          <w:p w14:paraId="1BA7EF7C">
            <w:pPr>
              <w:jc w:val="center"/>
              <w:rPr>
                <w:rFonts w:hint="default" w:ascii="Times New Roman" w:hAnsi="Times New Roman" w:cs="Times New Roman"/>
                <w:b/>
                <w:color w:val="auto"/>
                <w:sz w:val="24"/>
                <w:szCs w:val="24"/>
              </w:rPr>
            </w:pPr>
          </w:p>
          <w:p w14:paraId="4FA12748">
            <w:pPr>
              <w:jc w:val="center"/>
              <w:rPr>
                <w:rFonts w:hint="default" w:ascii="Times New Roman" w:hAnsi="Times New Roman" w:cs="Times New Roman"/>
                <w:b/>
                <w:color w:val="auto"/>
                <w:sz w:val="24"/>
                <w:szCs w:val="24"/>
              </w:rPr>
            </w:pPr>
          </w:p>
          <w:p w14:paraId="73ED1DE4">
            <w:pPr>
              <w:jc w:val="center"/>
              <w:rPr>
                <w:rFonts w:hint="default" w:ascii="Times New Roman" w:hAnsi="Times New Roman" w:cs="Times New Roman"/>
                <w:b/>
                <w:color w:val="auto"/>
                <w:sz w:val="24"/>
                <w:szCs w:val="24"/>
              </w:rPr>
            </w:pPr>
          </w:p>
          <w:p w14:paraId="628C538E">
            <w:pPr>
              <w:jc w:val="center"/>
              <w:rPr>
                <w:rFonts w:hint="default" w:ascii="Times New Roman" w:hAnsi="Times New Roman" w:cs="Times New Roman"/>
                <w:b/>
                <w:color w:val="auto"/>
                <w:sz w:val="24"/>
                <w:szCs w:val="24"/>
              </w:rPr>
            </w:pPr>
          </w:p>
          <w:p w14:paraId="20C77EDD">
            <w:pPr>
              <w:jc w:val="center"/>
              <w:rPr>
                <w:rFonts w:hint="default" w:ascii="Times New Roman" w:hAnsi="Times New Roman" w:cs="Times New Roman"/>
                <w:b/>
                <w:color w:val="auto"/>
                <w:sz w:val="24"/>
                <w:szCs w:val="24"/>
              </w:rPr>
            </w:pPr>
          </w:p>
          <w:p w14:paraId="0BDA1760">
            <w:pPr>
              <w:jc w:val="center"/>
              <w:rPr>
                <w:rFonts w:hint="default" w:ascii="Times New Roman" w:hAnsi="Times New Roman" w:cs="Times New Roman"/>
                <w:b/>
                <w:color w:val="auto"/>
                <w:sz w:val="24"/>
                <w:szCs w:val="24"/>
              </w:rPr>
            </w:pPr>
          </w:p>
          <w:p w14:paraId="37AC7C8A">
            <w:pPr>
              <w:jc w:val="center"/>
              <w:rPr>
                <w:rFonts w:hint="default" w:ascii="Times New Roman" w:hAnsi="Times New Roman" w:cs="Times New Roman"/>
                <w:b/>
                <w:color w:val="auto"/>
                <w:sz w:val="24"/>
                <w:szCs w:val="24"/>
              </w:rPr>
            </w:pPr>
          </w:p>
          <w:p w14:paraId="232268B7">
            <w:pPr>
              <w:jc w:val="center"/>
              <w:rPr>
                <w:rFonts w:hint="default" w:ascii="Times New Roman" w:hAnsi="Times New Roman" w:cs="Times New Roman"/>
                <w:b/>
                <w:color w:val="auto"/>
                <w:sz w:val="24"/>
                <w:szCs w:val="24"/>
              </w:rPr>
            </w:pPr>
          </w:p>
          <w:p w14:paraId="152654AB">
            <w:pPr>
              <w:jc w:val="center"/>
              <w:rPr>
                <w:rFonts w:hint="default" w:ascii="Times New Roman" w:hAnsi="Times New Roman" w:cs="Times New Roman"/>
                <w:b/>
                <w:color w:val="auto"/>
                <w:sz w:val="24"/>
                <w:szCs w:val="24"/>
              </w:rPr>
            </w:pPr>
          </w:p>
          <w:p w14:paraId="62EC8DA4">
            <w:pPr>
              <w:jc w:val="center"/>
              <w:rPr>
                <w:rFonts w:hint="default" w:ascii="Times New Roman" w:hAnsi="Times New Roman" w:cs="Times New Roman"/>
                <w:b/>
                <w:color w:val="auto"/>
                <w:sz w:val="24"/>
                <w:szCs w:val="24"/>
              </w:rPr>
            </w:pPr>
          </w:p>
          <w:p w14:paraId="2B6A46A1">
            <w:pPr>
              <w:jc w:val="center"/>
              <w:rPr>
                <w:rFonts w:hint="default" w:ascii="Times New Roman" w:hAnsi="Times New Roman" w:cs="Times New Roman"/>
                <w:b/>
                <w:color w:val="auto"/>
                <w:sz w:val="24"/>
                <w:szCs w:val="24"/>
              </w:rPr>
            </w:pPr>
          </w:p>
          <w:p w14:paraId="7B02112E">
            <w:pPr>
              <w:jc w:val="center"/>
              <w:rPr>
                <w:rFonts w:hint="default" w:ascii="Times New Roman" w:hAnsi="Times New Roman" w:cs="Times New Roman"/>
                <w:b/>
                <w:color w:val="auto"/>
                <w:sz w:val="24"/>
                <w:szCs w:val="24"/>
              </w:rPr>
            </w:pPr>
          </w:p>
          <w:p w14:paraId="339D7066">
            <w:pPr>
              <w:jc w:val="center"/>
              <w:rPr>
                <w:rFonts w:hint="default" w:ascii="Times New Roman" w:hAnsi="Times New Roman" w:cs="Times New Roman"/>
                <w:b/>
                <w:color w:val="auto"/>
                <w:sz w:val="24"/>
                <w:szCs w:val="24"/>
              </w:rPr>
            </w:pPr>
          </w:p>
          <w:p w14:paraId="28BAD25E">
            <w:pPr>
              <w:jc w:val="center"/>
              <w:rPr>
                <w:rFonts w:hint="default" w:ascii="Times New Roman" w:hAnsi="Times New Roman" w:cs="Times New Roman"/>
                <w:b/>
                <w:color w:val="auto"/>
                <w:sz w:val="24"/>
                <w:szCs w:val="24"/>
              </w:rPr>
            </w:pPr>
          </w:p>
          <w:p w14:paraId="51ED48BC">
            <w:pPr>
              <w:jc w:val="center"/>
              <w:rPr>
                <w:rFonts w:hint="default" w:ascii="Times New Roman" w:hAnsi="Times New Roman" w:cs="Times New Roman"/>
                <w:b/>
                <w:color w:val="auto"/>
                <w:sz w:val="24"/>
                <w:szCs w:val="24"/>
              </w:rPr>
            </w:pPr>
          </w:p>
          <w:p w14:paraId="345DD243">
            <w:pPr>
              <w:jc w:val="center"/>
              <w:rPr>
                <w:rFonts w:hint="default" w:ascii="Times New Roman" w:hAnsi="Times New Roman" w:cs="Times New Roman"/>
                <w:b/>
                <w:color w:val="auto"/>
                <w:sz w:val="24"/>
                <w:szCs w:val="24"/>
              </w:rPr>
            </w:pPr>
          </w:p>
          <w:p w14:paraId="52B59A0F">
            <w:pPr>
              <w:jc w:val="center"/>
              <w:rPr>
                <w:rFonts w:hint="default" w:ascii="Times New Roman" w:hAnsi="Times New Roman" w:cs="Times New Roman"/>
                <w:b/>
                <w:color w:val="auto"/>
                <w:sz w:val="24"/>
                <w:szCs w:val="24"/>
              </w:rPr>
            </w:pPr>
          </w:p>
          <w:p w14:paraId="456727C4">
            <w:pPr>
              <w:jc w:val="center"/>
              <w:rPr>
                <w:rFonts w:hint="default" w:ascii="Times New Roman" w:hAnsi="Times New Roman" w:cs="Times New Roman"/>
                <w:b/>
                <w:color w:val="auto"/>
                <w:sz w:val="24"/>
                <w:szCs w:val="24"/>
              </w:rPr>
            </w:pPr>
          </w:p>
          <w:p w14:paraId="068D8D57">
            <w:pPr>
              <w:jc w:val="center"/>
              <w:rPr>
                <w:rFonts w:hint="default" w:ascii="Times New Roman" w:hAnsi="Times New Roman" w:cs="Times New Roman"/>
                <w:b/>
                <w:color w:val="auto"/>
                <w:sz w:val="24"/>
                <w:szCs w:val="24"/>
              </w:rPr>
            </w:pPr>
          </w:p>
          <w:p w14:paraId="4365A271">
            <w:pPr>
              <w:jc w:val="center"/>
              <w:rPr>
                <w:rFonts w:hint="default" w:ascii="Times New Roman" w:hAnsi="Times New Roman" w:cs="Times New Roman"/>
                <w:b/>
                <w:color w:val="auto"/>
                <w:sz w:val="24"/>
                <w:szCs w:val="24"/>
              </w:rPr>
            </w:pPr>
          </w:p>
          <w:p w14:paraId="20048B17">
            <w:pPr>
              <w:jc w:val="center"/>
              <w:rPr>
                <w:rFonts w:hint="default" w:ascii="Times New Roman" w:hAnsi="Times New Roman" w:cs="Times New Roman"/>
                <w:b/>
                <w:color w:val="auto"/>
                <w:sz w:val="24"/>
                <w:szCs w:val="24"/>
              </w:rPr>
            </w:pPr>
          </w:p>
          <w:p w14:paraId="0EEF280E">
            <w:pPr>
              <w:jc w:val="center"/>
              <w:rPr>
                <w:rFonts w:hint="default" w:ascii="Times New Roman" w:hAnsi="Times New Roman" w:cs="Times New Roman"/>
                <w:b/>
                <w:color w:val="auto"/>
                <w:sz w:val="24"/>
                <w:szCs w:val="24"/>
              </w:rPr>
            </w:pPr>
          </w:p>
          <w:p w14:paraId="5580CD6B">
            <w:pPr>
              <w:jc w:val="center"/>
              <w:rPr>
                <w:rFonts w:hint="default" w:ascii="Times New Roman" w:hAnsi="Times New Roman" w:cs="Times New Roman"/>
                <w:b/>
                <w:color w:val="auto"/>
                <w:sz w:val="24"/>
                <w:szCs w:val="24"/>
              </w:rPr>
            </w:pPr>
          </w:p>
          <w:p w14:paraId="5AF6D99F">
            <w:pPr>
              <w:jc w:val="center"/>
              <w:rPr>
                <w:rFonts w:hint="default" w:ascii="Times New Roman" w:hAnsi="Times New Roman" w:cs="Times New Roman"/>
                <w:b/>
                <w:color w:val="auto"/>
                <w:sz w:val="24"/>
                <w:szCs w:val="24"/>
              </w:rPr>
            </w:pPr>
          </w:p>
          <w:p w14:paraId="541967E0">
            <w:pPr>
              <w:jc w:val="center"/>
              <w:rPr>
                <w:rFonts w:hint="default" w:ascii="Times New Roman" w:hAnsi="Times New Roman" w:cs="Times New Roman"/>
                <w:b/>
                <w:color w:val="auto"/>
                <w:sz w:val="24"/>
                <w:szCs w:val="24"/>
              </w:rPr>
            </w:pPr>
          </w:p>
          <w:p w14:paraId="79B91B86">
            <w:pPr>
              <w:jc w:val="center"/>
              <w:rPr>
                <w:rFonts w:hint="default" w:ascii="Times New Roman" w:hAnsi="Times New Roman" w:cs="Times New Roman"/>
                <w:b/>
                <w:color w:val="auto"/>
                <w:sz w:val="24"/>
                <w:szCs w:val="24"/>
              </w:rPr>
            </w:pPr>
          </w:p>
          <w:p w14:paraId="56E4191E">
            <w:pPr>
              <w:jc w:val="center"/>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生态环境现状</w:t>
            </w:r>
          </w:p>
          <w:p w14:paraId="5C9E3755">
            <w:pPr>
              <w:jc w:val="center"/>
              <w:rPr>
                <w:rFonts w:hint="default" w:ascii="Times New Roman" w:hAnsi="Times New Roman" w:cs="Times New Roman"/>
                <w:b/>
                <w:color w:val="auto"/>
                <w:sz w:val="24"/>
                <w:szCs w:val="24"/>
              </w:rPr>
            </w:pPr>
          </w:p>
          <w:p w14:paraId="6848E2E8">
            <w:pPr>
              <w:jc w:val="center"/>
              <w:rPr>
                <w:rFonts w:hint="default" w:ascii="Times New Roman" w:hAnsi="Times New Roman" w:cs="Times New Roman"/>
                <w:b/>
                <w:color w:val="auto"/>
                <w:sz w:val="24"/>
                <w:szCs w:val="24"/>
              </w:rPr>
            </w:pPr>
          </w:p>
          <w:p w14:paraId="0C4D493E">
            <w:pPr>
              <w:jc w:val="center"/>
              <w:rPr>
                <w:rFonts w:hint="default" w:ascii="Times New Roman" w:hAnsi="Times New Roman" w:cs="Times New Roman"/>
                <w:b/>
                <w:color w:val="auto"/>
                <w:sz w:val="24"/>
                <w:szCs w:val="24"/>
              </w:rPr>
            </w:pPr>
          </w:p>
          <w:p w14:paraId="40C24CB1">
            <w:pPr>
              <w:jc w:val="center"/>
              <w:rPr>
                <w:rFonts w:hint="default" w:ascii="Times New Roman" w:hAnsi="Times New Roman" w:cs="Times New Roman"/>
                <w:b/>
                <w:color w:val="auto"/>
                <w:sz w:val="24"/>
                <w:szCs w:val="24"/>
              </w:rPr>
            </w:pPr>
          </w:p>
          <w:p w14:paraId="727632F1">
            <w:pPr>
              <w:jc w:val="center"/>
              <w:rPr>
                <w:rFonts w:hint="default" w:ascii="Times New Roman" w:hAnsi="Times New Roman" w:cs="Times New Roman"/>
                <w:b/>
                <w:color w:val="auto"/>
                <w:sz w:val="24"/>
                <w:szCs w:val="24"/>
              </w:rPr>
            </w:pPr>
          </w:p>
          <w:p w14:paraId="6CB25A11">
            <w:pPr>
              <w:jc w:val="center"/>
              <w:rPr>
                <w:rFonts w:hint="default" w:ascii="Times New Roman" w:hAnsi="Times New Roman" w:cs="Times New Roman"/>
                <w:b/>
                <w:color w:val="auto"/>
                <w:sz w:val="24"/>
                <w:szCs w:val="24"/>
              </w:rPr>
            </w:pPr>
          </w:p>
          <w:p w14:paraId="16DC4062">
            <w:pPr>
              <w:jc w:val="center"/>
              <w:rPr>
                <w:rFonts w:hint="default" w:ascii="Times New Roman" w:hAnsi="Times New Roman" w:cs="Times New Roman"/>
                <w:b/>
                <w:color w:val="auto"/>
                <w:sz w:val="24"/>
                <w:szCs w:val="24"/>
              </w:rPr>
            </w:pPr>
          </w:p>
          <w:p w14:paraId="1E8C60CF">
            <w:pPr>
              <w:jc w:val="center"/>
              <w:rPr>
                <w:rFonts w:hint="default" w:ascii="Times New Roman" w:hAnsi="Times New Roman" w:cs="Times New Roman"/>
                <w:b/>
                <w:color w:val="auto"/>
                <w:sz w:val="24"/>
                <w:szCs w:val="24"/>
              </w:rPr>
            </w:pPr>
          </w:p>
          <w:p w14:paraId="784980D7">
            <w:pPr>
              <w:jc w:val="center"/>
              <w:rPr>
                <w:rFonts w:hint="default" w:ascii="Times New Roman" w:hAnsi="Times New Roman" w:cs="Times New Roman"/>
                <w:b/>
                <w:color w:val="auto"/>
                <w:sz w:val="24"/>
                <w:szCs w:val="24"/>
              </w:rPr>
            </w:pPr>
          </w:p>
          <w:p w14:paraId="0CADA2BB">
            <w:pPr>
              <w:jc w:val="center"/>
              <w:rPr>
                <w:rFonts w:hint="default" w:ascii="Times New Roman" w:hAnsi="Times New Roman" w:cs="Times New Roman"/>
                <w:b/>
                <w:color w:val="auto"/>
                <w:sz w:val="24"/>
                <w:szCs w:val="24"/>
              </w:rPr>
            </w:pPr>
          </w:p>
          <w:p w14:paraId="5FC202C6">
            <w:pPr>
              <w:jc w:val="center"/>
              <w:rPr>
                <w:rFonts w:hint="default" w:ascii="Times New Roman" w:hAnsi="Times New Roman" w:cs="Times New Roman"/>
                <w:b/>
                <w:color w:val="auto"/>
                <w:sz w:val="24"/>
                <w:szCs w:val="24"/>
              </w:rPr>
            </w:pPr>
          </w:p>
        </w:tc>
        <w:tc>
          <w:tcPr>
            <w:tcW w:w="8500" w:type="dxa"/>
            <w:noWrap w:val="0"/>
            <w:vAlign w:val="top"/>
          </w:tcPr>
          <w:p w14:paraId="05ACCFDF">
            <w:pPr>
              <w:pageBreakBefore w:val="0"/>
              <w:kinsoku/>
              <w:wordWrap/>
              <w:overflowPunct/>
              <w:topLinePunct w:val="0"/>
              <w:autoSpaceDE/>
              <w:autoSpaceDN/>
              <w:bidi w:val="0"/>
              <w:adjustRightInd w:val="0"/>
              <w:snapToGrid w:val="0"/>
              <w:spacing w:line="440" w:lineRule="exact"/>
              <w:jc w:val="both"/>
              <w:textAlignment w:val="auto"/>
              <w:rPr>
                <w:rFonts w:hint="default" w:ascii="Times New Roman" w:hAnsi="Times New Roman" w:eastAsia="宋体" w:cs="Times New Roman"/>
                <w:b/>
                <w:color w:val="auto"/>
                <w:sz w:val="24"/>
                <w:szCs w:val="24"/>
                <w:lang w:val="en-US" w:eastAsia="zh-CN"/>
              </w:rPr>
            </w:pPr>
            <w:r>
              <w:rPr>
                <w:rFonts w:hint="default" w:ascii="Times New Roman" w:hAnsi="Times New Roman" w:cs="Times New Roman"/>
                <w:b/>
                <w:color w:val="auto"/>
                <w:sz w:val="24"/>
                <w:szCs w:val="24"/>
              </w:rPr>
              <w:t>3.1</w:t>
            </w:r>
            <w:r>
              <w:rPr>
                <w:rFonts w:hint="eastAsia" w:ascii="Times New Roman" w:hAnsi="Times New Roman" w:cs="Times New Roman"/>
                <w:b/>
                <w:color w:val="auto"/>
                <w:sz w:val="24"/>
                <w:szCs w:val="24"/>
                <w:lang w:val="en-US" w:eastAsia="zh-CN"/>
              </w:rPr>
              <w:t>与主体功能、生态功能符合性</w:t>
            </w:r>
          </w:p>
          <w:p w14:paraId="0E7AA4AF">
            <w:pPr>
              <w:adjustRightInd w:val="0"/>
              <w:snapToGrid w:val="0"/>
              <w:spacing w:line="440" w:lineRule="exact"/>
              <w:ind w:firstLine="482" w:firstLineChars="200"/>
              <w:rPr>
                <w:rFonts w:ascii="Times New Roman" w:hAnsi="Times New Roman"/>
                <w:b/>
                <w:color w:val="auto"/>
                <w:kern w:val="0"/>
                <w:sz w:val="24"/>
                <w:szCs w:val="20"/>
              </w:rPr>
            </w:pPr>
            <w:r>
              <w:rPr>
                <w:rFonts w:hint="eastAsia" w:ascii="Times New Roman" w:hAnsi="Times New Roman" w:cs="Times New Roman"/>
                <w:b/>
                <w:color w:val="auto"/>
                <w:sz w:val="24"/>
                <w:szCs w:val="24"/>
                <w:lang w:val="en-US" w:eastAsia="zh-CN"/>
              </w:rPr>
              <w:t xml:space="preserve">3.1.1 </w:t>
            </w:r>
            <w:r>
              <w:rPr>
                <w:rFonts w:ascii="Times New Roman" w:hAnsi="Times New Roman"/>
                <w:b/>
                <w:color w:val="auto"/>
                <w:kern w:val="0"/>
                <w:sz w:val="24"/>
                <w:szCs w:val="20"/>
              </w:rPr>
              <w:t>与</w:t>
            </w:r>
            <w:r>
              <w:rPr>
                <w:rFonts w:ascii="Times New Roman" w:hAnsi="Times New Roman"/>
                <w:b/>
                <w:color w:val="auto"/>
                <w:kern w:val="0"/>
                <w:sz w:val="24"/>
                <w:szCs w:val="24"/>
              </w:rPr>
              <w:t>《云南省生态</w:t>
            </w:r>
            <w:r>
              <w:rPr>
                <w:rFonts w:ascii="Times New Roman" w:hAnsi="Times New Roman"/>
                <w:b/>
                <w:color w:val="auto"/>
                <w:sz w:val="24"/>
                <w:szCs w:val="24"/>
              </w:rPr>
              <w:t>功能</w:t>
            </w:r>
            <w:r>
              <w:rPr>
                <w:rFonts w:ascii="Times New Roman" w:hAnsi="Times New Roman"/>
                <w:b/>
                <w:color w:val="auto"/>
                <w:kern w:val="0"/>
                <w:sz w:val="24"/>
                <w:szCs w:val="24"/>
              </w:rPr>
              <w:t>区划》的符合性分析</w:t>
            </w:r>
          </w:p>
          <w:p w14:paraId="6EE01648">
            <w:pPr>
              <w:topLinePunct/>
              <w:adjustRightInd w:val="0"/>
              <w:snapToGrid w:val="0"/>
              <w:spacing w:line="440" w:lineRule="exact"/>
              <w:ind w:firstLine="480" w:firstLineChars="200"/>
              <w:rPr>
                <w:rFonts w:ascii="Times New Roman" w:hAnsi="Times New Roman"/>
                <w:color w:val="auto"/>
                <w:kern w:val="0"/>
                <w:sz w:val="24"/>
                <w:szCs w:val="24"/>
              </w:rPr>
            </w:pPr>
            <w:r>
              <w:rPr>
                <w:rFonts w:ascii="Times New Roman" w:hAnsi="Times New Roman"/>
                <w:color w:val="auto"/>
                <w:kern w:val="0"/>
                <w:sz w:val="24"/>
                <w:szCs w:val="24"/>
              </w:rPr>
              <w:t>根据《云南省生态功能区划》，</w:t>
            </w:r>
            <w:r>
              <w:rPr>
                <w:rFonts w:ascii="Times New Roman" w:hAnsi="Times New Roman"/>
                <w:color w:val="auto"/>
                <w:sz w:val="24"/>
              </w:rPr>
              <w:t>项目区属于该区划中“Ⅲ高原亚热带北部常绿阔叶林生态区”，“Ⅲ4滇东北高中山暖性针叶林、亚高山草甸生态亚区”生态亚区，“Ⅲ4-3以礼河、硝厂河高山深谷水土保持生态功能区”。</w:t>
            </w:r>
          </w:p>
          <w:p w14:paraId="4FE51E71">
            <w:pPr>
              <w:topLinePunct/>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kern w:val="0"/>
                <w:sz w:val="24"/>
                <w:szCs w:val="24"/>
              </w:rPr>
              <w:t>该生态功能区的</w:t>
            </w:r>
            <w:r>
              <w:rPr>
                <w:rFonts w:hint="eastAsia" w:ascii="Times New Roman" w:hAnsi="Times New Roman"/>
                <w:color w:val="auto"/>
                <w:kern w:val="0"/>
                <w:sz w:val="24"/>
                <w:szCs w:val="24"/>
                <w:lang w:eastAsia="zh-CN"/>
              </w:rPr>
              <w:t>特征是以石灰岩高山深谷地貌为主</w:t>
            </w:r>
            <w:r>
              <w:rPr>
                <w:rFonts w:ascii="Times New Roman" w:hAnsi="Times New Roman"/>
                <w:color w:val="auto"/>
                <w:sz w:val="24"/>
              </w:rPr>
              <w:t>，年降雨量北部800</w:t>
            </w:r>
            <w:r>
              <w:rPr>
                <w:rFonts w:hint="eastAsia" w:ascii="Times New Roman" w:hAnsi="Times New Roman"/>
                <w:color w:val="auto"/>
                <w:sz w:val="24"/>
                <w:lang w:eastAsia="zh-CN"/>
              </w:rPr>
              <w:t>—</w:t>
            </w:r>
            <w:r>
              <w:rPr>
                <w:rFonts w:ascii="Times New Roman" w:hAnsi="Times New Roman"/>
                <w:color w:val="auto"/>
                <w:sz w:val="24"/>
              </w:rPr>
              <w:t>900毫米，南部地区1000</w:t>
            </w:r>
            <w:r>
              <w:rPr>
                <w:rFonts w:hint="eastAsia" w:ascii="Times New Roman" w:hAnsi="Times New Roman"/>
                <w:color w:val="auto"/>
                <w:sz w:val="24"/>
                <w:lang w:eastAsia="zh-CN"/>
              </w:rPr>
              <w:t>—</w:t>
            </w:r>
            <w:r>
              <w:rPr>
                <w:rFonts w:ascii="Times New Roman" w:hAnsi="Times New Roman"/>
                <w:color w:val="auto"/>
                <w:sz w:val="24"/>
              </w:rPr>
              <w:t>1200毫米，植被主要为云南松林，土壤类型主要是红壤和棕壤。主要环境问题为森林覆盖率低、质量差，土地退化和水土流失严重；主要生态系统服务功能：金沙江下游地带的水土保持；保护措施及发展方向为调整产业结构，严格退耕还林，注意矿产资源开发后的生态保护，生态环境严重恶化地区实施生态移民。</w:t>
            </w:r>
          </w:p>
          <w:p w14:paraId="4C163B36">
            <w:pPr>
              <w:topLinePunct/>
              <w:adjustRightInd w:val="0"/>
              <w:snapToGrid w:val="0"/>
              <w:spacing w:line="440" w:lineRule="exact"/>
              <w:ind w:firstLine="480" w:firstLineChars="200"/>
              <w:rPr>
                <w:rFonts w:ascii="Times New Roman" w:hAnsi="Times New Roman"/>
                <w:color w:val="auto"/>
                <w:sz w:val="24"/>
              </w:rPr>
            </w:pPr>
            <w:r>
              <w:rPr>
                <w:rFonts w:ascii="Times New Roman" w:hAnsi="Times New Roman"/>
                <w:color w:val="auto"/>
                <w:sz w:val="24"/>
              </w:rPr>
              <w:t>本项目为输变电工程，位于会泽县</w:t>
            </w:r>
            <w:r>
              <w:rPr>
                <w:rFonts w:hint="eastAsia" w:ascii="Times New Roman" w:hAnsi="Times New Roman"/>
                <w:color w:val="auto"/>
                <w:sz w:val="24"/>
                <w:lang w:val="en-US" w:eastAsia="zh-CN"/>
              </w:rPr>
              <w:t>宝云街道</w:t>
            </w:r>
            <w:r>
              <w:rPr>
                <w:rFonts w:ascii="Times New Roman" w:hAnsi="Times New Roman"/>
                <w:color w:val="auto"/>
                <w:sz w:val="24"/>
              </w:rPr>
              <w:t>、</w:t>
            </w:r>
            <w:r>
              <w:rPr>
                <w:rFonts w:hint="eastAsia" w:ascii="Times New Roman" w:hAnsi="Times New Roman"/>
                <w:color w:val="auto"/>
                <w:sz w:val="24"/>
                <w:lang w:val="en-US" w:eastAsia="zh-CN"/>
              </w:rPr>
              <w:t>乐业镇、五星乡</w:t>
            </w:r>
            <w:r>
              <w:rPr>
                <w:rFonts w:ascii="Times New Roman" w:hAnsi="Times New Roman"/>
                <w:color w:val="auto"/>
                <w:sz w:val="24"/>
              </w:rPr>
              <w:t>境内，项目不涉及自然保护区、风景名胜区、</w:t>
            </w:r>
            <w:r>
              <w:rPr>
                <w:rFonts w:hint="eastAsia" w:ascii="Times New Roman" w:hAnsi="Times New Roman"/>
                <w:color w:val="auto"/>
                <w:sz w:val="24"/>
                <w:lang w:eastAsia="zh-CN"/>
              </w:rPr>
              <w:t>饮用水水源保护区</w:t>
            </w:r>
            <w:r>
              <w:rPr>
                <w:rFonts w:ascii="Times New Roman" w:hAnsi="Times New Roman"/>
                <w:color w:val="auto"/>
                <w:sz w:val="24"/>
              </w:rPr>
              <w:t>等环境敏感区，项目占地面积较小，通过实施相应的水土保持措施可将水土流失控制在可接受的范围内，且项目运行对周边环境影响不大。因此，项目建设符合《云南省生态功能区划》的要求。</w:t>
            </w:r>
          </w:p>
          <w:p w14:paraId="66F0CD1B">
            <w:pPr>
              <w:adjustRightInd w:val="0"/>
              <w:snapToGrid w:val="0"/>
              <w:jc w:val="center"/>
              <w:rPr>
                <w:rFonts w:ascii="Times New Roman" w:hAnsi="Times New Roman"/>
                <w:b/>
                <w:bCs/>
                <w:color w:val="auto"/>
                <w:sz w:val="24"/>
              </w:rPr>
            </w:pPr>
            <w:r>
              <w:rPr>
                <w:color w:val="auto"/>
                <w:sz w:val="24"/>
              </w:rPr>
              <mc:AlternateContent>
                <mc:Choice Requires="wps">
                  <w:drawing>
                    <wp:anchor distT="0" distB="0" distL="114300" distR="114300" simplePos="0" relativeHeight="251667456" behindDoc="0" locked="0" layoutInCell="1" allowOverlap="1">
                      <wp:simplePos x="0" y="0"/>
                      <wp:positionH relativeFrom="column">
                        <wp:posOffset>2510155</wp:posOffset>
                      </wp:positionH>
                      <wp:positionV relativeFrom="paragraph">
                        <wp:posOffset>1254125</wp:posOffset>
                      </wp:positionV>
                      <wp:extent cx="76200" cy="76200"/>
                      <wp:effectExtent l="0" t="15875" r="0" b="22225"/>
                      <wp:wrapNone/>
                      <wp:docPr id="100" name="任意多边形 101"/>
                      <wp:cNvGraphicFramePr/>
                      <a:graphic xmlns:a="http://schemas.openxmlformats.org/drawingml/2006/main">
                        <a:graphicData uri="http://schemas.microsoft.com/office/word/2010/wordprocessingShape">
                          <wps:wsp>
                            <wps:cNvSpPr/>
                            <wps:spPr>
                              <a:xfrm rot="-1800000">
                                <a:off x="0" y="0"/>
                                <a:ext cx="76200" cy="76200"/>
                              </a:xfrm>
                              <a:custGeom>
                                <a:avLst/>
                                <a:gdLst/>
                                <a:ahLst/>
                                <a:cxnLst/>
                                <a:pathLst>
                                  <a:path w="184" h="184">
                                    <a:moveTo>
                                      <a:pt x="0" y="184"/>
                                    </a:moveTo>
                                    <a:cubicBezTo>
                                      <a:pt x="18" y="162"/>
                                      <a:pt x="63" y="104"/>
                                      <a:pt x="100" y="67"/>
                                    </a:cubicBezTo>
                                    <a:cubicBezTo>
                                      <a:pt x="137" y="30"/>
                                      <a:pt x="169" y="11"/>
                                      <a:pt x="184" y="0"/>
                                    </a:cubicBezTo>
                                  </a:path>
                                </a:pathLst>
                              </a:custGeom>
                              <a:solidFill>
                                <a:srgbClr val="FF0000"/>
                              </a:solidFill>
                              <a:ln w="9525" cap="flat" cmpd="sng">
                                <a:solidFill>
                                  <a:srgbClr val="FF0000"/>
                                </a:solidFill>
                                <a:prstDash val="solid"/>
                                <a:headEnd type="none" w="med" len="med"/>
                                <a:tailEnd type="none" w="med" len="med"/>
                              </a:ln>
                            </wps:spPr>
                            <wps:bodyPr vert="horz" wrap="square" anchor="t" anchorCtr="0" upright="1"/>
                          </wps:wsp>
                        </a:graphicData>
                      </a:graphic>
                    </wp:anchor>
                  </w:drawing>
                </mc:Choice>
                <mc:Fallback>
                  <w:pict>
                    <v:shape id="任意多边形 101" o:spid="_x0000_s1026" o:spt="100" style="position:absolute;left:0pt;margin-left:197.65pt;margin-top:98.75pt;height:6pt;width:6pt;rotation:-1966080f;z-index:251667456;mso-width-relative:page;mso-height-relative:page;" fillcolor="#FF0000" filled="t" stroked="t" coordsize="184,184" o:gfxdata="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Hu4A&#10;zNcAAAALAQAADwAAAAAAAAABACAAAAAiAAAAZHJzL2Rvd25yZXYueG1sUEsBAhQAFAAAAAgAh07i&#10;QFmagmyVAgAAkgUAAA4AAAAAAAAAAQAgAAAAJgEAAGRycy9lMm9Eb2MueG1sUEsFBgAAAAAGAAYA&#10;WQEAAC0GAAAAAA==&#10;" path="m0,184c18,162,63,104,100,67c137,30,169,11,184,0e">
                      <v:fill on="t" focussize="0,0"/>
                      <v:stroke color="#FF0000" joinstyle="round"/>
                      <v:imagedata o:title=""/>
                      <o:lock v:ext="edit" aspectratio="f"/>
                    </v:shape>
                  </w:pict>
                </mc:Fallback>
              </mc:AlternateContent>
            </w:r>
            <w:r>
              <w:rPr>
                <w:rFonts w:ascii="Times New Roman" w:hAnsi="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1370965</wp:posOffset>
                      </wp:positionH>
                      <wp:positionV relativeFrom="paragraph">
                        <wp:posOffset>313690</wp:posOffset>
                      </wp:positionV>
                      <wp:extent cx="866140" cy="495300"/>
                      <wp:effectExtent l="5080" t="5080" r="347980" b="433070"/>
                      <wp:wrapNone/>
                      <wp:docPr id="92" name="椭圆形标注 12"/>
                      <wp:cNvGraphicFramePr/>
                      <a:graphic xmlns:a="http://schemas.openxmlformats.org/drawingml/2006/main">
                        <a:graphicData uri="http://schemas.microsoft.com/office/word/2010/wordprocessingShape">
                          <wps:wsp>
                            <wps:cNvSpPr/>
                            <wps:spPr>
                              <a:xfrm>
                                <a:off x="2832735" y="3922395"/>
                                <a:ext cx="866140" cy="495300"/>
                              </a:xfrm>
                              <a:prstGeom prst="wedgeEllipseCallout">
                                <a:avLst>
                                  <a:gd name="adj1" fmla="val 88049"/>
                                  <a:gd name="adj2" fmla="val 135641"/>
                                </a:avLst>
                              </a:prstGeom>
                              <a:solidFill>
                                <a:srgbClr val="DBEEF4">
                                  <a:lumMod val="20000"/>
                                  <a:lumOff val="80000"/>
                                </a:srgbClr>
                              </a:solidFill>
                              <a:ln w="6350" cap="flat" cmpd="sng" algn="ctr">
                                <a:solidFill>
                                  <a:srgbClr val="FF0000"/>
                                </a:solidFill>
                                <a:prstDash val="solid"/>
                              </a:ln>
                              <a:effectLst/>
                            </wps:spPr>
                            <wps:txbx>
                              <w:txbxContent>
                                <w:p w14:paraId="111064FC">
                                  <w:pPr>
                                    <w:adjustRightInd w:val="0"/>
                                    <w:snapToGrid w:val="0"/>
                                    <w:jc w:val="center"/>
                                    <w:rPr>
                                      <w:b/>
                                      <w:bCs/>
                                      <w:color w:val="FF0000"/>
                                    </w:rPr>
                                  </w:pPr>
                                  <w:r>
                                    <w:rPr>
                                      <w:rFonts w:hint="eastAsia"/>
                                      <w:b/>
                                      <w:bCs/>
                                      <w:color w:val="FF0000"/>
                                    </w:rPr>
                                    <w:t>项目区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形标注 12" o:spid="_x0000_s1026" o:spt="63" type="#_x0000_t63" style="position:absolute;left:0pt;margin-left:107.95pt;margin-top:24.7pt;height:39pt;width:68.2pt;z-index:251659264;v-text-anchor:middle;mso-width-relative:page;mso-height-relative:page;" fillcolor="#F8FCFD" filled="t" stroked="t" coordsize="21600,21600" o:gfxdata="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" adj="29819,40098">
                      <v:fill on="t" focussize="0,0"/>
                      <v:stroke weight="0.5pt" color="#FF0000" joinstyle="round"/>
                      <v:imagedata o:title=""/>
                      <o:lock v:ext="edit" aspectratio="f"/>
                      <v:textbox>
                        <w:txbxContent>
                          <w:p w14:paraId="111064FC">
                            <w:pPr>
                              <w:adjustRightInd w:val="0"/>
                              <w:snapToGrid w:val="0"/>
                              <w:jc w:val="center"/>
                              <w:rPr>
                                <w:b/>
                                <w:bCs/>
                                <w:color w:val="FF0000"/>
                              </w:rPr>
                            </w:pPr>
                            <w:r>
                              <w:rPr>
                                <w:rFonts w:hint="eastAsia"/>
                                <w:b/>
                                <w:bCs/>
                                <w:color w:val="FF0000"/>
                              </w:rPr>
                              <w:t>项目区</w:t>
                            </w:r>
                          </w:p>
                        </w:txbxContent>
                      </v:textbox>
                    </v:shape>
                  </w:pict>
                </mc:Fallback>
              </mc:AlternateContent>
            </w:r>
            <w:r>
              <w:rPr>
                <w:rFonts w:ascii="Times New Roman" w:hAnsi="Times New Roman"/>
                <w:b/>
                <w:bCs/>
                <w:color w:val="auto"/>
                <w:sz w:val="24"/>
              </w:rPr>
              <w:drawing>
                <wp:inline distT="0" distB="0" distL="114300" distR="114300">
                  <wp:extent cx="5134610" cy="3651885"/>
                  <wp:effectExtent l="0" t="0" r="8890" b="5715"/>
                  <wp:docPr id="118" name="图片 10" descr="ce07d4345b337ad58a6a1cf6d2003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0" descr="ce07d4345b337ad58a6a1cf6d20032d"/>
                          <pic:cNvPicPr>
                            <a:picLocks noChangeAspect="1"/>
                          </pic:cNvPicPr>
                        </pic:nvPicPr>
                        <pic:blipFill>
                          <a:blip r:embed="rId30"/>
                          <a:stretch>
                            <a:fillRect/>
                          </a:stretch>
                        </pic:blipFill>
                        <pic:spPr>
                          <a:xfrm>
                            <a:off x="0" y="0"/>
                            <a:ext cx="5134610" cy="3651885"/>
                          </a:xfrm>
                          <a:prstGeom prst="rect">
                            <a:avLst/>
                          </a:prstGeom>
                          <a:noFill/>
                          <a:ln>
                            <a:noFill/>
                          </a:ln>
                        </pic:spPr>
                      </pic:pic>
                    </a:graphicData>
                  </a:graphic>
                </wp:inline>
              </w:drawing>
            </w:r>
          </w:p>
          <w:p w14:paraId="70F23498">
            <w:pPr>
              <w:adjustRightInd w:val="0"/>
              <w:snapToGrid w:val="0"/>
              <w:jc w:val="center"/>
              <w:rPr>
                <w:rFonts w:hint="default" w:ascii="Times New Roman" w:hAnsi="Times New Roman" w:eastAsia="宋体"/>
                <w:b/>
                <w:bCs/>
                <w:color w:val="auto"/>
                <w:kern w:val="0"/>
                <w:sz w:val="24"/>
                <w:szCs w:val="24"/>
                <w:lang w:val="en-US" w:eastAsia="zh-CN"/>
              </w:rPr>
            </w:pPr>
            <w:r>
              <w:rPr>
                <w:rFonts w:ascii="Times New Roman" w:hAnsi="Times New Roman"/>
                <w:b/>
                <w:bCs/>
                <w:color w:val="auto"/>
                <w:kern w:val="0"/>
                <w:sz w:val="24"/>
                <w:szCs w:val="24"/>
              </w:rPr>
              <w:t>图</w:t>
            </w:r>
            <w:r>
              <w:rPr>
                <w:rFonts w:hint="eastAsia" w:ascii="Times New Roman" w:hAnsi="Times New Roman"/>
                <w:b/>
                <w:bCs/>
                <w:color w:val="auto"/>
                <w:kern w:val="0"/>
                <w:sz w:val="24"/>
                <w:szCs w:val="24"/>
                <w:lang w:val="en-US" w:eastAsia="zh-CN"/>
              </w:rPr>
              <w:t>3-1</w:t>
            </w:r>
            <w:r>
              <w:rPr>
                <w:rFonts w:ascii="Times New Roman" w:hAnsi="Times New Roman"/>
                <w:b/>
                <w:bCs/>
                <w:color w:val="auto"/>
                <w:kern w:val="0"/>
                <w:sz w:val="24"/>
                <w:szCs w:val="24"/>
              </w:rPr>
              <w:t xml:space="preserve">  </w:t>
            </w:r>
            <w:r>
              <w:rPr>
                <w:rFonts w:hint="eastAsia" w:ascii="Times New Roman" w:hAnsi="Times New Roman"/>
                <w:b/>
                <w:bCs/>
                <w:color w:val="auto"/>
                <w:kern w:val="0"/>
                <w:sz w:val="24"/>
                <w:szCs w:val="24"/>
                <w:lang w:val="en-US" w:eastAsia="zh-CN"/>
              </w:rPr>
              <w:t>与</w:t>
            </w:r>
            <w:r>
              <w:rPr>
                <w:rFonts w:ascii="Times New Roman" w:hAnsi="Times New Roman"/>
                <w:b/>
                <w:bCs/>
                <w:color w:val="auto"/>
                <w:kern w:val="0"/>
                <w:sz w:val="24"/>
                <w:szCs w:val="24"/>
              </w:rPr>
              <w:t>云南省生态功能类型</w:t>
            </w:r>
            <w:r>
              <w:rPr>
                <w:rFonts w:hint="eastAsia" w:ascii="Times New Roman" w:hAnsi="Times New Roman"/>
                <w:b/>
                <w:bCs/>
                <w:color w:val="auto"/>
                <w:kern w:val="0"/>
                <w:sz w:val="24"/>
                <w:szCs w:val="24"/>
                <w:lang w:val="en-US" w:eastAsia="zh-CN"/>
              </w:rPr>
              <w:t>关系示意图</w:t>
            </w:r>
          </w:p>
          <w:p w14:paraId="7AFDD4D5">
            <w:pPr>
              <w:adjustRightInd w:val="0"/>
              <w:snapToGrid w:val="0"/>
              <w:spacing w:line="440" w:lineRule="exact"/>
              <w:ind w:firstLine="482" w:firstLineChars="200"/>
              <w:rPr>
                <w:rFonts w:hint="eastAsia" w:ascii="Times New Roman" w:hAnsi="Times New Roman" w:cs="Times New Roman"/>
                <w:b/>
                <w:color w:val="auto"/>
                <w:sz w:val="24"/>
                <w:szCs w:val="24"/>
                <w:lang w:val="en-US" w:eastAsia="zh-CN"/>
              </w:rPr>
            </w:pPr>
            <w:r>
              <w:rPr>
                <w:rFonts w:hint="eastAsia" w:ascii="Times New Roman" w:hAnsi="Times New Roman" w:cs="Times New Roman"/>
                <w:b/>
                <w:color w:val="auto"/>
                <w:sz w:val="24"/>
                <w:szCs w:val="24"/>
                <w:lang w:val="en-US" w:eastAsia="zh-CN"/>
              </w:rPr>
              <w:t>3.1.2与《云南省主体功能区规划》的符合性分析</w:t>
            </w:r>
          </w:p>
          <w:p w14:paraId="2347E5AF">
            <w:pPr>
              <w:adjustRightInd w:val="0"/>
              <w:snapToGrid w:val="0"/>
              <w:spacing w:line="440" w:lineRule="exact"/>
              <w:ind w:firstLine="480" w:firstLineChars="200"/>
              <w:rPr>
                <w:rFonts w:hint="eastAsia" w:ascii="Times New Roman" w:hAnsi="Times New Roman"/>
                <w:color w:val="auto"/>
                <w:kern w:val="0"/>
                <w:sz w:val="24"/>
                <w:szCs w:val="20"/>
              </w:rPr>
            </w:pPr>
            <w:r>
              <w:rPr>
                <w:rFonts w:hint="eastAsia" w:ascii="Times New Roman" w:hAnsi="Times New Roman"/>
                <w:color w:val="auto"/>
                <w:kern w:val="0"/>
                <w:sz w:val="24"/>
                <w:szCs w:val="20"/>
              </w:rPr>
              <w:t>云南省人民政府于2014年1月6日印发《云南省主体功能区规划》，将全省国土空间开发按照开发方式分为重点开发区域、限制开发区域和禁止开发区域3类主体功能区。</w:t>
            </w:r>
          </w:p>
          <w:p w14:paraId="50EFD6F8">
            <w:pPr>
              <w:keepNext w:val="0"/>
              <w:keepLines w:val="0"/>
              <w:pageBreakBefore w:val="0"/>
              <w:widowControl w:val="0"/>
              <w:kinsoku/>
              <w:wordWrap/>
              <w:overflowPunct/>
              <w:topLinePunct w:val="0"/>
              <w:bidi w:val="0"/>
              <w:adjustRightInd w:val="0"/>
              <w:snapToGrid w:val="0"/>
              <w:spacing w:line="440" w:lineRule="exact"/>
              <w:ind w:firstLine="480" w:firstLineChars="200"/>
              <w:textAlignment w:val="auto"/>
              <w:rPr>
                <w:rFonts w:hint="default" w:ascii="Times New Roman" w:hAnsi="Times New Roman" w:eastAsia="宋体" w:cs="Times New Roman"/>
                <w:color w:val="auto"/>
                <w:kern w:val="0"/>
                <w:sz w:val="24"/>
                <w:szCs w:val="20"/>
              </w:rPr>
            </w:pPr>
            <w:r>
              <w:rPr>
                <w:rFonts w:ascii="Times New Roman" w:hAnsi="Times New Roman"/>
                <w:color w:val="auto"/>
                <w:kern w:val="0"/>
                <w:sz w:val="24"/>
                <w:szCs w:val="20"/>
              </w:rPr>
              <w:t>《云南省主体功能区规划》将全省国土空间开发按照开发方式分为重点开发区域、限制开发区域和禁止开发区域3类主体功能区。项目所在的会泽县</w:t>
            </w:r>
            <w:r>
              <w:rPr>
                <w:rFonts w:hint="eastAsia" w:ascii="Times New Roman" w:hAnsi="Times New Roman"/>
                <w:color w:val="auto"/>
                <w:sz w:val="24"/>
                <w:lang w:eastAsia="zh-CN"/>
              </w:rPr>
              <w:t>宝云街道、乐业镇、</w:t>
            </w:r>
            <w:r>
              <w:rPr>
                <w:rFonts w:hint="eastAsia" w:ascii="Times New Roman" w:hAnsi="Times New Roman"/>
                <w:color w:val="auto"/>
                <w:sz w:val="24"/>
                <w:lang w:val="en-US" w:eastAsia="zh-CN"/>
              </w:rPr>
              <w:t>五星乡</w:t>
            </w:r>
            <w:r>
              <w:rPr>
                <w:rFonts w:ascii="Times New Roman" w:hAnsi="Times New Roman"/>
                <w:color w:val="auto"/>
                <w:kern w:val="0"/>
                <w:sz w:val="24"/>
                <w:szCs w:val="20"/>
              </w:rPr>
              <w:t>属</w:t>
            </w:r>
            <w:r>
              <w:rPr>
                <w:rFonts w:hint="eastAsia" w:ascii="Times New Roman" w:hAnsi="Times New Roman"/>
                <w:color w:val="auto"/>
                <w:kern w:val="0"/>
                <w:sz w:val="24"/>
                <w:szCs w:val="20"/>
                <w:lang w:val="en-US" w:eastAsia="zh-CN"/>
              </w:rPr>
              <w:t>于</w:t>
            </w:r>
            <w:r>
              <w:rPr>
                <w:rFonts w:ascii="Times New Roman" w:hAnsi="Times New Roman"/>
                <w:color w:val="auto"/>
                <w:kern w:val="0"/>
                <w:sz w:val="24"/>
                <w:szCs w:val="20"/>
              </w:rPr>
              <w:t>《云南省主体功能区规划》中</w:t>
            </w:r>
            <w:r>
              <w:rPr>
                <w:rFonts w:hint="default" w:ascii="Times New Roman" w:hAnsi="Times New Roman" w:eastAsia="宋体" w:cs="Times New Roman"/>
                <w:color w:val="auto"/>
                <w:kern w:val="0"/>
                <w:sz w:val="24"/>
                <w:szCs w:val="20"/>
              </w:rPr>
              <w:t>云南省限制开发区域名录</w:t>
            </w:r>
            <w:r>
              <w:rPr>
                <w:rFonts w:hint="eastAsia" w:ascii="Times New Roman" w:hAnsi="Times New Roman" w:cs="Times New Roman"/>
                <w:color w:val="auto"/>
                <w:kern w:val="0"/>
                <w:sz w:val="24"/>
                <w:szCs w:val="20"/>
                <w:lang w:val="en-US" w:eastAsia="zh-CN"/>
              </w:rPr>
              <w:t>中国家级农产品主产区</w:t>
            </w:r>
            <w:r>
              <w:rPr>
                <w:rFonts w:hint="default" w:ascii="Times New Roman" w:hAnsi="Times New Roman" w:eastAsia="宋体" w:cs="Times New Roman"/>
                <w:color w:val="auto"/>
                <w:kern w:val="0"/>
                <w:sz w:val="24"/>
                <w:szCs w:val="20"/>
              </w:rPr>
              <w:t>，不涉及云南省限制开发区域</w:t>
            </w:r>
            <w:r>
              <w:rPr>
                <w:rFonts w:hint="default" w:ascii="Times New Roman" w:hAnsi="Times New Roman" w:eastAsia="宋体" w:cs="Times New Roman"/>
                <w:color w:val="auto"/>
                <w:kern w:val="0"/>
                <w:sz w:val="24"/>
                <w:szCs w:val="20"/>
                <w:lang w:val="en-US" w:eastAsia="zh-CN"/>
              </w:rPr>
              <w:t>和</w:t>
            </w:r>
            <w:r>
              <w:rPr>
                <w:rFonts w:hint="default" w:ascii="Times New Roman" w:hAnsi="Times New Roman" w:eastAsia="宋体" w:cs="Times New Roman"/>
                <w:color w:val="auto"/>
                <w:kern w:val="0"/>
                <w:sz w:val="24"/>
                <w:szCs w:val="20"/>
              </w:rPr>
              <w:t>云南省禁止开发区域。</w:t>
            </w:r>
          </w:p>
          <w:p w14:paraId="5D7C0EBE">
            <w:pPr>
              <w:keepNext w:val="0"/>
              <w:keepLines w:val="0"/>
              <w:pageBreakBefore w:val="0"/>
              <w:widowControl w:val="0"/>
              <w:kinsoku/>
              <w:wordWrap/>
              <w:overflowPunct/>
              <w:topLinePunct w:val="0"/>
              <w:bidi w:val="0"/>
              <w:adjustRightInd w:val="0"/>
              <w:snapToGrid w:val="0"/>
              <w:spacing w:line="440" w:lineRule="exact"/>
              <w:ind w:firstLine="480" w:firstLineChars="200"/>
              <w:textAlignment w:val="auto"/>
              <w:rPr>
                <w:rFonts w:hint="default" w:ascii="Times New Roman" w:hAnsi="Times New Roman" w:eastAsia="宋体" w:cs="Times New Roman"/>
                <w:color w:val="auto"/>
                <w:kern w:val="0"/>
                <w:sz w:val="24"/>
                <w:szCs w:val="20"/>
              </w:rPr>
            </w:pPr>
            <w:r>
              <w:rPr>
                <w:rFonts w:hint="default" w:ascii="Times New Roman" w:hAnsi="Times New Roman" w:eastAsia="宋体" w:cs="Times New Roman"/>
                <w:color w:val="auto"/>
                <w:kern w:val="0"/>
                <w:sz w:val="24"/>
                <w:szCs w:val="20"/>
              </w:rPr>
              <w:t>该区域的功能定位为：农产品主产区是保障粮食产品和主要农产品供给安全的基地，全省农业产业化的重要地区，现代农业的示范基地，农村居民安居乐业的美好家园，社会主义新农村建设的示范区。农产品主产区要以大力发展高原特色农业为重点，切实保护耕地，稳定粮食生产，发展现代农业，增强农业综合生产能力，增加农民收入，加快建设社会主义新农村，有效增强农产品供给保障能力，确保国家粮食安全和食品安全。</w:t>
            </w:r>
          </w:p>
          <w:p w14:paraId="46922054">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此外，《云南省主体功能区规划》</w:t>
            </w:r>
            <w:r>
              <w:rPr>
                <w:rFonts w:hint="eastAsia" w:ascii="Times New Roman" w:hAnsi="Times New Roman" w:cs="Times New Roman"/>
                <w:color w:val="auto"/>
                <w:sz w:val="24"/>
                <w:szCs w:val="24"/>
                <w:lang w:eastAsia="zh-CN"/>
              </w:rPr>
              <w:t>对</w:t>
            </w:r>
            <w:r>
              <w:rPr>
                <w:rFonts w:hint="default" w:ascii="Times New Roman" w:hAnsi="Times New Roman" w:eastAsia="宋体" w:cs="Times New Roman"/>
                <w:color w:val="auto"/>
                <w:sz w:val="24"/>
                <w:szCs w:val="24"/>
              </w:rPr>
              <w:t>能源开发与布局有以下相关要求：新能源示范基地</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依托资源优势，稳步发展太阳能发电和热利用，积极开发生物质能，产业化开发天然铀资源。在丽江中部和东部、大理东部、楚雄北部、文山等区域，利用石漠化等未利用土地发展太阳能光伏并网发电项目</w:t>
            </w:r>
            <w:r>
              <w:rPr>
                <w:rFonts w:hint="default" w:ascii="Times New Roman" w:hAnsi="Times New Roman" w:eastAsia="宋体" w:cs="Times New Roman"/>
                <w:color w:val="auto"/>
                <w:sz w:val="24"/>
                <w:szCs w:val="24"/>
                <w:lang w:eastAsia="zh-CN"/>
              </w:rPr>
              <w:t>。</w:t>
            </w:r>
          </w:p>
          <w:p w14:paraId="59261504">
            <w:pPr>
              <w:jc w:val="center"/>
              <w:rPr>
                <w:rFonts w:ascii="Times New Roman" w:hAnsi="Times New Roman"/>
                <w:color w:val="auto"/>
              </w:rPr>
            </w:pPr>
            <w:r>
              <w:rPr>
                <w:rFonts w:ascii="Times New Roman" w:hAnsi="Times New Roman"/>
                <w:color w:val="auto"/>
                <w:sz w:val="24"/>
              </w:rPr>
              <mc:AlternateContent>
                <mc:Choice Requires="wps">
                  <w:drawing>
                    <wp:anchor distT="0" distB="0" distL="114300" distR="114300" simplePos="0" relativeHeight="251660288" behindDoc="0" locked="0" layoutInCell="1" allowOverlap="1">
                      <wp:simplePos x="0" y="0"/>
                      <wp:positionH relativeFrom="column">
                        <wp:posOffset>4057650</wp:posOffset>
                      </wp:positionH>
                      <wp:positionV relativeFrom="paragraph">
                        <wp:posOffset>408940</wp:posOffset>
                      </wp:positionV>
                      <wp:extent cx="866140" cy="495300"/>
                      <wp:effectExtent l="866140" t="5080" r="20320" b="204470"/>
                      <wp:wrapNone/>
                      <wp:docPr id="93" name="椭圆形标注 13"/>
                      <wp:cNvGraphicFramePr/>
                      <a:graphic xmlns:a="http://schemas.openxmlformats.org/drawingml/2006/main">
                        <a:graphicData uri="http://schemas.microsoft.com/office/word/2010/wordprocessingShape">
                          <wps:wsp>
                            <wps:cNvSpPr/>
                            <wps:spPr>
                              <a:xfrm>
                                <a:off x="0" y="0"/>
                                <a:ext cx="866140" cy="495300"/>
                              </a:xfrm>
                              <a:prstGeom prst="wedgeEllipseCallout">
                                <a:avLst>
                                  <a:gd name="adj1" fmla="val -149486"/>
                                  <a:gd name="adj2" fmla="val 89487"/>
                                </a:avLst>
                              </a:prstGeom>
                              <a:solidFill>
                                <a:srgbClr val="DBEEF4">
                                  <a:lumMod val="20000"/>
                                  <a:lumOff val="80000"/>
                                </a:srgbClr>
                              </a:solidFill>
                              <a:ln w="6350" cap="flat" cmpd="sng" algn="ctr">
                                <a:solidFill>
                                  <a:srgbClr val="FF0000"/>
                                </a:solidFill>
                                <a:prstDash val="solid"/>
                              </a:ln>
                              <a:effectLst/>
                            </wps:spPr>
                            <wps:txbx>
                              <w:txbxContent>
                                <w:p w14:paraId="353EDD85">
                                  <w:pPr>
                                    <w:adjustRightInd w:val="0"/>
                                    <w:snapToGrid w:val="0"/>
                                    <w:jc w:val="center"/>
                                    <w:rPr>
                                      <w:b/>
                                      <w:bCs/>
                                      <w:color w:val="FF0000"/>
                                    </w:rPr>
                                  </w:pPr>
                                  <w:r>
                                    <w:rPr>
                                      <w:rFonts w:hint="eastAsia"/>
                                      <w:b/>
                                      <w:bCs/>
                                      <w:color w:val="FF0000"/>
                                    </w:rPr>
                                    <w:t>项目区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形标注 13" o:spid="_x0000_s1026" o:spt="63" type="#_x0000_t63" style="position:absolute;left:0pt;margin-left:319.5pt;margin-top:32.2pt;height:39pt;width:68.2pt;z-index:251660288;v-text-anchor:middle;mso-width-relative:page;mso-height-relative:page;" fillcolor="#F8FCFD" filled="t" stroked="t" coordsize="21600,21600" o:gfxdata="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A8&#10;VMkf2QAAAAoBAAAPAAAAAAAAAAEAIAAAACIAAABkcnMvZG93bnJldi54bWxQSwECFAAUAAAACACH&#10;TuJAEgY6pM4CAACaBQAADgAAAAAAAAABACAAAAAoAQAAZHJzL2Uyb0RvYy54bWxQSwUGAAAAAAYA&#10;BgBZAQAAaAYAAAAA&#10;" adj="-21489,30129">
                      <v:fill on="t" focussize="0,0"/>
                      <v:stroke weight="0.5pt" color="#FF0000" joinstyle="round"/>
                      <v:imagedata o:title=""/>
                      <o:lock v:ext="edit" aspectratio="f"/>
                      <v:textbox>
                        <w:txbxContent>
                          <w:p w14:paraId="353EDD85">
                            <w:pPr>
                              <w:adjustRightInd w:val="0"/>
                              <w:snapToGrid w:val="0"/>
                              <w:jc w:val="center"/>
                              <w:rPr>
                                <w:b/>
                                <w:bCs/>
                                <w:color w:val="FF0000"/>
                              </w:rPr>
                            </w:pPr>
                            <w:r>
                              <w:rPr>
                                <w:rFonts w:hint="eastAsia"/>
                                <w:b/>
                                <w:bCs/>
                                <w:color w:val="FF0000"/>
                              </w:rPr>
                              <w:t>项目区</w:t>
                            </w:r>
                          </w:p>
                        </w:txbxContent>
                      </v:textbox>
                    </v:shape>
                  </w:pict>
                </mc:Fallback>
              </mc:AlternateContent>
            </w:r>
            <w:r>
              <w:rPr>
                <w:color w:val="auto"/>
                <w:sz w:val="24"/>
              </w:rPr>
              <mc:AlternateContent>
                <mc:Choice Requires="wps">
                  <w:drawing>
                    <wp:anchor distT="0" distB="0" distL="114300" distR="114300" simplePos="0" relativeHeight="251668480" behindDoc="0" locked="0" layoutInCell="1" allowOverlap="1">
                      <wp:simplePos x="0" y="0"/>
                      <wp:positionH relativeFrom="column">
                        <wp:posOffset>3146425</wp:posOffset>
                      </wp:positionH>
                      <wp:positionV relativeFrom="paragraph">
                        <wp:posOffset>1083310</wp:posOffset>
                      </wp:positionV>
                      <wp:extent cx="76200" cy="76200"/>
                      <wp:effectExtent l="3810" t="3810" r="15240" b="15240"/>
                      <wp:wrapNone/>
                      <wp:docPr id="101" name="任意多边形 102"/>
                      <wp:cNvGraphicFramePr/>
                      <a:graphic xmlns:a="http://schemas.openxmlformats.org/drawingml/2006/main">
                        <a:graphicData uri="http://schemas.microsoft.com/office/word/2010/wordprocessingShape">
                          <wps:wsp>
                            <wps:cNvSpPr/>
                            <wps:spPr>
                              <a:xfrm>
                                <a:off x="0" y="0"/>
                                <a:ext cx="76200" cy="76200"/>
                              </a:xfrm>
                              <a:custGeom>
                                <a:avLst/>
                                <a:gdLst/>
                                <a:ahLst/>
                                <a:cxnLst/>
                                <a:pathLst>
                                  <a:path w="184" h="184">
                                    <a:moveTo>
                                      <a:pt x="0" y="184"/>
                                    </a:moveTo>
                                    <a:cubicBezTo>
                                      <a:pt x="18" y="162"/>
                                      <a:pt x="63" y="104"/>
                                      <a:pt x="100" y="67"/>
                                    </a:cubicBezTo>
                                    <a:cubicBezTo>
                                      <a:pt x="137" y="30"/>
                                      <a:pt x="169" y="11"/>
                                      <a:pt x="184" y="0"/>
                                    </a:cubicBezTo>
                                  </a:path>
                                </a:pathLst>
                              </a:custGeom>
                              <a:solidFill>
                                <a:srgbClr val="FF0000"/>
                              </a:solidFill>
                              <a:ln w="9525" cap="flat" cmpd="sng">
                                <a:solidFill>
                                  <a:srgbClr val="FF0000"/>
                                </a:solidFill>
                                <a:prstDash val="solid"/>
                                <a:headEnd type="none" w="med" len="med"/>
                                <a:tailEnd type="none" w="med" len="med"/>
                              </a:ln>
                            </wps:spPr>
                            <wps:bodyPr wrap="square" upright="1"/>
                          </wps:wsp>
                        </a:graphicData>
                      </a:graphic>
                    </wp:anchor>
                  </w:drawing>
                </mc:Choice>
                <mc:Fallback>
                  <w:pict>
                    <v:shape id="任意多边形 102" o:spid="_x0000_s1026" o:spt="100" style="position:absolute;left:0pt;margin-left:247.75pt;margin-top:85.3pt;height:6pt;width:6pt;z-index:251668480;mso-width-relative:page;mso-height-relative:page;" fillcolor="#FF0000" filled="t" stroked="t" coordsize="184,184" o:gfxdata="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&#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DgWTKjZAAAACwEAAA8AAAAAAAAAAQAgAAAAIgAAAGRy&#10;cy9kb3ducmV2LnhtbFBLAQIUABQAAAAIAIdO4kBVVuVOdgIAAF4FAAAOAAAAAAAAAAEAIAAAACgB&#10;AABkcnMvZTJvRG9jLnhtbFBLBQYAAAAABgAGAFkBAAAQBgAAAAA=&#10;" path="m0,184c18,162,63,104,100,67c137,30,169,11,184,0e">
                      <v:fill on="t" focussize="0,0"/>
                      <v:stroke color="#FF0000" joinstyle="round"/>
                      <v:imagedata o:title=""/>
                      <o:lock v:ext="edit" aspectratio="f"/>
                    </v:shape>
                  </w:pict>
                </mc:Fallback>
              </mc:AlternateContent>
            </w:r>
            <w:r>
              <w:rPr>
                <w:rFonts w:ascii="Times New Roman" w:hAnsi="Times New Roman"/>
                <w:color w:val="auto"/>
              </w:rPr>
              <w:drawing>
                <wp:inline distT="0" distB="0" distL="114300" distR="114300">
                  <wp:extent cx="5029835" cy="3237865"/>
                  <wp:effectExtent l="0" t="0" r="18415" b="635"/>
                  <wp:docPr id="119" name="图片 105" descr="6057e3700435852e74925df2cae59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05" descr="6057e3700435852e74925df2cae59aa"/>
                          <pic:cNvPicPr>
                            <a:picLocks noChangeAspect="1"/>
                          </pic:cNvPicPr>
                        </pic:nvPicPr>
                        <pic:blipFill>
                          <a:blip r:embed="rId31"/>
                          <a:stretch>
                            <a:fillRect/>
                          </a:stretch>
                        </pic:blipFill>
                        <pic:spPr>
                          <a:xfrm>
                            <a:off x="0" y="0"/>
                            <a:ext cx="5029835" cy="3237865"/>
                          </a:xfrm>
                          <a:prstGeom prst="rect">
                            <a:avLst/>
                          </a:prstGeom>
                          <a:noFill/>
                          <a:ln>
                            <a:noFill/>
                          </a:ln>
                        </pic:spPr>
                      </pic:pic>
                    </a:graphicData>
                  </a:graphic>
                </wp:inline>
              </w:drawing>
            </w:r>
          </w:p>
          <w:p w14:paraId="77294A7A">
            <w:pPr>
              <w:jc w:val="center"/>
              <w:rPr>
                <w:rFonts w:hint="eastAsia" w:ascii="Times New Roman" w:hAnsi="Times New Roman"/>
                <w:b/>
                <w:bCs/>
                <w:color w:val="auto"/>
                <w:sz w:val="24"/>
                <w:lang w:val="en-US" w:eastAsia="zh-CN"/>
              </w:rPr>
            </w:pPr>
            <w:r>
              <w:rPr>
                <w:rFonts w:ascii="Times New Roman" w:hAnsi="Times New Roman"/>
                <w:b/>
                <w:bCs/>
                <w:color w:val="auto"/>
                <w:sz w:val="24"/>
              </w:rPr>
              <w:t>图</w:t>
            </w:r>
            <w:r>
              <w:rPr>
                <w:rFonts w:hint="eastAsia" w:ascii="Times New Roman" w:hAnsi="Times New Roman"/>
                <w:b/>
                <w:bCs/>
                <w:color w:val="auto"/>
                <w:sz w:val="24"/>
                <w:lang w:val="en-US" w:eastAsia="zh-CN"/>
              </w:rPr>
              <w:t>3-2</w:t>
            </w:r>
            <w:r>
              <w:rPr>
                <w:rFonts w:ascii="Times New Roman" w:hAnsi="Times New Roman"/>
                <w:b/>
                <w:bCs/>
                <w:color w:val="auto"/>
                <w:sz w:val="24"/>
              </w:rPr>
              <w:t xml:space="preserve">  云南省主体功能区规划</w:t>
            </w:r>
            <w:r>
              <w:rPr>
                <w:rFonts w:hint="eastAsia" w:ascii="Times New Roman" w:hAnsi="Times New Roman"/>
                <w:b/>
                <w:bCs/>
                <w:color w:val="auto"/>
                <w:sz w:val="24"/>
                <w:lang w:val="en-US" w:eastAsia="zh-CN"/>
              </w:rPr>
              <w:t>位置关系图</w:t>
            </w:r>
          </w:p>
          <w:p w14:paraId="0D386863">
            <w:pPr>
              <w:adjustRightInd w:val="0"/>
              <w:snapToGrid w:val="0"/>
              <w:spacing w:line="440" w:lineRule="exact"/>
              <w:ind w:firstLine="480" w:firstLineChars="200"/>
              <w:rPr>
                <w:rFonts w:hint="default"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另外</w:t>
            </w:r>
            <w:r>
              <w:rPr>
                <w:rFonts w:hint="default" w:ascii="Times New Roman" w:hAnsi="Times New Roman" w:eastAsia="宋体" w:cs="Times New Roman"/>
                <w:color w:val="auto"/>
                <w:kern w:val="0"/>
                <w:sz w:val="24"/>
                <w:szCs w:val="24"/>
                <w:lang w:val="en-US" w:eastAsia="zh-CN"/>
              </w:rPr>
              <w:t>，根据《云南省国土空间规划（2021—2035年）》，落实国家战略部署，发挥地区比较优势，立足资源禀赋和经济社会发展实际，依据资源环境承载能力和国土空间开发适宜性评价、“三区三线”划定等成果，优化形成“3＋5”主体功能分区布局。“3”为以县（市、区）为单元划分农产品主产区、重点生态功能区和城市化地区。在3类主体功能区的基础上，叠加确定重点小城镇、自然景观保护功能区、边境地区、历史文化资源富集区、能源资源富集区等5个其他功能区。</w:t>
            </w:r>
          </w:p>
          <w:p w14:paraId="5AEF2039">
            <w:pPr>
              <w:adjustRightInd w:val="0"/>
              <w:snapToGrid w:val="0"/>
              <w:spacing w:line="440" w:lineRule="exact"/>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szCs w:val="24"/>
                <w:lang w:val="en-US" w:eastAsia="zh-CN"/>
              </w:rPr>
              <w:t>项目区</w:t>
            </w:r>
            <w:r>
              <w:rPr>
                <w:rFonts w:hint="default" w:ascii="Times New Roman" w:hAnsi="Times New Roman" w:eastAsia="宋体" w:cs="Times New Roman"/>
                <w:color w:val="auto"/>
                <w:sz w:val="24"/>
              </w:rPr>
              <w:t>位于</w:t>
            </w:r>
            <w:r>
              <w:rPr>
                <w:rFonts w:hint="eastAsia" w:ascii="Times New Roman" w:hAnsi="Times New Roman" w:cs="Times New Roman"/>
                <w:color w:val="auto"/>
                <w:sz w:val="24"/>
                <w:lang w:eastAsia="zh-CN"/>
              </w:rPr>
              <w:t>会泽县宝云街道、乐业镇、五星乡境内</w:t>
            </w:r>
            <w:r>
              <w:rPr>
                <w:rFonts w:hint="default" w:ascii="Times New Roman" w:hAnsi="Times New Roman" w:eastAsia="宋体" w:cs="Times New Roman"/>
                <w:color w:val="auto"/>
                <w:sz w:val="24"/>
              </w:rPr>
              <w:t>，</w:t>
            </w:r>
            <w:r>
              <w:rPr>
                <w:rFonts w:hint="default" w:ascii="Times New Roman" w:hAnsi="Times New Roman" w:eastAsia="宋体" w:cs="Times New Roman"/>
                <w:color w:val="auto"/>
                <w:kern w:val="0"/>
                <w:sz w:val="24"/>
                <w:szCs w:val="24"/>
                <w:lang w:val="en-US" w:eastAsia="zh-CN"/>
              </w:rPr>
              <w:t>属于</w:t>
            </w:r>
            <w:r>
              <w:rPr>
                <w:rFonts w:hint="eastAsia" w:ascii="Times New Roman" w:hAnsi="Times New Roman" w:eastAsia="宋体" w:cs="Times New Roman"/>
                <w:color w:val="auto"/>
                <w:kern w:val="0"/>
                <w:sz w:val="24"/>
                <w:szCs w:val="24"/>
                <w:lang w:val="en-US" w:eastAsia="zh-CN"/>
              </w:rPr>
              <w:t>国家级农产品主产区</w:t>
            </w:r>
            <w:r>
              <w:rPr>
                <w:rFonts w:hint="default"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color w:val="auto"/>
                <w:sz w:val="24"/>
              </w:rPr>
              <w:t>本项目为输变电工程，</w:t>
            </w:r>
            <w:r>
              <w:rPr>
                <w:rFonts w:hint="default" w:ascii="Times New Roman" w:hAnsi="Times New Roman" w:eastAsia="宋体" w:cs="Times New Roman"/>
                <w:color w:val="auto"/>
                <w:kern w:val="0"/>
                <w:sz w:val="24"/>
                <w:szCs w:val="20"/>
              </w:rPr>
              <w:t>不涉及自然保护区、风景名胜区、</w:t>
            </w:r>
            <w:r>
              <w:rPr>
                <w:rFonts w:hint="eastAsia" w:ascii="Times New Roman" w:hAnsi="Times New Roman" w:eastAsia="宋体" w:cs="Times New Roman"/>
                <w:color w:val="auto"/>
                <w:kern w:val="0"/>
                <w:sz w:val="24"/>
                <w:szCs w:val="20"/>
                <w:lang w:eastAsia="zh-CN"/>
              </w:rPr>
              <w:t>饮用水水源保护区</w:t>
            </w:r>
            <w:r>
              <w:rPr>
                <w:rFonts w:hint="default" w:ascii="Times New Roman" w:hAnsi="Times New Roman" w:eastAsia="宋体" w:cs="Times New Roman"/>
                <w:color w:val="auto"/>
                <w:kern w:val="0"/>
                <w:sz w:val="24"/>
                <w:szCs w:val="20"/>
              </w:rPr>
              <w:t>、风景名胜区、湿地公园等环境敏感区，</w:t>
            </w:r>
            <w:r>
              <w:rPr>
                <w:rFonts w:hint="default" w:ascii="Times New Roman" w:hAnsi="Times New Roman" w:eastAsia="宋体" w:cs="Times New Roman"/>
                <w:color w:val="auto"/>
                <w:sz w:val="24"/>
              </w:rPr>
              <w:t>不位于禁止建设区内。因此，项目建设与《云南省主体功能区规划》</w:t>
            </w:r>
            <w:r>
              <w:rPr>
                <w:rFonts w:hint="eastAsia" w:ascii="Times New Roman" w:hAnsi="Times New Roman" w:eastAsia="宋体" w:cs="Times New Roman"/>
                <w:color w:val="auto"/>
                <w:sz w:val="24"/>
                <w:lang w:val="en-US" w:eastAsia="zh-CN"/>
              </w:rPr>
              <w:t>和</w:t>
            </w:r>
            <w:r>
              <w:rPr>
                <w:rFonts w:hint="default" w:ascii="Times New Roman" w:hAnsi="Times New Roman" w:eastAsia="宋体" w:cs="Times New Roman"/>
                <w:color w:val="auto"/>
                <w:kern w:val="0"/>
                <w:sz w:val="24"/>
                <w:szCs w:val="24"/>
                <w:lang w:val="en-US" w:eastAsia="zh-CN"/>
              </w:rPr>
              <w:t>《云南省国土空间规划（2021—2035年）》</w:t>
            </w:r>
            <w:r>
              <w:rPr>
                <w:rFonts w:hint="default" w:ascii="Times New Roman" w:hAnsi="Times New Roman" w:eastAsia="宋体" w:cs="Times New Roman"/>
                <w:color w:val="auto"/>
                <w:sz w:val="24"/>
              </w:rPr>
              <w:t>不冲突。</w:t>
            </w:r>
          </w:p>
          <w:p w14:paraId="3E0B6E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lang w:val="en-US" w:eastAsia="zh-CN"/>
              </w:rPr>
            </w:pPr>
            <w:r>
              <w:rPr>
                <w:color w:val="auto"/>
                <w:sz w:val="24"/>
              </w:rPr>
              <mc:AlternateContent>
                <mc:Choice Requires="wps">
                  <w:drawing>
                    <wp:anchor distT="0" distB="0" distL="114300" distR="114300" simplePos="0" relativeHeight="251669504" behindDoc="0" locked="0" layoutInCell="1" allowOverlap="1">
                      <wp:simplePos x="0" y="0"/>
                      <wp:positionH relativeFrom="column">
                        <wp:posOffset>3418205</wp:posOffset>
                      </wp:positionH>
                      <wp:positionV relativeFrom="paragraph">
                        <wp:posOffset>1878330</wp:posOffset>
                      </wp:positionV>
                      <wp:extent cx="76200" cy="76200"/>
                      <wp:effectExtent l="3810" t="3810" r="15240" b="15240"/>
                      <wp:wrapNone/>
                      <wp:docPr id="102" name="任意多边形 103"/>
                      <wp:cNvGraphicFramePr/>
                      <a:graphic xmlns:a="http://schemas.openxmlformats.org/drawingml/2006/main">
                        <a:graphicData uri="http://schemas.microsoft.com/office/word/2010/wordprocessingShape">
                          <wps:wsp>
                            <wps:cNvSpPr/>
                            <wps:spPr>
                              <a:xfrm>
                                <a:off x="0" y="0"/>
                                <a:ext cx="76200" cy="76200"/>
                              </a:xfrm>
                              <a:custGeom>
                                <a:avLst/>
                                <a:gdLst/>
                                <a:ahLst/>
                                <a:cxnLst/>
                                <a:pathLst>
                                  <a:path w="184" h="184">
                                    <a:moveTo>
                                      <a:pt x="0" y="184"/>
                                    </a:moveTo>
                                    <a:cubicBezTo>
                                      <a:pt x="18" y="162"/>
                                      <a:pt x="63" y="104"/>
                                      <a:pt x="100" y="67"/>
                                    </a:cubicBezTo>
                                    <a:cubicBezTo>
                                      <a:pt x="137" y="30"/>
                                      <a:pt x="169" y="11"/>
                                      <a:pt x="184" y="0"/>
                                    </a:cubicBezTo>
                                  </a:path>
                                </a:pathLst>
                              </a:custGeom>
                              <a:solidFill>
                                <a:srgbClr val="FF0000"/>
                              </a:solidFill>
                              <a:ln w="9525" cap="flat" cmpd="sng">
                                <a:solidFill>
                                  <a:srgbClr val="FF0000"/>
                                </a:solidFill>
                                <a:prstDash val="solid"/>
                                <a:headEnd type="none" w="med" len="med"/>
                                <a:tailEnd type="none" w="med" len="med"/>
                              </a:ln>
                            </wps:spPr>
                            <wps:bodyPr wrap="square" upright="1"/>
                          </wps:wsp>
                        </a:graphicData>
                      </a:graphic>
                    </wp:anchor>
                  </w:drawing>
                </mc:Choice>
                <mc:Fallback>
                  <w:pict>
                    <v:shape id="任意多边形 103" o:spid="_x0000_s1026" o:spt="100" style="position:absolute;left:0pt;margin-left:269.15pt;margin-top:147.9pt;height:6pt;width:6pt;z-index:251669504;mso-width-relative:page;mso-height-relative:page;" fillcolor="#FF0000" filled="t" stroked="t" coordsize="184,184" o:gfxdata="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EzZsk2QAAAAsBAAAPAAAAAAAAAAEAIAAAACIAAABk&#10;cnMvZG93bnJldi54bWxQSwECFAAUAAAACACHTuJAS5WVv3cCAABeBQAADgAAAAAAAAABACAAAAAo&#10;AQAAZHJzL2Uyb0RvYy54bWxQSwUGAAAAAAYABgBZAQAAEQYAAAAA&#10;" path="m0,184c18,162,63,104,100,67c137,30,169,11,184,0e">
                      <v:fill on="t" focussize="0,0"/>
                      <v:stroke color="#FF0000" joinstyle="round"/>
                      <v:imagedata o:title=""/>
                      <o:lock v:ext="edit" aspectratio="f"/>
                    </v:shape>
                  </w:pict>
                </mc:Fallback>
              </mc:AlternateContent>
            </w:r>
            <w:r>
              <w:rPr>
                <w:rFonts w:hint="default" w:ascii="Times New Roman" w:hAnsi="Times New Roman" w:eastAsia="宋体" w:cs="Times New Roman"/>
                <w:color w:val="auto"/>
                <w:sz w:val="24"/>
              </w:rPr>
              <mc:AlternateContent>
                <mc:Choice Requires="wps">
                  <w:drawing>
                    <wp:anchor distT="0" distB="0" distL="114300" distR="114300" simplePos="0" relativeHeight="251663360" behindDoc="0" locked="0" layoutInCell="1" allowOverlap="1">
                      <wp:simplePos x="0" y="0"/>
                      <wp:positionH relativeFrom="column">
                        <wp:posOffset>3932555</wp:posOffset>
                      </wp:positionH>
                      <wp:positionV relativeFrom="paragraph">
                        <wp:posOffset>962025</wp:posOffset>
                      </wp:positionV>
                      <wp:extent cx="917575" cy="313055"/>
                      <wp:effectExtent l="0" t="0" r="0" b="0"/>
                      <wp:wrapNone/>
                      <wp:docPr id="96" name="文本框 17"/>
                      <wp:cNvGraphicFramePr/>
                      <a:graphic xmlns:a="http://schemas.openxmlformats.org/drawingml/2006/main">
                        <a:graphicData uri="http://schemas.microsoft.com/office/word/2010/wordprocessingShape">
                          <wps:wsp>
                            <wps:cNvSpPr txBox="1"/>
                            <wps:spPr>
                              <a:xfrm>
                                <a:off x="0" y="0"/>
                                <a:ext cx="917575" cy="313055"/>
                              </a:xfrm>
                              <a:prstGeom prst="rect">
                                <a:avLst/>
                              </a:prstGeom>
                              <a:noFill/>
                              <a:ln>
                                <a:noFill/>
                              </a:ln>
                              <a:effectLst/>
                            </wps:spPr>
                            <wps:txbx>
                              <w:txbxContent>
                                <w:p w14:paraId="1FE98FB0">
                                  <w:pPr>
                                    <w:rPr>
                                      <w:rFonts w:eastAsia="宋体"/>
                                      <w:b/>
                                      <w:bCs/>
                                      <w:color w:val="0000FF"/>
                                    </w:rPr>
                                  </w:pPr>
                                  <w:r>
                                    <w:rPr>
                                      <w:rFonts w:hint="eastAsia"/>
                                      <w:b/>
                                      <w:bCs/>
                                      <w:color w:val="0000FF"/>
                                    </w:rPr>
                                    <w:t>项目区位置</w:t>
                                  </w:r>
                                </w:p>
                              </w:txbxContent>
                            </wps:txbx>
                            <wps:bodyPr vert="horz" wrap="square" anchor="t" anchorCtr="0" upright="1"/>
                          </wps:wsp>
                        </a:graphicData>
                      </a:graphic>
                    </wp:anchor>
                  </w:drawing>
                </mc:Choice>
                <mc:Fallback>
                  <w:pict>
                    <v:shape id="文本框 17" o:spid="_x0000_s1026" o:spt="202" type="#_x0000_t202" style="position:absolute;left:0pt;margin-left:309.65pt;margin-top:75.75pt;height:24.65pt;width:72.25pt;z-index:251663360;mso-width-relative:page;mso-height-relative:page;" filled="f" stroked="f" coordsize="21600,21600" o:gfxdata="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3pD3G1wAAAAsBAAAPAAAAAAAAAAEAIAAAACIA&#10;AABkcnMvZG93bnJldi54bWxQSwECFAAUAAAACACHTuJAyd3no9EBAACQAwAADgAAAAAAAAABACAA&#10;AAAmAQAAZHJzL2Uyb0RvYy54bWxQSwUGAAAAAAYABgBZAQAAaQUAAAAA&#10;">
                      <v:fill on="f" focussize="0,0"/>
                      <v:stroke on="f"/>
                      <v:imagedata o:title=""/>
                      <o:lock v:ext="edit" aspectratio="f"/>
                      <v:textbox>
                        <w:txbxContent>
                          <w:p w14:paraId="1FE98FB0">
                            <w:pPr>
                              <w:rPr>
                                <w:rFonts w:eastAsia="宋体"/>
                                <w:b/>
                                <w:bCs/>
                                <w:color w:val="0000FF"/>
                              </w:rPr>
                            </w:pPr>
                            <w:r>
                              <w:rPr>
                                <w:rFonts w:hint="eastAsia"/>
                                <w:b/>
                                <w:bCs/>
                                <w:color w:val="0000FF"/>
                              </w:rPr>
                              <w:t>项目区位置</w:t>
                            </w:r>
                          </w:p>
                        </w:txbxContent>
                      </v:textbox>
                    </v:shape>
                  </w:pict>
                </mc:Fallback>
              </mc:AlternateContent>
            </w:r>
            <w:r>
              <w:rPr>
                <w:rFonts w:hint="default" w:ascii="Times New Roman" w:hAnsi="Times New Roman" w:eastAsia="宋体" w:cs="Times New Roman"/>
                <w:color w:val="auto"/>
                <w:sz w:val="24"/>
              </w:rPr>
              <mc:AlternateContent>
                <mc:Choice Requires="wps">
                  <w:drawing>
                    <wp:anchor distT="0" distB="0" distL="114300" distR="114300" simplePos="0" relativeHeight="251664384" behindDoc="0" locked="0" layoutInCell="1" allowOverlap="1">
                      <wp:simplePos x="0" y="0"/>
                      <wp:positionH relativeFrom="column">
                        <wp:posOffset>3498850</wp:posOffset>
                      </wp:positionH>
                      <wp:positionV relativeFrom="paragraph">
                        <wp:posOffset>1173480</wp:posOffset>
                      </wp:positionV>
                      <wp:extent cx="709295" cy="706755"/>
                      <wp:effectExtent l="0" t="3175" r="14605" b="13970"/>
                      <wp:wrapNone/>
                      <wp:docPr id="97" name="直接连接符 18"/>
                      <wp:cNvGraphicFramePr/>
                      <a:graphic xmlns:a="http://schemas.openxmlformats.org/drawingml/2006/main">
                        <a:graphicData uri="http://schemas.microsoft.com/office/word/2010/wordprocessingShape">
                          <wps:wsp>
                            <wps:cNvCnPr/>
                            <wps:spPr>
                              <a:xfrm flipH="1">
                                <a:off x="0" y="0"/>
                                <a:ext cx="709295" cy="706755"/>
                              </a:xfrm>
                              <a:prstGeom prst="straightConnector1">
                                <a:avLst/>
                              </a:prstGeom>
                              <a:ln w="9525" cap="flat" cmpd="sng">
                                <a:solidFill>
                                  <a:srgbClr val="1D08E8"/>
                                </a:solidFill>
                                <a:prstDash val="solid"/>
                                <a:round/>
                                <a:headEnd type="none" w="med" len="med"/>
                                <a:tailEnd type="arrow" w="med" len="med"/>
                              </a:ln>
                            </wps:spPr>
                            <wps:bodyPr/>
                          </wps:wsp>
                        </a:graphicData>
                      </a:graphic>
                    </wp:anchor>
                  </w:drawing>
                </mc:Choice>
                <mc:Fallback>
                  <w:pict>
                    <v:shape id="直接连接符 18" o:spid="_x0000_s1026" o:spt="32" type="#_x0000_t32" style="position:absolute;left:0pt;flip:x;margin-left:275.5pt;margin-top:92.4pt;height:55.65pt;width:55.85pt;z-index:251664384;mso-width-relative:page;mso-height-relative:page;" filled="f" stroked="t" coordsize="21600,21600" o:gfxdata="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7JNJA2gAAAAsBAAAPAAAAAAAA&#10;AAEAIAAAACIAAABkcnMvZG93bnJldi54bWxQSwECFAAUAAAACACHTuJAAMWoqRACAAABBAAADgAA&#10;AAAAAAABACAAAAApAQAAZHJzL2Uyb0RvYy54bWxQSwUGAAAAAAYABgBZAQAAqwUAAAAA&#10;">
                      <v:fill on="f" focussize="0,0"/>
                      <v:stroke color="#1D08E8" joinstyle="round" endarrow="open"/>
                      <v:imagedata o:title=""/>
                      <o:lock v:ext="edit" aspectratio="f"/>
                    </v:shape>
                  </w:pict>
                </mc:Fallback>
              </mc:AlternateContent>
            </w:r>
            <w:r>
              <w:rPr>
                <w:rFonts w:hint="default" w:ascii="Times New Roman" w:hAnsi="Times New Roman" w:eastAsia="宋体" w:cs="Times New Roman"/>
                <w:color w:val="auto"/>
                <w:kern w:val="0"/>
                <w:sz w:val="24"/>
                <w:szCs w:val="24"/>
                <w:lang w:val="en-US" w:eastAsia="zh-CN"/>
              </w:rPr>
              <w:drawing>
                <wp:inline distT="0" distB="0" distL="114300" distR="114300">
                  <wp:extent cx="5096510" cy="5287010"/>
                  <wp:effectExtent l="0" t="0" r="8890" b="8890"/>
                  <wp:docPr id="120" name="图片 106" descr="W020241024540499945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06" descr="W020241024540499945130"/>
                          <pic:cNvPicPr>
                            <a:picLocks noChangeAspect="1"/>
                          </pic:cNvPicPr>
                        </pic:nvPicPr>
                        <pic:blipFill>
                          <a:blip r:embed="rId32"/>
                          <a:stretch>
                            <a:fillRect/>
                          </a:stretch>
                        </pic:blipFill>
                        <pic:spPr>
                          <a:xfrm>
                            <a:off x="0" y="0"/>
                            <a:ext cx="5096510" cy="5287010"/>
                          </a:xfrm>
                          <a:prstGeom prst="rect">
                            <a:avLst/>
                          </a:prstGeom>
                          <a:noFill/>
                          <a:ln>
                            <a:noFill/>
                          </a:ln>
                        </pic:spPr>
                      </pic:pic>
                    </a:graphicData>
                  </a:graphic>
                </wp:inline>
              </w:drawing>
            </w:r>
          </w:p>
          <w:p w14:paraId="50294949">
            <w:pPr>
              <w:adjustRightInd w:val="0"/>
              <w:snapToGrid w:val="0"/>
              <w:spacing w:line="240" w:lineRule="auto"/>
              <w:jc w:val="center"/>
              <w:rPr>
                <w:rFonts w:hint="default" w:ascii="Times New Roman" w:hAnsi="Times New Roman" w:eastAsia="宋体" w:cs="Times New Roman"/>
                <w:b/>
                <w:bCs/>
                <w:color w:val="auto"/>
                <w:kern w:val="0"/>
                <w:sz w:val="24"/>
                <w:szCs w:val="24"/>
                <w:lang w:val="en-US" w:eastAsia="zh-CN"/>
              </w:rPr>
            </w:pPr>
            <w:r>
              <w:rPr>
                <w:rFonts w:hint="default" w:ascii="Times New Roman" w:hAnsi="Times New Roman" w:eastAsia="宋体" w:cs="Times New Roman"/>
                <w:b/>
                <w:bCs/>
                <w:color w:val="auto"/>
                <w:kern w:val="0"/>
                <w:sz w:val="24"/>
                <w:szCs w:val="24"/>
                <w:lang w:val="en-US" w:eastAsia="zh-CN"/>
              </w:rPr>
              <w:t>图</w:t>
            </w:r>
            <w:r>
              <w:rPr>
                <w:rFonts w:hint="eastAsia" w:ascii="Times New Roman" w:hAnsi="Times New Roman" w:eastAsia="宋体" w:cs="Times New Roman"/>
                <w:b/>
                <w:bCs/>
                <w:color w:val="auto"/>
                <w:kern w:val="0"/>
                <w:sz w:val="24"/>
                <w:szCs w:val="24"/>
                <w:lang w:val="en-US" w:eastAsia="zh-CN"/>
              </w:rPr>
              <w:t>3</w:t>
            </w:r>
            <w:r>
              <w:rPr>
                <w:rFonts w:hint="default" w:ascii="Times New Roman" w:hAnsi="Times New Roman" w:eastAsia="宋体" w:cs="Times New Roman"/>
                <w:b/>
                <w:bCs/>
                <w:color w:val="auto"/>
                <w:kern w:val="0"/>
                <w:sz w:val="24"/>
                <w:szCs w:val="24"/>
                <w:lang w:val="en-US" w:eastAsia="zh-CN"/>
              </w:rPr>
              <w:t>-</w:t>
            </w:r>
            <w:r>
              <w:rPr>
                <w:rFonts w:hint="eastAsia" w:ascii="Times New Roman" w:hAnsi="Times New Roman" w:eastAsia="宋体" w:cs="Times New Roman"/>
                <w:b/>
                <w:bCs/>
                <w:color w:val="auto"/>
                <w:kern w:val="0"/>
                <w:sz w:val="24"/>
                <w:szCs w:val="24"/>
                <w:lang w:val="en-US" w:eastAsia="zh-CN"/>
              </w:rPr>
              <w:t>3</w:t>
            </w:r>
            <w:r>
              <w:rPr>
                <w:rFonts w:hint="default" w:ascii="Times New Roman" w:hAnsi="Times New Roman" w:eastAsia="宋体" w:cs="Times New Roman"/>
                <w:b/>
                <w:bCs/>
                <w:color w:val="auto"/>
                <w:kern w:val="0"/>
                <w:sz w:val="24"/>
                <w:szCs w:val="24"/>
                <w:lang w:val="en-US" w:eastAsia="zh-CN"/>
              </w:rPr>
              <w:t xml:space="preserve">  云南省国家级和省级</w:t>
            </w:r>
            <w:r>
              <w:rPr>
                <w:rFonts w:hint="eastAsia" w:ascii="Times New Roman" w:hAnsi="Times New Roman" w:eastAsia="宋体" w:cs="Times New Roman"/>
                <w:b/>
                <w:bCs/>
                <w:color w:val="auto"/>
                <w:kern w:val="0"/>
                <w:sz w:val="24"/>
                <w:szCs w:val="24"/>
                <w:lang w:val="en-US" w:eastAsia="zh-CN"/>
              </w:rPr>
              <w:t>主体</w:t>
            </w:r>
            <w:r>
              <w:rPr>
                <w:rFonts w:hint="default" w:ascii="Times New Roman" w:hAnsi="Times New Roman" w:eastAsia="宋体" w:cs="Times New Roman"/>
                <w:b/>
                <w:bCs/>
                <w:color w:val="auto"/>
                <w:kern w:val="0"/>
                <w:sz w:val="24"/>
                <w:szCs w:val="24"/>
                <w:lang w:val="en-US" w:eastAsia="zh-CN"/>
              </w:rPr>
              <w:t>功能区分布图</w:t>
            </w:r>
          </w:p>
          <w:p w14:paraId="59369717">
            <w:pPr>
              <w:pageBreakBefore w:val="0"/>
              <w:kinsoku/>
              <w:wordWrap/>
              <w:overflowPunct/>
              <w:topLinePunct w:val="0"/>
              <w:autoSpaceDE/>
              <w:autoSpaceDN/>
              <w:bidi w:val="0"/>
              <w:adjustRightInd w:val="0"/>
              <w:snapToGrid w:val="0"/>
              <w:spacing w:line="440" w:lineRule="exact"/>
              <w:jc w:val="both"/>
              <w:textAlignment w:val="auto"/>
              <w:rPr>
                <w:rFonts w:hint="default" w:ascii="Times New Roman" w:hAnsi="Times New Roman" w:cs="Times New Roman"/>
                <w:b/>
                <w:color w:val="auto"/>
                <w:sz w:val="24"/>
                <w:szCs w:val="24"/>
              </w:rPr>
            </w:pPr>
            <w:r>
              <w:rPr>
                <w:rFonts w:hint="eastAsia" w:ascii="Times New Roman" w:hAnsi="Times New Roman" w:cs="Times New Roman"/>
                <w:b/>
                <w:color w:val="auto"/>
                <w:sz w:val="24"/>
                <w:szCs w:val="24"/>
                <w:lang w:val="en-US" w:eastAsia="zh-CN"/>
              </w:rPr>
              <w:t>3.2</w:t>
            </w:r>
            <w:r>
              <w:rPr>
                <w:rFonts w:hint="default" w:ascii="Times New Roman" w:hAnsi="Times New Roman" w:cs="Times New Roman"/>
                <w:b/>
                <w:color w:val="auto"/>
                <w:sz w:val="24"/>
                <w:szCs w:val="24"/>
              </w:rPr>
              <w:t>生态环境现状</w:t>
            </w:r>
          </w:p>
          <w:p w14:paraId="56409CAA">
            <w:pPr>
              <w:pageBreakBefore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cs="Times New Roman"/>
                <w:color w:val="auto"/>
                <w:kern w:val="0"/>
                <w:sz w:val="24"/>
              </w:rPr>
            </w:pPr>
            <w:r>
              <w:rPr>
                <w:rFonts w:hint="default" w:ascii="Times New Roman" w:hAnsi="Times New Roman" w:cs="Times New Roman"/>
                <w:color w:val="auto"/>
                <w:kern w:val="0"/>
                <w:sz w:val="24"/>
              </w:rPr>
              <w:t>根据《环境影响评价技术导则生态影响》（HJ19-20</w:t>
            </w:r>
            <w:r>
              <w:rPr>
                <w:rFonts w:hint="default" w:ascii="Times New Roman" w:hAnsi="Times New Roman" w:cs="Times New Roman"/>
                <w:color w:val="auto"/>
                <w:kern w:val="0"/>
                <w:sz w:val="24"/>
                <w:lang w:val="en-US" w:eastAsia="zh-CN"/>
              </w:rPr>
              <w:t>22</w:t>
            </w:r>
            <w:r>
              <w:rPr>
                <w:rFonts w:hint="default" w:ascii="Times New Roman" w:hAnsi="Times New Roman" w:cs="Times New Roman"/>
                <w:color w:val="auto"/>
                <w:kern w:val="0"/>
                <w:sz w:val="24"/>
              </w:rPr>
              <w:t>），</w:t>
            </w:r>
            <w:r>
              <w:rPr>
                <w:rFonts w:hint="eastAsia" w:ascii="Times New Roman" w:hAnsi="Times New Roman" w:cs="Times New Roman"/>
                <w:color w:val="auto"/>
                <w:kern w:val="0"/>
                <w:sz w:val="24"/>
                <w:lang w:val="en-US" w:eastAsia="zh-CN"/>
              </w:rPr>
              <w:t>本项目</w:t>
            </w:r>
            <w:r>
              <w:rPr>
                <w:rFonts w:hint="default" w:ascii="Times New Roman" w:hAnsi="Times New Roman" w:cs="Times New Roman"/>
                <w:color w:val="auto"/>
                <w:kern w:val="0"/>
                <w:sz w:val="24"/>
              </w:rPr>
              <w:t>生态环境现状调查采用资料收集法和现场勘查法相结合。</w:t>
            </w:r>
            <w:r>
              <w:rPr>
                <w:rFonts w:hint="default" w:ascii="Times New Roman" w:hAnsi="Times New Roman" w:cs="Times New Roman"/>
                <w:color w:val="auto"/>
                <w:kern w:val="0"/>
                <w:sz w:val="24"/>
                <w:szCs w:val="24"/>
              </w:rPr>
              <w:t>工程占地区（包括永久占地、临时占地）及占地区外延300m范围；项目</w:t>
            </w:r>
            <w:r>
              <w:rPr>
                <w:rFonts w:hint="default" w:ascii="Times New Roman" w:hAnsi="Times New Roman" w:cs="Times New Roman"/>
                <w:color w:val="auto"/>
                <w:sz w:val="24"/>
                <w:szCs w:val="24"/>
              </w:rPr>
              <w:t>线路跨越生态保护红线</w:t>
            </w:r>
            <w:r>
              <w:rPr>
                <w:rFonts w:hint="default" w:ascii="Times New Roman" w:hAnsi="Times New Roman" w:cs="Times New Roman"/>
                <w:color w:val="auto"/>
                <w:kern w:val="0"/>
                <w:sz w:val="24"/>
                <w:szCs w:val="24"/>
              </w:rPr>
              <w:t>段</w:t>
            </w:r>
            <w:r>
              <w:rPr>
                <w:rFonts w:hint="default" w:ascii="Times New Roman" w:hAnsi="Times New Roman" w:cs="Times New Roman"/>
                <w:color w:val="auto"/>
                <w:kern w:val="0"/>
                <w:sz w:val="24"/>
                <w:szCs w:val="24"/>
                <w:lang w:val="en-US" w:eastAsia="zh-CN"/>
              </w:rPr>
              <w:t>向两侧、两端</w:t>
            </w:r>
            <w:r>
              <w:rPr>
                <w:rFonts w:hint="default" w:ascii="Times New Roman" w:hAnsi="Times New Roman" w:cs="Times New Roman"/>
                <w:color w:val="auto"/>
                <w:kern w:val="0"/>
                <w:sz w:val="24"/>
                <w:szCs w:val="24"/>
              </w:rPr>
              <w:t>外延1000m区域</w:t>
            </w:r>
            <w:r>
              <w:rPr>
                <w:rFonts w:hint="eastAsia" w:ascii="Times New Roman" w:hAnsi="Times New Roman" w:cs="Times New Roman"/>
                <w:color w:val="auto"/>
                <w:kern w:val="0"/>
                <w:sz w:val="24"/>
                <w:szCs w:val="24"/>
                <w:lang w:eastAsia="zh-CN"/>
              </w:rPr>
              <w:t>。根据《大草房至六合一110kV送出线路工程</w:t>
            </w:r>
            <w:r>
              <w:rPr>
                <w:rFonts w:hint="eastAsia" w:ascii="Times New Roman" w:hAnsi="Times New Roman" w:cs="Times New Roman"/>
                <w:color w:val="auto"/>
                <w:kern w:val="0"/>
                <w:sz w:val="24"/>
                <w:szCs w:val="24"/>
                <w:lang w:val="en-US" w:eastAsia="zh-CN"/>
              </w:rPr>
              <w:t>生态</w:t>
            </w:r>
            <w:r>
              <w:rPr>
                <w:rFonts w:hint="eastAsia" w:ascii="Times New Roman" w:hAnsi="Times New Roman" w:cs="Times New Roman"/>
                <w:color w:val="auto"/>
                <w:kern w:val="0"/>
                <w:sz w:val="24"/>
                <w:szCs w:val="24"/>
                <w:lang w:eastAsia="zh-CN"/>
              </w:rPr>
              <w:t>环境影响专题评价》中</w:t>
            </w:r>
            <w:r>
              <w:rPr>
                <w:rFonts w:hint="eastAsia" w:ascii="Times New Roman" w:hAnsi="Times New Roman" w:cs="Times New Roman"/>
                <w:color w:val="auto"/>
                <w:kern w:val="0"/>
                <w:sz w:val="24"/>
                <w:szCs w:val="24"/>
                <w:lang w:val="en-US" w:eastAsia="zh-CN"/>
              </w:rPr>
              <w:t>生态</w:t>
            </w:r>
            <w:r>
              <w:rPr>
                <w:rFonts w:hint="eastAsia" w:ascii="Times New Roman" w:hAnsi="Times New Roman" w:cs="Times New Roman"/>
                <w:color w:val="auto"/>
                <w:kern w:val="0"/>
                <w:sz w:val="24"/>
                <w:szCs w:val="24"/>
                <w:lang w:eastAsia="zh-CN"/>
              </w:rPr>
              <w:t>环境现状评价，结论如下：</w:t>
            </w:r>
          </w:p>
          <w:p w14:paraId="10086AE5">
            <w:pPr>
              <w:pageBreakBefore w:val="0"/>
              <w:kinsoku/>
              <w:wordWrap/>
              <w:overflowPunct/>
              <w:topLinePunct w:val="0"/>
              <w:autoSpaceDE/>
              <w:autoSpaceDN/>
              <w:bidi w:val="0"/>
              <w:adjustRightInd w:val="0"/>
              <w:snapToGrid w:val="0"/>
              <w:spacing w:line="440" w:lineRule="exact"/>
              <w:jc w:val="both"/>
              <w:textAlignment w:val="auto"/>
              <w:rPr>
                <w:rFonts w:hint="default" w:ascii="Times New Roman" w:hAnsi="Times New Roman" w:cs="Times New Roman"/>
                <w:b/>
                <w:color w:val="auto"/>
                <w:sz w:val="24"/>
                <w:szCs w:val="24"/>
              </w:rPr>
            </w:pPr>
            <w:bookmarkStart w:id="18" w:name="_Toc377115110"/>
            <w:bookmarkStart w:id="19" w:name="_Toc399233461"/>
            <w:bookmarkStart w:id="20" w:name="_Toc534485245"/>
            <w:bookmarkStart w:id="21" w:name="_Toc377420749"/>
            <w:bookmarkStart w:id="22" w:name="_Toc377831868"/>
            <w:bookmarkStart w:id="23" w:name="_Toc399235659"/>
            <w:bookmarkStart w:id="24" w:name="_Toc63243810"/>
            <w:r>
              <w:rPr>
                <w:rFonts w:hint="default" w:ascii="Times New Roman" w:hAnsi="Times New Roman" w:cs="Times New Roman"/>
                <w:b/>
                <w:color w:val="auto"/>
                <w:sz w:val="24"/>
                <w:szCs w:val="24"/>
                <w:lang w:val="en-US" w:eastAsia="zh-CN"/>
              </w:rPr>
              <w:t>3</w:t>
            </w:r>
            <w:r>
              <w:rPr>
                <w:rFonts w:hint="default" w:ascii="Times New Roman" w:hAnsi="Times New Roman" w:cs="Times New Roman"/>
                <w:b/>
                <w:color w:val="auto"/>
                <w:sz w:val="24"/>
                <w:szCs w:val="24"/>
              </w:rPr>
              <w:t>.</w:t>
            </w:r>
            <w:r>
              <w:rPr>
                <w:rFonts w:hint="eastAsia" w:ascii="Times New Roman" w:hAnsi="Times New Roman" w:cs="Times New Roman"/>
                <w:b/>
                <w:color w:val="auto"/>
                <w:sz w:val="24"/>
                <w:szCs w:val="24"/>
                <w:lang w:val="en-US" w:eastAsia="zh-CN"/>
              </w:rPr>
              <w:t>2</w:t>
            </w:r>
            <w:r>
              <w:rPr>
                <w:rFonts w:hint="default" w:ascii="Times New Roman" w:hAnsi="Times New Roman" w:cs="Times New Roman"/>
                <w:b/>
                <w:color w:val="auto"/>
                <w:sz w:val="24"/>
                <w:szCs w:val="24"/>
              </w:rPr>
              <w:t>.1陆生植被和植物资源</w:t>
            </w:r>
            <w:bookmarkEnd w:id="18"/>
            <w:bookmarkEnd w:id="19"/>
            <w:bookmarkEnd w:id="20"/>
            <w:bookmarkEnd w:id="21"/>
            <w:bookmarkEnd w:id="22"/>
            <w:bookmarkEnd w:id="23"/>
            <w:bookmarkEnd w:id="24"/>
          </w:p>
          <w:p w14:paraId="30FE0811">
            <w:pPr>
              <w:pageBreakBefore w:val="0"/>
              <w:widowControl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cs="Times New Roman"/>
                <w:b w:val="0"/>
                <w:bCs w:val="0"/>
                <w:color w:val="auto"/>
                <w:kern w:val="0"/>
                <w:sz w:val="24"/>
              </w:rPr>
            </w:pPr>
            <w:bookmarkStart w:id="25" w:name="_Toc399233463"/>
            <w:bookmarkStart w:id="26" w:name="_Toc399235661"/>
            <w:bookmarkStart w:id="27" w:name="_Toc534485717"/>
            <w:bookmarkStart w:id="28" w:name="_Toc534485468"/>
            <w:bookmarkStart w:id="29" w:name="_Toc377831870"/>
            <w:bookmarkStart w:id="30" w:name="_Toc534485967"/>
            <w:bookmarkStart w:id="31" w:name="_Toc377420751"/>
            <w:bookmarkStart w:id="32" w:name="_Toc311489746"/>
            <w:r>
              <w:rPr>
                <w:rFonts w:hint="default" w:ascii="Times New Roman" w:hAnsi="Times New Roman" w:eastAsia="宋体" w:cs="Times New Roman"/>
                <w:b w:val="0"/>
                <w:bCs w:val="0"/>
                <w:color w:val="auto"/>
                <w:sz w:val="24"/>
                <w:szCs w:val="24"/>
              </w:rPr>
              <w:t>项目位于</w:t>
            </w:r>
            <w:r>
              <w:rPr>
                <w:rFonts w:hint="eastAsia" w:ascii="Times New Roman" w:hAnsi="Times New Roman" w:cs="Times New Roman"/>
                <w:b w:val="0"/>
                <w:bCs w:val="0"/>
                <w:color w:val="auto"/>
                <w:sz w:val="24"/>
                <w:szCs w:val="24"/>
                <w:lang w:eastAsia="zh-CN"/>
              </w:rPr>
              <w:t>会泽县</w:t>
            </w:r>
            <w:r>
              <w:rPr>
                <w:rFonts w:hint="eastAsia" w:ascii="Times New Roman" w:hAnsi="Times New Roman" w:cs="Times New Roman"/>
                <w:b w:val="0"/>
                <w:bCs w:val="0"/>
                <w:color w:val="auto"/>
                <w:sz w:val="24"/>
                <w:szCs w:val="24"/>
                <w:lang w:val="en-US" w:eastAsia="zh-CN"/>
              </w:rPr>
              <w:t>宝云街道</w:t>
            </w:r>
            <w:r>
              <w:rPr>
                <w:rFonts w:hint="eastAsia" w:ascii="Times New Roman" w:hAnsi="Times New Roman" w:cs="Times New Roman"/>
                <w:b w:val="0"/>
                <w:bCs w:val="0"/>
                <w:color w:val="auto"/>
                <w:sz w:val="24"/>
                <w:szCs w:val="24"/>
                <w:lang w:eastAsia="zh-CN"/>
              </w:rPr>
              <w:t>、</w:t>
            </w:r>
            <w:r>
              <w:rPr>
                <w:rFonts w:hint="eastAsia" w:ascii="Times New Roman" w:hAnsi="Times New Roman" w:cs="Times New Roman"/>
                <w:b w:val="0"/>
                <w:bCs w:val="0"/>
                <w:color w:val="auto"/>
                <w:sz w:val="24"/>
                <w:szCs w:val="24"/>
                <w:lang w:val="en-US" w:eastAsia="zh-CN"/>
              </w:rPr>
              <w:t>乐业镇</w:t>
            </w:r>
            <w:r>
              <w:rPr>
                <w:rFonts w:hint="eastAsia" w:ascii="Times New Roman" w:hAnsi="Times New Roman" w:cs="Times New Roman"/>
                <w:b w:val="0"/>
                <w:bCs w:val="0"/>
                <w:color w:val="auto"/>
                <w:sz w:val="24"/>
                <w:szCs w:val="24"/>
                <w:lang w:eastAsia="zh-CN"/>
              </w:rPr>
              <w:t>、</w:t>
            </w:r>
            <w:r>
              <w:rPr>
                <w:rFonts w:hint="eastAsia" w:ascii="Times New Roman" w:hAnsi="Times New Roman" w:cs="Times New Roman"/>
                <w:b w:val="0"/>
                <w:bCs w:val="0"/>
                <w:color w:val="auto"/>
                <w:sz w:val="24"/>
                <w:szCs w:val="24"/>
                <w:lang w:val="en-US" w:eastAsia="zh-CN"/>
              </w:rPr>
              <w:t>五星乡</w:t>
            </w:r>
            <w:r>
              <w:rPr>
                <w:rFonts w:hint="eastAsia" w:ascii="Times New Roman" w:hAnsi="Times New Roman" w:cs="Times New Roman"/>
                <w:b w:val="0"/>
                <w:bCs w:val="0"/>
                <w:color w:val="auto"/>
                <w:sz w:val="24"/>
                <w:szCs w:val="24"/>
                <w:lang w:eastAsia="zh-CN"/>
              </w:rPr>
              <w:t>境内</w:t>
            </w:r>
            <w:r>
              <w:rPr>
                <w:rFonts w:hint="default" w:ascii="Times New Roman" w:hAnsi="Times New Roman" w:eastAsia="宋体" w:cs="Times New Roman"/>
                <w:b w:val="0"/>
                <w:bCs w:val="0"/>
                <w:color w:val="auto"/>
                <w:sz w:val="24"/>
                <w:szCs w:val="24"/>
              </w:rPr>
              <w:t>。</w:t>
            </w:r>
            <w:r>
              <w:rPr>
                <w:rFonts w:hint="default" w:ascii="Times New Roman" w:hAnsi="Times New Roman" w:cs="Times New Roman"/>
                <w:b w:val="0"/>
                <w:bCs w:val="0"/>
                <w:color w:val="auto"/>
                <w:kern w:val="0"/>
                <w:sz w:val="24"/>
              </w:rPr>
              <w:t>依据《云南植被》专著中采用的分类系统，遵循群落学－生态学的分类原则，采用3个主级分类单位，即植被型（高级分类单位）、群系（中级分类单位）和群丛（低级分类单位），各级再设亚级或辅助单位。</w:t>
            </w:r>
          </w:p>
          <w:p w14:paraId="329DBA8A">
            <w:pPr>
              <w:pageBreakBefore w:val="0"/>
              <w:widowControl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项目评价区位于会泽县，区域所在地处于亚热带常绿阔叶林区域</w:t>
            </w:r>
            <w:r>
              <w:rPr>
                <w:rFonts w:hint="eastAsia" w:ascii="Times New Roman" w:hAnsi="Times New Roman" w:cs="Times New Roman"/>
                <w:b w:val="0"/>
                <w:bCs w:val="0"/>
                <w:color w:val="auto"/>
                <w:kern w:val="0"/>
                <w:sz w:val="24"/>
                <w:lang w:eastAsia="zh-CN"/>
              </w:rPr>
              <w:t>（</w:t>
            </w:r>
            <w:r>
              <w:rPr>
                <w:rFonts w:hint="default" w:ascii="Times New Roman" w:hAnsi="Times New Roman" w:cs="Times New Roman"/>
                <w:b w:val="0"/>
                <w:bCs w:val="0"/>
                <w:color w:val="auto"/>
                <w:kern w:val="0"/>
                <w:sz w:val="24"/>
              </w:rPr>
              <w:t>II</w:t>
            </w:r>
            <w:r>
              <w:rPr>
                <w:rFonts w:hint="eastAsia" w:ascii="Times New Roman" w:hAnsi="Times New Roman" w:cs="Times New Roman"/>
                <w:b w:val="0"/>
                <w:bCs w:val="0"/>
                <w:color w:val="auto"/>
                <w:kern w:val="0"/>
                <w:sz w:val="24"/>
                <w:lang w:eastAsia="zh-CN"/>
              </w:rPr>
              <w:t>）</w:t>
            </w:r>
            <w:r>
              <w:rPr>
                <w:rFonts w:hint="default" w:ascii="Times New Roman" w:hAnsi="Times New Roman" w:cs="Times New Roman"/>
                <w:b w:val="0"/>
                <w:bCs w:val="0"/>
                <w:color w:val="auto"/>
                <w:kern w:val="0"/>
                <w:sz w:val="24"/>
              </w:rPr>
              <w:t>，西部（半湿润）常绿阔叶林亚区域</w:t>
            </w:r>
            <w:r>
              <w:rPr>
                <w:rFonts w:hint="eastAsia" w:ascii="Times New Roman" w:hAnsi="Times New Roman" w:cs="Times New Roman"/>
                <w:b w:val="0"/>
                <w:bCs w:val="0"/>
                <w:color w:val="auto"/>
                <w:kern w:val="0"/>
                <w:sz w:val="24"/>
                <w:lang w:eastAsia="zh-CN"/>
              </w:rPr>
              <w:t>（</w:t>
            </w:r>
            <w:r>
              <w:rPr>
                <w:rFonts w:hint="default" w:ascii="Times New Roman" w:hAnsi="Times New Roman" w:cs="Times New Roman"/>
                <w:b w:val="0"/>
                <w:bCs w:val="0"/>
                <w:color w:val="auto"/>
                <w:kern w:val="0"/>
                <w:sz w:val="24"/>
              </w:rPr>
              <w:t>IIA</w:t>
            </w:r>
            <w:r>
              <w:rPr>
                <w:rFonts w:hint="eastAsia" w:ascii="Times New Roman" w:hAnsi="Times New Roman" w:cs="Times New Roman"/>
                <w:b w:val="0"/>
                <w:bCs w:val="0"/>
                <w:color w:val="auto"/>
                <w:kern w:val="0"/>
                <w:sz w:val="24"/>
                <w:lang w:eastAsia="zh-CN"/>
              </w:rPr>
              <w:t>）</w:t>
            </w:r>
            <w:r>
              <w:rPr>
                <w:rFonts w:hint="default" w:ascii="Times New Roman" w:hAnsi="Times New Roman" w:cs="Times New Roman"/>
                <w:b w:val="0"/>
                <w:bCs w:val="0"/>
                <w:color w:val="auto"/>
                <w:kern w:val="0"/>
                <w:sz w:val="24"/>
              </w:rPr>
              <w:t>；高原亚热带北部常绿阔叶林地带</w:t>
            </w:r>
            <w:r>
              <w:rPr>
                <w:rFonts w:hint="eastAsia" w:ascii="Times New Roman" w:hAnsi="Times New Roman" w:cs="Times New Roman"/>
                <w:b w:val="0"/>
                <w:bCs w:val="0"/>
                <w:color w:val="auto"/>
                <w:kern w:val="0"/>
                <w:sz w:val="24"/>
                <w:lang w:eastAsia="zh-CN"/>
              </w:rPr>
              <w:t>（</w:t>
            </w:r>
            <w:r>
              <w:rPr>
                <w:rFonts w:hint="default" w:ascii="Times New Roman" w:hAnsi="Times New Roman" w:cs="Times New Roman"/>
                <w:b w:val="0"/>
                <w:bCs w:val="0"/>
                <w:color w:val="auto"/>
                <w:kern w:val="0"/>
                <w:sz w:val="24"/>
              </w:rPr>
              <w:t>II-Aii</w:t>
            </w:r>
            <w:r>
              <w:rPr>
                <w:rFonts w:hint="eastAsia" w:ascii="Times New Roman" w:hAnsi="Times New Roman" w:cs="Times New Roman"/>
                <w:b w:val="0"/>
                <w:bCs w:val="0"/>
                <w:color w:val="auto"/>
                <w:kern w:val="0"/>
                <w:sz w:val="24"/>
                <w:lang w:eastAsia="zh-CN"/>
              </w:rPr>
              <w:t>）</w:t>
            </w:r>
            <w:r>
              <w:rPr>
                <w:rFonts w:hint="default" w:ascii="Times New Roman" w:hAnsi="Times New Roman" w:cs="Times New Roman"/>
                <w:b w:val="0"/>
                <w:bCs w:val="0"/>
                <w:color w:val="auto"/>
                <w:kern w:val="0"/>
                <w:sz w:val="24"/>
              </w:rPr>
              <w:t>，滇中、滇东、高原半湿润常绿阔叶林、云南松林区</w:t>
            </w:r>
            <w:r>
              <w:rPr>
                <w:rFonts w:hint="eastAsia" w:ascii="Times New Roman" w:hAnsi="Times New Roman" w:cs="Times New Roman"/>
                <w:b w:val="0"/>
                <w:bCs w:val="0"/>
                <w:color w:val="auto"/>
                <w:kern w:val="0"/>
                <w:sz w:val="24"/>
                <w:lang w:eastAsia="zh-CN"/>
              </w:rPr>
              <w:t>（</w:t>
            </w:r>
            <w:r>
              <w:rPr>
                <w:rFonts w:hint="default" w:ascii="Times New Roman" w:hAnsi="Times New Roman" w:cs="Times New Roman"/>
                <w:b w:val="0"/>
                <w:bCs w:val="0"/>
                <w:color w:val="auto"/>
                <w:kern w:val="0"/>
                <w:sz w:val="24"/>
              </w:rPr>
              <w:t>IIAii-1</w:t>
            </w:r>
            <w:r>
              <w:rPr>
                <w:rFonts w:hint="eastAsia" w:ascii="Times New Roman" w:hAnsi="Times New Roman" w:cs="Times New Roman"/>
                <w:b w:val="0"/>
                <w:bCs w:val="0"/>
                <w:color w:val="auto"/>
                <w:kern w:val="0"/>
                <w:sz w:val="24"/>
                <w:lang w:eastAsia="zh-CN"/>
              </w:rPr>
              <w:t>）</w:t>
            </w:r>
            <w:r>
              <w:rPr>
                <w:rFonts w:hint="default" w:ascii="Times New Roman" w:hAnsi="Times New Roman" w:cs="Times New Roman"/>
                <w:b w:val="0"/>
                <w:bCs w:val="0"/>
                <w:color w:val="auto"/>
                <w:kern w:val="0"/>
                <w:sz w:val="24"/>
              </w:rPr>
              <w:t>、滇东北高原高、中山云南松林羊草草甸亚区</w:t>
            </w:r>
            <w:r>
              <w:rPr>
                <w:rFonts w:hint="eastAsia" w:ascii="Times New Roman" w:hAnsi="Times New Roman" w:cs="Times New Roman"/>
                <w:b w:val="0"/>
                <w:bCs w:val="0"/>
                <w:color w:val="auto"/>
                <w:kern w:val="0"/>
                <w:sz w:val="24"/>
                <w:lang w:eastAsia="zh-CN"/>
              </w:rPr>
              <w:t>（</w:t>
            </w:r>
            <w:r>
              <w:rPr>
                <w:rFonts w:hint="default" w:ascii="Times New Roman" w:hAnsi="Times New Roman" w:cs="Times New Roman"/>
                <w:b w:val="0"/>
                <w:bCs w:val="0"/>
                <w:color w:val="auto"/>
                <w:kern w:val="0"/>
                <w:sz w:val="24"/>
              </w:rPr>
              <w:t>IIAii-1d</w:t>
            </w:r>
            <w:r>
              <w:rPr>
                <w:rFonts w:hint="eastAsia" w:ascii="Times New Roman" w:hAnsi="Times New Roman" w:cs="Times New Roman"/>
                <w:b w:val="0"/>
                <w:bCs w:val="0"/>
                <w:color w:val="auto"/>
                <w:kern w:val="0"/>
                <w:sz w:val="24"/>
                <w:lang w:eastAsia="zh-CN"/>
              </w:rPr>
              <w:t>）</w:t>
            </w:r>
            <w:r>
              <w:rPr>
                <w:rFonts w:hint="default" w:ascii="Times New Roman" w:hAnsi="Times New Roman" w:cs="Times New Roman"/>
                <w:b w:val="0"/>
                <w:bCs w:val="0"/>
                <w:color w:val="auto"/>
                <w:kern w:val="0"/>
                <w:sz w:val="24"/>
              </w:rPr>
              <w:t>。项目评价区地带性植被为半湿润常绿阔叶林，除此之外，受气候影响以及更多的人为活动干扰，大量种植耕地，评价区范围内镶嵌分布较广的暖温性稀树灌木草丛。</w:t>
            </w:r>
          </w:p>
          <w:p w14:paraId="01BA7A1A">
            <w:pPr>
              <w:pStyle w:val="6"/>
              <w:pageBreakBefore w:val="0"/>
              <w:widowControl w:val="0"/>
              <w:kinsoku/>
              <w:wordWrap/>
              <w:overflowPunct/>
              <w:topLinePunct w:val="0"/>
              <w:autoSpaceDE/>
              <w:autoSpaceDN/>
              <w:bidi w:val="0"/>
              <w:adjustRightInd w:val="0"/>
              <w:snapToGrid w:val="0"/>
              <w:spacing w:beforeLines="0" w:afterLines="0" w:line="440" w:lineRule="exact"/>
              <w:ind w:firstLine="480" w:firstLineChars="200"/>
              <w:textAlignment w:val="auto"/>
              <w:rPr>
                <w:rFonts w:hint="eastAsia" w:ascii="Times New Roman" w:hAnsi="Times New Roman" w:cs="Times New Roman"/>
                <w:color w:val="auto"/>
                <w:sz w:val="24"/>
                <w:szCs w:val="24"/>
                <w:lang w:val="en-US" w:eastAsia="zh-CN"/>
              </w:rPr>
            </w:pPr>
            <w:r>
              <w:rPr>
                <w:rFonts w:hint="default" w:ascii="Times New Roman" w:hAnsi="Times New Roman" w:cs="Times New Roman"/>
                <w:b w:val="0"/>
                <w:bCs w:val="0"/>
                <w:color w:val="auto"/>
                <w:kern w:val="0"/>
                <w:sz w:val="24"/>
              </w:rPr>
              <w:t>根据野外实地考察，将评价区植被划分为3个植被型、3个群系、3个群落，（具体分布情况见评价区植被图）。</w:t>
            </w:r>
          </w:p>
          <w:p w14:paraId="03DE75D9">
            <w:pPr>
              <w:keepNext w:val="0"/>
              <w:keepLines w:val="0"/>
              <w:pageBreakBefore w:val="0"/>
              <w:widowControl w:val="0"/>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①种类</w:t>
            </w:r>
          </w:p>
          <w:p w14:paraId="48B3AE3F">
            <w:pPr>
              <w:keepNext w:val="0"/>
              <w:keepLines w:val="0"/>
              <w:pageBreakBefore w:val="0"/>
              <w:widowControl w:val="0"/>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color w:val="auto"/>
                <w:sz w:val="24"/>
                <w:szCs w:val="24"/>
                <w:lang w:val="zh-CN"/>
              </w:rPr>
            </w:pPr>
            <w:r>
              <w:rPr>
                <w:rFonts w:hint="default" w:ascii="Times New Roman" w:hAnsi="Times New Roman" w:eastAsia="宋体" w:cs="Times New Roman"/>
                <w:color w:val="auto"/>
                <w:sz w:val="24"/>
                <w:szCs w:val="24"/>
                <w:lang w:val="zh-CN"/>
              </w:rPr>
              <w:t>评价区的地带性植被为半湿润常绿阔叶林，由于人为干扰较严重，区域内原生植被不可见，大部分地段形成了以人为活动为主导的次生性森林植被景观。根据野外考察、室内标本整理鉴定以及相关文献资料查阅，评价区共记录有维管植物475种（包含种下等级），隶属于98科、327属。其中蕨类植物有11科、15属、20种；裸子植物有3科、4属、5种；被子植物有84科、308属、450种。</w:t>
            </w:r>
          </w:p>
          <w:p w14:paraId="042B6BAF">
            <w:pPr>
              <w:keepNext w:val="0"/>
              <w:keepLines w:val="0"/>
              <w:pageBreakBefore w:val="0"/>
              <w:widowControl w:val="0"/>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②资源植物</w:t>
            </w:r>
          </w:p>
          <w:p w14:paraId="37741B4C">
            <w:pPr>
              <w:keepNext w:val="0"/>
              <w:keepLines w:val="0"/>
              <w:pageBreakBefore w:val="0"/>
              <w:widowControl w:val="0"/>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sz w:val="24"/>
                <w:szCs w:val="24"/>
              </w:rPr>
              <w:t>评价区内分布有一定数量的资源植物，但大多数的资源植物资源蕴藏量不高，没有深加工和大规模开发的条件，很多的资源植物仅限于当地居民在日常生活中少量采集利用，或者仅仅记载于一些文献。</w:t>
            </w:r>
          </w:p>
          <w:p w14:paraId="0EA0F878">
            <w:pPr>
              <w:keepNext w:val="0"/>
              <w:keepLines w:val="0"/>
              <w:pageBreakBefore w:val="0"/>
              <w:widowControl w:val="0"/>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③重点保护野生植物</w:t>
            </w:r>
          </w:p>
          <w:p w14:paraId="0762D25C">
            <w:pPr>
              <w:keepNext w:val="0"/>
              <w:keepLines w:val="0"/>
              <w:pageBreakBefore w:val="0"/>
              <w:widowControl w:val="0"/>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国家重点保护野生植物名录（2021版）》《云南省各州市分布的国家重点保护野生动植物名录（2021年）》（云南省林业和草原局，2022年10月12日）及《云南省重点保护野生植物名录》（云南省人民政府，2023年12月），评价区范围内未发现国家级、云南省级保护野生植物。</w:t>
            </w:r>
          </w:p>
          <w:p w14:paraId="5B5D6AF9">
            <w:pPr>
              <w:keepNext w:val="0"/>
              <w:keepLines w:val="0"/>
              <w:pageBreakBefore w:val="0"/>
              <w:widowControl w:val="0"/>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④古树名木</w:t>
            </w:r>
          </w:p>
          <w:p w14:paraId="5B637313">
            <w:pPr>
              <w:keepNext w:val="0"/>
              <w:keepLines w:val="0"/>
              <w:pageBreakBefore w:val="0"/>
              <w:widowControl w:val="0"/>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据云南省林业厅文件云林保护字</w:t>
            </w:r>
            <w:r>
              <w:rPr>
                <w:rFonts w:hint="default" w:ascii="Times New Roman" w:hAnsi="Times New Roman" w:cs="Times New Roman"/>
                <w:color w:val="auto"/>
                <w:sz w:val="24"/>
                <w:szCs w:val="24"/>
                <w:lang w:eastAsia="zh-CN"/>
              </w:rPr>
              <w:t>〔1996〕65号</w:t>
            </w:r>
            <w:r>
              <w:rPr>
                <w:rFonts w:hint="default" w:ascii="Times New Roman" w:hAnsi="Times New Roman" w:cs="Times New Roman"/>
                <w:color w:val="auto"/>
                <w:sz w:val="24"/>
                <w:szCs w:val="24"/>
              </w:rPr>
              <w:t>《关于印发云南省古树名木名录的通知》和实地走访，在评价范围内没有发现古树名木分布。</w:t>
            </w:r>
          </w:p>
          <w:p w14:paraId="04552331">
            <w:pPr>
              <w:keepNext w:val="0"/>
              <w:keepLines w:val="0"/>
              <w:pageBreakBefore w:val="0"/>
              <w:widowControl w:val="0"/>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⑤</w:t>
            </w:r>
            <w:r>
              <w:rPr>
                <w:rFonts w:hint="default" w:ascii="Times New Roman" w:hAnsi="Times New Roman" w:eastAsia="宋体" w:cs="Times New Roman"/>
                <w:color w:val="auto"/>
                <w:sz w:val="24"/>
                <w:szCs w:val="24"/>
              </w:rPr>
              <w:t>珍稀濒危野生植物</w:t>
            </w:r>
          </w:p>
          <w:p w14:paraId="07719E38">
            <w:pPr>
              <w:keepNext w:val="0"/>
              <w:keepLines w:val="0"/>
              <w:pageBreakBefore w:val="0"/>
              <w:widowControl w:val="0"/>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依据《中国生物多样性红色名录 高等植物卷》（生态环境部、中国科学院，2023年第15号），参考项目所在地有关珍稀濒危植物及其分布的相关资料，根据标本及文献资料查证，野外实地调查及访问调查，现阶段在评价区未发现有极危、濒危、易危植物分布。</w:t>
            </w:r>
          </w:p>
          <w:p w14:paraId="4EA2C78F">
            <w:pPr>
              <w:keepNext w:val="0"/>
              <w:keepLines w:val="0"/>
              <w:pageBreakBefore w:val="0"/>
              <w:widowControl w:val="0"/>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⑥极小种群物种</w:t>
            </w:r>
          </w:p>
          <w:p w14:paraId="65BE8A78">
            <w:pPr>
              <w:keepNext w:val="0"/>
              <w:keepLines w:val="0"/>
              <w:pageBreakBefore w:val="0"/>
              <w:widowControl w:val="0"/>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根据现场调查，并结合《全国极小种群野生植物拯救保护工程规划（2011</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2015年）》和《云南省极小种群物种拯救保护规划纲要（2010</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2020年）》中颁布的极小种群野生植物名单，调查区未发现极小种群野生植物分布。</w:t>
            </w:r>
          </w:p>
          <w:p w14:paraId="1B0C696F">
            <w:pPr>
              <w:keepNext w:val="0"/>
              <w:keepLines w:val="0"/>
              <w:pageBreakBefore w:val="0"/>
              <w:widowControl w:val="0"/>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⑦外来入侵植物</w:t>
            </w:r>
          </w:p>
          <w:p w14:paraId="391996A5">
            <w:pPr>
              <w:keepNext w:val="0"/>
              <w:keepLines w:val="0"/>
              <w:pageBreakBefore w:val="0"/>
              <w:widowControl w:val="0"/>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sz w:val="24"/>
                <w:szCs w:val="24"/>
              </w:rPr>
              <w:t>根据《云南省外来入侵物种名录（2019版）》（云南省生态环境厅等，2019年），参考本项目所在行政区内关于外来入侵植物的相关资料，通过现场实地调查期间，在评价区发现有</w:t>
            </w:r>
            <w:r>
              <w:rPr>
                <w:rFonts w:hint="default" w:ascii="Times New Roman" w:hAnsi="Times New Roman" w:eastAsia="宋体" w:cs="Times New Roman"/>
                <w:color w:val="auto"/>
                <w:sz w:val="24"/>
                <w:szCs w:val="32"/>
              </w:rPr>
              <w:t>紫茎泽兰</w:t>
            </w:r>
            <w:r>
              <w:rPr>
                <w:rFonts w:hint="default" w:ascii="Times New Roman" w:hAnsi="Times New Roman" w:eastAsia="宋体" w:cs="Times New Roman"/>
                <w:i/>
                <w:iCs/>
                <w:color w:val="auto"/>
                <w:sz w:val="24"/>
                <w:szCs w:val="32"/>
              </w:rPr>
              <w:t>Ageratina adenophora</w:t>
            </w:r>
            <w:r>
              <w:rPr>
                <w:rFonts w:hint="default" w:ascii="Times New Roman" w:hAnsi="Times New Roman" w:eastAsia="宋体" w:cs="Times New Roman"/>
                <w:color w:val="auto"/>
                <w:sz w:val="24"/>
                <w:szCs w:val="32"/>
              </w:rPr>
              <w:t>、白酒草</w:t>
            </w:r>
            <w:r>
              <w:rPr>
                <w:rFonts w:hint="default" w:ascii="Times New Roman" w:hAnsi="Times New Roman" w:eastAsia="宋体" w:cs="Times New Roman"/>
                <w:i/>
                <w:iCs/>
                <w:color w:val="auto"/>
                <w:sz w:val="24"/>
                <w:szCs w:val="32"/>
              </w:rPr>
              <w:t>Eschenbachia japonica</w:t>
            </w:r>
            <w:r>
              <w:rPr>
                <w:rFonts w:hint="default" w:ascii="Times New Roman" w:hAnsi="Times New Roman" w:eastAsia="宋体" w:cs="Times New Roman"/>
                <w:color w:val="auto"/>
                <w:sz w:val="24"/>
                <w:szCs w:val="32"/>
              </w:rPr>
              <w:t> 、革命菜</w:t>
            </w:r>
            <w:r>
              <w:rPr>
                <w:rFonts w:hint="default" w:ascii="Times New Roman" w:hAnsi="Times New Roman" w:eastAsia="宋体" w:cs="Times New Roman"/>
                <w:i/>
                <w:iCs/>
                <w:color w:val="auto"/>
                <w:sz w:val="24"/>
                <w:szCs w:val="32"/>
              </w:rPr>
              <w:t>Crassocephalum crepidioides</w:t>
            </w:r>
            <w:r>
              <w:rPr>
                <w:rFonts w:hint="default" w:ascii="Times New Roman" w:hAnsi="Times New Roman" w:eastAsia="宋体" w:cs="Times New Roman"/>
                <w:color w:val="auto"/>
                <w:sz w:val="24"/>
                <w:szCs w:val="32"/>
              </w:rPr>
              <w:t>、牛膝菊</w:t>
            </w:r>
            <w:r>
              <w:rPr>
                <w:rFonts w:hint="default" w:ascii="Times New Roman" w:hAnsi="Times New Roman" w:eastAsia="宋体" w:cs="Times New Roman"/>
                <w:i/>
                <w:iCs/>
                <w:color w:val="auto"/>
                <w:sz w:val="24"/>
                <w:szCs w:val="32"/>
              </w:rPr>
              <w:t>Galinsoga parviflora</w:t>
            </w:r>
            <w:r>
              <w:rPr>
                <w:rFonts w:hint="default" w:ascii="Times New Roman" w:hAnsi="Times New Roman" w:eastAsia="宋体" w:cs="Times New Roman"/>
                <w:color w:val="auto"/>
                <w:sz w:val="24"/>
                <w:szCs w:val="32"/>
              </w:rPr>
              <w:t>、牛膝菊、鬼针草</w:t>
            </w:r>
            <w:r>
              <w:rPr>
                <w:rFonts w:hint="default" w:ascii="Times New Roman" w:hAnsi="Times New Roman" w:eastAsia="宋体" w:cs="Times New Roman"/>
                <w:i/>
                <w:iCs/>
                <w:color w:val="auto"/>
                <w:sz w:val="24"/>
                <w:szCs w:val="32"/>
              </w:rPr>
              <w:t>Biden spilosa</w:t>
            </w:r>
            <w:r>
              <w:rPr>
                <w:rFonts w:hint="default" w:ascii="Times New Roman" w:hAnsi="Times New Roman" w:eastAsia="宋体" w:cs="Times New Roman"/>
                <w:color w:val="auto"/>
                <w:sz w:val="24"/>
                <w:szCs w:val="32"/>
              </w:rPr>
              <w:t>等</w:t>
            </w:r>
            <w:r>
              <w:rPr>
                <w:rFonts w:hint="eastAsia" w:ascii="Times New Roman" w:hAnsi="Times New Roman" w:eastAsia="宋体" w:cs="Times New Roman"/>
                <w:color w:val="auto"/>
                <w:sz w:val="24"/>
                <w:szCs w:val="32"/>
                <w:lang w:val="en-US" w:eastAsia="zh-CN"/>
              </w:rPr>
              <w:t>5种</w:t>
            </w:r>
            <w:r>
              <w:rPr>
                <w:rFonts w:hint="default" w:ascii="Times New Roman" w:hAnsi="Times New Roman" w:eastAsia="宋体" w:cs="Times New Roman"/>
                <w:color w:val="auto"/>
                <w:sz w:val="24"/>
                <w:szCs w:val="24"/>
              </w:rPr>
              <w:t>外来入侵种分布，均生于开阔、空旷、森林郁闭度显著降低、人畜干扰活动频繁的区域。</w:t>
            </w:r>
          </w:p>
          <w:bookmarkEnd w:id="25"/>
          <w:bookmarkEnd w:id="26"/>
          <w:bookmarkEnd w:id="27"/>
          <w:bookmarkEnd w:id="28"/>
          <w:bookmarkEnd w:id="29"/>
          <w:bookmarkEnd w:id="30"/>
          <w:bookmarkEnd w:id="31"/>
          <w:bookmarkEnd w:id="32"/>
          <w:p w14:paraId="4991A6FF">
            <w:pPr>
              <w:keepNext/>
              <w:keepLines/>
              <w:pageBreakBefore w:val="0"/>
              <w:widowControl/>
              <w:kinsoku/>
              <w:wordWrap/>
              <w:overflowPunct/>
              <w:topLinePunct w:val="0"/>
              <w:autoSpaceDE/>
              <w:autoSpaceDN/>
              <w:bidi w:val="0"/>
              <w:adjustRightInd w:val="0"/>
              <w:snapToGrid w:val="0"/>
              <w:spacing w:line="440" w:lineRule="exact"/>
              <w:jc w:val="both"/>
              <w:textAlignment w:val="auto"/>
              <w:outlineLvl w:val="2"/>
              <w:rPr>
                <w:rFonts w:hint="default" w:ascii="Times New Roman" w:hAnsi="Times New Roman" w:eastAsia="宋体" w:cs="Times New Roman"/>
                <w:b/>
                <w:bCs/>
                <w:color w:val="auto"/>
                <w:sz w:val="24"/>
                <w:szCs w:val="24"/>
              </w:rPr>
            </w:pPr>
            <w:bookmarkStart w:id="33" w:name="_Toc534485246"/>
            <w:bookmarkStart w:id="34" w:name="_Toc63243811"/>
            <w:bookmarkStart w:id="35" w:name="_Toc399233465"/>
            <w:bookmarkStart w:id="36" w:name="_Toc399235663"/>
            <w:bookmarkStart w:id="37" w:name="_Toc377420753"/>
            <w:bookmarkStart w:id="38" w:name="_Toc377831872"/>
            <w:bookmarkStart w:id="39" w:name="_Toc377115111"/>
            <w:r>
              <w:rPr>
                <w:rFonts w:hint="eastAsia"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color w:val="auto"/>
                <w:sz w:val="24"/>
                <w:szCs w:val="24"/>
              </w:rPr>
              <w:t>.</w:t>
            </w:r>
            <w:r>
              <w:rPr>
                <w:rFonts w:hint="eastAsia" w:ascii="Times New Roman" w:hAnsi="Times New Roman" w:cs="Times New Roman"/>
                <w:b/>
                <w:bCs/>
                <w:color w:val="auto"/>
                <w:sz w:val="24"/>
                <w:szCs w:val="24"/>
                <w:lang w:val="en-US" w:eastAsia="zh-CN"/>
              </w:rPr>
              <w:t>2</w:t>
            </w:r>
            <w:r>
              <w:rPr>
                <w:rFonts w:hint="default" w:ascii="Times New Roman" w:hAnsi="Times New Roman" w:eastAsia="宋体" w:cs="Times New Roman"/>
                <w:b/>
                <w:bCs/>
                <w:color w:val="auto"/>
                <w:sz w:val="24"/>
                <w:szCs w:val="24"/>
              </w:rPr>
              <w:t>.</w:t>
            </w:r>
            <w:r>
              <w:rPr>
                <w:rFonts w:hint="eastAsia"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rPr>
              <w:t>陆生脊椎动物</w:t>
            </w:r>
            <w:bookmarkEnd w:id="33"/>
            <w:bookmarkEnd w:id="34"/>
            <w:bookmarkEnd w:id="35"/>
            <w:bookmarkEnd w:id="36"/>
            <w:bookmarkEnd w:id="37"/>
            <w:bookmarkEnd w:id="38"/>
            <w:bookmarkEnd w:id="39"/>
          </w:p>
          <w:p w14:paraId="751E29BD">
            <w:pPr>
              <w:keepNext/>
              <w:keepLines/>
              <w:pageBreakBefore w:val="0"/>
              <w:widowControl/>
              <w:kinsoku/>
              <w:wordWrap/>
              <w:overflowPunct/>
              <w:topLinePunct w:val="0"/>
              <w:autoSpaceDE/>
              <w:autoSpaceDN/>
              <w:bidi w:val="0"/>
              <w:adjustRightInd w:val="0"/>
              <w:snapToGrid w:val="0"/>
              <w:spacing w:line="440" w:lineRule="exact"/>
              <w:jc w:val="both"/>
              <w:textAlignment w:val="auto"/>
              <w:outlineLvl w:val="3"/>
              <w:rPr>
                <w:rFonts w:hint="default" w:ascii="Times New Roman" w:hAnsi="Times New Roman" w:eastAsia="宋体" w:cs="Times New Roman"/>
                <w:b/>
                <w:bCs/>
                <w:color w:val="auto"/>
                <w:sz w:val="24"/>
                <w:szCs w:val="24"/>
                <w:lang w:val="en-US" w:eastAsia="zh-CN"/>
              </w:rPr>
            </w:pPr>
            <w:bookmarkStart w:id="40" w:name="_Toc534485471"/>
            <w:bookmarkStart w:id="41" w:name="_Toc399233466"/>
            <w:bookmarkStart w:id="42" w:name="_Toc377831873"/>
            <w:bookmarkStart w:id="43" w:name="_Toc534485720"/>
            <w:bookmarkStart w:id="44" w:name="_Toc377420754"/>
            <w:bookmarkStart w:id="45" w:name="_Toc399235664"/>
            <w:bookmarkStart w:id="46" w:name="_Toc534485970"/>
            <w:r>
              <w:rPr>
                <w:rFonts w:hint="eastAsia"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color w:val="auto"/>
                <w:sz w:val="24"/>
                <w:szCs w:val="24"/>
              </w:rPr>
              <w:t>.</w:t>
            </w:r>
            <w:r>
              <w:rPr>
                <w:rFonts w:hint="eastAsia" w:ascii="Times New Roman" w:hAnsi="Times New Roman" w:cs="Times New Roman"/>
                <w:b/>
                <w:bCs/>
                <w:color w:val="auto"/>
                <w:sz w:val="24"/>
                <w:szCs w:val="24"/>
                <w:lang w:val="en-US" w:eastAsia="zh-CN"/>
              </w:rPr>
              <w:t>2</w:t>
            </w:r>
            <w:r>
              <w:rPr>
                <w:rFonts w:hint="default" w:ascii="Times New Roman" w:hAnsi="Times New Roman" w:eastAsia="宋体" w:cs="Times New Roman"/>
                <w:b/>
                <w:bCs/>
                <w:color w:val="auto"/>
                <w:sz w:val="24"/>
                <w:szCs w:val="24"/>
              </w:rPr>
              <w:t>.</w:t>
            </w:r>
            <w:r>
              <w:rPr>
                <w:rFonts w:hint="eastAsia"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rPr>
              <w:t>.1</w:t>
            </w:r>
            <w:bookmarkEnd w:id="40"/>
            <w:bookmarkEnd w:id="41"/>
            <w:bookmarkEnd w:id="42"/>
            <w:bookmarkEnd w:id="43"/>
            <w:bookmarkEnd w:id="44"/>
            <w:bookmarkEnd w:id="45"/>
            <w:bookmarkEnd w:id="46"/>
            <w:r>
              <w:rPr>
                <w:rFonts w:hint="eastAsia" w:ascii="Times New Roman" w:hAnsi="Times New Roman" w:eastAsia="宋体" w:cs="Times New Roman"/>
                <w:b/>
                <w:bCs/>
                <w:color w:val="auto"/>
                <w:sz w:val="24"/>
                <w:szCs w:val="24"/>
                <w:lang w:val="en-US" w:eastAsia="zh-CN"/>
              </w:rPr>
              <w:t>陆生动物现状</w:t>
            </w:r>
          </w:p>
          <w:p w14:paraId="48AEE18B">
            <w:pPr>
              <w:pageBreakBefore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项目位于会泽县境内，属滇中山山源亚区，地势东部海河河谷低且</w:t>
            </w:r>
            <w:r>
              <w:rPr>
                <w:rFonts w:hint="eastAsia" w:ascii="Times New Roman" w:hAnsi="Times New Roman" w:eastAsia="宋体" w:cs="Times New Roman"/>
                <w:color w:val="auto"/>
                <w:sz w:val="24"/>
                <w:szCs w:val="24"/>
                <w:lang w:eastAsia="zh-CN"/>
              </w:rPr>
              <w:t>平坦</w:t>
            </w:r>
            <w:r>
              <w:rPr>
                <w:rFonts w:hint="default" w:ascii="Times New Roman" w:hAnsi="Times New Roman" w:eastAsia="宋体" w:cs="Times New Roman"/>
                <w:color w:val="auto"/>
                <w:sz w:val="24"/>
                <w:szCs w:val="24"/>
              </w:rPr>
              <w:t>，西部高。评价区主要地貌为深切河谷，两岸高山散布针叶林，谷地灌丛、草丛丰茂，部分山坡为石灰岩</w:t>
            </w:r>
            <w:r>
              <w:rPr>
                <w:rFonts w:hint="eastAsia" w:ascii="Times New Roman" w:hAnsi="Times New Roman" w:eastAsia="宋体" w:cs="Times New Roman"/>
                <w:color w:val="auto"/>
                <w:sz w:val="24"/>
                <w:szCs w:val="24"/>
                <w:lang w:eastAsia="zh-CN"/>
              </w:rPr>
              <w:t>灌丛</w:t>
            </w:r>
            <w:r>
              <w:rPr>
                <w:rFonts w:hint="default" w:ascii="Times New Roman" w:hAnsi="Times New Roman" w:eastAsia="宋体" w:cs="Times New Roman"/>
                <w:color w:val="auto"/>
                <w:sz w:val="24"/>
                <w:szCs w:val="24"/>
              </w:rPr>
              <w:t>。陆栖脊椎动物栖息环境相对丰富。经统计，评价区分布有陆栖脊椎动物7</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种</w:t>
            </w:r>
            <w:r>
              <w:rPr>
                <w:rFonts w:hint="default"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其中</w:t>
            </w:r>
            <w:r>
              <w:rPr>
                <w:rFonts w:hint="default" w:ascii="Times New Roman" w:hAnsi="Times New Roman" w:eastAsia="宋体" w:cs="Times New Roman"/>
                <w:color w:val="auto"/>
                <w:sz w:val="24"/>
                <w:szCs w:val="24"/>
              </w:rPr>
              <w:t>两栖动物</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种，隶属于1目、</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科、</w:t>
            </w:r>
            <w:r>
              <w:rPr>
                <w:rFonts w:hint="eastAsia"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rPr>
              <w:t>属</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爬行动物6种，隶属于2目、5科、6属</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鸟类51种，隶属于10目、23科、43属（云南鸟类志分类系统）</w:t>
            </w:r>
            <w:r>
              <w:rPr>
                <w:rFonts w:hint="eastAsia" w:ascii="Times New Roman" w:hAnsi="Times New Roman" w:eastAsia="宋体" w:cs="Times New Roman"/>
                <w:color w:val="auto"/>
                <w:sz w:val="24"/>
                <w:szCs w:val="24"/>
                <w:lang w:eastAsia="zh-CN"/>
              </w:rPr>
              <w:t>；哺乳动物</w:t>
            </w:r>
            <w:r>
              <w:rPr>
                <w:rFonts w:hint="eastAsia" w:ascii="Times New Roman" w:hAnsi="Times New Roman" w:eastAsia="宋体" w:cs="Times New Roman"/>
                <w:color w:val="auto"/>
                <w:sz w:val="24"/>
                <w:szCs w:val="24"/>
                <w:lang w:val="en-US" w:eastAsia="zh-CN"/>
              </w:rPr>
              <w:t>10</w:t>
            </w:r>
            <w:r>
              <w:rPr>
                <w:rFonts w:hint="eastAsia" w:ascii="Times New Roman" w:hAnsi="Times New Roman" w:eastAsia="宋体" w:cs="Times New Roman"/>
                <w:color w:val="auto"/>
                <w:sz w:val="24"/>
                <w:szCs w:val="24"/>
                <w:lang w:eastAsia="zh-CN"/>
              </w:rPr>
              <w:t>种，隶属于4目、6科、</w:t>
            </w:r>
            <w:r>
              <w:rPr>
                <w:rFonts w:hint="eastAsia" w:ascii="Times New Roman" w:hAnsi="Times New Roman" w:eastAsia="宋体" w:cs="Times New Roman"/>
                <w:color w:val="auto"/>
                <w:sz w:val="24"/>
                <w:szCs w:val="24"/>
                <w:lang w:val="en-US" w:eastAsia="zh-CN"/>
              </w:rPr>
              <w:t>10</w:t>
            </w:r>
            <w:r>
              <w:rPr>
                <w:rFonts w:hint="eastAsia" w:ascii="Times New Roman" w:hAnsi="Times New Roman" w:eastAsia="宋体" w:cs="Times New Roman"/>
                <w:color w:val="auto"/>
                <w:sz w:val="24"/>
                <w:szCs w:val="24"/>
                <w:lang w:eastAsia="zh-CN"/>
              </w:rPr>
              <w:t>属。</w:t>
            </w:r>
            <w:r>
              <w:rPr>
                <w:rFonts w:hint="default" w:ascii="Times New Roman" w:hAnsi="Times New Roman" w:eastAsia="宋体" w:cs="Times New Roman"/>
                <w:color w:val="auto"/>
                <w:sz w:val="24"/>
                <w:szCs w:val="24"/>
              </w:rPr>
              <w:t>鸟类种类最多，主要是因为鸟类活动能力</w:t>
            </w:r>
            <w:r>
              <w:rPr>
                <w:rFonts w:hint="default" w:ascii="Times New Roman" w:hAnsi="Times New Roman" w:eastAsia="宋体" w:cs="Times New Roman"/>
                <w:color w:val="auto"/>
                <w:sz w:val="24"/>
                <w:szCs w:val="24"/>
                <w:lang w:eastAsia="zh-CN"/>
              </w:rPr>
              <w:t>强</w:t>
            </w:r>
            <w:r>
              <w:rPr>
                <w:rFonts w:hint="default" w:ascii="Times New Roman" w:hAnsi="Times New Roman" w:eastAsia="宋体" w:cs="Times New Roman"/>
                <w:color w:val="auto"/>
                <w:sz w:val="24"/>
                <w:szCs w:val="24"/>
              </w:rPr>
              <w:t>，活动范围大。</w:t>
            </w:r>
          </w:p>
          <w:p w14:paraId="69DFA259">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评价区内栖息有陆栖脊椎动物73种。其中两栖类6种；爬行类6种；鸟类51种；哺乳类10种。鸟类种类最多，主要是因为鸟类活动能力强，活动范围大。</w:t>
            </w:r>
          </w:p>
          <w:p w14:paraId="692DE284">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评价区内所记录的陆栖脊椎动物中，共有国家及云南重点保护野生动物物种5种。</w:t>
            </w:r>
            <w:r>
              <w:rPr>
                <w:rFonts w:hint="default" w:ascii="Times New Roman" w:hAnsi="Times New Roman" w:cs="Times New Roman"/>
                <w:color w:val="auto"/>
                <w:sz w:val="24"/>
                <w:szCs w:val="24"/>
              </w:rPr>
              <w:t>评价区内有</w:t>
            </w:r>
            <w:r>
              <w:rPr>
                <w:rFonts w:hint="default" w:ascii="Times New Roman" w:hAnsi="Times New Roman" w:eastAsia="宋体" w:cs="Times New Roman"/>
                <w:color w:val="auto"/>
                <w:sz w:val="24"/>
                <w:szCs w:val="24"/>
              </w:rPr>
              <w:t>国家二级重点保护野生鸟类：松雀鹰</w:t>
            </w:r>
            <w:r>
              <w:rPr>
                <w:rFonts w:hint="default" w:ascii="Times New Roman" w:hAnsi="Times New Roman" w:eastAsia="宋体" w:cs="Times New Roman"/>
                <w:i/>
                <w:iCs/>
                <w:color w:val="auto"/>
                <w:sz w:val="24"/>
                <w:szCs w:val="24"/>
              </w:rPr>
              <w:t>Accipiter virgatus</w:t>
            </w:r>
            <w:r>
              <w:rPr>
                <w:rFonts w:hint="default" w:ascii="Times New Roman" w:hAnsi="Times New Roman" w:eastAsia="宋体" w:cs="Times New Roman"/>
                <w:color w:val="auto"/>
                <w:sz w:val="24"/>
                <w:szCs w:val="24"/>
              </w:rPr>
              <w:t>、普通鵟</w:t>
            </w:r>
            <w:r>
              <w:rPr>
                <w:rFonts w:hint="default" w:ascii="Times New Roman" w:hAnsi="Times New Roman" w:eastAsia="宋体" w:cs="Times New Roman"/>
                <w:i/>
                <w:iCs/>
                <w:color w:val="auto"/>
                <w:sz w:val="24"/>
                <w:szCs w:val="24"/>
              </w:rPr>
              <w:t>Buteo buteo</w:t>
            </w:r>
            <w:r>
              <w:rPr>
                <w:rFonts w:hint="default" w:ascii="Times New Roman" w:hAnsi="Times New Roman" w:eastAsia="宋体" w:cs="Times New Roman"/>
                <w:color w:val="auto"/>
                <w:sz w:val="24"/>
                <w:szCs w:val="24"/>
              </w:rPr>
              <w:t>、画眉、红隼</w:t>
            </w:r>
            <w:r>
              <w:rPr>
                <w:rFonts w:hint="default" w:ascii="Times New Roman" w:hAnsi="Times New Roman" w:eastAsia="宋体" w:cs="Times New Roman"/>
                <w:i/>
                <w:iCs/>
                <w:color w:val="auto"/>
                <w:sz w:val="24"/>
                <w:szCs w:val="24"/>
              </w:rPr>
              <w:t>Falco tinnunculus</w:t>
            </w:r>
            <w:r>
              <w:rPr>
                <w:rFonts w:hint="default" w:ascii="Times New Roman" w:hAnsi="Times New Roman" w:eastAsia="宋体" w:cs="Times New Roman"/>
                <w:color w:val="auto"/>
                <w:sz w:val="24"/>
                <w:szCs w:val="24"/>
              </w:rPr>
              <w:t>。分布有国家二级保护哺乳类：豹猫。</w:t>
            </w:r>
          </w:p>
          <w:p w14:paraId="54580D47">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未发现《中国生物多样性红色名录—脊椎动物卷（2020）》中收录的濒危（EN）和极危（CR）动物物种”</w:t>
            </w:r>
            <w:r>
              <w:rPr>
                <w:rFonts w:hint="default" w:ascii="Times New Roman" w:hAnsi="Times New Roman" w:cs="Times New Roman"/>
                <w:iCs/>
                <w:color w:val="auto"/>
                <w:sz w:val="24"/>
                <w:szCs w:val="24"/>
                <w:lang w:eastAsia="zh-CN"/>
              </w:rPr>
              <w:t>，</w:t>
            </w:r>
            <w:r>
              <w:rPr>
                <w:rFonts w:hint="default" w:ascii="Times New Roman" w:hAnsi="Times New Roman" w:eastAsia="宋体" w:cs="Times New Roman"/>
                <w:color w:val="auto"/>
                <w:sz w:val="24"/>
                <w:szCs w:val="24"/>
              </w:rPr>
              <w:t>易危（VU）物种1种，为豹猫，无局限分布于该区域的特有种类。</w:t>
            </w:r>
          </w:p>
          <w:p w14:paraId="449941BC">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47" w:name="_Toc28643"/>
            <w:r>
              <w:rPr>
                <w:rFonts w:hint="eastAsia"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rPr>
              <w:t>.</w:t>
            </w:r>
            <w:r>
              <w:rPr>
                <w:rFonts w:hint="eastAsia" w:ascii="Times New Roman" w:hAnsi="Times New Roman" w:cs="Times New Roman"/>
                <w:color w:val="auto"/>
                <w:sz w:val="24"/>
                <w:szCs w:val="24"/>
                <w:lang w:val="en-US" w:eastAsia="zh-CN"/>
              </w:rPr>
              <w:t>2.2</w:t>
            </w:r>
            <w:r>
              <w:rPr>
                <w:rFonts w:hint="default" w:ascii="Times New Roman" w:hAnsi="Times New Roman" w:cs="Times New Roman"/>
                <w:color w:val="auto"/>
                <w:sz w:val="24"/>
                <w:szCs w:val="24"/>
              </w:rPr>
              <w:t>.</w:t>
            </w:r>
            <w:r>
              <w:rPr>
                <w:rFonts w:hint="eastAsia"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rPr>
              <w:t>鸟类迁徙路线及重要栖息地</w:t>
            </w:r>
            <w:bookmarkEnd w:id="47"/>
          </w:p>
          <w:p w14:paraId="303B3C95">
            <w:pPr>
              <w:pStyle w:val="6"/>
              <w:adjustRightInd w:val="0"/>
              <w:snapToGrid w:val="0"/>
              <w:spacing w:line="440" w:lineRule="exact"/>
              <w:ind w:firstLine="482" w:firstLineChars="200"/>
              <w:rPr>
                <w:rFonts w:hint="default"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鸟类迁徙通道</w:t>
            </w:r>
          </w:p>
          <w:p w14:paraId="1ACAF468">
            <w:pPr>
              <w:adjustRightInd w:val="0"/>
              <w:snapToGrid w:val="0"/>
              <w:spacing w:after="0" w:line="440" w:lineRule="exact"/>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根据《云南省候鸟迁徙通道重点区域范围（第一批）》，本项目区域不涉及云南省候鸟迁徙通道重点区域。</w:t>
            </w:r>
          </w:p>
          <w:p w14:paraId="39EEE50C">
            <w:pPr>
              <w:adjustRightInd w:val="0"/>
              <w:snapToGrid w:val="0"/>
              <w:spacing w:after="0" w:line="440" w:lineRule="exact"/>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鸟类研究学者的调查，在云南省境内共发现夜间鸟类迁徙聚集点21个（将部分相邻的点位合并），分布于23县（部分点位处于两县交界区域）。这些区域大部分分布在山间（山脊）垭口的坡地或台地，海拔从1600m至3100m都有分布，植被以低矮的灌丛和草坡为主，缺少高大乔木。</w:t>
            </w:r>
          </w:p>
          <w:p w14:paraId="2A23B339">
            <w:pPr>
              <w:adjustRightInd w:val="0"/>
              <w:snapToGrid w:val="0"/>
              <w:spacing w:after="0" w:line="440" w:lineRule="exact"/>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鸟类研究学者发现在云南省境内至少有东西两条秋季候鸟迁徙路线，其中西线为从北边的云岭向南经过哀牢山、无量山，之后顺元江出境，即云岭—苍山—哀牢山一线；东线为滇东北乌蒙山至滇东南，即滇东乌蒙山一线。其中，滇西横断山脉地区的山体走向为西北—东南走向，经过滇西地区的候鸟就在山脉东北的一侧聚集，迁徙路线呈西北—东南走向。而滇东北的乌蒙山脉则呈东北—西南走向，而经过滇东北地区的候鸟则是在山脉西北一侧聚集，迁徙路线呈东北—西南走向。因此，候鸟在云南境内的迁徙线路不管在东线还是西线都出现在山脉向北的一侧。但候鸟为恢复其北至南磁力线迁徙方向，每当遇到山间沟谷、低矮山脊或者山脊垭口时，大量候鸟就会从这些区域翻越山脊继续向南迁飞，当这些区域出现刮南风或西南风、有浓雾、无月亮的夜间，候鸟就会降低飞行高度，并且会朝向光源（特别为黄色光）方向飞行，一旦遇到灯光或火光，就会趋光而来，形成了夜间扑火的特异现象。所以，“打雀山</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凤凰山”或者“鸟吊山”就是候鸟在云南境内迁徙的主要聚集区，即主要迁徙通道。</w:t>
            </w:r>
          </w:p>
          <w:p w14:paraId="075F5C5D">
            <w:pPr>
              <w:adjustRightInd w:val="0"/>
              <w:snapToGrid w:val="0"/>
              <w:spacing w:after="0" w:line="440" w:lineRule="exact"/>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区处于云南省秋季迁徙候鸟的迁徙东线区域。项目区不涉及鸟类迁徙通道，直线距离在20km以上。本次评价对周边村民进行了走访调查，根据走访调查，项目区及周边区域没有，也没有听说过秋季夜间上山采用灯光或火光捕鸟的现象。秋季夜间没有发生夜间鸟类飞入有光亮的房屋的事件。所以，根据文献资料查阅和访问调查，目前项目区没有秋季迁徙候鸟迁飞聚集点。</w:t>
            </w:r>
          </w:p>
          <w:p w14:paraId="6793ED41">
            <w:pPr>
              <w:pStyle w:val="6"/>
              <w:adjustRightInd w:val="0"/>
              <w:snapToGrid w:val="0"/>
              <w:spacing w:line="440" w:lineRule="exact"/>
              <w:ind w:firstLine="482" w:firstLineChars="200"/>
              <w:rPr>
                <w:rFonts w:hint="default" w:ascii="Times New Roman" w:hAnsi="Times New Roman" w:eastAsia="宋体" w:cs="Times New Roman"/>
                <w:b/>
                <w:color w:val="auto"/>
                <w:sz w:val="24"/>
                <w:szCs w:val="24"/>
                <w:lang w:val="en-US" w:eastAsia="zh-CN"/>
              </w:rPr>
            </w:pPr>
            <w:r>
              <w:rPr>
                <w:rFonts w:hint="eastAsia" w:ascii="Times New Roman" w:hAnsi="Times New Roman" w:eastAsia="宋体" w:cs="Times New Roman"/>
                <w:b/>
                <w:color w:val="auto"/>
                <w:sz w:val="24"/>
                <w:szCs w:val="24"/>
                <w:lang w:val="en-US" w:eastAsia="zh-CN"/>
              </w:rPr>
              <w:t>（2）</w:t>
            </w:r>
            <w:r>
              <w:rPr>
                <w:rFonts w:hint="default" w:ascii="Times New Roman" w:hAnsi="Times New Roman" w:eastAsia="宋体" w:cs="Times New Roman"/>
                <w:b/>
                <w:color w:val="auto"/>
                <w:sz w:val="24"/>
                <w:szCs w:val="24"/>
                <w:lang w:val="en-US" w:eastAsia="zh-CN"/>
              </w:rPr>
              <w:t>重要栖息地</w:t>
            </w:r>
          </w:p>
          <w:p w14:paraId="30A79ADB">
            <w:pPr>
              <w:pageBreakBefore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根据国家林业和草原局《陆生野生动物重要栖息地名录》（第一批）（国家林业和草原局公告（2023年第23号），项目不涉及野生动物重要栖息地、不涉及《中华人民共和国野生动物保护法》第十三条中所提及的野生动物重要栖息地。</w:t>
            </w:r>
          </w:p>
          <w:p w14:paraId="6CFA958F">
            <w:pPr>
              <w:keepNext/>
              <w:keepLines/>
              <w:pageBreakBefore w:val="0"/>
              <w:widowControl/>
              <w:kinsoku/>
              <w:wordWrap/>
              <w:overflowPunct/>
              <w:topLinePunct w:val="0"/>
              <w:autoSpaceDE/>
              <w:autoSpaceDN/>
              <w:bidi w:val="0"/>
              <w:adjustRightInd w:val="0"/>
              <w:snapToGrid w:val="0"/>
              <w:spacing w:line="440" w:lineRule="exact"/>
              <w:jc w:val="both"/>
              <w:textAlignment w:val="auto"/>
              <w:outlineLvl w:val="2"/>
              <w:rPr>
                <w:rFonts w:hint="default" w:ascii="Times New Roman" w:hAnsi="Times New Roman" w:eastAsia="宋体" w:cs="Times New Roman"/>
                <w:b/>
                <w:bCs/>
                <w:color w:val="auto"/>
                <w:sz w:val="24"/>
                <w:szCs w:val="24"/>
              </w:rPr>
            </w:pPr>
            <w:bookmarkStart w:id="48" w:name="_Toc399233468"/>
            <w:bookmarkStart w:id="49" w:name="_Toc377831875"/>
            <w:bookmarkStart w:id="50" w:name="_Toc534485247"/>
            <w:bookmarkStart w:id="51" w:name="_Toc63243812"/>
            <w:bookmarkStart w:id="52" w:name="_Toc377115112"/>
            <w:bookmarkStart w:id="53" w:name="_Toc399235666"/>
            <w:bookmarkStart w:id="54" w:name="_Toc377420756"/>
            <w:r>
              <w:rPr>
                <w:rFonts w:hint="eastAsia"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color w:val="auto"/>
                <w:sz w:val="24"/>
                <w:szCs w:val="24"/>
              </w:rPr>
              <w:t>.</w:t>
            </w:r>
            <w:r>
              <w:rPr>
                <w:rFonts w:hint="eastAsia" w:ascii="Times New Roman" w:hAnsi="Times New Roman" w:cs="Times New Roman"/>
                <w:b/>
                <w:bCs/>
                <w:color w:val="auto"/>
                <w:sz w:val="24"/>
                <w:szCs w:val="24"/>
                <w:lang w:val="en-US" w:eastAsia="zh-CN"/>
              </w:rPr>
              <w:t>2</w:t>
            </w:r>
            <w:r>
              <w:rPr>
                <w:rFonts w:hint="default" w:ascii="Times New Roman" w:hAnsi="Times New Roman" w:eastAsia="宋体" w:cs="Times New Roman"/>
                <w:b/>
                <w:bCs/>
                <w:color w:val="auto"/>
                <w:sz w:val="24"/>
                <w:szCs w:val="24"/>
              </w:rPr>
              <w:t>.</w:t>
            </w:r>
            <w:r>
              <w:rPr>
                <w:rFonts w:hint="eastAsia" w:ascii="Times New Roman" w:hAnsi="Times New Roman" w:eastAsia="宋体" w:cs="Times New Roman"/>
                <w:b/>
                <w:bCs/>
                <w:color w:val="auto"/>
                <w:sz w:val="24"/>
                <w:szCs w:val="24"/>
                <w:lang w:val="en-US" w:eastAsia="zh-CN"/>
              </w:rPr>
              <w:t>3水生生态现状</w:t>
            </w:r>
            <w:bookmarkEnd w:id="48"/>
            <w:bookmarkEnd w:id="49"/>
            <w:bookmarkEnd w:id="50"/>
            <w:bookmarkEnd w:id="51"/>
            <w:bookmarkEnd w:id="52"/>
            <w:bookmarkEnd w:id="53"/>
            <w:bookmarkEnd w:id="54"/>
          </w:p>
          <w:p w14:paraId="6E4FDC7E">
            <w:pPr>
              <w:pageBreakBefore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项目无涉水工程，在施工期污染物做到合理处置的前提下，工程建设对地表水无影响，因此本次评价不再对水生生态</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鱼类</w:t>
            </w:r>
            <w:r>
              <w:rPr>
                <w:rFonts w:hint="default" w:ascii="Times New Roman" w:hAnsi="Times New Roman" w:eastAsia="宋体" w:cs="Times New Roman"/>
                <w:color w:val="auto"/>
                <w:sz w:val="24"/>
                <w:szCs w:val="24"/>
              </w:rPr>
              <w:t>进行调查评价。</w:t>
            </w:r>
          </w:p>
          <w:p w14:paraId="4C9310EE">
            <w:pPr>
              <w:keepNext/>
              <w:keepLines/>
              <w:pageBreakBefore w:val="0"/>
              <w:widowControl/>
              <w:kinsoku/>
              <w:wordWrap/>
              <w:overflowPunct/>
              <w:topLinePunct w:val="0"/>
              <w:autoSpaceDE/>
              <w:autoSpaceDN/>
              <w:bidi w:val="0"/>
              <w:adjustRightInd w:val="0"/>
              <w:snapToGrid w:val="0"/>
              <w:spacing w:line="440" w:lineRule="exact"/>
              <w:jc w:val="both"/>
              <w:textAlignment w:val="auto"/>
              <w:outlineLvl w:val="2"/>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color w:val="auto"/>
                <w:sz w:val="24"/>
                <w:szCs w:val="24"/>
              </w:rPr>
              <w:t>.</w:t>
            </w:r>
            <w:r>
              <w:rPr>
                <w:rFonts w:hint="eastAsia" w:ascii="Times New Roman" w:hAnsi="Times New Roman" w:cs="Times New Roman"/>
                <w:b/>
                <w:bCs/>
                <w:color w:val="auto"/>
                <w:sz w:val="24"/>
                <w:szCs w:val="24"/>
                <w:lang w:val="en-US" w:eastAsia="zh-CN"/>
              </w:rPr>
              <w:t>2</w:t>
            </w:r>
            <w:r>
              <w:rPr>
                <w:rFonts w:hint="default" w:ascii="Times New Roman" w:hAnsi="Times New Roman" w:eastAsia="宋体" w:cs="Times New Roman"/>
                <w:b/>
                <w:bCs/>
                <w:color w:val="auto"/>
                <w:sz w:val="24"/>
                <w:szCs w:val="24"/>
              </w:rPr>
              <w:t>.</w:t>
            </w:r>
            <w:r>
              <w:rPr>
                <w:rFonts w:hint="eastAsia" w:ascii="Times New Roman" w:hAnsi="Times New Roman" w:eastAsia="宋体" w:cs="Times New Roman"/>
                <w:b/>
                <w:bCs/>
                <w:color w:val="auto"/>
                <w:sz w:val="24"/>
                <w:szCs w:val="24"/>
                <w:lang w:val="en-US" w:eastAsia="zh-CN"/>
              </w:rPr>
              <w:t>4</w:t>
            </w:r>
            <w:r>
              <w:rPr>
                <w:rFonts w:hint="default" w:ascii="Times New Roman" w:hAnsi="Times New Roman" w:eastAsia="宋体" w:cs="Times New Roman"/>
                <w:b/>
                <w:bCs/>
                <w:color w:val="auto"/>
                <w:sz w:val="24"/>
                <w:szCs w:val="24"/>
              </w:rPr>
              <w:t>土地利用现状</w:t>
            </w:r>
          </w:p>
          <w:p w14:paraId="40F04ABF">
            <w:pPr>
              <w:keepNext w:val="0"/>
              <w:keepLines w:val="0"/>
              <w:pageBreakBefore w:val="0"/>
              <w:widowControl/>
              <w:kinsoku/>
              <w:wordWrap/>
              <w:overflowPunct/>
              <w:topLinePunct w:val="0"/>
              <w:autoSpaceDE/>
              <w:autoSpaceDN/>
              <w:bidi w:val="0"/>
              <w:adjustRightInd w:val="0"/>
              <w:snapToGrid w:val="0"/>
              <w:spacing w:after="0" w:line="440" w:lineRule="exact"/>
              <w:ind w:firstLine="504" w:firstLineChars="200"/>
              <w:textAlignment w:val="baseline"/>
              <w:rPr>
                <w:rFonts w:hint="default" w:ascii="Times New Roman" w:hAnsi="Times New Roman" w:cs="Times New Roman"/>
                <w:snapToGrid w:val="0"/>
                <w:color w:val="auto"/>
                <w:spacing w:val="6"/>
                <w:kern w:val="0"/>
                <w:sz w:val="24"/>
                <w:szCs w:val="20"/>
              </w:rPr>
            </w:pPr>
            <w:r>
              <w:rPr>
                <w:rFonts w:hint="default" w:ascii="Times New Roman" w:hAnsi="Times New Roman" w:eastAsia="宋体" w:cs="Times New Roman"/>
                <w:snapToGrid w:val="0"/>
                <w:color w:val="auto"/>
                <w:spacing w:val="6"/>
                <w:kern w:val="0"/>
                <w:sz w:val="24"/>
                <w:szCs w:val="20"/>
                <w:lang w:val="en-US" w:eastAsia="zh-CN"/>
              </w:rPr>
              <w:t>评价区域土地利用现状基于高分辨率遥感影像利用GIS软件进行人工目视解译，遥感影像采用区域卫星影像作为解译基础底图。按照</w:t>
            </w:r>
            <w:r>
              <w:rPr>
                <w:rFonts w:hint="eastAsia" w:ascii="Times New Roman" w:hAnsi="Times New Roman" w:eastAsia="宋体" w:cs="Times New Roman"/>
                <w:snapToGrid w:val="0"/>
                <w:color w:val="auto"/>
                <w:spacing w:val="6"/>
                <w:kern w:val="0"/>
                <w:sz w:val="24"/>
                <w:szCs w:val="20"/>
                <w:lang w:val="en-US" w:eastAsia="zh-CN"/>
              </w:rPr>
              <w:t>《环境影响评价技术导则生态影响》（HJ19-2022）</w:t>
            </w:r>
            <w:r>
              <w:rPr>
                <w:rFonts w:hint="default" w:ascii="Times New Roman" w:hAnsi="Times New Roman" w:eastAsia="宋体" w:cs="Times New Roman"/>
                <w:snapToGrid w:val="0"/>
                <w:color w:val="auto"/>
                <w:spacing w:val="6"/>
                <w:kern w:val="0"/>
                <w:sz w:val="24"/>
                <w:szCs w:val="20"/>
                <w:lang w:val="en-US" w:eastAsia="zh-CN"/>
              </w:rPr>
              <w:t>要求，通过人工目视判读遥感影像及现场调查核实，将评价范围内的土地利用类型按GB/T21010-2017土地利用分类体系进行分类，形成土地利用现状矢量数据库，并以二级类型作为基础制图单位制作评价区域土地利用现状图。对评价范围内各土地利用类型面积进行统计分析，结果如下表所示。</w:t>
            </w:r>
          </w:p>
          <w:p w14:paraId="6212172A">
            <w:pPr>
              <w:keepNext w:val="0"/>
              <w:keepLines w:val="0"/>
              <w:pageBreakBefore w:val="0"/>
              <w:widowControl/>
              <w:kinsoku/>
              <w:wordWrap/>
              <w:overflowPunct/>
              <w:topLinePunct w:val="0"/>
              <w:autoSpaceDE/>
              <w:autoSpaceDN/>
              <w:bidi w:val="0"/>
              <w:adjustRightInd w:val="0"/>
              <w:snapToGrid w:val="0"/>
              <w:spacing w:after="0" w:line="440" w:lineRule="exact"/>
              <w:ind w:firstLine="504" w:firstLineChars="200"/>
              <w:textAlignment w:val="baseline"/>
              <w:rPr>
                <w:rFonts w:hint="default" w:ascii="Times New Roman" w:hAnsi="Times New Roman" w:eastAsia="宋体" w:cs="Times New Roman"/>
                <w:snapToGrid w:val="0"/>
                <w:color w:val="auto"/>
                <w:spacing w:val="6"/>
                <w:kern w:val="0"/>
                <w:sz w:val="24"/>
                <w:szCs w:val="20"/>
                <w:lang w:val="en-US" w:eastAsia="zh-CN"/>
              </w:rPr>
            </w:pPr>
            <w:r>
              <w:rPr>
                <w:rFonts w:hint="default" w:ascii="Times New Roman" w:hAnsi="Times New Roman" w:eastAsia="宋体" w:cs="Times New Roman"/>
                <w:snapToGrid w:val="0"/>
                <w:color w:val="auto"/>
                <w:spacing w:val="6"/>
                <w:kern w:val="0"/>
                <w:sz w:val="24"/>
                <w:szCs w:val="20"/>
                <w:lang w:val="en-US" w:eastAsia="zh-CN"/>
              </w:rPr>
              <w:t>根据统计结果，评价区土地利用现状类型以乔木林地面积最大，面积为427.240hm²，占比达到39.85%；其次为灌木林地与旱地，面积分别为202.331hm²、223.380hm²，占比依次为18.87%、20.83%；其他草地面积169.206hm²，占比15.78%，为区域第四大土地利用类型。水田、水浇地、其他林地、农村宅基地、后备耕地、河流水面、农村道路、公路用地、铁路用地、设施农用地、特殊用地、城镇村道路、工业用地、坑塘水面、裸岩石砾地、裸土地、沟渠面积占比分别为0.30%、0.02%、0.44%、1.15%、0.36%、0.58%、0.79%、0.54%、0.27%、0.14%、0.02%、0.01%、0.01%、0.01%、0.01%、0.01%、0.00%。</w:t>
            </w:r>
          </w:p>
          <w:p w14:paraId="5292C867">
            <w:pPr>
              <w:spacing w:after="0" w:line="240" w:lineRule="auto"/>
              <w:ind w:firstLine="0" w:firstLineChars="0"/>
              <w:jc w:val="center"/>
              <w:rPr>
                <w:rFonts w:hint="eastAsia"/>
                <w:b/>
                <w:bCs/>
                <w:color w:val="auto"/>
                <w:sz w:val="24"/>
                <w:szCs w:val="32"/>
              </w:rPr>
            </w:pPr>
            <w:r>
              <w:rPr>
                <w:rFonts w:hint="eastAsia"/>
                <w:b/>
                <w:bCs/>
                <w:color w:val="auto"/>
                <w:sz w:val="24"/>
                <w:szCs w:val="32"/>
              </w:rPr>
              <w:t>表</w:t>
            </w:r>
            <w:r>
              <w:rPr>
                <w:rFonts w:hint="eastAsia"/>
                <w:b/>
                <w:bCs/>
                <w:color w:val="auto"/>
                <w:sz w:val="24"/>
                <w:szCs w:val="32"/>
                <w:lang w:val="en-US" w:eastAsia="zh-CN"/>
              </w:rPr>
              <w:t>3</w:t>
            </w:r>
            <w:r>
              <w:rPr>
                <w:rFonts w:hint="eastAsia"/>
                <w:b/>
                <w:bCs/>
                <w:color w:val="auto"/>
                <w:sz w:val="24"/>
                <w:szCs w:val="32"/>
              </w:rPr>
              <w:t>-1</w:t>
            </w:r>
            <w:r>
              <w:rPr>
                <w:rFonts w:hint="eastAsia"/>
                <w:b/>
                <w:bCs/>
                <w:color w:val="auto"/>
                <w:sz w:val="24"/>
                <w:szCs w:val="32"/>
                <w:lang w:val="en-US" w:eastAsia="zh-CN"/>
              </w:rPr>
              <w:t xml:space="preserve">  </w:t>
            </w:r>
            <w:r>
              <w:rPr>
                <w:rFonts w:hint="eastAsia"/>
                <w:b/>
                <w:bCs/>
                <w:color w:val="auto"/>
                <w:sz w:val="24"/>
                <w:szCs w:val="32"/>
              </w:rPr>
              <w:t>评价区及占地区土地利用类型统计</w:t>
            </w:r>
          </w:p>
          <w:tbl>
            <w:tblPr>
              <w:tblStyle w:val="30"/>
              <w:tblW w:w="4998" w:type="pct"/>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2708"/>
              <w:gridCol w:w="2207"/>
              <w:gridCol w:w="1683"/>
              <w:gridCol w:w="1683"/>
            </w:tblGrid>
            <w:tr w14:paraId="33CC235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634" w:type="pct"/>
                  <w:tcBorders>
                    <w:tl2br w:val="nil"/>
                    <w:tr2bl w:val="nil"/>
                  </w:tcBorders>
                  <w:noWrap/>
                  <w:vAlign w:val="center"/>
                </w:tcPr>
                <w:p w14:paraId="4C638ACF">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一级类</w:t>
                  </w:r>
                </w:p>
              </w:tc>
              <w:tc>
                <w:tcPr>
                  <w:tcW w:w="1331" w:type="pct"/>
                  <w:tcBorders>
                    <w:tl2br w:val="nil"/>
                    <w:tr2bl w:val="nil"/>
                  </w:tcBorders>
                  <w:noWrap/>
                  <w:vAlign w:val="center"/>
                </w:tcPr>
                <w:p w14:paraId="0EBCE41A">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二级类</w:t>
                  </w:r>
                </w:p>
              </w:tc>
              <w:tc>
                <w:tcPr>
                  <w:tcW w:w="1016" w:type="pct"/>
                  <w:tcBorders>
                    <w:tl2br w:val="nil"/>
                    <w:tr2bl w:val="nil"/>
                  </w:tcBorders>
                  <w:noWrap/>
                  <w:vAlign w:val="center"/>
                </w:tcPr>
                <w:p w14:paraId="4984B633">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评价区面积（hm</w:t>
                  </w:r>
                  <w:r>
                    <w:rPr>
                      <w:rFonts w:hint="default" w:ascii="Times New Roman" w:hAnsi="Times New Roman" w:cs="Times New Roman"/>
                      <w:b w:val="0"/>
                      <w:bCs w:val="0"/>
                      <w:color w:val="auto"/>
                      <w:sz w:val="21"/>
                      <w:szCs w:val="24"/>
                      <w:vertAlign w:val="superscript"/>
                      <w:lang w:val="en-US" w:eastAsia="zh-CN"/>
                    </w:rPr>
                    <w:t>2</w:t>
                  </w:r>
                  <w:r>
                    <w:rPr>
                      <w:rFonts w:hint="default" w:ascii="Times New Roman" w:hAnsi="Times New Roman" w:cs="Times New Roman"/>
                      <w:b w:val="0"/>
                      <w:bCs w:val="0"/>
                      <w:color w:val="auto"/>
                      <w:sz w:val="21"/>
                      <w:szCs w:val="24"/>
                      <w:lang w:val="en-US" w:eastAsia="zh-CN"/>
                    </w:rPr>
                    <w:t>）</w:t>
                  </w:r>
                </w:p>
              </w:tc>
              <w:tc>
                <w:tcPr>
                  <w:tcW w:w="1016" w:type="pct"/>
                  <w:tcBorders>
                    <w:tl2br w:val="nil"/>
                    <w:tr2bl w:val="nil"/>
                  </w:tcBorders>
                  <w:noWrap/>
                  <w:vAlign w:val="center"/>
                </w:tcPr>
                <w:p w14:paraId="2C74941C">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百分比%</w:t>
                  </w:r>
                </w:p>
              </w:tc>
            </w:tr>
            <w:tr w14:paraId="2F17960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634" w:type="pct"/>
                  <w:vMerge w:val="restart"/>
                  <w:tcBorders>
                    <w:tl2br w:val="nil"/>
                    <w:tr2bl w:val="nil"/>
                  </w:tcBorders>
                  <w:noWrap/>
                  <w:vAlign w:val="center"/>
                </w:tcPr>
                <w:p w14:paraId="215FC6D2">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耕地</w:t>
                  </w:r>
                </w:p>
              </w:tc>
              <w:tc>
                <w:tcPr>
                  <w:tcW w:w="1331" w:type="pct"/>
                  <w:tcBorders>
                    <w:tl2br w:val="nil"/>
                    <w:tr2bl w:val="nil"/>
                  </w:tcBorders>
                  <w:noWrap/>
                  <w:vAlign w:val="center"/>
                </w:tcPr>
                <w:p w14:paraId="5807A211">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0101水田</w:t>
                  </w:r>
                </w:p>
              </w:tc>
              <w:tc>
                <w:tcPr>
                  <w:tcW w:w="1016" w:type="pct"/>
                  <w:tcBorders>
                    <w:tl2br w:val="nil"/>
                    <w:tr2bl w:val="nil"/>
                  </w:tcBorders>
                  <w:noWrap/>
                  <w:vAlign w:val="center"/>
                </w:tcPr>
                <w:p w14:paraId="01381F12">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3.263 </w:t>
                  </w:r>
                </w:p>
              </w:tc>
              <w:tc>
                <w:tcPr>
                  <w:tcW w:w="1016" w:type="pct"/>
                  <w:tcBorders>
                    <w:tl2br w:val="nil"/>
                    <w:tr2bl w:val="nil"/>
                  </w:tcBorders>
                  <w:noWrap/>
                  <w:vAlign w:val="center"/>
                </w:tcPr>
                <w:p w14:paraId="603F20F6">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0.30 </w:t>
                  </w:r>
                </w:p>
              </w:tc>
            </w:tr>
            <w:tr w14:paraId="402AE11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634" w:type="pct"/>
                  <w:vMerge w:val="continue"/>
                  <w:tcBorders>
                    <w:tl2br w:val="nil"/>
                    <w:tr2bl w:val="nil"/>
                  </w:tcBorders>
                  <w:noWrap/>
                  <w:vAlign w:val="center"/>
                </w:tcPr>
                <w:p w14:paraId="632E1263">
                  <w:pPr>
                    <w:spacing w:after="0" w:line="240" w:lineRule="auto"/>
                    <w:ind w:firstLine="0" w:firstLineChars="0"/>
                    <w:jc w:val="center"/>
                    <w:rPr>
                      <w:rFonts w:hint="default" w:ascii="Times New Roman" w:hAnsi="Times New Roman" w:cs="Times New Roman"/>
                      <w:b w:val="0"/>
                      <w:bCs w:val="0"/>
                      <w:color w:val="auto"/>
                      <w:sz w:val="21"/>
                      <w:szCs w:val="24"/>
                    </w:rPr>
                  </w:pPr>
                </w:p>
              </w:tc>
              <w:tc>
                <w:tcPr>
                  <w:tcW w:w="1331" w:type="pct"/>
                  <w:tcBorders>
                    <w:tl2br w:val="nil"/>
                    <w:tr2bl w:val="nil"/>
                  </w:tcBorders>
                  <w:noWrap/>
                  <w:vAlign w:val="center"/>
                </w:tcPr>
                <w:p w14:paraId="085CAD6D">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0102水浇地</w:t>
                  </w:r>
                </w:p>
              </w:tc>
              <w:tc>
                <w:tcPr>
                  <w:tcW w:w="1016" w:type="pct"/>
                  <w:tcBorders>
                    <w:tl2br w:val="nil"/>
                    <w:tr2bl w:val="nil"/>
                  </w:tcBorders>
                  <w:noWrap/>
                  <w:vAlign w:val="center"/>
                </w:tcPr>
                <w:p w14:paraId="74F3F763">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0.166 </w:t>
                  </w:r>
                </w:p>
              </w:tc>
              <w:tc>
                <w:tcPr>
                  <w:tcW w:w="1016" w:type="pct"/>
                  <w:tcBorders>
                    <w:tl2br w:val="nil"/>
                    <w:tr2bl w:val="nil"/>
                  </w:tcBorders>
                  <w:noWrap/>
                  <w:vAlign w:val="center"/>
                </w:tcPr>
                <w:p w14:paraId="195CE326">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0.02 </w:t>
                  </w:r>
                </w:p>
              </w:tc>
            </w:tr>
            <w:tr w14:paraId="08A145C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634" w:type="pct"/>
                  <w:vMerge w:val="continue"/>
                  <w:tcBorders>
                    <w:tl2br w:val="nil"/>
                    <w:tr2bl w:val="nil"/>
                  </w:tcBorders>
                  <w:noWrap/>
                  <w:vAlign w:val="center"/>
                </w:tcPr>
                <w:p w14:paraId="48C093C5">
                  <w:pPr>
                    <w:spacing w:after="0" w:line="240" w:lineRule="auto"/>
                    <w:ind w:firstLine="0" w:firstLineChars="0"/>
                    <w:jc w:val="center"/>
                    <w:rPr>
                      <w:rFonts w:hint="default" w:ascii="Times New Roman" w:hAnsi="Times New Roman" w:cs="Times New Roman"/>
                      <w:b w:val="0"/>
                      <w:bCs w:val="0"/>
                      <w:color w:val="auto"/>
                      <w:sz w:val="21"/>
                      <w:szCs w:val="24"/>
                    </w:rPr>
                  </w:pPr>
                </w:p>
              </w:tc>
              <w:tc>
                <w:tcPr>
                  <w:tcW w:w="1331" w:type="pct"/>
                  <w:tcBorders>
                    <w:tl2br w:val="nil"/>
                    <w:tr2bl w:val="nil"/>
                  </w:tcBorders>
                  <w:noWrap/>
                  <w:vAlign w:val="center"/>
                </w:tcPr>
                <w:p w14:paraId="335D1870">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0103旱地</w:t>
                  </w:r>
                </w:p>
              </w:tc>
              <w:tc>
                <w:tcPr>
                  <w:tcW w:w="1016" w:type="pct"/>
                  <w:tcBorders>
                    <w:tl2br w:val="nil"/>
                    <w:tr2bl w:val="nil"/>
                  </w:tcBorders>
                  <w:noWrap/>
                  <w:vAlign w:val="center"/>
                </w:tcPr>
                <w:p w14:paraId="1827F236">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223.380 </w:t>
                  </w:r>
                </w:p>
              </w:tc>
              <w:tc>
                <w:tcPr>
                  <w:tcW w:w="1016" w:type="pct"/>
                  <w:tcBorders>
                    <w:tl2br w:val="nil"/>
                    <w:tr2bl w:val="nil"/>
                  </w:tcBorders>
                  <w:noWrap/>
                  <w:vAlign w:val="center"/>
                </w:tcPr>
                <w:p w14:paraId="254C3B50">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20.83 </w:t>
                  </w:r>
                </w:p>
              </w:tc>
            </w:tr>
            <w:tr w14:paraId="19D27B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634" w:type="pct"/>
                  <w:vMerge w:val="restart"/>
                  <w:tcBorders>
                    <w:tl2br w:val="nil"/>
                    <w:tr2bl w:val="nil"/>
                  </w:tcBorders>
                  <w:noWrap/>
                  <w:vAlign w:val="center"/>
                </w:tcPr>
                <w:p w14:paraId="493B6360">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林地</w:t>
                  </w:r>
                </w:p>
              </w:tc>
              <w:tc>
                <w:tcPr>
                  <w:tcW w:w="1331" w:type="pct"/>
                  <w:tcBorders>
                    <w:tl2br w:val="nil"/>
                    <w:tr2bl w:val="nil"/>
                  </w:tcBorders>
                  <w:noWrap/>
                  <w:vAlign w:val="center"/>
                </w:tcPr>
                <w:p w14:paraId="4A948D87">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0301乔木林地</w:t>
                  </w:r>
                </w:p>
              </w:tc>
              <w:tc>
                <w:tcPr>
                  <w:tcW w:w="1016" w:type="pct"/>
                  <w:tcBorders>
                    <w:tl2br w:val="nil"/>
                    <w:tr2bl w:val="nil"/>
                  </w:tcBorders>
                  <w:noWrap/>
                  <w:vAlign w:val="center"/>
                </w:tcPr>
                <w:p w14:paraId="039FCBD8">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427.240 </w:t>
                  </w:r>
                </w:p>
              </w:tc>
              <w:tc>
                <w:tcPr>
                  <w:tcW w:w="1016" w:type="pct"/>
                  <w:tcBorders>
                    <w:tl2br w:val="nil"/>
                    <w:tr2bl w:val="nil"/>
                  </w:tcBorders>
                  <w:noWrap/>
                  <w:vAlign w:val="center"/>
                </w:tcPr>
                <w:p w14:paraId="02E83CB5">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39.85 </w:t>
                  </w:r>
                </w:p>
              </w:tc>
            </w:tr>
            <w:tr w14:paraId="38708D7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634" w:type="pct"/>
                  <w:vMerge w:val="continue"/>
                  <w:tcBorders>
                    <w:tl2br w:val="nil"/>
                    <w:tr2bl w:val="nil"/>
                  </w:tcBorders>
                  <w:noWrap/>
                  <w:vAlign w:val="center"/>
                </w:tcPr>
                <w:p w14:paraId="3EC4399C">
                  <w:pPr>
                    <w:spacing w:after="0" w:line="240" w:lineRule="auto"/>
                    <w:ind w:firstLine="0" w:firstLineChars="0"/>
                    <w:jc w:val="center"/>
                    <w:rPr>
                      <w:rFonts w:hint="default" w:ascii="Times New Roman" w:hAnsi="Times New Roman" w:cs="Times New Roman"/>
                      <w:b w:val="0"/>
                      <w:bCs w:val="0"/>
                      <w:color w:val="auto"/>
                      <w:sz w:val="21"/>
                      <w:szCs w:val="24"/>
                    </w:rPr>
                  </w:pPr>
                </w:p>
              </w:tc>
              <w:tc>
                <w:tcPr>
                  <w:tcW w:w="1331" w:type="pct"/>
                  <w:tcBorders>
                    <w:tl2br w:val="nil"/>
                    <w:tr2bl w:val="nil"/>
                  </w:tcBorders>
                  <w:noWrap/>
                  <w:vAlign w:val="center"/>
                </w:tcPr>
                <w:p w14:paraId="6D60C802">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0305灌木林地</w:t>
                  </w:r>
                </w:p>
              </w:tc>
              <w:tc>
                <w:tcPr>
                  <w:tcW w:w="1016" w:type="pct"/>
                  <w:tcBorders>
                    <w:tl2br w:val="nil"/>
                    <w:tr2bl w:val="nil"/>
                  </w:tcBorders>
                  <w:noWrap/>
                  <w:vAlign w:val="center"/>
                </w:tcPr>
                <w:p w14:paraId="0F270BE7">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202.331 </w:t>
                  </w:r>
                </w:p>
              </w:tc>
              <w:tc>
                <w:tcPr>
                  <w:tcW w:w="1016" w:type="pct"/>
                  <w:tcBorders>
                    <w:tl2br w:val="nil"/>
                    <w:tr2bl w:val="nil"/>
                  </w:tcBorders>
                  <w:noWrap/>
                  <w:vAlign w:val="center"/>
                </w:tcPr>
                <w:p w14:paraId="693780CE">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18.87 </w:t>
                  </w:r>
                </w:p>
              </w:tc>
            </w:tr>
            <w:tr w14:paraId="7675E5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634" w:type="pct"/>
                  <w:vMerge w:val="continue"/>
                  <w:tcBorders>
                    <w:tl2br w:val="nil"/>
                    <w:tr2bl w:val="nil"/>
                  </w:tcBorders>
                  <w:noWrap/>
                  <w:vAlign w:val="center"/>
                </w:tcPr>
                <w:p w14:paraId="0AFC0F5D">
                  <w:pPr>
                    <w:spacing w:after="0" w:line="240" w:lineRule="auto"/>
                    <w:ind w:firstLine="0" w:firstLineChars="0"/>
                    <w:jc w:val="center"/>
                    <w:rPr>
                      <w:rFonts w:hint="default" w:ascii="Times New Roman" w:hAnsi="Times New Roman" w:cs="Times New Roman"/>
                      <w:b w:val="0"/>
                      <w:bCs w:val="0"/>
                      <w:color w:val="auto"/>
                      <w:sz w:val="21"/>
                      <w:szCs w:val="24"/>
                    </w:rPr>
                  </w:pPr>
                </w:p>
              </w:tc>
              <w:tc>
                <w:tcPr>
                  <w:tcW w:w="1331" w:type="pct"/>
                  <w:tcBorders>
                    <w:tl2br w:val="nil"/>
                    <w:tr2bl w:val="nil"/>
                  </w:tcBorders>
                  <w:noWrap/>
                  <w:vAlign w:val="center"/>
                </w:tcPr>
                <w:p w14:paraId="421988B0">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0307其他林地</w:t>
                  </w:r>
                </w:p>
              </w:tc>
              <w:tc>
                <w:tcPr>
                  <w:tcW w:w="1016" w:type="pct"/>
                  <w:tcBorders>
                    <w:tl2br w:val="nil"/>
                    <w:tr2bl w:val="nil"/>
                  </w:tcBorders>
                  <w:noWrap/>
                  <w:vAlign w:val="center"/>
                </w:tcPr>
                <w:p w14:paraId="120683DC">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4.730 </w:t>
                  </w:r>
                </w:p>
              </w:tc>
              <w:tc>
                <w:tcPr>
                  <w:tcW w:w="1016" w:type="pct"/>
                  <w:tcBorders>
                    <w:tl2br w:val="nil"/>
                    <w:tr2bl w:val="nil"/>
                  </w:tcBorders>
                  <w:noWrap/>
                  <w:vAlign w:val="center"/>
                </w:tcPr>
                <w:p w14:paraId="5A533366">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0.44 </w:t>
                  </w:r>
                </w:p>
              </w:tc>
            </w:tr>
            <w:tr w14:paraId="02EA26B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634" w:type="pct"/>
                  <w:tcBorders>
                    <w:tl2br w:val="nil"/>
                    <w:tr2bl w:val="nil"/>
                  </w:tcBorders>
                  <w:noWrap/>
                  <w:vAlign w:val="center"/>
                </w:tcPr>
                <w:p w14:paraId="21FE1869">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草地</w:t>
                  </w:r>
                </w:p>
              </w:tc>
              <w:tc>
                <w:tcPr>
                  <w:tcW w:w="1331" w:type="pct"/>
                  <w:tcBorders>
                    <w:tl2br w:val="nil"/>
                    <w:tr2bl w:val="nil"/>
                  </w:tcBorders>
                  <w:noWrap/>
                  <w:vAlign w:val="center"/>
                </w:tcPr>
                <w:p w14:paraId="51AEF102">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0404其他草地</w:t>
                  </w:r>
                </w:p>
              </w:tc>
              <w:tc>
                <w:tcPr>
                  <w:tcW w:w="1016" w:type="pct"/>
                  <w:tcBorders>
                    <w:tl2br w:val="nil"/>
                    <w:tr2bl w:val="nil"/>
                  </w:tcBorders>
                  <w:noWrap/>
                  <w:vAlign w:val="center"/>
                </w:tcPr>
                <w:p w14:paraId="0A64F993">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169.206 </w:t>
                  </w:r>
                </w:p>
              </w:tc>
              <w:tc>
                <w:tcPr>
                  <w:tcW w:w="1016" w:type="pct"/>
                  <w:tcBorders>
                    <w:tl2br w:val="nil"/>
                    <w:tr2bl w:val="nil"/>
                  </w:tcBorders>
                  <w:noWrap/>
                  <w:vAlign w:val="center"/>
                </w:tcPr>
                <w:p w14:paraId="4DB3B497">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15.78 </w:t>
                  </w:r>
                </w:p>
              </w:tc>
            </w:tr>
            <w:tr w14:paraId="503E5F6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634" w:type="pct"/>
                  <w:tcBorders>
                    <w:tl2br w:val="nil"/>
                    <w:tr2bl w:val="nil"/>
                  </w:tcBorders>
                  <w:noWrap/>
                  <w:vAlign w:val="center"/>
                </w:tcPr>
                <w:p w14:paraId="3E4EB836">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工矿仓储用地</w:t>
                  </w:r>
                </w:p>
              </w:tc>
              <w:tc>
                <w:tcPr>
                  <w:tcW w:w="1331" w:type="pct"/>
                  <w:tcBorders>
                    <w:tl2br w:val="nil"/>
                    <w:tr2bl w:val="nil"/>
                  </w:tcBorders>
                  <w:noWrap/>
                  <w:vAlign w:val="center"/>
                </w:tcPr>
                <w:p w14:paraId="106F959B">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0601工业用地</w:t>
                  </w:r>
                </w:p>
              </w:tc>
              <w:tc>
                <w:tcPr>
                  <w:tcW w:w="1016" w:type="pct"/>
                  <w:tcBorders>
                    <w:tl2br w:val="nil"/>
                    <w:tr2bl w:val="nil"/>
                  </w:tcBorders>
                  <w:noWrap/>
                  <w:vAlign w:val="center"/>
                </w:tcPr>
                <w:p w14:paraId="273B079D">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0.133 </w:t>
                  </w:r>
                </w:p>
              </w:tc>
              <w:tc>
                <w:tcPr>
                  <w:tcW w:w="1016" w:type="pct"/>
                  <w:tcBorders>
                    <w:tl2br w:val="nil"/>
                    <w:tr2bl w:val="nil"/>
                  </w:tcBorders>
                  <w:noWrap/>
                  <w:vAlign w:val="center"/>
                </w:tcPr>
                <w:p w14:paraId="6183B5B2">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0.01 </w:t>
                  </w:r>
                </w:p>
              </w:tc>
            </w:tr>
            <w:tr w14:paraId="2A3A241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634" w:type="pct"/>
                  <w:tcBorders>
                    <w:tl2br w:val="nil"/>
                    <w:tr2bl w:val="nil"/>
                  </w:tcBorders>
                  <w:noWrap/>
                  <w:vAlign w:val="center"/>
                </w:tcPr>
                <w:p w14:paraId="090FC70B">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住宅用地</w:t>
                  </w:r>
                </w:p>
              </w:tc>
              <w:tc>
                <w:tcPr>
                  <w:tcW w:w="1331" w:type="pct"/>
                  <w:tcBorders>
                    <w:tl2br w:val="nil"/>
                    <w:tr2bl w:val="nil"/>
                  </w:tcBorders>
                  <w:noWrap/>
                  <w:vAlign w:val="center"/>
                </w:tcPr>
                <w:p w14:paraId="32A8AA87">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0702农村宅基地</w:t>
                  </w:r>
                </w:p>
              </w:tc>
              <w:tc>
                <w:tcPr>
                  <w:tcW w:w="1016" w:type="pct"/>
                  <w:tcBorders>
                    <w:tl2br w:val="nil"/>
                    <w:tr2bl w:val="nil"/>
                  </w:tcBorders>
                  <w:noWrap/>
                  <w:vAlign w:val="center"/>
                </w:tcPr>
                <w:p w14:paraId="51D5DD13">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12.279 </w:t>
                  </w:r>
                </w:p>
              </w:tc>
              <w:tc>
                <w:tcPr>
                  <w:tcW w:w="1016" w:type="pct"/>
                  <w:tcBorders>
                    <w:tl2br w:val="nil"/>
                    <w:tr2bl w:val="nil"/>
                  </w:tcBorders>
                  <w:noWrap/>
                  <w:vAlign w:val="center"/>
                </w:tcPr>
                <w:p w14:paraId="78430241">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1.15 </w:t>
                  </w:r>
                </w:p>
              </w:tc>
            </w:tr>
            <w:tr w14:paraId="4B24E5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2966" w:type="pct"/>
                  <w:gridSpan w:val="2"/>
                  <w:tcBorders>
                    <w:tl2br w:val="nil"/>
                    <w:tr2bl w:val="nil"/>
                  </w:tcBorders>
                  <w:noWrap/>
                  <w:vAlign w:val="center"/>
                </w:tcPr>
                <w:p w14:paraId="0C0E00A2">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09特殊用地</w:t>
                  </w:r>
                </w:p>
              </w:tc>
              <w:tc>
                <w:tcPr>
                  <w:tcW w:w="1016" w:type="pct"/>
                  <w:tcBorders>
                    <w:tl2br w:val="nil"/>
                    <w:tr2bl w:val="nil"/>
                  </w:tcBorders>
                  <w:noWrap/>
                  <w:vAlign w:val="center"/>
                </w:tcPr>
                <w:p w14:paraId="139B9A3A">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0.217 </w:t>
                  </w:r>
                </w:p>
              </w:tc>
              <w:tc>
                <w:tcPr>
                  <w:tcW w:w="1016" w:type="pct"/>
                  <w:tcBorders>
                    <w:tl2br w:val="nil"/>
                    <w:tr2bl w:val="nil"/>
                  </w:tcBorders>
                  <w:noWrap/>
                  <w:vAlign w:val="center"/>
                </w:tcPr>
                <w:p w14:paraId="4961DF93">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0.02 </w:t>
                  </w:r>
                </w:p>
              </w:tc>
            </w:tr>
            <w:tr w14:paraId="501DD7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634" w:type="pct"/>
                  <w:vMerge w:val="restart"/>
                  <w:tcBorders>
                    <w:tl2br w:val="nil"/>
                    <w:tr2bl w:val="nil"/>
                  </w:tcBorders>
                  <w:noWrap/>
                  <w:vAlign w:val="center"/>
                </w:tcPr>
                <w:p w14:paraId="0CC3900F">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交通运输用地</w:t>
                  </w:r>
                </w:p>
              </w:tc>
              <w:tc>
                <w:tcPr>
                  <w:tcW w:w="1331" w:type="pct"/>
                  <w:tcBorders>
                    <w:tl2br w:val="nil"/>
                    <w:tr2bl w:val="nil"/>
                  </w:tcBorders>
                  <w:noWrap/>
                  <w:vAlign w:val="center"/>
                </w:tcPr>
                <w:p w14:paraId="6DF27AA3">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1001铁路用地</w:t>
                  </w:r>
                </w:p>
              </w:tc>
              <w:tc>
                <w:tcPr>
                  <w:tcW w:w="1016" w:type="pct"/>
                  <w:tcBorders>
                    <w:tl2br w:val="nil"/>
                    <w:tr2bl w:val="nil"/>
                  </w:tcBorders>
                  <w:noWrap/>
                  <w:vAlign w:val="center"/>
                </w:tcPr>
                <w:p w14:paraId="71F6A708">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2.870 </w:t>
                  </w:r>
                </w:p>
              </w:tc>
              <w:tc>
                <w:tcPr>
                  <w:tcW w:w="1016" w:type="pct"/>
                  <w:tcBorders>
                    <w:tl2br w:val="nil"/>
                    <w:tr2bl w:val="nil"/>
                  </w:tcBorders>
                  <w:noWrap/>
                  <w:vAlign w:val="center"/>
                </w:tcPr>
                <w:p w14:paraId="56042F5F">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0.27 </w:t>
                  </w:r>
                </w:p>
              </w:tc>
            </w:tr>
            <w:tr w14:paraId="16790A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634" w:type="pct"/>
                  <w:vMerge w:val="continue"/>
                  <w:tcBorders>
                    <w:tl2br w:val="nil"/>
                    <w:tr2bl w:val="nil"/>
                  </w:tcBorders>
                  <w:noWrap/>
                  <w:vAlign w:val="center"/>
                </w:tcPr>
                <w:p w14:paraId="1C18BB58">
                  <w:pPr>
                    <w:spacing w:after="0" w:line="240" w:lineRule="auto"/>
                    <w:ind w:firstLine="0" w:firstLineChars="0"/>
                    <w:jc w:val="center"/>
                    <w:rPr>
                      <w:rFonts w:hint="default" w:ascii="Times New Roman" w:hAnsi="Times New Roman" w:cs="Times New Roman"/>
                      <w:b w:val="0"/>
                      <w:bCs w:val="0"/>
                      <w:color w:val="auto"/>
                      <w:sz w:val="21"/>
                      <w:szCs w:val="24"/>
                    </w:rPr>
                  </w:pPr>
                </w:p>
              </w:tc>
              <w:tc>
                <w:tcPr>
                  <w:tcW w:w="1331" w:type="pct"/>
                  <w:tcBorders>
                    <w:tl2br w:val="nil"/>
                    <w:tr2bl w:val="nil"/>
                  </w:tcBorders>
                  <w:noWrap/>
                  <w:vAlign w:val="center"/>
                </w:tcPr>
                <w:p w14:paraId="096A8EBC">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1003公路用地</w:t>
                  </w:r>
                </w:p>
              </w:tc>
              <w:tc>
                <w:tcPr>
                  <w:tcW w:w="1016" w:type="pct"/>
                  <w:tcBorders>
                    <w:tl2br w:val="nil"/>
                    <w:tr2bl w:val="nil"/>
                  </w:tcBorders>
                  <w:noWrap/>
                  <w:vAlign w:val="center"/>
                </w:tcPr>
                <w:p w14:paraId="5F1D227A">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5.788 </w:t>
                  </w:r>
                </w:p>
              </w:tc>
              <w:tc>
                <w:tcPr>
                  <w:tcW w:w="1016" w:type="pct"/>
                  <w:tcBorders>
                    <w:tl2br w:val="nil"/>
                    <w:tr2bl w:val="nil"/>
                  </w:tcBorders>
                  <w:noWrap/>
                  <w:vAlign w:val="center"/>
                </w:tcPr>
                <w:p w14:paraId="5B2D91AD">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0.54 </w:t>
                  </w:r>
                </w:p>
              </w:tc>
            </w:tr>
            <w:tr w14:paraId="39C1050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634" w:type="pct"/>
                  <w:vMerge w:val="continue"/>
                  <w:tcBorders>
                    <w:tl2br w:val="nil"/>
                    <w:tr2bl w:val="nil"/>
                  </w:tcBorders>
                  <w:noWrap/>
                  <w:vAlign w:val="center"/>
                </w:tcPr>
                <w:p w14:paraId="1FDA0B85">
                  <w:pPr>
                    <w:spacing w:after="0" w:line="240" w:lineRule="auto"/>
                    <w:ind w:firstLine="0" w:firstLineChars="0"/>
                    <w:jc w:val="center"/>
                    <w:rPr>
                      <w:rFonts w:hint="default" w:ascii="Times New Roman" w:hAnsi="Times New Roman" w:cs="Times New Roman"/>
                      <w:b w:val="0"/>
                      <w:bCs w:val="0"/>
                      <w:color w:val="auto"/>
                      <w:sz w:val="21"/>
                      <w:szCs w:val="24"/>
                    </w:rPr>
                  </w:pPr>
                </w:p>
              </w:tc>
              <w:tc>
                <w:tcPr>
                  <w:tcW w:w="1331" w:type="pct"/>
                  <w:tcBorders>
                    <w:tl2br w:val="nil"/>
                    <w:tr2bl w:val="nil"/>
                  </w:tcBorders>
                  <w:noWrap/>
                  <w:vAlign w:val="center"/>
                </w:tcPr>
                <w:p w14:paraId="6AE13782">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1004城镇村道路</w:t>
                  </w:r>
                </w:p>
              </w:tc>
              <w:tc>
                <w:tcPr>
                  <w:tcW w:w="1016" w:type="pct"/>
                  <w:tcBorders>
                    <w:tl2br w:val="nil"/>
                    <w:tr2bl w:val="nil"/>
                  </w:tcBorders>
                  <w:noWrap/>
                  <w:vAlign w:val="center"/>
                </w:tcPr>
                <w:p w14:paraId="4F6D1263">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0.067 </w:t>
                  </w:r>
                </w:p>
              </w:tc>
              <w:tc>
                <w:tcPr>
                  <w:tcW w:w="1016" w:type="pct"/>
                  <w:tcBorders>
                    <w:tl2br w:val="nil"/>
                    <w:tr2bl w:val="nil"/>
                  </w:tcBorders>
                  <w:noWrap/>
                  <w:vAlign w:val="center"/>
                </w:tcPr>
                <w:p w14:paraId="5A4E6C83">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0.01 </w:t>
                  </w:r>
                </w:p>
              </w:tc>
            </w:tr>
            <w:tr w14:paraId="4C2F507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634" w:type="pct"/>
                  <w:vMerge w:val="continue"/>
                  <w:tcBorders>
                    <w:tl2br w:val="nil"/>
                    <w:tr2bl w:val="nil"/>
                  </w:tcBorders>
                  <w:noWrap/>
                  <w:vAlign w:val="center"/>
                </w:tcPr>
                <w:p w14:paraId="4ACD5198">
                  <w:pPr>
                    <w:spacing w:after="0" w:line="240" w:lineRule="auto"/>
                    <w:ind w:firstLine="0" w:firstLineChars="0"/>
                    <w:jc w:val="center"/>
                    <w:rPr>
                      <w:rFonts w:hint="default" w:ascii="Times New Roman" w:hAnsi="Times New Roman" w:cs="Times New Roman"/>
                      <w:b w:val="0"/>
                      <w:bCs w:val="0"/>
                      <w:color w:val="auto"/>
                      <w:sz w:val="21"/>
                      <w:szCs w:val="24"/>
                    </w:rPr>
                  </w:pPr>
                </w:p>
              </w:tc>
              <w:tc>
                <w:tcPr>
                  <w:tcW w:w="1331" w:type="pct"/>
                  <w:tcBorders>
                    <w:tl2br w:val="nil"/>
                    <w:tr2bl w:val="nil"/>
                  </w:tcBorders>
                  <w:noWrap/>
                  <w:vAlign w:val="center"/>
                </w:tcPr>
                <w:p w14:paraId="443476EE">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1006农村道路</w:t>
                  </w:r>
                </w:p>
              </w:tc>
              <w:tc>
                <w:tcPr>
                  <w:tcW w:w="1016" w:type="pct"/>
                  <w:tcBorders>
                    <w:tl2br w:val="nil"/>
                    <w:tr2bl w:val="nil"/>
                  </w:tcBorders>
                  <w:noWrap/>
                  <w:vAlign w:val="center"/>
                </w:tcPr>
                <w:p w14:paraId="3F347EF7">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8.501 </w:t>
                  </w:r>
                </w:p>
              </w:tc>
              <w:tc>
                <w:tcPr>
                  <w:tcW w:w="1016" w:type="pct"/>
                  <w:tcBorders>
                    <w:tl2br w:val="nil"/>
                    <w:tr2bl w:val="nil"/>
                  </w:tcBorders>
                  <w:noWrap/>
                  <w:vAlign w:val="center"/>
                </w:tcPr>
                <w:p w14:paraId="2D1C9237">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0.79 </w:t>
                  </w:r>
                </w:p>
              </w:tc>
            </w:tr>
            <w:tr w14:paraId="5783480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634" w:type="pct"/>
                  <w:vMerge w:val="restart"/>
                  <w:tcBorders>
                    <w:tl2br w:val="nil"/>
                    <w:tr2bl w:val="nil"/>
                  </w:tcBorders>
                  <w:noWrap/>
                  <w:vAlign w:val="center"/>
                </w:tcPr>
                <w:p w14:paraId="69B895DB">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水域及水利设施用地</w:t>
                  </w:r>
                </w:p>
              </w:tc>
              <w:tc>
                <w:tcPr>
                  <w:tcW w:w="1331" w:type="pct"/>
                  <w:tcBorders>
                    <w:tl2br w:val="nil"/>
                    <w:tr2bl w:val="nil"/>
                  </w:tcBorders>
                  <w:noWrap/>
                  <w:vAlign w:val="center"/>
                </w:tcPr>
                <w:p w14:paraId="41629BB5">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1101河流水面</w:t>
                  </w:r>
                </w:p>
              </w:tc>
              <w:tc>
                <w:tcPr>
                  <w:tcW w:w="1016" w:type="pct"/>
                  <w:tcBorders>
                    <w:tl2br w:val="nil"/>
                    <w:tr2bl w:val="nil"/>
                  </w:tcBorders>
                  <w:noWrap/>
                  <w:vAlign w:val="center"/>
                </w:tcPr>
                <w:p w14:paraId="4026271A">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6.212 </w:t>
                  </w:r>
                </w:p>
              </w:tc>
              <w:tc>
                <w:tcPr>
                  <w:tcW w:w="1016" w:type="pct"/>
                  <w:tcBorders>
                    <w:tl2br w:val="nil"/>
                    <w:tr2bl w:val="nil"/>
                  </w:tcBorders>
                  <w:noWrap/>
                  <w:vAlign w:val="center"/>
                </w:tcPr>
                <w:p w14:paraId="6A4204A9">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0.58 </w:t>
                  </w:r>
                </w:p>
              </w:tc>
            </w:tr>
            <w:tr w14:paraId="5120622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634" w:type="pct"/>
                  <w:vMerge w:val="continue"/>
                  <w:tcBorders>
                    <w:tl2br w:val="nil"/>
                    <w:tr2bl w:val="nil"/>
                  </w:tcBorders>
                  <w:noWrap/>
                  <w:vAlign w:val="center"/>
                </w:tcPr>
                <w:p w14:paraId="1F7E2F2C">
                  <w:pPr>
                    <w:spacing w:after="0" w:line="240" w:lineRule="auto"/>
                    <w:ind w:firstLine="0" w:firstLineChars="0"/>
                    <w:jc w:val="center"/>
                    <w:rPr>
                      <w:rFonts w:hint="default" w:ascii="Times New Roman" w:hAnsi="Times New Roman" w:cs="Times New Roman"/>
                      <w:b w:val="0"/>
                      <w:bCs w:val="0"/>
                      <w:color w:val="auto"/>
                      <w:sz w:val="21"/>
                      <w:szCs w:val="24"/>
                    </w:rPr>
                  </w:pPr>
                </w:p>
              </w:tc>
              <w:tc>
                <w:tcPr>
                  <w:tcW w:w="1331" w:type="pct"/>
                  <w:tcBorders>
                    <w:tl2br w:val="nil"/>
                    <w:tr2bl w:val="nil"/>
                  </w:tcBorders>
                  <w:noWrap/>
                  <w:vAlign w:val="center"/>
                </w:tcPr>
                <w:p w14:paraId="36EFF46F">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1104坑塘水面</w:t>
                  </w:r>
                </w:p>
              </w:tc>
              <w:tc>
                <w:tcPr>
                  <w:tcW w:w="1016" w:type="pct"/>
                  <w:tcBorders>
                    <w:tl2br w:val="nil"/>
                    <w:tr2bl w:val="nil"/>
                  </w:tcBorders>
                  <w:noWrap/>
                  <w:vAlign w:val="center"/>
                </w:tcPr>
                <w:p w14:paraId="305ADB90">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0.133 </w:t>
                  </w:r>
                </w:p>
              </w:tc>
              <w:tc>
                <w:tcPr>
                  <w:tcW w:w="1016" w:type="pct"/>
                  <w:tcBorders>
                    <w:tl2br w:val="nil"/>
                    <w:tr2bl w:val="nil"/>
                  </w:tcBorders>
                  <w:noWrap/>
                  <w:vAlign w:val="center"/>
                </w:tcPr>
                <w:p w14:paraId="18F2E65C">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0.01 </w:t>
                  </w:r>
                </w:p>
              </w:tc>
            </w:tr>
            <w:tr w14:paraId="4C829C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634" w:type="pct"/>
                  <w:vMerge w:val="continue"/>
                  <w:tcBorders>
                    <w:tl2br w:val="nil"/>
                    <w:tr2bl w:val="nil"/>
                  </w:tcBorders>
                  <w:noWrap/>
                  <w:vAlign w:val="center"/>
                </w:tcPr>
                <w:p w14:paraId="4AD244D3">
                  <w:pPr>
                    <w:spacing w:after="0" w:line="240" w:lineRule="auto"/>
                    <w:ind w:firstLine="0" w:firstLineChars="0"/>
                    <w:jc w:val="center"/>
                    <w:rPr>
                      <w:rFonts w:hint="default" w:ascii="Times New Roman" w:hAnsi="Times New Roman" w:cs="Times New Roman"/>
                      <w:b w:val="0"/>
                      <w:bCs w:val="0"/>
                      <w:color w:val="auto"/>
                      <w:sz w:val="21"/>
                      <w:szCs w:val="24"/>
                    </w:rPr>
                  </w:pPr>
                </w:p>
              </w:tc>
              <w:tc>
                <w:tcPr>
                  <w:tcW w:w="1331" w:type="pct"/>
                  <w:tcBorders>
                    <w:tl2br w:val="nil"/>
                    <w:tr2bl w:val="nil"/>
                  </w:tcBorders>
                  <w:noWrap/>
                  <w:vAlign w:val="center"/>
                </w:tcPr>
                <w:p w14:paraId="6333F6D7">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1107沟渠</w:t>
                  </w:r>
                </w:p>
              </w:tc>
              <w:tc>
                <w:tcPr>
                  <w:tcW w:w="1016" w:type="pct"/>
                  <w:tcBorders>
                    <w:tl2br w:val="nil"/>
                    <w:tr2bl w:val="nil"/>
                  </w:tcBorders>
                  <w:noWrap/>
                  <w:vAlign w:val="center"/>
                </w:tcPr>
                <w:p w14:paraId="49398F7B">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0.051 </w:t>
                  </w:r>
                </w:p>
              </w:tc>
              <w:tc>
                <w:tcPr>
                  <w:tcW w:w="1016" w:type="pct"/>
                  <w:tcBorders>
                    <w:tl2br w:val="nil"/>
                    <w:tr2bl w:val="nil"/>
                  </w:tcBorders>
                  <w:noWrap/>
                  <w:vAlign w:val="center"/>
                </w:tcPr>
                <w:p w14:paraId="180EA11C">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0.00 </w:t>
                  </w:r>
                </w:p>
              </w:tc>
            </w:tr>
            <w:tr w14:paraId="63F44E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634" w:type="pct"/>
                  <w:vMerge w:val="restart"/>
                  <w:tcBorders>
                    <w:tl2br w:val="nil"/>
                    <w:tr2bl w:val="nil"/>
                  </w:tcBorders>
                  <w:noWrap/>
                  <w:vAlign w:val="center"/>
                </w:tcPr>
                <w:p w14:paraId="1E0EA385">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其他土地</w:t>
                  </w:r>
                </w:p>
              </w:tc>
              <w:tc>
                <w:tcPr>
                  <w:tcW w:w="1331" w:type="pct"/>
                  <w:tcBorders>
                    <w:tl2br w:val="nil"/>
                    <w:tr2bl w:val="nil"/>
                  </w:tcBorders>
                  <w:noWrap/>
                  <w:vAlign w:val="center"/>
                </w:tcPr>
                <w:p w14:paraId="144F8D60">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1202设施农用地</w:t>
                  </w:r>
                </w:p>
              </w:tc>
              <w:tc>
                <w:tcPr>
                  <w:tcW w:w="1016" w:type="pct"/>
                  <w:tcBorders>
                    <w:tl2br w:val="nil"/>
                    <w:tr2bl w:val="nil"/>
                  </w:tcBorders>
                  <w:noWrap/>
                  <w:vAlign w:val="center"/>
                </w:tcPr>
                <w:p w14:paraId="530F66AD">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1.503 </w:t>
                  </w:r>
                </w:p>
              </w:tc>
              <w:tc>
                <w:tcPr>
                  <w:tcW w:w="1016" w:type="pct"/>
                  <w:tcBorders>
                    <w:tl2br w:val="nil"/>
                    <w:tr2bl w:val="nil"/>
                  </w:tcBorders>
                  <w:noWrap/>
                  <w:vAlign w:val="center"/>
                </w:tcPr>
                <w:p w14:paraId="41700329">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0.14 </w:t>
                  </w:r>
                </w:p>
              </w:tc>
            </w:tr>
            <w:tr w14:paraId="05E924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634" w:type="pct"/>
                  <w:vMerge w:val="continue"/>
                  <w:tcBorders>
                    <w:tl2br w:val="nil"/>
                    <w:tr2bl w:val="nil"/>
                  </w:tcBorders>
                  <w:noWrap/>
                  <w:vAlign w:val="center"/>
                </w:tcPr>
                <w:p w14:paraId="75643844">
                  <w:pPr>
                    <w:spacing w:after="0" w:line="240" w:lineRule="auto"/>
                    <w:ind w:firstLine="0" w:firstLineChars="0"/>
                    <w:jc w:val="center"/>
                    <w:rPr>
                      <w:rFonts w:hint="default" w:ascii="Times New Roman" w:hAnsi="Times New Roman" w:cs="Times New Roman"/>
                      <w:b w:val="0"/>
                      <w:bCs w:val="0"/>
                      <w:color w:val="auto"/>
                      <w:sz w:val="21"/>
                      <w:szCs w:val="24"/>
                    </w:rPr>
                  </w:pPr>
                </w:p>
              </w:tc>
              <w:tc>
                <w:tcPr>
                  <w:tcW w:w="1331" w:type="pct"/>
                  <w:tcBorders>
                    <w:tl2br w:val="nil"/>
                    <w:tr2bl w:val="nil"/>
                  </w:tcBorders>
                  <w:noWrap/>
                  <w:vAlign w:val="center"/>
                </w:tcPr>
                <w:p w14:paraId="763B1FDE">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1206裸土地</w:t>
                  </w:r>
                </w:p>
              </w:tc>
              <w:tc>
                <w:tcPr>
                  <w:tcW w:w="1016" w:type="pct"/>
                  <w:tcBorders>
                    <w:tl2br w:val="nil"/>
                    <w:tr2bl w:val="nil"/>
                  </w:tcBorders>
                  <w:noWrap/>
                  <w:vAlign w:val="center"/>
                </w:tcPr>
                <w:p w14:paraId="749C4FDD">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0.108 </w:t>
                  </w:r>
                </w:p>
              </w:tc>
              <w:tc>
                <w:tcPr>
                  <w:tcW w:w="1016" w:type="pct"/>
                  <w:tcBorders>
                    <w:tl2br w:val="nil"/>
                    <w:tr2bl w:val="nil"/>
                  </w:tcBorders>
                  <w:noWrap/>
                  <w:vAlign w:val="center"/>
                </w:tcPr>
                <w:p w14:paraId="3A206B9D">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0.01 </w:t>
                  </w:r>
                </w:p>
              </w:tc>
            </w:tr>
            <w:tr w14:paraId="57707E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634" w:type="pct"/>
                  <w:vMerge w:val="continue"/>
                  <w:tcBorders>
                    <w:tl2br w:val="nil"/>
                    <w:tr2bl w:val="nil"/>
                  </w:tcBorders>
                  <w:noWrap/>
                  <w:vAlign w:val="center"/>
                </w:tcPr>
                <w:p w14:paraId="0374024F">
                  <w:pPr>
                    <w:spacing w:after="0" w:line="240" w:lineRule="auto"/>
                    <w:ind w:firstLine="0" w:firstLineChars="0"/>
                    <w:jc w:val="center"/>
                    <w:rPr>
                      <w:rFonts w:hint="default" w:ascii="Times New Roman" w:hAnsi="Times New Roman" w:cs="Times New Roman"/>
                      <w:b w:val="0"/>
                      <w:bCs w:val="0"/>
                      <w:color w:val="auto"/>
                      <w:sz w:val="21"/>
                      <w:szCs w:val="24"/>
                    </w:rPr>
                  </w:pPr>
                </w:p>
              </w:tc>
              <w:tc>
                <w:tcPr>
                  <w:tcW w:w="1331" w:type="pct"/>
                  <w:tcBorders>
                    <w:tl2br w:val="nil"/>
                    <w:tr2bl w:val="nil"/>
                  </w:tcBorders>
                  <w:noWrap/>
                  <w:vAlign w:val="center"/>
                </w:tcPr>
                <w:p w14:paraId="2B7562DA">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1207裸岩石砾地</w:t>
                  </w:r>
                </w:p>
              </w:tc>
              <w:tc>
                <w:tcPr>
                  <w:tcW w:w="1016" w:type="pct"/>
                  <w:tcBorders>
                    <w:tl2br w:val="nil"/>
                    <w:tr2bl w:val="nil"/>
                  </w:tcBorders>
                  <w:noWrap/>
                  <w:vAlign w:val="center"/>
                </w:tcPr>
                <w:p w14:paraId="322856B4">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0.149 </w:t>
                  </w:r>
                </w:p>
              </w:tc>
              <w:tc>
                <w:tcPr>
                  <w:tcW w:w="1016" w:type="pct"/>
                  <w:tcBorders>
                    <w:tl2br w:val="nil"/>
                    <w:tr2bl w:val="nil"/>
                  </w:tcBorders>
                  <w:noWrap/>
                  <w:vAlign w:val="center"/>
                </w:tcPr>
                <w:p w14:paraId="3A513CEC">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0.01 </w:t>
                  </w:r>
                </w:p>
              </w:tc>
            </w:tr>
            <w:tr w14:paraId="25DBF73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634" w:type="pct"/>
                  <w:vMerge w:val="continue"/>
                  <w:tcBorders>
                    <w:tl2br w:val="nil"/>
                    <w:tr2bl w:val="nil"/>
                  </w:tcBorders>
                  <w:noWrap/>
                  <w:vAlign w:val="center"/>
                </w:tcPr>
                <w:p w14:paraId="4C87041C">
                  <w:pPr>
                    <w:spacing w:after="0" w:line="240" w:lineRule="auto"/>
                    <w:ind w:firstLine="0" w:firstLineChars="0"/>
                    <w:jc w:val="center"/>
                    <w:rPr>
                      <w:rFonts w:hint="default" w:ascii="Times New Roman" w:hAnsi="Times New Roman" w:cs="Times New Roman"/>
                      <w:b w:val="0"/>
                      <w:bCs w:val="0"/>
                      <w:color w:val="auto"/>
                      <w:sz w:val="21"/>
                      <w:szCs w:val="24"/>
                    </w:rPr>
                  </w:pPr>
                </w:p>
              </w:tc>
              <w:tc>
                <w:tcPr>
                  <w:tcW w:w="1331" w:type="pct"/>
                  <w:tcBorders>
                    <w:tl2br w:val="nil"/>
                    <w:tr2bl w:val="nil"/>
                  </w:tcBorders>
                  <w:noWrap/>
                  <w:vAlign w:val="center"/>
                </w:tcPr>
                <w:p w14:paraId="31D573B0">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1208后备耕地</w:t>
                  </w:r>
                </w:p>
              </w:tc>
              <w:tc>
                <w:tcPr>
                  <w:tcW w:w="1016" w:type="pct"/>
                  <w:tcBorders>
                    <w:tl2br w:val="nil"/>
                    <w:tr2bl w:val="nil"/>
                  </w:tcBorders>
                  <w:noWrap/>
                  <w:vAlign w:val="center"/>
                </w:tcPr>
                <w:p w14:paraId="6F51DF17">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3.857 </w:t>
                  </w:r>
                </w:p>
              </w:tc>
              <w:tc>
                <w:tcPr>
                  <w:tcW w:w="1016" w:type="pct"/>
                  <w:tcBorders>
                    <w:tl2br w:val="nil"/>
                    <w:tr2bl w:val="nil"/>
                  </w:tcBorders>
                  <w:noWrap/>
                  <w:vAlign w:val="center"/>
                </w:tcPr>
                <w:p w14:paraId="4D77EBCC">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0.36 </w:t>
                  </w:r>
                </w:p>
              </w:tc>
            </w:tr>
            <w:tr w14:paraId="0F448C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634" w:type="pct"/>
                  <w:tcBorders>
                    <w:tl2br w:val="nil"/>
                    <w:tr2bl w:val="nil"/>
                  </w:tcBorders>
                  <w:noWrap/>
                  <w:vAlign w:val="center"/>
                </w:tcPr>
                <w:p w14:paraId="0C066EAA">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合计</w:t>
                  </w:r>
                </w:p>
              </w:tc>
              <w:tc>
                <w:tcPr>
                  <w:tcW w:w="1331" w:type="pct"/>
                  <w:tcBorders>
                    <w:tl2br w:val="nil"/>
                    <w:tr2bl w:val="nil"/>
                  </w:tcBorders>
                  <w:noWrap/>
                  <w:vAlign w:val="center"/>
                </w:tcPr>
                <w:p w14:paraId="5CCF1706">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w:t>
                  </w:r>
                </w:p>
              </w:tc>
              <w:tc>
                <w:tcPr>
                  <w:tcW w:w="1016" w:type="pct"/>
                  <w:tcBorders>
                    <w:tl2br w:val="nil"/>
                    <w:tr2bl w:val="nil"/>
                  </w:tcBorders>
                  <w:noWrap/>
                  <w:vAlign w:val="center"/>
                </w:tcPr>
                <w:p w14:paraId="13F2F1FC">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1072.183 </w:t>
                  </w:r>
                </w:p>
              </w:tc>
              <w:tc>
                <w:tcPr>
                  <w:tcW w:w="1016" w:type="pct"/>
                  <w:tcBorders>
                    <w:tl2br w:val="nil"/>
                    <w:tr2bl w:val="nil"/>
                  </w:tcBorders>
                  <w:noWrap/>
                  <w:vAlign w:val="center"/>
                </w:tcPr>
                <w:p w14:paraId="4B0B0C8C">
                  <w:pPr>
                    <w:spacing w:after="0" w:line="240" w:lineRule="auto"/>
                    <w:ind w:firstLine="0" w:firstLineChars="0"/>
                    <w:jc w:val="center"/>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lang w:val="en-US" w:eastAsia="zh-CN"/>
                    </w:rPr>
                    <w:t xml:space="preserve">100.00 </w:t>
                  </w:r>
                </w:p>
              </w:tc>
            </w:tr>
          </w:tbl>
          <w:p w14:paraId="356E74A7">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3.</w:t>
            </w:r>
            <w:r>
              <w:rPr>
                <w:rFonts w:hint="eastAsia" w:ascii="Times New Roman" w:hAnsi="Times New Roman" w:cs="Times New Roman"/>
                <w:b/>
                <w:color w:val="auto"/>
                <w:sz w:val="24"/>
                <w:szCs w:val="24"/>
                <w:lang w:val="en-US" w:eastAsia="zh-CN"/>
              </w:rPr>
              <w:t>3</w:t>
            </w:r>
            <w:r>
              <w:rPr>
                <w:rFonts w:hint="default" w:ascii="Times New Roman" w:hAnsi="Times New Roman" w:cs="Times New Roman"/>
                <w:b/>
                <w:color w:val="auto"/>
                <w:sz w:val="24"/>
                <w:szCs w:val="24"/>
              </w:rPr>
              <w:t>环境空气质量现状</w:t>
            </w:r>
          </w:p>
          <w:p w14:paraId="0837C275">
            <w:pPr>
              <w:pStyle w:val="92"/>
              <w:keepNext w:val="0"/>
              <w:keepLines w:val="0"/>
              <w:pageBreakBefore w:val="0"/>
              <w:widowControl w:val="0"/>
              <w:kinsoku/>
              <w:wordWrap/>
              <w:overflowPunct/>
              <w:topLinePunct w:val="0"/>
              <w:bidi w:val="0"/>
              <w:adjustRightInd w:val="0"/>
              <w:snapToGrid w:val="0"/>
              <w:spacing w:line="440" w:lineRule="exact"/>
              <w:ind w:firstLine="480" w:firstLineChars="200"/>
              <w:jc w:val="both"/>
              <w:textAlignment w:val="auto"/>
              <w:rPr>
                <w:rFonts w:hint="default" w:ascii="Times New Roman" w:hAnsi="Times New Roman" w:eastAsia="宋体" w:cs="Times New Roman"/>
                <w:color w:val="auto"/>
                <w:sz w:val="24"/>
                <w:szCs w:val="24"/>
                <w:highlight w:val="none"/>
                <w:lang w:eastAsia="zh-CN"/>
              </w:rPr>
            </w:pPr>
            <w:bookmarkStart w:id="55" w:name="_Toc20057"/>
            <w:r>
              <w:rPr>
                <w:rFonts w:hint="default" w:ascii="Times New Roman" w:hAnsi="Times New Roman" w:eastAsia="宋体" w:cs="Times New Roman"/>
                <w:color w:val="auto"/>
                <w:sz w:val="24"/>
                <w:szCs w:val="24"/>
                <w:highlight w:val="none"/>
                <w:lang w:eastAsia="zh-CN"/>
              </w:rPr>
              <w:t>项目位于</w:t>
            </w:r>
            <w:r>
              <w:rPr>
                <w:rFonts w:hint="default" w:ascii="Times New Roman" w:hAnsi="Times New Roman" w:eastAsia="宋体" w:cs="Times New Roman"/>
                <w:color w:val="auto"/>
                <w:sz w:val="24"/>
                <w:szCs w:val="24"/>
                <w:highlight w:val="none"/>
                <w:lang w:val="en-US" w:eastAsia="zh-CN"/>
              </w:rPr>
              <w:t>会泽县</w:t>
            </w:r>
            <w:r>
              <w:rPr>
                <w:rFonts w:hint="eastAsia" w:ascii="Times New Roman" w:hAnsi="Times New Roman" w:eastAsia="宋体" w:cs="Times New Roman"/>
                <w:color w:val="auto"/>
                <w:sz w:val="24"/>
                <w:szCs w:val="24"/>
                <w:highlight w:val="none"/>
                <w:lang w:val="en-US" w:eastAsia="zh-CN"/>
              </w:rPr>
              <w:t>宝云街道、乐业镇、五星乡境内</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rPr>
              <w:t>属于</w:t>
            </w:r>
            <w:r>
              <w:rPr>
                <w:rFonts w:hint="eastAsia" w:ascii="Times New Roman" w:hAnsi="Times New Roman" w:eastAsia="宋体" w:cs="Times New Roman"/>
                <w:color w:val="auto"/>
                <w:sz w:val="24"/>
                <w:szCs w:val="24"/>
                <w:lang w:val="en-US" w:eastAsia="zh-CN"/>
              </w:rPr>
              <w:t>农村地区，为农村地区，属于二类环境空气质量功能区，执行《环境空气质量标准》（GB3095-2012）二级标准和《环境空气质量标准》（GB3095-2026）二级标准（过渡阶段浓度限值）。</w:t>
            </w:r>
          </w:p>
          <w:bookmarkEnd w:id="55"/>
          <w:p w14:paraId="151AEBAA">
            <w:pPr>
              <w:pStyle w:val="19"/>
              <w:keepNext w:val="0"/>
              <w:keepLines w:val="0"/>
              <w:pageBreakBefore w:val="0"/>
              <w:widowControl w:val="0"/>
              <w:pBdr>
                <w:bottom w:val="none" w:color="auto" w:sz="0" w:space="0"/>
              </w:pBd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根据云南省生态环境厅驻曲靖市生态环境监测站《曲靖市环境质量年报》（2024年），2024年，曲靖市主城区环境空气质量自动监测有效天数366天，优212天，良146天，轻度污染8天，环境空气质量优良率97.8%，环境空气质量综合指数为2.50，首要污染物（含超标污染物天气）为O</w:t>
            </w:r>
            <w:r>
              <w:rPr>
                <w:rFonts w:hint="eastAsia" w:ascii="Times New Roman" w:hAnsi="Times New Roman" w:eastAsia="宋体" w:cs="Times New Roman"/>
                <w:color w:val="auto"/>
                <w:sz w:val="24"/>
                <w:szCs w:val="24"/>
                <w:vertAlign w:val="subscript"/>
                <w:lang w:val="en-US" w:eastAsia="zh-CN"/>
              </w:rPr>
              <w:t>3</w:t>
            </w:r>
            <w:r>
              <w:rPr>
                <w:rFonts w:hint="eastAsia" w:ascii="Times New Roman" w:hAnsi="Times New Roman" w:eastAsia="宋体" w:cs="Times New Roman"/>
                <w:color w:val="auto"/>
                <w:sz w:val="24"/>
                <w:szCs w:val="24"/>
                <w:lang w:val="en-US" w:eastAsia="zh-CN"/>
              </w:rPr>
              <w:t>144天、PM</w:t>
            </w:r>
            <w:r>
              <w:rPr>
                <w:rFonts w:hint="eastAsia" w:ascii="Times New Roman" w:hAnsi="Times New Roman" w:eastAsia="宋体" w:cs="Times New Roman"/>
                <w:color w:val="auto"/>
                <w:sz w:val="24"/>
                <w:szCs w:val="24"/>
                <w:vertAlign w:val="subscript"/>
                <w:lang w:val="en-US" w:eastAsia="zh-CN"/>
              </w:rPr>
              <w:t>2.5</w:t>
            </w:r>
            <w:r>
              <w:rPr>
                <w:rFonts w:hint="eastAsia" w:ascii="Times New Roman" w:hAnsi="Times New Roman" w:eastAsia="宋体" w:cs="Times New Roman"/>
                <w:color w:val="auto"/>
                <w:sz w:val="24"/>
                <w:szCs w:val="24"/>
                <w:lang w:val="en-US" w:eastAsia="zh-CN"/>
              </w:rPr>
              <w:t>5天、PM</w:t>
            </w:r>
            <w:r>
              <w:rPr>
                <w:rFonts w:hint="eastAsia" w:ascii="Times New Roman" w:hAnsi="Times New Roman" w:eastAsia="宋体" w:cs="Times New Roman"/>
                <w:color w:val="auto"/>
                <w:sz w:val="24"/>
                <w:szCs w:val="24"/>
                <w:vertAlign w:val="subscript"/>
                <w:lang w:val="en-US" w:eastAsia="zh-CN"/>
              </w:rPr>
              <w:t xml:space="preserve">10 </w:t>
            </w:r>
            <w:r>
              <w:rPr>
                <w:rFonts w:hint="eastAsia" w:ascii="Times New Roman" w:hAnsi="Times New Roman" w:eastAsia="宋体" w:cs="Times New Roman"/>
                <w:color w:val="auto"/>
                <w:sz w:val="24"/>
                <w:szCs w:val="24"/>
                <w:lang w:val="en-US" w:eastAsia="zh-CN"/>
              </w:rPr>
              <w:t>6天。与上年同期相比，环境空气质量综合指数下降7.4个百分点，优良率上升0.3个百分点，空气质量相对提高。具体区域空气质量现状评价如下：</w:t>
            </w:r>
          </w:p>
          <w:p w14:paraId="2ABBB6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spacing w:val="0"/>
                <w:sz w:val="24"/>
                <w:highlight w:val="none"/>
                <w:lang w:val="en-US" w:eastAsia="zh-CN"/>
              </w:rPr>
            </w:pPr>
            <w:r>
              <w:rPr>
                <w:rFonts w:hint="eastAsia" w:ascii="Times New Roman" w:hAnsi="Times New Roman" w:eastAsia="宋体" w:cs="Times New Roman"/>
                <w:b/>
                <w:bCs/>
                <w:color w:val="auto"/>
                <w:spacing w:val="0"/>
                <w:sz w:val="24"/>
                <w:highlight w:val="none"/>
                <w:lang w:val="en-US" w:eastAsia="zh-CN"/>
              </w:rPr>
              <w:t>表3-2  曲靖市空气质量现状评价表</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1" w:type="dxa"/>
                <w:bottom w:w="0" w:type="dxa"/>
                <w:right w:w="51" w:type="dxa"/>
              </w:tblCellMar>
            </w:tblPr>
            <w:tblGrid>
              <w:gridCol w:w="669"/>
              <w:gridCol w:w="1717"/>
              <w:gridCol w:w="1028"/>
              <w:gridCol w:w="1028"/>
              <w:gridCol w:w="714"/>
              <w:gridCol w:w="666"/>
              <w:gridCol w:w="1028"/>
              <w:gridCol w:w="680"/>
              <w:gridCol w:w="750"/>
            </w:tblGrid>
            <w:tr w14:paraId="36EF6A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404" w:type="pct"/>
                  <w:vMerge w:val="restart"/>
                  <w:tcBorders>
                    <w:tl2br w:val="nil"/>
                    <w:tr2bl w:val="nil"/>
                  </w:tcBorders>
                  <w:noWrap w:val="0"/>
                  <w:vAlign w:val="center"/>
                </w:tcPr>
                <w:p w14:paraId="419456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zh-CN" w:eastAsia="zh-CN"/>
                    </w:rPr>
                  </w:pPr>
                  <w:r>
                    <w:rPr>
                      <w:rFonts w:hint="default" w:ascii="Times New Roman" w:hAnsi="Times New Roman" w:eastAsia="宋体" w:cs="Times New Roman"/>
                      <w:b/>
                      <w:bCs/>
                      <w:color w:val="auto"/>
                      <w:sz w:val="21"/>
                      <w:szCs w:val="21"/>
                      <w:highlight w:val="none"/>
                      <w:lang w:val="zh-CN" w:eastAsia="zh-CN"/>
                    </w:rPr>
                    <w:t>污染物</w:t>
                  </w:r>
                </w:p>
              </w:tc>
              <w:tc>
                <w:tcPr>
                  <w:tcW w:w="1036" w:type="pct"/>
                  <w:vMerge w:val="restart"/>
                  <w:tcBorders>
                    <w:tl2br w:val="nil"/>
                    <w:tr2bl w:val="nil"/>
                  </w:tcBorders>
                  <w:noWrap w:val="0"/>
                  <w:vAlign w:val="center"/>
                </w:tcPr>
                <w:p w14:paraId="4E42120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zh-CN" w:eastAsia="zh-CN"/>
                    </w:rPr>
                  </w:pPr>
                  <w:r>
                    <w:rPr>
                      <w:rFonts w:hint="default" w:ascii="Times New Roman" w:hAnsi="Times New Roman" w:eastAsia="宋体" w:cs="Times New Roman"/>
                      <w:b/>
                      <w:bCs/>
                      <w:color w:val="auto"/>
                      <w:sz w:val="21"/>
                      <w:szCs w:val="21"/>
                      <w:highlight w:val="none"/>
                      <w:lang w:val="zh-CN" w:eastAsia="zh-CN"/>
                    </w:rPr>
                    <w:t>年度评价指标</w:t>
                  </w:r>
                </w:p>
              </w:tc>
              <w:tc>
                <w:tcPr>
                  <w:tcW w:w="621" w:type="pct"/>
                  <w:vMerge w:val="restart"/>
                  <w:tcBorders>
                    <w:tl2br w:val="nil"/>
                    <w:tr2bl w:val="nil"/>
                  </w:tcBorders>
                  <w:noWrap w:val="0"/>
                  <w:vAlign w:val="center"/>
                </w:tcPr>
                <w:p w14:paraId="5A29952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zh-CN" w:eastAsia="zh-CN"/>
                    </w:rPr>
                  </w:pPr>
                  <w:r>
                    <w:rPr>
                      <w:rFonts w:hint="default" w:ascii="Times New Roman" w:hAnsi="Times New Roman" w:eastAsia="宋体" w:cs="Times New Roman"/>
                      <w:b/>
                      <w:bCs/>
                      <w:color w:val="auto"/>
                      <w:sz w:val="21"/>
                      <w:szCs w:val="21"/>
                      <w:highlight w:val="none"/>
                      <w:lang w:val="zh-CN" w:eastAsia="zh-CN"/>
                    </w:rPr>
                    <w:t>现状浓度（µg/m³）</w:t>
                  </w:r>
                </w:p>
              </w:tc>
              <w:tc>
                <w:tcPr>
                  <w:tcW w:w="1454" w:type="pct"/>
                  <w:gridSpan w:val="3"/>
                  <w:tcBorders>
                    <w:tl2br w:val="nil"/>
                    <w:tr2bl w:val="nil"/>
                  </w:tcBorders>
                  <w:noWrap w:val="0"/>
                  <w:vAlign w:val="center"/>
                </w:tcPr>
                <w:p w14:paraId="16CA3D4A">
                  <w:pPr>
                    <w:keepNext w:val="0"/>
                    <w:keepLines w:val="0"/>
                    <w:pageBreakBefore w:val="0"/>
                    <w:widowControl w:val="0"/>
                    <w:tabs>
                      <w:tab w:val="left" w:pos="180"/>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lang w:val="zh-CN" w:eastAsia="zh-CN"/>
                    </w:rPr>
                  </w:pPr>
                  <w:r>
                    <w:rPr>
                      <w:rFonts w:hint="default" w:ascii="Times New Roman" w:hAnsi="Times New Roman" w:eastAsia="宋体" w:cs="Times New Roman"/>
                      <w:b/>
                      <w:bCs/>
                      <w:color w:val="auto"/>
                      <w:sz w:val="21"/>
                      <w:szCs w:val="21"/>
                      <w:lang w:val="en-US" w:eastAsia="zh-CN"/>
                    </w:rPr>
                    <w:t>《环境空气质量标准》（GB3095-2012）二级标准</w:t>
                  </w:r>
                </w:p>
              </w:tc>
              <w:tc>
                <w:tcPr>
                  <w:tcW w:w="1483" w:type="pct"/>
                  <w:gridSpan w:val="3"/>
                  <w:tcBorders>
                    <w:tl2br w:val="nil"/>
                    <w:tr2bl w:val="nil"/>
                  </w:tcBorders>
                  <w:noWrap w:val="0"/>
                  <w:vAlign w:val="center"/>
                </w:tcPr>
                <w:p w14:paraId="7580C23D">
                  <w:pPr>
                    <w:keepNext w:val="0"/>
                    <w:keepLines w:val="0"/>
                    <w:pageBreakBefore w:val="0"/>
                    <w:widowControl w:val="0"/>
                    <w:tabs>
                      <w:tab w:val="left" w:pos="180"/>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lang w:val="zh-CN" w:eastAsia="zh-CN"/>
                    </w:rPr>
                  </w:pPr>
                  <w:r>
                    <w:rPr>
                      <w:rFonts w:hint="default" w:ascii="Times New Roman" w:hAnsi="Times New Roman" w:eastAsia="宋体" w:cs="Times New Roman"/>
                      <w:b/>
                      <w:bCs/>
                      <w:color w:val="auto"/>
                      <w:sz w:val="21"/>
                      <w:szCs w:val="21"/>
                      <w:lang w:val="en-US" w:eastAsia="zh-CN"/>
                    </w:rPr>
                    <w:t>《环境空气质量标准》（GB3095-2026）二级标准（过渡阶段浓度限值）</w:t>
                  </w:r>
                </w:p>
              </w:tc>
            </w:tr>
            <w:tr w14:paraId="1D9EC4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404" w:type="pct"/>
                  <w:vMerge w:val="continue"/>
                  <w:tcBorders>
                    <w:tl2br w:val="nil"/>
                    <w:tr2bl w:val="nil"/>
                  </w:tcBorders>
                  <w:noWrap w:val="0"/>
                  <w:vAlign w:val="center"/>
                </w:tcPr>
                <w:p w14:paraId="45DB1E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p>
              </w:tc>
              <w:tc>
                <w:tcPr>
                  <w:tcW w:w="1036" w:type="pct"/>
                  <w:vMerge w:val="continue"/>
                  <w:tcBorders>
                    <w:tl2br w:val="nil"/>
                    <w:tr2bl w:val="nil"/>
                  </w:tcBorders>
                  <w:noWrap w:val="0"/>
                  <w:vAlign w:val="center"/>
                </w:tcPr>
                <w:p w14:paraId="490564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p>
              </w:tc>
              <w:tc>
                <w:tcPr>
                  <w:tcW w:w="621" w:type="pct"/>
                  <w:vMerge w:val="continue"/>
                  <w:tcBorders>
                    <w:tl2br w:val="nil"/>
                    <w:tr2bl w:val="nil"/>
                  </w:tcBorders>
                  <w:noWrap w:val="0"/>
                  <w:vAlign w:val="center"/>
                </w:tcPr>
                <w:p w14:paraId="1D57A6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zh-CN" w:eastAsia="zh-CN"/>
                    </w:rPr>
                  </w:pPr>
                </w:p>
              </w:tc>
              <w:tc>
                <w:tcPr>
                  <w:tcW w:w="621" w:type="pct"/>
                  <w:tcBorders>
                    <w:tl2br w:val="nil"/>
                    <w:tr2bl w:val="nil"/>
                  </w:tcBorders>
                  <w:noWrap w:val="0"/>
                  <w:vAlign w:val="center"/>
                </w:tcPr>
                <w:p w14:paraId="6D8D90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zh-CN" w:eastAsia="zh-CN"/>
                    </w:rPr>
                  </w:pPr>
                  <w:r>
                    <w:rPr>
                      <w:rFonts w:hint="default" w:ascii="Times New Roman" w:hAnsi="Times New Roman" w:eastAsia="宋体" w:cs="Times New Roman"/>
                      <w:b/>
                      <w:bCs/>
                      <w:color w:val="auto"/>
                      <w:sz w:val="21"/>
                      <w:szCs w:val="21"/>
                      <w:highlight w:val="none"/>
                      <w:lang w:val="zh-CN" w:eastAsia="zh-CN"/>
                    </w:rPr>
                    <w:t>标准值（µg/m³）</w:t>
                  </w:r>
                </w:p>
              </w:tc>
              <w:tc>
                <w:tcPr>
                  <w:tcW w:w="431" w:type="pct"/>
                  <w:tcBorders>
                    <w:tl2br w:val="nil"/>
                    <w:tr2bl w:val="nil"/>
                  </w:tcBorders>
                  <w:noWrap w:val="0"/>
                  <w:vAlign w:val="center"/>
                </w:tcPr>
                <w:p w14:paraId="021DC1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zh-CN" w:eastAsia="zh-CN"/>
                    </w:rPr>
                  </w:pPr>
                  <w:r>
                    <w:rPr>
                      <w:rFonts w:hint="default" w:ascii="Times New Roman" w:hAnsi="Times New Roman" w:eastAsia="宋体" w:cs="Times New Roman"/>
                      <w:b/>
                      <w:bCs/>
                      <w:color w:val="auto"/>
                      <w:sz w:val="21"/>
                      <w:szCs w:val="21"/>
                      <w:highlight w:val="none"/>
                      <w:lang w:val="zh-CN" w:eastAsia="zh-CN"/>
                    </w:rPr>
                    <w:t>占标率/%</w:t>
                  </w:r>
                </w:p>
              </w:tc>
              <w:tc>
                <w:tcPr>
                  <w:tcW w:w="402" w:type="pct"/>
                  <w:tcBorders>
                    <w:tl2br w:val="nil"/>
                    <w:tr2bl w:val="nil"/>
                  </w:tcBorders>
                  <w:noWrap w:val="0"/>
                  <w:vAlign w:val="center"/>
                </w:tcPr>
                <w:p w14:paraId="674C76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zh-CN" w:eastAsia="zh-CN"/>
                    </w:rPr>
                  </w:pPr>
                  <w:r>
                    <w:rPr>
                      <w:rFonts w:hint="default" w:ascii="Times New Roman" w:hAnsi="Times New Roman" w:eastAsia="宋体" w:cs="Times New Roman"/>
                      <w:b/>
                      <w:bCs/>
                      <w:color w:val="auto"/>
                      <w:sz w:val="21"/>
                      <w:szCs w:val="21"/>
                      <w:highlight w:val="none"/>
                      <w:lang w:val="zh-CN" w:eastAsia="zh-CN"/>
                    </w:rPr>
                    <w:t>达标情况</w:t>
                  </w:r>
                </w:p>
              </w:tc>
              <w:tc>
                <w:tcPr>
                  <w:tcW w:w="621" w:type="pct"/>
                  <w:tcBorders>
                    <w:tl2br w:val="nil"/>
                    <w:tr2bl w:val="nil"/>
                  </w:tcBorders>
                  <w:noWrap w:val="0"/>
                  <w:vAlign w:val="center"/>
                </w:tcPr>
                <w:p w14:paraId="5E432BB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zh-CN" w:eastAsia="zh-CN"/>
                    </w:rPr>
                  </w:pPr>
                  <w:r>
                    <w:rPr>
                      <w:rFonts w:hint="default" w:ascii="Times New Roman" w:hAnsi="Times New Roman" w:eastAsia="宋体" w:cs="Times New Roman"/>
                      <w:b/>
                      <w:bCs/>
                      <w:color w:val="auto"/>
                      <w:sz w:val="21"/>
                      <w:szCs w:val="21"/>
                      <w:highlight w:val="none"/>
                      <w:lang w:val="zh-CN" w:eastAsia="zh-CN"/>
                    </w:rPr>
                    <w:t>标准值（µg/m³）</w:t>
                  </w:r>
                </w:p>
              </w:tc>
              <w:tc>
                <w:tcPr>
                  <w:tcW w:w="410" w:type="pct"/>
                  <w:tcBorders>
                    <w:tl2br w:val="nil"/>
                    <w:tr2bl w:val="nil"/>
                  </w:tcBorders>
                  <w:noWrap w:val="0"/>
                  <w:vAlign w:val="center"/>
                </w:tcPr>
                <w:p w14:paraId="02F3F95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zh-CN" w:eastAsia="zh-CN"/>
                    </w:rPr>
                  </w:pPr>
                  <w:r>
                    <w:rPr>
                      <w:rFonts w:hint="default" w:ascii="Times New Roman" w:hAnsi="Times New Roman" w:eastAsia="宋体" w:cs="Times New Roman"/>
                      <w:b/>
                      <w:bCs/>
                      <w:color w:val="auto"/>
                      <w:sz w:val="21"/>
                      <w:szCs w:val="21"/>
                      <w:highlight w:val="none"/>
                      <w:lang w:val="zh-CN" w:eastAsia="zh-CN"/>
                    </w:rPr>
                    <w:t>占标率/%</w:t>
                  </w:r>
                </w:p>
              </w:tc>
              <w:tc>
                <w:tcPr>
                  <w:tcW w:w="451" w:type="pct"/>
                  <w:tcBorders>
                    <w:tl2br w:val="nil"/>
                    <w:tr2bl w:val="nil"/>
                  </w:tcBorders>
                  <w:noWrap w:val="0"/>
                  <w:vAlign w:val="center"/>
                </w:tcPr>
                <w:p w14:paraId="16098F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zh-CN" w:eastAsia="zh-CN"/>
                    </w:rPr>
                  </w:pPr>
                  <w:r>
                    <w:rPr>
                      <w:rFonts w:hint="default" w:ascii="Times New Roman" w:hAnsi="Times New Roman" w:eastAsia="宋体" w:cs="Times New Roman"/>
                      <w:b/>
                      <w:bCs/>
                      <w:color w:val="auto"/>
                      <w:sz w:val="21"/>
                      <w:szCs w:val="21"/>
                      <w:highlight w:val="none"/>
                      <w:lang w:val="zh-CN" w:eastAsia="zh-CN"/>
                    </w:rPr>
                    <w:t>达标情况</w:t>
                  </w:r>
                </w:p>
              </w:tc>
            </w:tr>
            <w:tr w14:paraId="1C8553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404" w:type="pct"/>
                  <w:tcBorders>
                    <w:tl2br w:val="nil"/>
                    <w:tr2bl w:val="nil"/>
                  </w:tcBorders>
                  <w:noWrap w:val="0"/>
                  <w:vAlign w:val="center"/>
                </w:tcPr>
                <w:p w14:paraId="3861F3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SO</w:t>
                  </w:r>
                  <w:r>
                    <w:rPr>
                      <w:rFonts w:hint="default" w:ascii="Times New Roman" w:hAnsi="Times New Roman" w:eastAsia="宋体" w:cs="Times New Roman"/>
                      <w:color w:val="auto"/>
                      <w:sz w:val="21"/>
                      <w:szCs w:val="21"/>
                      <w:highlight w:val="none"/>
                      <w:vertAlign w:val="subscript"/>
                      <w:lang w:val="zh-CN" w:eastAsia="zh-CN"/>
                    </w:rPr>
                    <w:t>2</w:t>
                  </w:r>
                </w:p>
              </w:tc>
              <w:tc>
                <w:tcPr>
                  <w:tcW w:w="1036" w:type="pct"/>
                  <w:tcBorders>
                    <w:tl2br w:val="nil"/>
                    <w:tr2bl w:val="nil"/>
                  </w:tcBorders>
                  <w:noWrap w:val="0"/>
                  <w:vAlign w:val="center"/>
                </w:tcPr>
                <w:p w14:paraId="6BBB8C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年平均质量浓度</w:t>
                  </w:r>
                </w:p>
              </w:tc>
              <w:tc>
                <w:tcPr>
                  <w:tcW w:w="621" w:type="pct"/>
                  <w:tcBorders>
                    <w:tl2br w:val="nil"/>
                    <w:tr2bl w:val="nil"/>
                  </w:tcBorders>
                  <w:noWrap w:val="0"/>
                  <w:vAlign w:val="center"/>
                </w:tcPr>
                <w:p w14:paraId="27D6C01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7</w:t>
                  </w:r>
                </w:p>
              </w:tc>
              <w:tc>
                <w:tcPr>
                  <w:tcW w:w="621" w:type="pct"/>
                  <w:tcBorders>
                    <w:tl2br w:val="nil"/>
                    <w:tr2bl w:val="nil"/>
                  </w:tcBorders>
                  <w:noWrap w:val="0"/>
                  <w:vAlign w:val="center"/>
                </w:tcPr>
                <w:p w14:paraId="19E0FC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60</w:t>
                  </w:r>
                </w:p>
              </w:tc>
              <w:tc>
                <w:tcPr>
                  <w:tcW w:w="726" w:type="dxa"/>
                  <w:tcBorders>
                    <w:tl2br w:val="nil"/>
                    <w:tr2bl w:val="nil"/>
                  </w:tcBorders>
                  <w:noWrap w:val="0"/>
                  <w:vAlign w:val="center"/>
                </w:tcPr>
                <w:p w14:paraId="3B20F10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11.67 </w:t>
                  </w:r>
                </w:p>
              </w:tc>
              <w:tc>
                <w:tcPr>
                  <w:tcW w:w="402" w:type="pct"/>
                  <w:tcBorders>
                    <w:tl2br w:val="nil"/>
                    <w:tr2bl w:val="nil"/>
                  </w:tcBorders>
                  <w:noWrap w:val="0"/>
                  <w:vAlign w:val="center"/>
                </w:tcPr>
                <w:p w14:paraId="200EF1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达标</w:t>
                  </w:r>
                </w:p>
              </w:tc>
              <w:tc>
                <w:tcPr>
                  <w:tcW w:w="621" w:type="pct"/>
                  <w:tcBorders>
                    <w:tl2br w:val="nil"/>
                    <w:tr2bl w:val="nil"/>
                  </w:tcBorders>
                  <w:noWrap w:val="0"/>
                  <w:vAlign w:val="center"/>
                </w:tcPr>
                <w:p w14:paraId="19496D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60</w:t>
                  </w:r>
                </w:p>
              </w:tc>
              <w:tc>
                <w:tcPr>
                  <w:tcW w:w="691" w:type="dxa"/>
                  <w:tcBorders>
                    <w:tl2br w:val="nil"/>
                    <w:tr2bl w:val="nil"/>
                  </w:tcBorders>
                  <w:noWrap w:val="0"/>
                  <w:vAlign w:val="center"/>
                </w:tcPr>
                <w:p w14:paraId="1EB0964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i w:val="0"/>
                      <w:iCs w:val="0"/>
                      <w:color w:val="auto"/>
                      <w:kern w:val="0"/>
                      <w:sz w:val="21"/>
                      <w:szCs w:val="21"/>
                      <w:u w:val="none"/>
                      <w:lang w:val="en-US" w:eastAsia="zh-CN" w:bidi="ar"/>
                    </w:rPr>
                    <w:t xml:space="preserve">11.67 </w:t>
                  </w:r>
                </w:p>
              </w:tc>
              <w:tc>
                <w:tcPr>
                  <w:tcW w:w="451" w:type="pct"/>
                  <w:tcBorders>
                    <w:tl2br w:val="nil"/>
                    <w:tr2bl w:val="nil"/>
                  </w:tcBorders>
                  <w:noWrap w:val="0"/>
                  <w:vAlign w:val="center"/>
                </w:tcPr>
                <w:p w14:paraId="0EBF81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达标</w:t>
                  </w:r>
                </w:p>
              </w:tc>
            </w:tr>
            <w:tr w14:paraId="5DEAB7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404" w:type="pct"/>
                  <w:tcBorders>
                    <w:tl2br w:val="nil"/>
                    <w:tr2bl w:val="nil"/>
                  </w:tcBorders>
                  <w:noWrap w:val="0"/>
                  <w:vAlign w:val="center"/>
                </w:tcPr>
                <w:p w14:paraId="516A9EF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NO</w:t>
                  </w:r>
                  <w:r>
                    <w:rPr>
                      <w:rFonts w:hint="default" w:ascii="Times New Roman" w:hAnsi="Times New Roman" w:eastAsia="宋体" w:cs="Times New Roman"/>
                      <w:color w:val="auto"/>
                      <w:sz w:val="21"/>
                      <w:szCs w:val="21"/>
                      <w:highlight w:val="none"/>
                      <w:vertAlign w:val="subscript"/>
                      <w:lang w:val="zh-CN" w:eastAsia="zh-CN"/>
                    </w:rPr>
                    <w:t>2</w:t>
                  </w:r>
                </w:p>
              </w:tc>
              <w:tc>
                <w:tcPr>
                  <w:tcW w:w="1036" w:type="pct"/>
                  <w:tcBorders>
                    <w:tl2br w:val="nil"/>
                    <w:tr2bl w:val="nil"/>
                  </w:tcBorders>
                  <w:noWrap w:val="0"/>
                  <w:vAlign w:val="center"/>
                </w:tcPr>
                <w:p w14:paraId="4F00415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年平均质量浓度</w:t>
                  </w:r>
                </w:p>
              </w:tc>
              <w:tc>
                <w:tcPr>
                  <w:tcW w:w="621" w:type="pct"/>
                  <w:tcBorders>
                    <w:tl2br w:val="nil"/>
                    <w:tr2bl w:val="nil"/>
                  </w:tcBorders>
                  <w:noWrap w:val="0"/>
                  <w:vAlign w:val="center"/>
                </w:tcPr>
                <w:p w14:paraId="636ADAD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13</w:t>
                  </w:r>
                </w:p>
              </w:tc>
              <w:tc>
                <w:tcPr>
                  <w:tcW w:w="621" w:type="pct"/>
                  <w:tcBorders>
                    <w:tl2br w:val="nil"/>
                    <w:tr2bl w:val="nil"/>
                  </w:tcBorders>
                  <w:noWrap w:val="0"/>
                  <w:vAlign w:val="center"/>
                </w:tcPr>
                <w:p w14:paraId="626937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40</w:t>
                  </w:r>
                </w:p>
              </w:tc>
              <w:tc>
                <w:tcPr>
                  <w:tcW w:w="726" w:type="dxa"/>
                  <w:tcBorders>
                    <w:tl2br w:val="nil"/>
                    <w:tr2bl w:val="nil"/>
                  </w:tcBorders>
                  <w:noWrap w:val="0"/>
                  <w:vAlign w:val="center"/>
                </w:tcPr>
                <w:p w14:paraId="1B59BE1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32.50 </w:t>
                  </w:r>
                </w:p>
              </w:tc>
              <w:tc>
                <w:tcPr>
                  <w:tcW w:w="402" w:type="pct"/>
                  <w:tcBorders>
                    <w:tl2br w:val="nil"/>
                    <w:tr2bl w:val="nil"/>
                  </w:tcBorders>
                  <w:noWrap w:val="0"/>
                  <w:vAlign w:val="center"/>
                </w:tcPr>
                <w:p w14:paraId="53FCC0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达标</w:t>
                  </w:r>
                </w:p>
              </w:tc>
              <w:tc>
                <w:tcPr>
                  <w:tcW w:w="621" w:type="pct"/>
                  <w:tcBorders>
                    <w:tl2br w:val="nil"/>
                    <w:tr2bl w:val="nil"/>
                  </w:tcBorders>
                  <w:noWrap w:val="0"/>
                  <w:vAlign w:val="center"/>
                </w:tcPr>
                <w:p w14:paraId="785D68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40</w:t>
                  </w:r>
                </w:p>
              </w:tc>
              <w:tc>
                <w:tcPr>
                  <w:tcW w:w="691" w:type="dxa"/>
                  <w:tcBorders>
                    <w:tl2br w:val="nil"/>
                    <w:tr2bl w:val="nil"/>
                  </w:tcBorders>
                  <w:noWrap w:val="0"/>
                  <w:vAlign w:val="center"/>
                </w:tcPr>
                <w:p w14:paraId="1C9109E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i w:val="0"/>
                      <w:iCs w:val="0"/>
                      <w:color w:val="auto"/>
                      <w:kern w:val="0"/>
                      <w:sz w:val="21"/>
                      <w:szCs w:val="21"/>
                      <w:u w:val="none"/>
                      <w:lang w:val="en-US" w:eastAsia="zh-CN" w:bidi="ar"/>
                    </w:rPr>
                    <w:t xml:space="preserve">32.50 </w:t>
                  </w:r>
                </w:p>
              </w:tc>
              <w:tc>
                <w:tcPr>
                  <w:tcW w:w="451" w:type="pct"/>
                  <w:tcBorders>
                    <w:tl2br w:val="nil"/>
                    <w:tr2bl w:val="nil"/>
                  </w:tcBorders>
                  <w:noWrap w:val="0"/>
                  <w:vAlign w:val="center"/>
                </w:tcPr>
                <w:p w14:paraId="2ACA44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达标</w:t>
                  </w:r>
                </w:p>
              </w:tc>
            </w:tr>
            <w:tr w14:paraId="3D39C8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404" w:type="pct"/>
                  <w:tcBorders>
                    <w:tl2br w:val="nil"/>
                    <w:tr2bl w:val="nil"/>
                  </w:tcBorders>
                  <w:noWrap w:val="0"/>
                  <w:vAlign w:val="center"/>
                </w:tcPr>
                <w:p w14:paraId="172ED9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PM</w:t>
                  </w:r>
                  <w:r>
                    <w:rPr>
                      <w:rFonts w:hint="default" w:ascii="Times New Roman" w:hAnsi="Times New Roman" w:eastAsia="宋体" w:cs="Times New Roman"/>
                      <w:color w:val="auto"/>
                      <w:sz w:val="21"/>
                      <w:szCs w:val="21"/>
                      <w:highlight w:val="none"/>
                      <w:vertAlign w:val="subscript"/>
                      <w:lang w:val="zh-CN" w:eastAsia="zh-CN"/>
                    </w:rPr>
                    <w:t>10</w:t>
                  </w:r>
                </w:p>
              </w:tc>
              <w:tc>
                <w:tcPr>
                  <w:tcW w:w="1036" w:type="pct"/>
                  <w:tcBorders>
                    <w:tl2br w:val="nil"/>
                    <w:tr2bl w:val="nil"/>
                  </w:tcBorders>
                  <w:noWrap w:val="0"/>
                  <w:vAlign w:val="center"/>
                </w:tcPr>
                <w:p w14:paraId="341C580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年平均质量浓度</w:t>
                  </w:r>
                </w:p>
              </w:tc>
              <w:tc>
                <w:tcPr>
                  <w:tcW w:w="621" w:type="pct"/>
                  <w:tcBorders>
                    <w:tl2br w:val="nil"/>
                    <w:tr2bl w:val="nil"/>
                  </w:tcBorders>
                  <w:noWrap w:val="0"/>
                  <w:vAlign w:val="center"/>
                </w:tcPr>
                <w:p w14:paraId="76BE882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32</w:t>
                  </w:r>
                </w:p>
              </w:tc>
              <w:tc>
                <w:tcPr>
                  <w:tcW w:w="621" w:type="pct"/>
                  <w:tcBorders>
                    <w:tl2br w:val="nil"/>
                    <w:tr2bl w:val="nil"/>
                  </w:tcBorders>
                  <w:noWrap w:val="0"/>
                  <w:vAlign w:val="center"/>
                </w:tcPr>
                <w:p w14:paraId="3A0E6E5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70</w:t>
                  </w:r>
                </w:p>
              </w:tc>
              <w:tc>
                <w:tcPr>
                  <w:tcW w:w="726" w:type="dxa"/>
                  <w:tcBorders>
                    <w:tl2br w:val="nil"/>
                    <w:tr2bl w:val="nil"/>
                  </w:tcBorders>
                  <w:noWrap w:val="0"/>
                  <w:vAlign w:val="center"/>
                </w:tcPr>
                <w:p w14:paraId="389302A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45.71 </w:t>
                  </w:r>
                </w:p>
              </w:tc>
              <w:tc>
                <w:tcPr>
                  <w:tcW w:w="402" w:type="pct"/>
                  <w:tcBorders>
                    <w:tl2br w:val="nil"/>
                    <w:tr2bl w:val="nil"/>
                  </w:tcBorders>
                  <w:noWrap w:val="0"/>
                  <w:vAlign w:val="center"/>
                </w:tcPr>
                <w:p w14:paraId="51D412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达标</w:t>
                  </w:r>
                </w:p>
              </w:tc>
              <w:tc>
                <w:tcPr>
                  <w:tcW w:w="621" w:type="pct"/>
                  <w:tcBorders>
                    <w:tl2br w:val="nil"/>
                    <w:tr2bl w:val="nil"/>
                  </w:tcBorders>
                  <w:noWrap w:val="0"/>
                  <w:vAlign w:val="center"/>
                </w:tcPr>
                <w:p w14:paraId="4FF82E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lang w:val="zh-CN" w:eastAsia="zh-CN"/>
                    </w:rPr>
                    <w:t>0</w:t>
                  </w:r>
                </w:p>
              </w:tc>
              <w:tc>
                <w:tcPr>
                  <w:tcW w:w="691" w:type="dxa"/>
                  <w:tcBorders>
                    <w:tl2br w:val="nil"/>
                    <w:tr2bl w:val="nil"/>
                  </w:tcBorders>
                  <w:noWrap w:val="0"/>
                  <w:vAlign w:val="center"/>
                </w:tcPr>
                <w:p w14:paraId="6BA95BB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i w:val="0"/>
                      <w:iCs w:val="0"/>
                      <w:color w:val="auto"/>
                      <w:kern w:val="0"/>
                      <w:sz w:val="21"/>
                      <w:szCs w:val="21"/>
                      <w:u w:val="none"/>
                      <w:lang w:val="en-US" w:eastAsia="zh-CN" w:bidi="ar"/>
                    </w:rPr>
                    <w:t xml:space="preserve">53.33 </w:t>
                  </w:r>
                </w:p>
              </w:tc>
              <w:tc>
                <w:tcPr>
                  <w:tcW w:w="451" w:type="pct"/>
                  <w:tcBorders>
                    <w:tl2br w:val="nil"/>
                    <w:tr2bl w:val="nil"/>
                  </w:tcBorders>
                  <w:noWrap w:val="0"/>
                  <w:vAlign w:val="center"/>
                </w:tcPr>
                <w:p w14:paraId="1DF0DA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达标</w:t>
                  </w:r>
                </w:p>
              </w:tc>
            </w:tr>
            <w:tr w14:paraId="5076C5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404" w:type="pct"/>
                  <w:tcBorders>
                    <w:tl2br w:val="nil"/>
                    <w:tr2bl w:val="nil"/>
                  </w:tcBorders>
                  <w:noWrap w:val="0"/>
                  <w:vAlign w:val="center"/>
                </w:tcPr>
                <w:p w14:paraId="1B08D2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PM</w:t>
                  </w:r>
                  <w:r>
                    <w:rPr>
                      <w:rFonts w:hint="default" w:ascii="Times New Roman" w:hAnsi="Times New Roman" w:eastAsia="宋体" w:cs="Times New Roman"/>
                      <w:color w:val="auto"/>
                      <w:sz w:val="21"/>
                      <w:szCs w:val="21"/>
                      <w:highlight w:val="none"/>
                      <w:vertAlign w:val="subscript"/>
                      <w:lang w:val="zh-CN" w:eastAsia="zh-CN"/>
                    </w:rPr>
                    <w:t>2.5</w:t>
                  </w:r>
                </w:p>
              </w:tc>
              <w:tc>
                <w:tcPr>
                  <w:tcW w:w="1036" w:type="pct"/>
                  <w:tcBorders>
                    <w:tl2br w:val="nil"/>
                    <w:tr2bl w:val="nil"/>
                  </w:tcBorders>
                  <w:noWrap w:val="0"/>
                  <w:vAlign w:val="center"/>
                </w:tcPr>
                <w:p w14:paraId="029D21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年平均质量浓度</w:t>
                  </w:r>
                </w:p>
              </w:tc>
              <w:tc>
                <w:tcPr>
                  <w:tcW w:w="621" w:type="pct"/>
                  <w:tcBorders>
                    <w:tl2br w:val="nil"/>
                    <w:tr2bl w:val="nil"/>
                  </w:tcBorders>
                  <w:noWrap w:val="0"/>
                  <w:vAlign w:val="center"/>
                </w:tcPr>
                <w:p w14:paraId="130CF152">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19</w:t>
                  </w:r>
                </w:p>
              </w:tc>
              <w:tc>
                <w:tcPr>
                  <w:tcW w:w="621" w:type="pct"/>
                  <w:tcBorders>
                    <w:tl2br w:val="nil"/>
                    <w:tr2bl w:val="nil"/>
                  </w:tcBorders>
                  <w:noWrap w:val="0"/>
                  <w:vAlign w:val="center"/>
                </w:tcPr>
                <w:p w14:paraId="5D46B69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35</w:t>
                  </w:r>
                </w:p>
              </w:tc>
              <w:tc>
                <w:tcPr>
                  <w:tcW w:w="726" w:type="dxa"/>
                  <w:tcBorders>
                    <w:tl2br w:val="nil"/>
                    <w:tr2bl w:val="nil"/>
                  </w:tcBorders>
                  <w:noWrap w:val="0"/>
                  <w:vAlign w:val="center"/>
                </w:tcPr>
                <w:p w14:paraId="22B7FC2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54.29 </w:t>
                  </w:r>
                </w:p>
              </w:tc>
              <w:tc>
                <w:tcPr>
                  <w:tcW w:w="402" w:type="pct"/>
                  <w:tcBorders>
                    <w:tl2br w:val="nil"/>
                    <w:tr2bl w:val="nil"/>
                  </w:tcBorders>
                  <w:noWrap w:val="0"/>
                  <w:vAlign w:val="center"/>
                </w:tcPr>
                <w:p w14:paraId="7436FB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达标</w:t>
                  </w:r>
                </w:p>
              </w:tc>
              <w:tc>
                <w:tcPr>
                  <w:tcW w:w="621" w:type="pct"/>
                  <w:tcBorders>
                    <w:tl2br w:val="nil"/>
                    <w:tr2bl w:val="nil"/>
                  </w:tcBorders>
                  <w:noWrap w:val="0"/>
                  <w:vAlign w:val="center"/>
                </w:tcPr>
                <w:p w14:paraId="398F07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3</w:t>
                  </w:r>
                  <w:r>
                    <w:rPr>
                      <w:rFonts w:hint="default" w:ascii="Times New Roman" w:hAnsi="Times New Roman" w:eastAsia="宋体" w:cs="Times New Roman"/>
                      <w:color w:val="auto"/>
                      <w:sz w:val="21"/>
                      <w:szCs w:val="21"/>
                      <w:highlight w:val="none"/>
                      <w:lang w:val="en-US" w:eastAsia="zh-CN"/>
                    </w:rPr>
                    <w:t>0</w:t>
                  </w:r>
                </w:p>
              </w:tc>
              <w:tc>
                <w:tcPr>
                  <w:tcW w:w="691" w:type="dxa"/>
                  <w:tcBorders>
                    <w:tl2br w:val="nil"/>
                    <w:tr2bl w:val="nil"/>
                  </w:tcBorders>
                  <w:noWrap w:val="0"/>
                  <w:vAlign w:val="center"/>
                </w:tcPr>
                <w:p w14:paraId="3D74FBF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i w:val="0"/>
                      <w:iCs w:val="0"/>
                      <w:color w:val="auto"/>
                      <w:kern w:val="0"/>
                      <w:sz w:val="21"/>
                      <w:szCs w:val="21"/>
                      <w:u w:val="none"/>
                      <w:lang w:val="en-US" w:eastAsia="zh-CN" w:bidi="ar"/>
                    </w:rPr>
                    <w:t xml:space="preserve">63.33 </w:t>
                  </w:r>
                </w:p>
              </w:tc>
              <w:tc>
                <w:tcPr>
                  <w:tcW w:w="451" w:type="pct"/>
                  <w:tcBorders>
                    <w:tl2br w:val="nil"/>
                    <w:tr2bl w:val="nil"/>
                  </w:tcBorders>
                  <w:noWrap w:val="0"/>
                  <w:vAlign w:val="center"/>
                </w:tcPr>
                <w:p w14:paraId="572A6E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达标</w:t>
                  </w:r>
                </w:p>
              </w:tc>
            </w:tr>
            <w:tr w14:paraId="2E0620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404" w:type="pct"/>
                  <w:tcBorders>
                    <w:tl2br w:val="nil"/>
                    <w:tr2bl w:val="nil"/>
                  </w:tcBorders>
                  <w:noWrap w:val="0"/>
                  <w:vAlign w:val="center"/>
                </w:tcPr>
                <w:p w14:paraId="45FECC9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CO</w:t>
                  </w:r>
                </w:p>
              </w:tc>
              <w:tc>
                <w:tcPr>
                  <w:tcW w:w="1036" w:type="pct"/>
                  <w:tcBorders>
                    <w:tl2br w:val="nil"/>
                    <w:tr2bl w:val="nil"/>
                  </w:tcBorders>
                  <w:noWrap w:val="0"/>
                  <w:vAlign w:val="center"/>
                </w:tcPr>
                <w:p w14:paraId="2721AA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95%日平均质量浓度（</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lang w:val="zh-CN" w:eastAsia="zh-CN"/>
                    </w:rPr>
                    <w:t>g/m³）</w:t>
                  </w:r>
                </w:p>
              </w:tc>
              <w:tc>
                <w:tcPr>
                  <w:tcW w:w="621" w:type="pct"/>
                  <w:tcBorders>
                    <w:tl2br w:val="nil"/>
                    <w:tr2bl w:val="nil"/>
                  </w:tcBorders>
                  <w:noWrap w:val="0"/>
                  <w:vAlign w:val="center"/>
                </w:tcPr>
                <w:p w14:paraId="2675F87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0.8</w:t>
                  </w:r>
                </w:p>
              </w:tc>
              <w:tc>
                <w:tcPr>
                  <w:tcW w:w="621" w:type="pct"/>
                  <w:tcBorders>
                    <w:tl2br w:val="nil"/>
                    <w:tr2bl w:val="nil"/>
                  </w:tcBorders>
                  <w:noWrap w:val="0"/>
                  <w:vAlign w:val="center"/>
                </w:tcPr>
                <w:p w14:paraId="20C9155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4.0</w:t>
                  </w:r>
                </w:p>
              </w:tc>
              <w:tc>
                <w:tcPr>
                  <w:tcW w:w="726" w:type="dxa"/>
                  <w:tcBorders>
                    <w:tl2br w:val="nil"/>
                    <w:tr2bl w:val="nil"/>
                  </w:tcBorders>
                  <w:noWrap w:val="0"/>
                  <w:vAlign w:val="center"/>
                </w:tcPr>
                <w:p w14:paraId="7D8921D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20.00 </w:t>
                  </w:r>
                </w:p>
              </w:tc>
              <w:tc>
                <w:tcPr>
                  <w:tcW w:w="402" w:type="pct"/>
                  <w:tcBorders>
                    <w:tl2br w:val="nil"/>
                    <w:tr2bl w:val="nil"/>
                  </w:tcBorders>
                  <w:noWrap w:val="0"/>
                  <w:vAlign w:val="center"/>
                </w:tcPr>
                <w:p w14:paraId="54C478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达标</w:t>
                  </w:r>
                </w:p>
              </w:tc>
              <w:tc>
                <w:tcPr>
                  <w:tcW w:w="621" w:type="pct"/>
                  <w:tcBorders>
                    <w:tl2br w:val="nil"/>
                    <w:tr2bl w:val="nil"/>
                  </w:tcBorders>
                  <w:noWrap w:val="0"/>
                  <w:vAlign w:val="center"/>
                </w:tcPr>
                <w:p w14:paraId="4EA90C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en-US" w:eastAsia="zh-CN"/>
                    </w:rPr>
                    <w:t>4.0</w:t>
                  </w:r>
                </w:p>
              </w:tc>
              <w:tc>
                <w:tcPr>
                  <w:tcW w:w="691" w:type="dxa"/>
                  <w:tcBorders>
                    <w:tl2br w:val="nil"/>
                    <w:tr2bl w:val="nil"/>
                  </w:tcBorders>
                  <w:noWrap w:val="0"/>
                  <w:vAlign w:val="center"/>
                </w:tcPr>
                <w:p w14:paraId="7F6A995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i w:val="0"/>
                      <w:iCs w:val="0"/>
                      <w:color w:val="auto"/>
                      <w:kern w:val="0"/>
                      <w:sz w:val="21"/>
                      <w:szCs w:val="21"/>
                      <w:u w:val="none"/>
                      <w:lang w:val="en-US" w:eastAsia="zh-CN" w:bidi="ar"/>
                    </w:rPr>
                    <w:t xml:space="preserve">20.00 </w:t>
                  </w:r>
                </w:p>
              </w:tc>
              <w:tc>
                <w:tcPr>
                  <w:tcW w:w="451" w:type="pct"/>
                  <w:tcBorders>
                    <w:tl2br w:val="nil"/>
                    <w:tr2bl w:val="nil"/>
                  </w:tcBorders>
                  <w:noWrap w:val="0"/>
                  <w:vAlign w:val="center"/>
                </w:tcPr>
                <w:p w14:paraId="7A4B18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达标</w:t>
                  </w:r>
                </w:p>
              </w:tc>
            </w:tr>
            <w:tr w14:paraId="557CFC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404" w:type="pct"/>
                  <w:tcBorders>
                    <w:tl2br w:val="nil"/>
                    <w:tr2bl w:val="nil"/>
                  </w:tcBorders>
                  <w:noWrap w:val="0"/>
                  <w:vAlign w:val="center"/>
                </w:tcPr>
                <w:p w14:paraId="08F2A3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O</w:t>
                  </w:r>
                  <w:r>
                    <w:rPr>
                      <w:rFonts w:hint="default" w:ascii="Times New Roman" w:hAnsi="Times New Roman" w:eastAsia="宋体" w:cs="Times New Roman"/>
                      <w:color w:val="auto"/>
                      <w:sz w:val="21"/>
                      <w:szCs w:val="21"/>
                      <w:highlight w:val="none"/>
                      <w:vertAlign w:val="subscript"/>
                      <w:lang w:val="zh-CN" w:eastAsia="zh-CN"/>
                    </w:rPr>
                    <w:t>3</w:t>
                  </w:r>
                </w:p>
              </w:tc>
              <w:tc>
                <w:tcPr>
                  <w:tcW w:w="1036" w:type="pct"/>
                  <w:tcBorders>
                    <w:tl2br w:val="nil"/>
                    <w:tr2bl w:val="nil"/>
                  </w:tcBorders>
                  <w:noWrap w:val="0"/>
                  <w:vAlign w:val="center"/>
                </w:tcPr>
                <w:p w14:paraId="29D18D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90%日最大8小时平均质量浓度</w:t>
                  </w:r>
                </w:p>
              </w:tc>
              <w:tc>
                <w:tcPr>
                  <w:tcW w:w="621" w:type="pct"/>
                  <w:tcBorders>
                    <w:tl2br w:val="nil"/>
                    <w:tr2bl w:val="nil"/>
                  </w:tcBorders>
                  <w:noWrap w:val="0"/>
                  <w:vAlign w:val="center"/>
                </w:tcPr>
                <w:p w14:paraId="6CF2C2B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138</w:t>
                  </w:r>
                </w:p>
              </w:tc>
              <w:tc>
                <w:tcPr>
                  <w:tcW w:w="621" w:type="pct"/>
                  <w:tcBorders>
                    <w:tl2br w:val="nil"/>
                    <w:tr2bl w:val="nil"/>
                  </w:tcBorders>
                  <w:noWrap w:val="0"/>
                  <w:vAlign w:val="center"/>
                </w:tcPr>
                <w:p w14:paraId="5C3FB9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160</w:t>
                  </w:r>
                </w:p>
              </w:tc>
              <w:tc>
                <w:tcPr>
                  <w:tcW w:w="726" w:type="dxa"/>
                  <w:tcBorders>
                    <w:tl2br w:val="nil"/>
                    <w:tr2bl w:val="nil"/>
                  </w:tcBorders>
                  <w:noWrap w:val="0"/>
                  <w:vAlign w:val="center"/>
                </w:tcPr>
                <w:p w14:paraId="1ACC137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86.25 </w:t>
                  </w:r>
                </w:p>
              </w:tc>
              <w:tc>
                <w:tcPr>
                  <w:tcW w:w="402" w:type="pct"/>
                  <w:tcBorders>
                    <w:tl2br w:val="nil"/>
                    <w:tr2bl w:val="nil"/>
                  </w:tcBorders>
                  <w:noWrap w:val="0"/>
                  <w:vAlign w:val="center"/>
                </w:tcPr>
                <w:p w14:paraId="5B9A0B9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达标</w:t>
                  </w:r>
                </w:p>
              </w:tc>
              <w:tc>
                <w:tcPr>
                  <w:tcW w:w="621" w:type="pct"/>
                  <w:tcBorders>
                    <w:tl2br w:val="nil"/>
                    <w:tr2bl w:val="nil"/>
                  </w:tcBorders>
                  <w:noWrap w:val="0"/>
                  <w:vAlign w:val="center"/>
                </w:tcPr>
                <w:p w14:paraId="0412848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160</w:t>
                  </w:r>
                </w:p>
              </w:tc>
              <w:tc>
                <w:tcPr>
                  <w:tcW w:w="691" w:type="dxa"/>
                  <w:tcBorders>
                    <w:tl2br w:val="nil"/>
                    <w:tr2bl w:val="nil"/>
                  </w:tcBorders>
                  <w:noWrap w:val="0"/>
                  <w:vAlign w:val="center"/>
                </w:tcPr>
                <w:p w14:paraId="0B6305A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i w:val="0"/>
                      <w:iCs w:val="0"/>
                      <w:color w:val="auto"/>
                      <w:kern w:val="0"/>
                      <w:sz w:val="21"/>
                      <w:szCs w:val="21"/>
                      <w:u w:val="none"/>
                      <w:lang w:val="en-US" w:eastAsia="zh-CN" w:bidi="ar"/>
                    </w:rPr>
                    <w:t xml:space="preserve">86.25 </w:t>
                  </w:r>
                </w:p>
              </w:tc>
              <w:tc>
                <w:tcPr>
                  <w:tcW w:w="451" w:type="pct"/>
                  <w:tcBorders>
                    <w:tl2br w:val="nil"/>
                    <w:tr2bl w:val="nil"/>
                  </w:tcBorders>
                  <w:noWrap w:val="0"/>
                  <w:vAlign w:val="center"/>
                </w:tcPr>
                <w:p w14:paraId="0034BE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lang w:val="zh-CN" w:eastAsia="zh-CN"/>
                    </w:rPr>
                    <w:t>达标</w:t>
                  </w:r>
                </w:p>
              </w:tc>
            </w:tr>
          </w:tbl>
          <w:p w14:paraId="4BA1032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根据云南省生态环境厅驻曲靖市生态环境监测站《曲靖市环境质量年报》（2024年），2024年会泽县环境空气自动监测站全年环境空气监测366天，有效监测天数364天，优良天数364天，优良率为100%，优265天，良99天，环境空气质量综合指数为2.36。本项目所在区域基本污染物年平均质量浓度和相应百分位24h平均或8h平均质量浓度均能达到《环境空气质量标准》（3095-2012）及《环境空气质量标准》（GB3095-2026）二级标准要求（过渡阶段浓度限值）。</w:t>
            </w:r>
          </w:p>
          <w:p w14:paraId="5CB14BEB">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具体区域空气质量现状评价如下：</w:t>
            </w:r>
          </w:p>
          <w:p w14:paraId="43D669CC">
            <w:pPr>
              <w:pStyle w:val="19"/>
              <w:pBdr>
                <w:bottom w:val="none" w:color="auto" w:sz="0" w:space="0"/>
              </w:pBdr>
              <w:spacing w:line="240" w:lineRule="auto"/>
              <w:ind w:firstLine="482" w:firstLineChars="20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表3-</w:t>
            </w:r>
            <w:r>
              <w:rPr>
                <w:rFonts w:hint="eastAsia"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color w:val="auto"/>
                <w:sz w:val="24"/>
                <w:szCs w:val="24"/>
              </w:rPr>
              <w:t xml:space="preserve">  </w:t>
            </w:r>
            <w:r>
              <w:rPr>
                <w:rFonts w:hint="eastAsia" w:ascii="Times New Roman" w:hAnsi="Times New Roman" w:eastAsia="宋体" w:cs="Times New Roman"/>
                <w:b/>
                <w:bCs/>
                <w:color w:val="auto"/>
                <w:sz w:val="24"/>
                <w:szCs w:val="24"/>
                <w:lang w:eastAsia="zh-CN"/>
              </w:rPr>
              <w:t>会泽县</w:t>
            </w:r>
            <w:r>
              <w:rPr>
                <w:rFonts w:hint="default" w:ascii="Times New Roman" w:hAnsi="Times New Roman" w:eastAsia="宋体" w:cs="Times New Roman"/>
                <w:b/>
                <w:bCs/>
                <w:color w:val="auto"/>
                <w:sz w:val="24"/>
                <w:szCs w:val="24"/>
              </w:rPr>
              <w:t>环境空气质量监测结果</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772"/>
              <w:gridCol w:w="3427"/>
              <w:gridCol w:w="1146"/>
              <w:gridCol w:w="1146"/>
              <w:gridCol w:w="967"/>
              <w:gridCol w:w="813"/>
            </w:tblGrid>
            <w:tr w14:paraId="21DBD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467" w:type="pct"/>
                  <w:vMerge w:val="restart"/>
                  <w:tcBorders>
                    <w:tl2br w:val="nil"/>
                    <w:tr2bl w:val="nil"/>
                  </w:tcBorders>
                  <w:noWrap w:val="0"/>
                  <w:vAlign w:val="center"/>
                </w:tcPr>
                <w:p w14:paraId="42A42ED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lang w:val="zh-CN" w:eastAsia="zh-CN"/>
                    </w:rPr>
                  </w:pPr>
                  <w:r>
                    <w:rPr>
                      <w:rFonts w:hint="default" w:ascii="Times New Roman" w:hAnsi="Times New Roman" w:eastAsia="宋体" w:cs="Times New Roman"/>
                      <w:b/>
                      <w:bCs/>
                      <w:color w:val="auto"/>
                      <w:sz w:val="21"/>
                      <w:szCs w:val="21"/>
                      <w:lang w:val="zh-CN" w:eastAsia="zh-CN"/>
                    </w:rPr>
                    <w:t>污染物</w:t>
                  </w:r>
                </w:p>
              </w:tc>
              <w:tc>
                <w:tcPr>
                  <w:tcW w:w="2070" w:type="pct"/>
                  <w:vMerge w:val="restart"/>
                  <w:tcBorders>
                    <w:tl2br w:val="nil"/>
                    <w:tr2bl w:val="nil"/>
                  </w:tcBorders>
                  <w:noWrap w:val="0"/>
                  <w:vAlign w:val="center"/>
                </w:tcPr>
                <w:p w14:paraId="010C7ED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lang w:val="zh-CN" w:eastAsia="zh-CN"/>
                    </w:rPr>
                  </w:pPr>
                  <w:r>
                    <w:rPr>
                      <w:rFonts w:hint="default" w:ascii="Times New Roman" w:hAnsi="Times New Roman" w:eastAsia="宋体" w:cs="Times New Roman"/>
                      <w:b/>
                      <w:bCs/>
                      <w:color w:val="auto"/>
                      <w:sz w:val="21"/>
                      <w:szCs w:val="21"/>
                      <w:lang w:val="zh-CN" w:eastAsia="zh-CN"/>
                    </w:rPr>
                    <w:t>年度评价指标</w:t>
                  </w:r>
                </w:p>
              </w:tc>
              <w:tc>
                <w:tcPr>
                  <w:tcW w:w="692" w:type="pct"/>
                  <w:tcBorders>
                    <w:tl2br w:val="nil"/>
                    <w:tr2bl w:val="nil"/>
                  </w:tcBorders>
                  <w:noWrap w:val="0"/>
                  <w:vAlign w:val="center"/>
                </w:tcPr>
                <w:p w14:paraId="4F80149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lang w:val="zh-CN" w:eastAsia="zh-CN"/>
                    </w:rPr>
                  </w:pPr>
                  <w:r>
                    <w:rPr>
                      <w:rFonts w:hint="default" w:ascii="Times New Roman" w:hAnsi="Times New Roman" w:eastAsia="宋体" w:cs="Times New Roman"/>
                      <w:b/>
                      <w:bCs/>
                      <w:color w:val="auto"/>
                      <w:sz w:val="21"/>
                      <w:szCs w:val="21"/>
                      <w:lang w:val="zh-CN" w:eastAsia="zh-CN"/>
                    </w:rPr>
                    <w:t>现状浓度</w:t>
                  </w:r>
                </w:p>
              </w:tc>
              <w:tc>
                <w:tcPr>
                  <w:tcW w:w="692" w:type="pct"/>
                  <w:tcBorders>
                    <w:tl2br w:val="nil"/>
                    <w:tr2bl w:val="nil"/>
                  </w:tcBorders>
                  <w:noWrap w:val="0"/>
                  <w:vAlign w:val="center"/>
                </w:tcPr>
                <w:p w14:paraId="527F2DF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lang w:val="zh-CN" w:eastAsia="zh-CN"/>
                    </w:rPr>
                  </w:pPr>
                  <w:r>
                    <w:rPr>
                      <w:rFonts w:hint="default" w:ascii="Times New Roman" w:hAnsi="Times New Roman" w:eastAsia="宋体" w:cs="Times New Roman"/>
                      <w:b/>
                      <w:bCs/>
                      <w:color w:val="auto"/>
                      <w:sz w:val="21"/>
                      <w:szCs w:val="21"/>
                      <w:lang w:val="zh-CN" w:eastAsia="zh-CN"/>
                    </w:rPr>
                    <w:t>标准值</w:t>
                  </w:r>
                </w:p>
              </w:tc>
              <w:tc>
                <w:tcPr>
                  <w:tcW w:w="584" w:type="pct"/>
                  <w:vMerge w:val="restart"/>
                  <w:tcBorders>
                    <w:tl2br w:val="nil"/>
                    <w:tr2bl w:val="nil"/>
                  </w:tcBorders>
                  <w:noWrap w:val="0"/>
                  <w:vAlign w:val="center"/>
                </w:tcPr>
                <w:p w14:paraId="49C4F68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lang w:val="zh-CN" w:eastAsia="zh-CN"/>
                    </w:rPr>
                  </w:pPr>
                  <w:r>
                    <w:rPr>
                      <w:rFonts w:hint="default" w:ascii="Times New Roman" w:hAnsi="Times New Roman" w:eastAsia="宋体" w:cs="Times New Roman"/>
                      <w:b/>
                      <w:bCs/>
                      <w:color w:val="auto"/>
                      <w:sz w:val="21"/>
                      <w:szCs w:val="21"/>
                      <w:lang w:val="zh-CN" w:eastAsia="zh-CN"/>
                    </w:rPr>
                    <w:t>占标率/%</w:t>
                  </w:r>
                </w:p>
              </w:tc>
              <w:tc>
                <w:tcPr>
                  <w:tcW w:w="491" w:type="pct"/>
                  <w:vMerge w:val="restart"/>
                  <w:tcBorders>
                    <w:tl2br w:val="nil"/>
                    <w:tr2bl w:val="nil"/>
                  </w:tcBorders>
                  <w:noWrap w:val="0"/>
                  <w:vAlign w:val="center"/>
                </w:tcPr>
                <w:p w14:paraId="470B2BA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lang w:val="zh-CN" w:eastAsia="zh-CN"/>
                    </w:rPr>
                  </w:pPr>
                  <w:r>
                    <w:rPr>
                      <w:rFonts w:hint="default" w:ascii="Times New Roman" w:hAnsi="Times New Roman" w:eastAsia="宋体" w:cs="Times New Roman"/>
                      <w:b/>
                      <w:bCs/>
                      <w:color w:val="auto"/>
                      <w:sz w:val="21"/>
                      <w:szCs w:val="21"/>
                      <w:lang w:val="zh-CN" w:eastAsia="zh-CN"/>
                    </w:rPr>
                    <w:t>达标情况</w:t>
                  </w:r>
                </w:p>
              </w:tc>
            </w:tr>
            <w:tr w14:paraId="7778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467" w:type="pct"/>
                  <w:vMerge w:val="continue"/>
                  <w:tcBorders>
                    <w:tl2br w:val="nil"/>
                    <w:tr2bl w:val="nil"/>
                  </w:tcBorders>
                  <w:noWrap w:val="0"/>
                  <w:vAlign w:val="center"/>
                </w:tcPr>
                <w:p w14:paraId="485F1B6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p>
              </w:tc>
              <w:tc>
                <w:tcPr>
                  <w:tcW w:w="2070" w:type="pct"/>
                  <w:vMerge w:val="continue"/>
                  <w:tcBorders>
                    <w:tl2br w:val="nil"/>
                    <w:tr2bl w:val="nil"/>
                  </w:tcBorders>
                  <w:noWrap w:val="0"/>
                  <w:vAlign w:val="center"/>
                </w:tcPr>
                <w:p w14:paraId="0A2265C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p>
              </w:tc>
              <w:tc>
                <w:tcPr>
                  <w:tcW w:w="692" w:type="pct"/>
                  <w:tcBorders>
                    <w:tl2br w:val="nil"/>
                    <w:tr2bl w:val="nil"/>
                  </w:tcBorders>
                  <w:noWrap w:val="0"/>
                  <w:vAlign w:val="center"/>
                </w:tcPr>
                <w:p w14:paraId="6AB17A1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lang w:val="zh-CN" w:eastAsia="zh-CN"/>
                    </w:rPr>
                  </w:pPr>
                  <w:r>
                    <w:rPr>
                      <w:rFonts w:hint="eastAsia" w:ascii="Times New Roman" w:hAnsi="Times New Roman" w:eastAsia="宋体" w:cs="Times New Roman"/>
                      <w:b/>
                      <w:bCs/>
                      <w:color w:val="auto"/>
                      <w:sz w:val="21"/>
                      <w:szCs w:val="21"/>
                      <w:lang w:val="zh-CN" w:eastAsia="zh-CN"/>
                    </w:rPr>
                    <w:t>(</w:t>
                  </w:r>
                  <w:r>
                    <w:rPr>
                      <w:rFonts w:hint="default" w:ascii="Times New Roman" w:hAnsi="Times New Roman" w:eastAsia="宋体" w:cs="Times New Roman"/>
                      <w:b/>
                      <w:bCs/>
                      <w:color w:val="auto"/>
                      <w:sz w:val="21"/>
                      <w:szCs w:val="21"/>
                      <w:lang w:val="zh-CN" w:eastAsia="zh-CN"/>
                    </w:rPr>
                    <w:t>µg/m³</w:t>
                  </w:r>
                  <w:r>
                    <w:rPr>
                      <w:rFonts w:hint="eastAsia" w:ascii="Times New Roman" w:hAnsi="Times New Roman" w:eastAsia="宋体" w:cs="Times New Roman"/>
                      <w:b/>
                      <w:bCs/>
                      <w:color w:val="auto"/>
                      <w:sz w:val="21"/>
                      <w:szCs w:val="21"/>
                      <w:lang w:val="zh-CN" w:eastAsia="zh-CN"/>
                    </w:rPr>
                    <w:t>)</w:t>
                  </w:r>
                </w:p>
              </w:tc>
              <w:tc>
                <w:tcPr>
                  <w:tcW w:w="692" w:type="pct"/>
                  <w:tcBorders>
                    <w:tl2br w:val="nil"/>
                    <w:tr2bl w:val="nil"/>
                  </w:tcBorders>
                  <w:noWrap w:val="0"/>
                  <w:vAlign w:val="center"/>
                </w:tcPr>
                <w:p w14:paraId="547485A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lang w:val="zh-CN" w:eastAsia="zh-CN"/>
                    </w:rPr>
                  </w:pPr>
                  <w:r>
                    <w:rPr>
                      <w:rFonts w:hint="eastAsia" w:ascii="Times New Roman" w:hAnsi="Times New Roman" w:eastAsia="宋体" w:cs="Times New Roman"/>
                      <w:b/>
                      <w:bCs/>
                      <w:color w:val="auto"/>
                      <w:sz w:val="21"/>
                      <w:szCs w:val="21"/>
                      <w:lang w:val="zh-CN" w:eastAsia="zh-CN"/>
                    </w:rPr>
                    <w:t>(</w:t>
                  </w:r>
                  <w:r>
                    <w:rPr>
                      <w:rFonts w:hint="default" w:ascii="Times New Roman" w:hAnsi="Times New Roman" w:eastAsia="宋体" w:cs="Times New Roman"/>
                      <w:b/>
                      <w:bCs/>
                      <w:color w:val="auto"/>
                      <w:sz w:val="21"/>
                      <w:szCs w:val="21"/>
                      <w:lang w:val="zh-CN" w:eastAsia="zh-CN"/>
                    </w:rPr>
                    <w:t>µg/m³</w:t>
                  </w:r>
                  <w:r>
                    <w:rPr>
                      <w:rFonts w:hint="eastAsia" w:ascii="Times New Roman" w:hAnsi="Times New Roman" w:eastAsia="宋体" w:cs="Times New Roman"/>
                      <w:b/>
                      <w:bCs/>
                      <w:color w:val="auto"/>
                      <w:sz w:val="21"/>
                      <w:szCs w:val="21"/>
                      <w:lang w:val="zh-CN" w:eastAsia="zh-CN"/>
                    </w:rPr>
                    <w:t>)</w:t>
                  </w:r>
                </w:p>
              </w:tc>
              <w:tc>
                <w:tcPr>
                  <w:tcW w:w="584" w:type="pct"/>
                  <w:vMerge w:val="continue"/>
                  <w:tcBorders>
                    <w:tl2br w:val="nil"/>
                    <w:tr2bl w:val="nil"/>
                  </w:tcBorders>
                  <w:noWrap w:val="0"/>
                  <w:vAlign w:val="center"/>
                </w:tcPr>
                <w:p w14:paraId="5E0205C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p>
              </w:tc>
              <w:tc>
                <w:tcPr>
                  <w:tcW w:w="491" w:type="pct"/>
                  <w:vMerge w:val="continue"/>
                  <w:tcBorders>
                    <w:tl2br w:val="nil"/>
                    <w:tr2bl w:val="nil"/>
                  </w:tcBorders>
                  <w:noWrap w:val="0"/>
                  <w:vAlign w:val="center"/>
                </w:tcPr>
                <w:p w14:paraId="2AA7BED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p>
              </w:tc>
            </w:tr>
            <w:tr w14:paraId="53FF8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467" w:type="pct"/>
                  <w:tcBorders>
                    <w:tl2br w:val="nil"/>
                    <w:tr2bl w:val="nil"/>
                  </w:tcBorders>
                  <w:noWrap w:val="0"/>
                  <w:vAlign w:val="center"/>
                </w:tcPr>
                <w:p w14:paraId="2144446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SO</w:t>
                  </w:r>
                  <w:r>
                    <w:rPr>
                      <w:rFonts w:hint="default" w:ascii="Times New Roman" w:hAnsi="Times New Roman" w:eastAsia="宋体" w:cs="Times New Roman"/>
                      <w:color w:val="auto"/>
                      <w:sz w:val="21"/>
                      <w:szCs w:val="21"/>
                      <w:vertAlign w:val="subscript"/>
                      <w:lang w:val="zh-CN" w:eastAsia="zh-CN"/>
                    </w:rPr>
                    <w:t>2</w:t>
                  </w:r>
                </w:p>
              </w:tc>
              <w:tc>
                <w:tcPr>
                  <w:tcW w:w="2070" w:type="pct"/>
                  <w:tcBorders>
                    <w:tl2br w:val="nil"/>
                    <w:tr2bl w:val="nil"/>
                  </w:tcBorders>
                  <w:noWrap w:val="0"/>
                  <w:vAlign w:val="center"/>
                </w:tcPr>
                <w:p w14:paraId="30766F4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年平均质量浓度</w:t>
                  </w:r>
                </w:p>
              </w:tc>
              <w:tc>
                <w:tcPr>
                  <w:tcW w:w="692" w:type="pct"/>
                  <w:tcBorders>
                    <w:tl2br w:val="nil"/>
                    <w:tr2bl w:val="nil"/>
                  </w:tcBorders>
                  <w:noWrap w:val="0"/>
                  <w:vAlign w:val="center"/>
                </w:tcPr>
                <w:p w14:paraId="2C2F9FE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13</w:t>
                  </w:r>
                </w:p>
              </w:tc>
              <w:tc>
                <w:tcPr>
                  <w:tcW w:w="692" w:type="pct"/>
                  <w:tcBorders>
                    <w:tl2br w:val="nil"/>
                    <w:tr2bl w:val="nil"/>
                  </w:tcBorders>
                  <w:noWrap w:val="0"/>
                  <w:vAlign w:val="center"/>
                </w:tcPr>
                <w:p w14:paraId="3DC0BFC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60</w:t>
                  </w:r>
                </w:p>
              </w:tc>
              <w:tc>
                <w:tcPr>
                  <w:tcW w:w="584" w:type="pct"/>
                  <w:tcBorders>
                    <w:tl2br w:val="nil"/>
                    <w:tr2bl w:val="nil"/>
                  </w:tcBorders>
                  <w:noWrap w:val="0"/>
                  <w:vAlign w:val="center"/>
                </w:tcPr>
                <w:p w14:paraId="530E9AA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en-US" w:eastAsia="zh-CN"/>
                    </w:rPr>
                    <w:t xml:space="preserve">21.67 </w:t>
                  </w:r>
                </w:p>
              </w:tc>
              <w:tc>
                <w:tcPr>
                  <w:tcW w:w="491" w:type="pct"/>
                  <w:tcBorders>
                    <w:tl2br w:val="nil"/>
                    <w:tr2bl w:val="nil"/>
                  </w:tcBorders>
                  <w:noWrap w:val="0"/>
                  <w:vAlign w:val="center"/>
                </w:tcPr>
                <w:p w14:paraId="27DCFE3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达标</w:t>
                  </w:r>
                </w:p>
              </w:tc>
            </w:tr>
            <w:tr w14:paraId="08DE9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467" w:type="pct"/>
                  <w:tcBorders>
                    <w:tl2br w:val="nil"/>
                    <w:tr2bl w:val="nil"/>
                  </w:tcBorders>
                  <w:noWrap w:val="0"/>
                  <w:vAlign w:val="center"/>
                </w:tcPr>
                <w:p w14:paraId="395FE9E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NO</w:t>
                  </w:r>
                  <w:r>
                    <w:rPr>
                      <w:rFonts w:hint="default" w:ascii="Times New Roman" w:hAnsi="Times New Roman" w:eastAsia="宋体" w:cs="Times New Roman"/>
                      <w:color w:val="auto"/>
                      <w:sz w:val="21"/>
                      <w:szCs w:val="21"/>
                      <w:vertAlign w:val="subscript"/>
                      <w:lang w:val="zh-CN" w:eastAsia="zh-CN"/>
                    </w:rPr>
                    <w:t>2</w:t>
                  </w:r>
                </w:p>
              </w:tc>
              <w:tc>
                <w:tcPr>
                  <w:tcW w:w="2070" w:type="pct"/>
                  <w:tcBorders>
                    <w:tl2br w:val="nil"/>
                    <w:tr2bl w:val="nil"/>
                  </w:tcBorders>
                  <w:noWrap w:val="0"/>
                  <w:vAlign w:val="center"/>
                </w:tcPr>
                <w:p w14:paraId="61E80DF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年平均质量浓度</w:t>
                  </w:r>
                </w:p>
              </w:tc>
              <w:tc>
                <w:tcPr>
                  <w:tcW w:w="692" w:type="pct"/>
                  <w:tcBorders>
                    <w:tl2br w:val="nil"/>
                    <w:tr2bl w:val="nil"/>
                  </w:tcBorders>
                  <w:noWrap w:val="0"/>
                  <w:vAlign w:val="center"/>
                </w:tcPr>
                <w:p w14:paraId="1391E84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9</w:t>
                  </w:r>
                </w:p>
              </w:tc>
              <w:tc>
                <w:tcPr>
                  <w:tcW w:w="692" w:type="pct"/>
                  <w:tcBorders>
                    <w:tl2br w:val="nil"/>
                    <w:tr2bl w:val="nil"/>
                  </w:tcBorders>
                  <w:noWrap w:val="0"/>
                  <w:vAlign w:val="center"/>
                </w:tcPr>
                <w:p w14:paraId="201E9FC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40</w:t>
                  </w:r>
                </w:p>
              </w:tc>
              <w:tc>
                <w:tcPr>
                  <w:tcW w:w="584" w:type="pct"/>
                  <w:tcBorders>
                    <w:tl2br w:val="nil"/>
                    <w:tr2bl w:val="nil"/>
                  </w:tcBorders>
                  <w:noWrap w:val="0"/>
                  <w:vAlign w:val="center"/>
                </w:tcPr>
                <w:p w14:paraId="48CF34D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en-US" w:eastAsia="zh-CN"/>
                    </w:rPr>
                    <w:t xml:space="preserve">22.50 </w:t>
                  </w:r>
                </w:p>
              </w:tc>
              <w:tc>
                <w:tcPr>
                  <w:tcW w:w="491" w:type="pct"/>
                  <w:tcBorders>
                    <w:tl2br w:val="nil"/>
                    <w:tr2bl w:val="nil"/>
                  </w:tcBorders>
                  <w:noWrap w:val="0"/>
                  <w:vAlign w:val="center"/>
                </w:tcPr>
                <w:p w14:paraId="3083133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达标</w:t>
                  </w:r>
                </w:p>
              </w:tc>
            </w:tr>
            <w:tr w14:paraId="489FD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467" w:type="pct"/>
                  <w:tcBorders>
                    <w:tl2br w:val="nil"/>
                    <w:tr2bl w:val="nil"/>
                  </w:tcBorders>
                  <w:noWrap w:val="0"/>
                  <w:vAlign w:val="center"/>
                </w:tcPr>
                <w:p w14:paraId="39387B3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PM</w:t>
                  </w:r>
                  <w:r>
                    <w:rPr>
                      <w:rFonts w:hint="default" w:ascii="Times New Roman" w:hAnsi="Times New Roman" w:eastAsia="宋体" w:cs="Times New Roman"/>
                      <w:color w:val="auto"/>
                      <w:sz w:val="21"/>
                      <w:szCs w:val="21"/>
                      <w:vertAlign w:val="subscript"/>
                      <w:lang w:val="zh-CN" w:eastAsia="zh-CN"/>
                    </w:rPr>
                    <w:t>10</w:t>
                  </w:r>
                </w:p>
              </w:tc>
              <w:tc>
                <w:tcPr>
                  <w:tcW w:w="2070" w:type="pct"/>
                  <w:tcBorders>
                    <w:tl2br w:val="nil"/>
                    <w:tr2bl w:val="nil"/>
                  </w:tcBorders>
                  <w:noWrap w:val="0"/>
                  <w:vAlign w:val="center"/>
                </w:tcPr>
                <w:p w14:paraId="4F24905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年平均质量浓度</w:t>
                  </w:r>
                </w:p>
              </w:tc>
              <w:tc>
                <w:tcPr>
                  <w:tcW w:w="692" w:type="pct"/>
                  <w:tcBorders>
                    <w:tl2br w:val="nil"/>
                    <w:tr2bl w:val="nil"/>
                  </w:tcBorders>
                  <w:noWrap w:val="0"/>
                  <w:vAlign w:val="center"/>
                </w:tcPr>
                <w:p w14:paraId="5E8F887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26</w:t>
                  </w:r>
                </w:p>
              </w:tc>
              <w:tc>
                <w:tcPr>
                  <w:tcW w:w="692" w:type="pct"/>
                  <w:tcBorders>
                    <w:tl2br w:val="nil"/>
                    <w:tr2bl w:val="nil"/>
                  </w:tcBorders>
                  <w:noWrap w:val="0"/>
                  <w:vAlign w:val="center"/>
                </w:tcPr>
                <w:p w14:paraId="26F2860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70</w:t>
                  </w:r>
                </w:p>
              </w:tc>
              <w:tc>
                <w:tcPr>
                  <w:tcW w:w="584" w:type="pct"/>
                  <w:tcBorders>
                    <w:tl2br w:val="nil"/>
                    <w:tr2bl w:val="nil"/>
                  </w:tcBorders>
                  <w:noWrap w:val="0"/>
                  <w:vAlign w:val="center"/>
                </w:tcPr>
                <w:p w14:paraId="40C8344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en-US" w:eastAsia="zh-CN"/>
                    </w:rPr>
                    <w:t xml:space="preserve">37.14 </w:t>
                  </w:r>
                </w:p>
              </w:tc>
              <w:tc>
                <w:tcPr>
                  <w:tcW w:w="491" w:type="pct"/>
                  <w:tcBorders>
                    <w:tl2br w:val="nil"/>
                    <w:tr2bl w:val="nil"/>
                  </w:tcBorders>
                  <w:noWrap w:val="0"/>
                  <w:vAlign w:val="center"/>
                </w:tcPr>
                <w:p w14:paraId="4D4C236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达标</w:t>
                  </w:r>
                </w:p>
              </w:tc>
            </w:tr>
            <w:tr w14:paraId="50995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467" w:type="pct"/>
                  <w:tcBorders>
                    <w:tl2br w:val="nil"/>
                    <w:tr2bl w:val="nil"/>
                  </w:tcBorders>
                  <w:noWrap w:val="0"/>
                  <w:vAlign w:val="center"/>
                </w:tcPr>
                <w:p w14:paraId="3DD7A6B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PM</w:t>
                  </w:r>
                  <w:r>
                    <w:rPr>
                      <w:rFonts w:hint="default" w:ascii="Times New Roman" w:hAnsi="Times New Roman" w:eastAsia="宋体" w:cs="Times New Roman"/>
                      <w:color w:val="auto"/>
                      <w:sz w:val="21"/>
                      <w:szCs w:val="21"/>
                      <w:vertAlign w:val="subscript"/>
                      <w:lang w:val="zh-CN" w:eastAsia="zh-CN"/>
                    </w:rPr>
                    <w:t>2.5</w:t>
                  </w:r>
                </w:p>
              </w:tc>
              <w:tc>
                <w:tcPr>
                  <w:tcW w:w="2070" w:type="pct"/>
                  <w:tcBorders>
                    <w:tl2br w:val="nil"/>
                    <w:tr2bl w:val="nil"/>
                  </w:tcBorders>
                  <w:noWrap w:val="0"/>
                  <w:vAlign w:val="center"/>
                </w:tcPr>
                <w:p w14:paraId="625C979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年平均质量浓度</w:t>
                  </w:r>
                </w:p>
              </w:tc>
              <w:tc>
                <w:tcPr>
                  <w:tcW w:w="692" w:type="pct"/>
                  <w:tcBorders>
                    <w:tl2br w:val="nil"/>
                    <w:tr2bl w:val="nil"/>
                  </w:tcBorders>
                  <w:noWrap w:val="0"/>
                  <w:vAlign w:val="center"/>
                </w:tcPr>
                <w:p w14:paraId="4381E66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16</w:t>
                  </w:r>
                </w:p>
              </w:tc>
              <w:tc>
                <w:tcPr>
                  <w:tcW w:w="692" w:type="pct"/>
                  <w:tcBorders>
                    <w:tl2br w:val="nil"/>
                    <w:tr2bl w:val="nil"/>
                  </w:tcBorders>
                  <w:noWrap w:val="0"/>
                  <w:vAlign w:val="center"/>
                </w:tcPr>
                <w:p w14:paraId="0DE03A6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35</w:t>
                  </w:r>
                </w:p>
              </w:tc>
              <w:tc>
                <w:tcPr>
                  <w:tcW w:w="584" w:type="pct"/>
                  <w:tcBorders>
                    <w:tl2br w:val="nil"/>
                    <w:tr2bl w:val="nil"/>
                  </w:tcBorders>
                  <w:noWrap w:val="0"/>
                  <w:vAlign w:val="center"/>
                </w:tcPr>
                <w:p w14:paraId="1CC1E60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en-US" w:eastAsia="zh-CN"/>
                    </w:rPr>
                    <w:t xml:space="preserve">45.71 </w:t>
                  </w:r>
                </w:p>
              </w:tc>
              <w:tc>
                <w:tcPr>
                  <w:tcW w:w="491" w:type="pct"/>
                  <w:tcBorders>
                    <w:tl2br w:val="nil"/>
                    <w:tr2bl w:val="nil"/>
                  </w:tcBorders>
                  <w:noWrap w:val="0"/>
                  <w:vAlign w:val="center"/>
                </w:tcPr>
                <w:p w14:paraId="08E062C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达标</w:t>
                  </w:r>
                </w:p>
              </w:tc>
            </w:tr>
            <w:tr w14:paraId="7169F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467" w:type="pct"/>
                  <w:tcBorders>
                    <w:tl2br w:val="nil"/>
                    <w:tr2bl w:val="nil"/>
                  </w:tcBorders>
                  <w:noWrap w:val="0"/>
                  <w:vAlign w:val="center"/>
                </w:tcPr>
                <w:p w14:paraId="085C278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CO</w:t>
                  </w:r>
                </w:p>
              </w:tc>
              <w:tc>
                <w:tcPr>
                  <w:tcW w:w="2070" w:type="pct"/>
                  <w:tcBorders>
                    <w:tl2br w:val="nil"/>
                    <w:tr2bl w:val="nil"/>
                  </w:tcBorders>
                  <w:noWrap w:val="0"/>
                  <w:vAlign w:val="center"/>
                </w:tcPr>
                <w:p w14:paraId="6CBE9EC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95%日平均质量浓度</w:t>
                  </w:r>
                </w:p>
              </w:tc>
              <w:tc>
                <w:tcPr>
                  <w:tcW w:w="692" w:type="pct"/>
                  <w:tcBorders>
                    <w:tl2br w:val="nil"/>
                    <w:tr2bl w:val="nil"/>
                  </w:tcBorders>
                  <w:noWrap w:val="0"/>
                  <w:vAlign w:val="center"/>
                </w:tcPr>
                <w:p w14:paraId="65B2F2E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1400</w:t>
                  </w:r>
                </w:p>
              </w:tc>
              <w:tc>
                <w:tcPr>
                  <w:tcW w:w="692" w:type="pct"/>
                  <w:tcBorders>
                    <w:tl2br w:val="nil"/>
                    <w:tr2bl w:val="nil"/>
                  </w:tcBorders>
                  <w:noWrap w:val="0"/>
                  <w:vAlign w:val="center"/>
                </w:tcPr>
                <w:p w14:paraId="0DE11D6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4000</w:t>
                  </w:r>
                </w:p>
              </w:tc>
              <w:tc>
                <w:tcPr>
                  <w:tcW w:w="584" w:type="pct"/>
                  <w:tcBorders>
                    <w:tl2br w:val="nil"/>
                    <w:tr2bl w:val="nil"/>
                  </w:tcBorders>
                  <w:noWrap w:val="0"/>
                  <w:vAlign w:val="center"/>
                </w:tcPr>
                <w:p w14:paraId="34384E9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en-US" w:eastAsia="zh-CN"/>
                    </w:rPr>
                    <w:t xml:space="preserve">35.00 </w:t>
                  </w:r>
                </w:p>
              </w:tc>
              <w:tc>
                <w:tcPr>
                  <w:tcW w:w="491" w:type="pct"/>
                  <w:tcBorders>
                    <w:tl2br w:val="nil"/>
                    <w:tr2bl w:val="nil"/>
                  </w:tcBorders>
                  <w:noWrap w:val="0"/>
                  <w:vAlign w:val="center"/>
                </w:tcPr>
                <w:p w14:paraId="4E22301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达标</w:t>
                  </w:r>
                </w:p>
              </w:tc>
            </w:tr>
            <w:tr w14:paraId="25E0A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467" w:type="pct"/>
                  <w:tcBorders>
                    <w:tl2br w:val="nil"/>
                    <w:tr2bl w:val="nil"/>
                  </w:tcBorders>
                  <w:noWrap w:val="0"/>
                  <w:vAlign w:val="center"/>
                </w:tcPr>
                <w:p w14:paraId="6A441BD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O</w:t>
                  </w:r>
                  <w:r>
                    <w:rPr>
                      <w:rFonts w:hint="default" w:ascii="Times New Roman" w:hAnsi="Times New Roman" w:eastAsia="宋体" w:cs="Times New Roman"/>
                      <w:color w:val="auto"/>
                      <w:sz w:val="21"/>
                      <w:szCs w:val="21"/>
                      <w:vertAlign w:val="subscript"/>
                      <w:lang w:val="zh-CN" w:eastAsia="zh-CN"/>
                    </w:rPr>
                    <w:t>3</w:t>
                  </w:r>
                </w:p>
              </w:tc>
              <w:tc>
                <w:tcPr>
                  <w:tcW w:w="2070" w:type="pct"/>
                  <w:tcBorders>
                    <w:tl2br w:val="nil"/>
                    <w:tr2bl w:val="nil"/>
                  </w:tcBorders>
                  <w:noWrap w:val="0"/>
                  <w:vAlign w:val="center"/>
                </w:tcPr>
                <w:p w14:paraId="3F09119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90%日最大8小时平均质量浓度</w:t>
                  </w:r>
                </w:p>
              </w:tc>
              <w:tc>
                <w:tcPr>
                  <w:tcW w:w="692" w:type="pct"/>
                  <w:tcBorders>
                    <w:tl2br w:val="nil"/>
                    <w:tr2bl w:val="nil"/>
                  </w:tcBorders>
                  <w:noWrap w:val="0"/>
                  <w:vAlign w:val="center"/>
                </w:tcPr>
                <w:p w14:paraId="54227A0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119</w:t>
                  </w:r>
                </w:p>
              </w:tc>
              <w:tc>
                <w:tcPr>
                  <w:tcW w:w="692" w:type="pct"/>
                  <w:tcBorders>
                    <w:tl2br w:val="nil"/>
                    <w:tr2bl w:val="nil"/>
                  </w:tcBorders>
                  <w:noWrap w:val="0"/>
                  <w:vAlign w:val="center"/>
                </w:tcPr>
                <w:p w14:paraId="2397BAE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160</w:t>
                  </w:r>
                </w:p>
              </w:tc>
              <w:tc>
                <w:tcPr>
                  <w:tcW w:w="584" w:type="pct"/>
                  <w:tcBorders>
                    <w:tl2br w:val="nil"/>
                    <w:tr2bl w:val="nil"/>
                  </w:tcBorders>
                  <w:noWrap w:val="0"/>
                  <w:vAlign w:val="center"/>
                </w:tcPr>
                <w:p w14:paraId="566ACE6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en-US" w:eastAsia="zh-CN"/>
                    </w:rPr>
                    <w:t xml:space="preserve">74.38 </w:t>
                  </w:r>
                </w:p>
              </w:tc>
              <w:tc>
                <w:tcPr>
                  <w:tcW w:w="491" w:type="pct"/>
                  <w:tcBorders>
                    <w:tl2br w:val="nil"/>
                    <w:tr2bl w:val="nil"/>
                  </w:tcBorders>
                  <w:noWrap w:val="0"/>
                  <w:vAlign w:val="center"/>
                </w:tcPr>
                <w:p w14:paraId="2B4793C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达标</w:t>
                  </w:r>
                </w:p>
              </w:tc>
            </w:tr>
          </w:tbl>
          <w:p w14:paraId="25DFEACC">
            <w:pPr>
              <w:pStyle w:val="19"/>
              <w:keepNext w:val="0"/>
              <w:keepLines w:val="0"/>
              <w:pageBreakBefore w:val="0"/>
              <w:widowControl w:val="0"/>
              <w:pBdr>
                <w:bottom w:val="none" w:color="auto" w:sz="0" w:space="0"/>
              </w:pBdr>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bCs/>
                <w:color w:val="auto"/>
                <w:sz w:val="24"/>
                <w:szCs w:val="24"/>
              </w:rPr>
            </w:pPr>
            <w:r>
              <w:rPr>
                <w:rFonts w:hint="eastAsia" w:ascii="Times New Roman" w:hAnsi="Times New Roman" w:eastAsia="宋体" w:cs="Times New Roman"/>
                <w:color w:val="auto"/>
                <w:sz w:val="24"/>
                <w:szCs w:val="24"/>
                <w:lang w:val="en-US" w:eastAsia="zh-CN"/>
              </w:rPr>
              <w:t>综上，</w:t>
            </w:r>
            <w:r>
              <w:rPr>
                <w:rFonts w:hint="default" w:ascii="Times New Roman" w:hAnsi="Times New Roman" w:eastAsia="宋体" w:cs="Times New Roman"/>
                <w:color w:val="auto"/>
                <w:sz w:val="24"/>
                <w:szCs w:val="24"/>
              </w:rPr>
              <w:t>本项目所在区域基本污染物年平均质量浓度和相应百分位24h平均或8h平均质量浓度均能达到《环境空气质量标准》（3095-2012）</w:t>
            </w:r>
            <w:r>
              <w:rPr>
                <w:rFonts w:hint="eastAsia" w:ascii="Times New Roman" w:hAnsi="Times New Roman" w:eastAsia="宋体" w:cs="Times New Roman"/>
                <w:bCs/>
                <w:color w:val="auto"/>
                <w:sz w:val="24"/>
                <w:szCs w:val="24"/>
                <w:lang w:val="en-US" w:eastAsia="zh-CN"/>
              </w:rPr>
              <w:t>及</w:t>
            </w:r>
            <w:r>
              <w:rPr>
                <w:rFonts w:hint="default" w:ascii="Times New Roman" w:hAnsi="Times New Roman" w:eastAsia="宋体" w:cs="Times New Roman"/>
                <w:bCs/>
                <w:color w:val="auto"/>
                <w:sz w:val="24"/>
                <w:szCs w:val="24"/>
                <w:lang w:val="en-US" w:eastAsia="zh-CN"/>
              </w:rPr>
              <w:t>《环境空气质量标准》（</w:t>
            </w:r>
            <w:r>
              <w:rPr>
                <w:rFonts w:hint="eastAsia" w:ascii="Times New Roman" w:hAnsi="Times New Roman" w:eastAsia="宋体" w:cs="Times New Roman"/>
                <w:bCs/>
                <w:color w:val="auto"/>
                <w:sz w:val="24"/>
                <w:szCs w:val="24"/>
                <w:lang w:val="en-US" w:eastAsia="zh-CN"/>
              </w:rPr>
              <w:t>GB</w:t>
            </w:r>
            <w:r>
              <w:rPr>
                <w:rFonts w:hint="default" w:ascii="Times New Roman" w:hAnsi="Times New Roman" w:eastAsia="宋体" w:cs="Times New Roman"/>
                <w:bCs/>
                <w:color w:val="auto"/>
                <w:sz w:val="24"/>
                <w:szCs w:val="24"/>
                <w:lang w:val="en-US" w:eastAsia="zh-CN"/>
              </w:rPr>
              <w:t>3095-20</w:t>
            </w:r>
            <w:r>
              <w:rPr>
                <w:rFonts w:hint="eastAsia" w:ascii="Times New Roman" w:hAnsi="Times New Roman" w:eastAsia="宋体" w:cs="Times New Roman"/>
                <w:bCs/>
                <w:color w:val="auto"/>
                <w:sz w:val="24"/>
                <w:szCs w:val="24"/>
                <w:lang w:val="en-US" w:eastAsia="zh-CN"/>
              </w:rPr>
              <w:t>26</w:t>
            </w:r>
            <w:r>
              <w:rPr>
                <w:rFonts w:hint="default" w:ascii="Times New Roman" w:hAnsi="Times New Roman" w:eastAsia="宋体" w:cs="Times New Roman"/>
                <w:bCs/>
                <w:color w:val="auto"/>
                <w:sz w:val="24"/>
                <w:szCs w:val="24"/>
                <w:lang w:val="en-US" w:eastAsia="zh-CN"/>
              </w:rPr>
              <w:t>）二级标准要求</w:t>
            </w:r>
            <w:r>
              <w:rPr>
                <w:rFonts w:hint="eastAsia" w:ascii="Times New Roman" w:hAnsi="Times New Roman" w:eastAsia="宋体" w:cs="Times New Roman"/>
                <w:bCs/>
                <w:color w:val="auto"/>
                <w:sz w:val="24"/>
                <w:szCs w:val="24"/>
                <w:lang w:val="en-US" w:eastAsia="zh-CN"/>
              </w:rPr>
              <w:t>（过渡阶段浓度限值）</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highlight w:val="none"/>
                <w:lang w:val="en-US" w:eastAsia="zh-CN"/>
              </w:rPr>
              <w:t>由此判定</w:t>
            </w:r>
            <w:r>
              <w:rPr>
                <w:rFonts w:hint="default" w:ascii="Times New Roman" w:hAnsi="Times New Roman" w:eastAsia="宋体" w:cs="Times New Roman"/>
                <w:color w:val="auto"/>
                <w:sz w:val="24"/>
                <w:szCs w:val="24"/>
              </w:rPr>
              <w:t>项目所在区域属于环境空气达标区。</w:t>
            </w:r>
          </w:p>
          <w:p w14:paraId="2B1C5C22">
            <w:pPr>
              <w:adjustRightInd w:val="0"/>
              <w:snapToGrid w:val="0"/>
              <w:spacing w:line="440" w:lineRule="exact"/>
              <w:ind w:firstLine="482" w:firstLineChars="200"/>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3.</w:t>
            </w:r>
            <w:r>
              <w:rPr>
                <w:rFonts w:hint="eastAsia" w:ascii="Times New Roman" w:hAnsi="Times New Roman" w:cs="Times New Roman"/>
                <w:b/>
                <w:bCs/>
                <w:color w:val="auto"/>
                <w:sz w:val="24"/>
                <w:szCs w:val="24"/>
                <w:lang w:val="en-US" w:eastAsia="zh-CN"/>
              </w:rPr>
              <w:t>4</w:t>
            </w:r>
            <w:r>
              <w:rPr>
                <w:rFonts w:hint="default" w:ascii="Times New Roman" w:hAnsi="Times New Roman" w:cs="Times New Roman"/>
                <w:b/>
                <w:color w:val="auto"/>
                <w:sz w:val="24"/>
              </w:rPr>
              <w:t>地表水环境质量现状</w:t>
            </w:r>
          </w:p>
          <w:p w14:paraId="06E6622D">
            <w:pPr>
              <w:adjustRightInd w:val="0"/>
              <w:snapToGrid w:val="0"/>
              <w:spacing w:line="440" w:lineRule="exact"/>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根据调查，项目区域涉及地表水主要为</w:t>
            </w:r>
            <w:r>
              <w:rPr>
                <w:rFonts w:hint="eastAsia" w:ascii="Times New Roman" w:hAnsi="Times New Roman" w:cs="Times New Roman"/>
                <w:color w:val="auto"/>
                <w:sz w:val="24"/>
                <w:lang w:val="en-US" w:eastAsia="zh-CN"/>
              </w:rPr>
              <w:t>鲁珠河</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大麦冲小河等小河、天然沟箐（铜沟、冷水沟）等；本项目所涉及的鲁珠河、大麦冲小河均为牛栏江支流</w:t>
            </w:r>
            <w:r>
              <w:rPr>
                <w:rFonts w:hint="default" w:ascii="Times New Roman" w:hAnsi="Times New Roman" w:cs="Times New Roman"/>
                <w:color w:val="auto"/>
                <w:sz w:val="24"/>
              </w:rPr>
              <w:t>。根据《云南省水功能区划（2014年修订）》</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鲁珠河</w:t>
            </w:r>
            <w:r>
              <w:rPr>
                <w:rFonts w:hint="default" w:ascii="Times New Roman" w:hAnsi="Times New Roman" w:cs="Times New Roman"/>
                <w:color w:val="auto"/>
                <w:sz w:val="24"/>
              </w:rPr>
              <w:t>属于以礼河会泽-巧家保留区，2030年水质目标为《地表水环境质量标准》（GB3838-2002）中Ⅲ类标准。</w:t>
            </w:r>
          </w:p>
          <w:p w14:paraId="27763FD3">
            <w:pPr>
              <w:adjustRightInd w:val="0"/>
              <w:snapToGrid w:val="0"/>
              <w:spacing w:line="440" w:lineRule="exact"/>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大麦冲小河向东北方向流出约15km，于乐业村更名为乐业大河。乐业大河向东北方向流出15km，</w:t>
            </w:r>
            <w:r>
              <w:rPr>
                <w:rFonts w:hint="eastAsia" w:ascii="Times New Roman" w:hAnsi="Times New Roman" w:eastAsia="宋体" w:cs="Times New Roman"/>
                <w:color w:val="auto"/>
                <w:sz w:val="24"/>
                <w:lang w:eastAsia="zh-CN"/>
              </w:rPr>
              <w:t>途经</w:t>
            </w:r>
            <w:r>
              <w:rPr>
                <w:rFonts w:hint="eastAsia" w:ascii="Times New Roman" w:hAnsi="Times New Roman" w:eastAsia="宋体" w:cs="Times New Roman"/>
                <w:color w:val="auto"/>
                <w:sz w:val="24"/>
              </w:rPr>
              <w:t>乐业镇后转向西北方向约4km流至卡子村，更名为卡子河。卡子河在卡子村处</w:t>
            </w:r>
            <w:r>
              <w:rPr>
                <w:rFonts w:hint="eastAsia" w:ascii="Times New Roman" w:hAnsi="Times New Roman" w:eastAsia="宋体" w:cs="Times New Roman"/>
                <w:color w:val="auto"/>
                <w:sz w:val="24"/>
                <w:lang w:val="en-US" w:eastAsia="zh-CN"/>
              </w:rPr>
              <w:t>与</w:t>
            </w:r>
            <w:r>
              <w:rPr>
                <w:rFonts w:hint="eastAsia" w:ascii="Times New Roman" w:hAnsi="Times New Roman" w:eastAsia="宋体" w:cs="Times New Roman"/>
                <w:color w:val="auto"/>
                <w:sz w:val="24"/>
              </w:rPr>
              <w:t>干河汇合，继续向东北方向流淌，于营盘沟汇合后更名为硝厂河，硝厂河向东北流出约30km后汇入牛栏江。</w:t>
            </w:r>
          </w:p>
          <w:p w14:paraId="7F4A605F">
            <w:pPr>
              <w:adjustRightInd w:val="0"/>
              <w:snapToGrid w:val="0"/>
              <w:spacing w:line="440" w:lineRule="exact"/>
              <w:ind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根据《云南省水功能区划（2014年修订）》</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本项目</w:t>
            </w:r>
            <w:r>
              <w:rPr>
                <w:rFonts w:hint="eastAsia" w:ascii="Times New Roman" w:hAnsi="Times New Roman" w:eastAsia="宋体" w:cs="Times New Roman"/>
                <w:color w:val="auto"/>
                <w:sz w:val="24"/>
                <w:lang w:val="en-US" w:eastAsia="zh-CN"/>
              </w:rPr>
              <w:t>附近大麦冲小河属于牛栏江滇黔缓冲区</w:t>
            </w:r>
            <w:r>
              <w:rPr>
                <w:rFonts w:hint="eastAsia" w:ascii="Times New Roman" w:hAnsi="Times New Roman" w:eastAsia="宋体" w:cs="Times New Roman"/>
                <w:color w:val="auto"/>
                <w:sz w:val="24"/>
              </w:rPr>
              <w:t>，2030年水质目标为《地表水环境质量标准》（GB3838-2002）中</w:t>
            </w:r>
            <w:r>
              <w:rPr>
                <w:rFonts w:hint="eastAsia" w:ascii="Times New Roman" w:hAnsi="Times New Roman" w:eastAsia="宋体" w:cs="Times New Roman"/>
                <w:color w:val="auto"/>
                <w:sz w:val="24"/>
                <w:lang w:val="en-US" w:eastAsia="zh-CN"/>
              </w:rPr>
              <w:t>Ⅲ</w:t>
            </w:r>
            <w:r>
              <w:rPr>
                <w:rFonts w:hint="eastAsia" w:ascii="Times New Roman" w:hAnsi="Times New Roman" w:eastAsia="宋体" w:cs="Times New Roman"/>
                <w:color w:val="auto"/>
                <w:sz w:val="24"/>
              </w:rPr>
              <w:t>类标准。</w:t>
            </w:r>
          </w:p>
          <w:p w14:paraId="0C9CA2FA">
            <w:pPr>
              <w:adjustRightInd w:val="0"/>
              <w:snapToGrid w:val="0"/>
              <w:spacing w:line="440" w:lineRule="exact"/>
              <w:ind w:firstLine="480" w:firstLineChars="200"/>
              <w:rPr>
                <w:rFonts w:hint="default" w:ascii="Times New Roman" w:hAnsi="Times New Roman" w:eastAsia="宋体" w:cs="Times New Roman"/>
                <w:color w:val="auto"/>
                <w:sz w:val="24"/>
                <w:lang w:val="en-US"/>
              </w:rPr>
            </w:pPr>
            <w:r>
              <w:rPr>
                <w:rFonts w:hint="default" w:ascii="Times New Roman" w:hAnsi="Times New Roman" w:eastAsia="宋体" w:cs="Times New Roman"/>
                <w:color w:val="auto"/>
                <w:sz w:val="24"/>
              </w:rPr>
              <w:t>根据</w:t>
            </w:r>
            <w:r>
              <w:rPr>
                <w:rFonts w:hint="eastAsia" w:ascii="Times New Roman" w:hAnsi="Times New Roman" w:eastAsia="宋体" w:cs="Times New Roman"/>
                <w:color w:val="auto"/>
                <w:sz w:val="24"/>
                <w:lang w:val="en-US" w:eastAsia="zh-CN"/>
              </w:rPr>
              <w:t>曲靖市生态环境局会泽分局</w:t>
            </w:r>
            <w:r>
              <w:rPr>
                <w:rFonts w:hint="default" w:ascii="Times New Roman" w:hAnsi="Times New Roman" w:eastAsia="宋体" w:cs="Times New Roman"/>
                <w:color w:val="auto"/>
                <w:sz w:val="24"/>
              </w:rPr>
              <w:t>202</w:t>
            </w:r>
            <w:r>
              <w:rPr>
                <w:rFonts w:hint="eastAsia" w:ascii="Times New Roman" w:hAnsi="Times New Roman" w:eastAsia="宋体" w:cs="Times New Roman"/>
                <w:color w:val="auto"/>
                <w:sz w:val="24"/>
              </w:rPr>
              <w:t>5</w:t>
            </w:r>
            <w:r>
              <w:rPr>
                <w:rFonts w:hint="default" w:ascii="Times New Roman" w:hAnsi="Times New Roman" w:eastAsia="宋体" w:cs="Times New Roman"/>
                <w:color w:val="auto"/>
                <w:sz w:val="24"/>
              </w:rPr>
              <w:t>年</w:t>
            </w:r>
            <w:r>
              <w:rPr>
                <w:rFonts w:hint="eastAsia" w:ascii="Times New Roman" w:hAnsi="Times New Roman" w:eastAsia="宋体" w:cs="Times New Roman"/>
                <w:color w:val="auto"/>
                <w:sz w:val="24"/>
                <w:lang w:val="en-US" w:eastAsia="zh-CN"/>
              </w:rPr>
              <w:t>内</w:t>
            </w:r>
            <w:r>
              <w:rPr>
                <w:rFonts w:hint="default" w:ascii="Times New Roman" w:hAnsi="Times New Roman" w:eastAsia="宋体" w:cs="Times New Roman"/>
                <w:color w:val="auto"/>
                <w:sz w:val="24"/>
              </w:rPr>
              <w:t>发布的《</w:t>
            </w:r>
            <w:r>
              <w:rPr>
                <w:rFonts w:hint="eastAsia" w:ascii="Times New Roman" w:hAnsi="Times New Roman" w:eastAsia="宋体" w:cs="Times New Roman"/>
                <w:color w:val="auto"/>
                <w:sz w:val="24"/>
              </w:rPr>
              <w:t>会泽县2025年水环境质量</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1-12月</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硝厂河市控断面1-4季度水域功能要求为Ⅲ类，水质现状为Ⅱ-Ⅲ类，水质状况优；</w:t>
            </w:r>
            <w:r>
              <w:rPr>
                <w:rFonts w:hint="eastAsia" w:ascii="Times New Roman" w:hAnsi="Times New Roman" w:eastAsia="宋体" w:cs="Times New Roman"/>
                <w:color w:val="auto"/>
                <w:sz w:val="24"/>
              </w:rPr>
              <w:t>以礼河水文站</w:t>
            </w:r>
            <w:r>
              <w:rPr>
                <w:rFonts w:hint="eastAsia" w:ascii="Times New Roman" w:hAnsi="Times New Roman" w:eastAsia="宋体" w:cs="Times New Roman"/>
                <w:color w:val="auto"/>
                <w:sz w:val="24"/>
                <w:lang w:val="en-US" w:eastAsia="zh-CN"/>
              </w:rPr>
              <w:t>国控断面1-12月份水域功能要求为Ⅲ类，水质现状为Ⅱ-Ⅲ类，水质状况优；牛栏江大桥国控断面1-12月水域功能要求为Ⅲ类，水质现状为Ⅱ-Ⅲ类，水质状况优。</w:t>
            </w:r>
          </w:p>
          <w:p w14:paraId="512ECAB9">
            <w:pPr>
              <w:adjustRightInd w:val="0"/>
              <w:snapToGrid w:val="0"/>
              <w:spacing w:line="440" w:lineRule="exact"/>
              <w:ind w:firstLine="480" w:firstLineChars="200"/>
              <w:rPr>
                <w:rFonts w:hint="default" w:ascii="Times New Roman" w:hAnsi="Times New Roman" w:cs="Times New Roman"/>
                <w:color w:val="auto"/>
                <w:sz w:val="24"/>
                <w:szCs w:val="24"/>
              </w:rPr>
            </w:pPr>
            <w:r>
              <w:rPr>
                <w:rFonts w:hint="eastAsia" w:ascii="Times New Roman" w:hAnsi="Times New Roman" w:cs="Times New Roman"/>
                <w:color w:val="auto"/>
                <w:sz w:val="24"/>
                <w:highlight w:val="none"/>
                <w:lang w:val="en-US" w:eastAsia="zh-CN"/>
              </w:rPr>
              <w:t>铜沟</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冷水沟</w:t>
            </w:r>
            <w:r>
              <w:rPr>
                <w:rFonts w:hint="default" w:ascii="Times New Roman" w:hAnsi="Times New Roman" w:cs="Times New Roman"/>
                <w:color w:val="auto"/>
                <w:sz w:val="24"/>
                <w:highlight w:val="none"/>
              </w:rPr>
              <w:t>未划定水功能区，水质参照</w:t>
            </w:r>
            <w:r>
              <w:rPr>
                <w:rFonts w:hint="eastAsia" w:ascii="Times New Roman" w:hAnsi="Times New Roman" w:cs="Times New Roman"/>
                <w:color w:val="auto"/>
                <w:sz w:val="24"/>
                <w:highlight w:val="none"/>
                <w:lang w:val="en-US" w:eastAsia="zh-CN"/>
              </w:rPr>
              <w:t>金沙江（金沙江为一级功能区“金沙江滇川4号缓冲区”，起于出省界前5km处，止于向家坝水电站坝轴线线下1.8km）</w:t>
            </w:r>
            <w:r>
              <w:rPr>
                <w:rFonts w:hint="default" w:ascii="Times New Roman" w:hAnsi="Times New Roman" w:cs="Times New Roman"/>
                <w:color w:val="auto"/>
                <w:sz w:val="24"/>
                <w:highlight w:val="none"/>
              </w:rPr>
              <w:t>执行《地表水环境质量标准》（GB3838-2002）Ⅲ类标准。</w:t>
            </w:r>
          </w:p>
          <w:p w14:paraId="6700BA4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rPr>
              <w:t>根据《曲靖市环境质量年报（202</w:t>
            </w:r>
            <w:r>
              <w:rPr>
                <w:rFonts w:hint="eastAsia"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rPr>
              <w:t>年）》，2024年12月，曲靖市地表水水质状况总体优。39个国控、省控地表水断面（31个河流、8个湖库）中，Ⅰ类断面7个，占17.9%；Ⅱ类断面22个，占56.4%；Ⅲ类断面8个，占20.5%；Ⅳ类断面2个，占5.1%；无Ⅴ类断面及劣Ⅴ类断面。监测的39个断面中，优良断面（Ⅰ～Ⅲ类）37个，优良率94.9%；水功能达标断面34个，断面达标率87.2%。</w:t>
            </w:r>
          </w:p>
          <w:p w14:paraId="50A9B6EE">
            <w:pPr>
              <w:adjustRightInd w:val="0"/>
              <w:snapToGrid w:val="0"/>
              <w:spacing w:line="440" w:lineRule="exact"/>
              <w:ind w:firstLine="480" w:firstLineChars="200"/>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曲靖市辖区内共有27个市控断面，其中I~I类水质优良20个占74.1%</w:t>
            </w:r>
            <w:r>
              <w:rPr>
                <w:rFonts w:hint="eastAsia" w:ascii="Times New Roman" w:hAnsi="Times New Roman" w:cs="Times New Roman"/>
                <w:color w:val="auto"/>
                <w:sz w:val="24"/>
                <w:lang w:val="en-US" w:eastAsia="zh-CN"/>
              </w:rPr>
              <w:t>；Ⅳ类</w:t>
            </w:r>
            <w:r>
              <w:rPr>
                <w:rFonts w:hint="default" w:ascii="Times New Roman" w:hAnsi="Times New Roman" w:cs="Times New Roman"/>
                <w:color w:val="auto"/>
                <w:sz w:val="24"/>
                <w:lang w:val="en-US" w:eastAsia="zh-CN"/>
              </w:rPr>
              <w:t>水质轻度污染4个，占14.8%</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lang w:val="en-US" w:eastAsia="zh-CN"/>
              </w:rPr>
              <w:t>V类水质中度污染1个占3.7%</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lang w:val="en-US" w:eastAsia="zh-CN"/>
              </w:rPr>
              <w:t>劣V类水质重度污染2个，占7.4%。水功能达标23个，</w:t>
            </w:r>
            <w:r>
              <w:rPr>
                <w:rFonts w:hint="eastAsia" w:ascii="Times New Roman" w:hAnsi="Times New Roman" w:cs="Times New Roman"/>
                <w:color w:val="auto"/>
                <w:sz w:val="24"/>
                <w:lang w:val="en-US" w:eastAsia="zh-CN"/>
              </w:rPr>
              <w:t>达标率</w:t>
            </w:r>
            <w:r>
              <w:rPr>
                <w:rFonts w:hint="default" w:ascii="Times New Roman" w:hAnsi="Times New Roman" w:cs="Times New Roman"/>
                <w:color w:val="auto"/>
                <w:sz w:val="24"/>
                <w:lang w:val="en-US" w:eastAsia="zh-CN"/>
              </w:rPr>
              <w:t>85.2%。曲靖市辖区内市控地表水水质状况总体轻度污染</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lang w:val="en-US" w:eastAsia="zh-CN"/>
              </w:rPr>
              <w:t>I~II水质比例&lt;75%</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lang w:val="en-US" w:eastAsia="zh-CN"/>
              </w:rPr>
              <w:t>。</w:t>
            </w:r>
          </w:p>
          <w:p w14:paraId="2E1C9A17">
            <w:pPr>
              <w:adjustRightInd w:val="0"/>
              <w:snapToGrid w:val="0"/>
              <w:spacing w:line="440" w:lineRule="exact"/>
              <w:ind w:firstLine="480" w:firstLineChars="200"/>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牛栏江支流硝厂河从项目区西侧从南向北穿过，牛栏江（江底大桥）省控断面位于项目区北侧直线距离约</w:t>
            </w:r>
            <w:r>
              <w:rPr>
                <w:rFonts w:hint="eastAsia" w:ascii="Times New Roman" w:hAnsi="Times New Roman" w:cs="Times New Roman"/>
                <w:color w:val="auto"/>
                <w:sz w:val="24"/>
                <w:lang w:val="en-US" w:eastAsia="zh-CN"/>
              </w:rPr>
              <w:t>27.2</w:t>
            </w:r>
            <w:r>
              <w:rPr>
                <w:rFonts w:hint="default" w:ascii="Times New Roman" w:hAnsi="Times New Roman" w:cs="Times New Roman"/>
                <w:color w:val="auto"/>
                <w:sz w:val="24"/>
                <w:lang w:val="en-US" w:eastAsia="zh-CN"/>
              </w:rPr>
              <w:t>km</w:t>
            </w:r>
            <w:r>
              <w:rPr>
                <w:rFonts w:hint="eastAsia" w:ascii="Times New Roman" w:hAnsi="Times New Roman" w:cs="Times New Roman"/>
                <w:color w:val="auto"/>
                <w:sz w:val="24"/>
                <w:lang w:val="en-US" w:eastAsia="zh-CN"/>
              </w:rPr>
              <w:t>，处于项目上游；市控断面</w:t>
            </w:r>
            <w:r>
              <w:rPr>
                <w:rFonts w:hint="default" w:ascii="Times New Roman" w:hAnsi="Times New Roman" w:cs="Times New Roman"/>
                <w:color w:val="auto"/>
                <w:sz w:val="24"/>
                <w:lang w:val="en-US" w:eastAsia="zh-CN"/>
              </w:rPr>
              <w:t>硝厂河</w:t>
            </w:r>
            <w:r>
              <w:rPr>
                <w:rFonts w:hint="eastAsia" w:ascii="Times New Roman" w:hAnsi="Times New Roman" w:cs="Times New Roman"/>
                <w:color w:val="auto"/>
                <w:sz w:val="24"/>
                <w:lang w:val="en-US" w:eastAsia="zh-CN"/>
              </w:rPr>
              <w:t>位于</w:t>
            </w:r>
            <w:r>
              <w:rPr>
                <w:rFonts w:hint="default" w:ascii="Times New Roman" w:hAnsi="Times New Roman" w:cs="Times New Roman"/>
                <w:color w:val="auto"/>
                <w:sz w:val="24"/>
                <w:lang w:val="en-US" w:eastAsia="zh-CN"/>
              </w:rPr>
              <w:t>硝厂河与牛栏江汇口处，</w:t>
            </w:r>
            <w:r>
              <w:rPr>
                <w:rFonts w:hint="eastAsia" w:ascii="Times New Roman" w:hAnsi="Times New Roman" w:cs="Times New Roman"/>
                <w:color w:val="auto"/>
                <w:sz w:val="24"/>
                <w:lang w:val="en-US" w:eastAsia="zh-CN"/>
              </w:rPr>
              <w:t>位于项目北侧最近距离30.8km</w:t>
            </w:r>
            <w:r>
              <w:rPr>
                <w:rFonts w:hint="default" w:ascii="Times New Roman" w:hAnsi="Times New Roman" w:cs="Times New Roman"/>
                <w:color w:val="auto"/>
                <w:sz w:val="24"/>
                <w:lang w:val="en-US" w:eastAsia="zh-CN"/>
              </w:rPr>
              <w:t>。</w:t>
            </w:r>
          </w:p>
          <w:p w14:paraId="1E0ACFA0">
            <w:pPr>
              <w:adjustRightInd w:val="0"/>
              <w:snapToGrid w:val="0"/>
              <w:spacing w:line="440" w:lineRule="exact"/>
              <w:ind w:firstLine="480" w:firstLineChars="200"/>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根据国控</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lang w:val="en-US" w:eastAsia="zh-CN"/>
              </w:rPr>
              <w:t>省控河流断面例行监测结果可知，牛栏江大桥水质能够达到《地表水环境质量标准》（GB3838-2002）Ⅱ-Ⅲ类标准</w:t>
            </w:r>
            <w:r>
              <w:rPr>
                <w:rFonts w:hint="eastAsia" w:ascii="Times New Roman" w:hAnsi="Times New Roman" w:cs="Times New Roman"/>
                <w:color w:val="auto"/>
                <w:sz w:val="24"/>
                <w:lang w:val="en-US" w:eastAsia="zh-CN"/>
              </w:rPr>
              <w:t>；根据市控</w:t>
            </w:r>
            <w:r>
              <w:rPr>
                <w:rFonts w:hint="default" w:ascii="Times New Roman" w:hAnsi="Times New Roman" w:cs="Times New Roman"/>
                <w:color w:val="auto"/>
                <w:sz w:val="24"/>
                <w:lang w:val="en-US" w:eastAsia="zh-CN"/>
              </w:rPr>
              <w:t>硝厂河</w:t>
            </w:r>
            <w:r>
              <w:rPr>
                <w:rFonts w:hint="eastAsia" w:ascii="Times New Roman" w:hAnsi="Times New Roman" w:cs="Times New Roman"/>
                <w:color w:val="auto"/>
                <w:sz w:val="24"/>
                <w:lang w:val="en-US" w:eastAsia="zh-CN"/>
              </w:rPr>
              <w:t>断面监测结果，</w:t>
            </w:r>
            <w:r>
              <w:rPr>
                <w:rFonts w:hint="default" w:ascii="Times New Roman" w:hAnsi="Times New Roman" w:cs="Times New Roman"/>
                <w:color w:val="auto"/>
                <w:sz w:val="24"/>
                <w:lang w:val="en-US" w:eastAsia="zh-CN"/>
              </w:rPr>
              <w:t>水质能够达到Ⅱ-Ⅲ类标准</w:t>
            </w:r>
            <w:r>
              <w:rPr>
                <w:rFonts w:hint="eastAsia" w:ascii="Times New Roman" w:hAnsi="Times New Roman" w:cs="Times New Roman"/>
                <w:color w:val="auto"/>
                <w:sz w:val="24"/>
                <w:lang w:val="en-US" w:eastAsia="zh-CN"/>
              </w:rPr>
              <w:t>，因此，项目区域</w:t>
            </w:r>
            <w:r>
              <w:rPr>
                <w:rFonts w:hint="default" w:ascii="Times New Roman" w:hAnsi="Times New Roman" w:cs="Times New Roman"/>
                <w:color w:val="auto"/>
                <w:sz w:val="24"/>
                <w:lang w:val="en-US" w:eastAsia="zh-CN"/>
              </w:rPr>
              <w:t>地表水环境质量良好，满足Ⅲ类水功能要求。</w:t>
            </w:r>
          </w:p>
          <w:p w14:paraId="1213CC3D">
            <w:pPr>
              <w:adjustRightInd w:val="0"/>
              <w:snapToGrid w:val="0"/>
              <w:spacing w:line="440" w:lineRule="exact"/>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3.</w:t>
            </w:r>
            <w:r>
              <w:rPr>
                <w:rFonts w:hint="eastAsia" w:ascii="Times New Roman" w:hAnsi="Times New Roman" w:cs="Times New Roman"/>
                <w:b/>
                <w:color w:val="auto"/>
                <w:sz w:val="24"/>
                <w:lang w:val="en-US" w:eastAsia="zh-CN"/>
              </w:rPr>
              <w:t>5</w:t>
            </w:r>
            <w:r>
              <w:rPr>
                <w:rFonts w:hint="default" w:ascii="Times New Roman" w:hAnsi="Times New Roman" w:cs="Times New Roman"/>
                <w:b/>
                <w:color w:val="auto"/>
                <w:sz w:val="24"/>
              </w:rPr>
              <w:t>电磁环境质量现状</w:t>
            </w:r>
          </w:p>
          <w:p w14:paraId="666960E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根据</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eastAsia="zh-CN"/>
              </w:rPr>
              <w:t>大草房至六合一110kV送出线路工程</w:t>
            </w:r>
            <w:r>
              <w:rPr>
                <w:rFonts w:hint="default" w:ascii="Times New Roman" w:hAnsi="Times New Roman" w:eastAsia="宋体" w:cs="Times New Roman"/>
                <w:color w:val="auto"/>
                <w:sz w:val="24"/>
                <w:szCs w:val="24"/>
              </w:rPr>
              <w:t>电磁环境影响专题评价》</w:t>
            </w:r>
            <w:r>
              <w:rPr>
                <w:rFonts w:hint="eastAsia" w:ascii="Times New Roman" w:hAnsi="Times New Roman" w:eastAsia="宋体" w:cs="Times New Roman"/>
                <w:color w:val="auto"/>
                <w:sz w:val="24"/>
                <w:szCs w:val="24"/>
                <w:lang w:val="en-US" w:eastAsia="zh-CN"/>
              </w:rPr>
              <w:t>中</w:t>
            </w:r>
            <w:r>
              <w:rPr>
                <w:rFonts w:hint="eastAsia" w:ascii="Times New Roman" w:hAnsi="Times New Roman" w:eastAsia="宋体" w:cs="Times New Roman"/>
                <w:color w:val="auto"/>
                <w:sz w:val="24"/>
                <w:szCs w:val="24"/>
                <w:lang w:eastAsia="zh-CN"/>
              </w:rPr>
              <w:t>电磁环境</w:t>
            </w:r>
            <w:r>
              <w:rPr>
                <w:rFonts w:hint="eastAsia" w:ascii="Times New Roman" w:hAnsi="Times New Roman" w:eastAsia="宋体" w:cs="Times New Roman"/>
                <w:color w:val="auto"/>
                <w:sz w:val="24"/>
                <w:szCs w:val="24"/>
                <w:lang w:val="en-US" w:eastAsia="zh-CN"/>
              </w:rPr>
              <w:t>现状评价，结论如下：</w:t>
            </w:r>
          </w:p>
          <w:p w14:paraId="14384C74">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cs="Times New Roman"/>
                <w:bCs/>
                <w:color w:val="auto"/>
                <w:kern w:val="0"/>
                <w:sz w:val="24"/>
                <w:szCs w:val="24"/>
                <w:lang w:val="en-US" w:eastAsia="zh-CN"/>
              </w:rPr>
            </w:pPr>
            <w:r>
              <w:rPr>
                <w:rFonts w:hint="eastAsia" w:ascii="Times New Roman" w:hAnsi="Times New Roman"/>
                <w:color w:val="auto"/>
                <w:sz w:val="24"/>
                <w:szCs w:val="24"/>
                <w:highlight w:val="none"/>
              </w:rPr>
              <w:t>本次评价时，</w:t>
            </w:r>
            <w:r>
              <w:rPr>
                <w:rFonts w:ascii="Times New Roman" w:hAnsi="Times New Roman"/>
                <w:color w:val="auto"/>
                <w:sz w:val="24"/>
                <w:szCs w:val="24"/>
                <w:highlight w:val="none"/>
              </w:rPr>
              <w:t>拟</w:t>
            </w:r>
            <w:r>
              <w:rPr>
                <w:rFonts w:ascii="Times New Roman" w:hAnsi="Times New Roman"/>
                <w:color w:val="auto"/>
                <w:sz w:val="24"/>
                <w:szCs w:val="24"/>
              </w:rPr>
              <w:t>建</w:t>
            </w:r>
            <w:r>
              <w:rPr>
                <w:rFonts w:hint="default" w:ascii="Times New Roman" w:hAnsi="Times New Roman"/>
                <w:color w:val="auto"/>
                <w:sz w:val="24"/>
                <w:szCs w:val="24"/>
                <w:lang w:val="en-US" w:eastAsia="zh-CN"/>
              </w:rPr>
              <w:t>220kV</w:t>
            </w:r>
            <w:r>
              <w:rPr>
                <w:rFonts w:hint="eastAsia" w:ascii="Times New Roman" w:hAnsi="Times New Roman"/>
                <w:color w:val="auto"/>
                <w:sz w:val="24"/>
                <w:szCs w:val="24"/>
                <w:lang w:val="en-US" w:eastAsia="zh-CN"/>
              </w:rPr>
              <w:t>六合一</w:t>
            </w:r>
            <w:r>
              <w:rPr>
                <w:rFonts w:hint="default" w:ascii="Times New Roman" w:hAnsi="Times New Roman"/>
                <w:color w:val="auto"/>
                <w:sz w:val="24"/>
                <w:szCs w:val="24"/>
                <w:lang w:val="en-US" w:eastAsia="zh-CN"/>
              </w:rPr>
              <w:t>升压站</w:t>
            </w:r>
            <w:r>
              <w:rPr>
                <w:rFonts w:hint="eastAsia" w:ascii="Times New Roman" w:hAnsi="Times New Roman"/>
                <w:color w:val="auto"/>
                <w:sz w:val="24"/>
                <w:szCs w:val="24"/>
                <w:lang w:val="en-US" w:eastAsia="zh-CN"/>
              </w:rPr>
              <w:t>、110kV大草房升压站</w:t>
            </w:r>
            <w:r>
              <w:rPr>
                <w:rFonts w:ascii="Times New Roman" w:hAnsi="Times New Roman"/>
                <w:color w:val="auto"/>
                <w:sz w:val="24"/>
                <w:szCs w:val="24"/>
              </w:rPr>
              <w:t>正在建设中，</w:t>
            </w:r>
            <w:r>
              <w:rPr>
                <w:rFonts w:hint="eastAsia" w:ascii="Times New Roman" w:hAnsi="Times New Roman"/>
                <w:color w:val="auto"/>
                <w:sz w:val="24"/>
                <w:szCs w:val="24"/>
                <w:lang w:val="en-US" w:eastAsia="zh-CN"/>
              </w:rPr>
              <w:t>本次评价</w:t>
            </w:r>
            <w:r>
              <w:rPr>
                <w:rFonts w:hint="eastAsia" w:ascii="Times New Roman" w:hAnsi="Times New Roman" w:cs="Times New Roman"/>
                <w:bCs/>
                <w:color w:val="auto"/>
                <w:kern w:val="0"/>
                <w:sz w:val="24"/>
                <w:szCs w:val="24"/>
                <w:lang w:val="en-US" w:eastAsia="zh-CN"/>
              </w:rPr>
              <w:t>引用环评阶段现状监测数据，220kV六合一升压站厂界的工频电场强度范围为</w:t>
            </w:r>
            <w:r>
              <w:rPr>
                <w:rFonts w:hint="default" w:ascii="Times New Roman" w:hAnsi="Times New Roman" w:eastAsia="宋体"/>
                <w:color w:val="auto"/>
                <w:sz w:val="24"/>
                <w:szCs w:val="24"/>
              </w:rPr>
              <w:t>30V/m~41V/m，工频磁感应强度范围为0.064μT~0.086μT，</w:t>
            </w:r>
            <w:r>
              <w:rPr>
                <w:rFonts w:hint="eastAsia" w:ascii="Times New Roman" w:hAnsi="Times New Roman" w:cs="Times New Roman"/>
                <w:bCs/>
                <w:color w:val="auto"/>
                <w:kern w:val="0"/>
                <w:sz w:val="24"/>
                <w:szCs w:val="24"/>
                <w:lang w:val="en-US" w:eastAsia="zh-CN"/>
              </w:rPr>
              <w:t>能满足《电磁环境控制限值》（GB8702-2014）公众曝露控制限值标准（工频电场4000V/m、工频磁感应强度100μT）的要求。</w:t>
            </w:r>
          </w:p>
          <w:p w14:paraId="6DCE23E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cs="Times New Roman"/>
                <w:bCs/>
                <w:color w:val="auto"/>
                <w:kern w:val="0"/>
                <w:sz w:val="24"/>
                <w:szCs w:val="24"/>
                <w:highlight w:val="none"/>
                <w:lang w:val="en-US" w:eastAsia="zh-CN"/>
              </w:rPr>
            </w:pPr>
            <w:r>
              <w:rPr>
                <w:rFonts w:hint="eastAsia" w:ascii="Times New Roman" w:hAnsi="Times New Roman" w:cs="Times New Roman"/>
                <w:bCs/>
                <w:color w:val="auto"/>
                <w:kern w:val="0"/>
                <w:sz w:val="24"/>
                <w:szCs w:val="24"/>
                <w:highlight w:val="none"/>
                <w:lang w:val="en-US" w:eastAsia="zh-CN"/>
              </w:rPr>
              <w:t>110kV大草房升压站址中心处的工频电场强度为10.964V/m，拟建站址中心处的工频磁感应强度为0.035μT，《电磁环境控制限值》（GB8702-2014）标准（工频电场4000V/m、工频磁感应强度100μT）的要求。</w:t>
            </w:r>
          </w:p>
          <w:p w14:paraId="5713C5E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根据本次环境质量现状监测报告（编号：</w:t>
            </w:r>
            <w:r>
              <w:rPr>
                <w:rFonts w:hint="eastAsia" w:ascii="Times New Roman" w:hAnsi="Times New Roman" w:cs="Times New Roman"/>
                <w:color w:val="auto"/>
                <w:sz w:val="24"/>
                <w:szCs w:val="24"/>
              </w:rPr>
              <w:t>YSBG20260526</w:t>
            </w:r>
            <w:r>
              <w:rPr>
                <w:rFonts w:hint="eastAsia" w:ascii="Times New Roman" w:hAnsi="Times New Roman"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号），</w:t>
            </w:r>
            <w:r>
              <w:rPr>
                <w:rFonts w:ascii="Times New Roman" w:hAnsi="Times New Roman"/>
                <w:color w:val="auto"/>
                <w:sz w:val="24"/>
                <w:szCs w:val="24"/>
              </w:rPr>
              <w:t>线路</w:t>
            </w:r>
            <w:r>
              <w:rPr>
                <w:rFonts w:hint="eastAsia" w:ascii="Times New Roman" w:hAnsi="Times New Roman"/>
                <w:color w:val="auto"/>
                <w:sz w:val="24"/>
                <w:szCs w:val="24"/>
                <w:lang w:val="en-US" w:eastAsia="zh-CN"/>
              </w:rPr>
              <w:t>敏感点</w:t>
            </w:r>
            <w:r>
              <w:rPr>
                <w:rFonts w:ascii="Times New Roman" w:hAnsi="Times New Roman"/>
                <w:color w:val="auto"/>
                <w:sz w:val="24"/>
                <w:szCs w:val="24"/>
              </w:rPr>
              <w:t>工频电场强度为</w:t>
            </w:r>
            <w:r>
              <w:rPr>
                <w:rFonts w:hint="eastAsia" w:ascii="Times New Roman" w:hAnsi="Times New Roman"/>
                <w:color w:val="auto"/>
                <w:sz w:val="24"/>
                <w:szCs w:val="24"/>
                <w:lang w:val="en-US" w:eastAsia="zh-CN"/>
              </w:rPr>
              <w:t>6.05～18.9</w:t>
            </w:r>
            <w:r>
              <w:rPr>
                <w:rFonts w:ascii="Times New Roman" w:hAnsi="Times New Roman"/>
                <w:color w:val="auto"/>
                <w:sz w:val="24"/>
                <w:szCs w:val="24"/>
              </w:rPr>
              <w:t>V/m；线路</w:t>
            </w:r>
            <w:r>
              <w:rPr>
                <w:rFonts w:hint="eastAsia" w:ascii="Times New Roman" w:hAnsi="Times New Roman"/>
                <w:color w:val="auto"/>
                <w:sz w:val="24"/>
                <w:szCs w:val="24"/>
                <w:lang w:val="en-US" w:eastAsia="zh-CN"/>
              </w:rPr>
              <w:t>敏感点</w:t>
            </w:r>
            <w:r>
              <w:rPr>
                <w:rFonts w:ascii="Times New Roman" w:hAnsi="Times New Roman"/>
                <w:color w:val="auto"/>
                <w:sz w:val="24"/>
                <w:szCs w:val="24"/>
              </w:rPr>
              <w:t>工频磁感应强度为0.0</w:t>
            </w:r>
            <w:r>
              <w:rPr>
                <w:rFonts w:hint="eastAsia" w:ascii="Times New Roman" w:hAnsi="Times New Roman"/>
                <w:color w:val="auto"/>
                <w:sz w:val="24"/>
                <w:szCs w:val="24"/>
                <w:lang w:val="en-US" w:eastAsia="zh-CN"/>
              </w:rPr>
              <w:t>2</w:t>
            </w:r>
            <w:r>
              <w:rPr>
                <w:rFonts w:ascii="Times New Roman" w:hAnsi="Times New Roman"/>
                <w:color w:val="auto"/>
                <w:sz w:val="24"/>
                <w:szCs w:val="24"/>
              </w:rPr>
              <w:t>μT~0.</w:t>
            </w:r>
            <w:r>
              <w:rPr>
                <w:rFonts w:hint="eastAsia" w:ascii="Times New Roman" w:hAnsi="Times New Roman"/>
                <w:color w:val="auto"/>
                <w:sz w:val="24"/>
                <w:szCs w:val="24"/>
                <w:lang w:val="en-US" w:eastAsia="zh-CN"/>
              </w:rPr>
              <w:t>09</w:t>
            </w:r>
            <w:r>
              <w:rPr>
                <w:rFonts w:ascii="Times New Roman" w:hAnsi="Times New Roman"/>
                <w:color w:val="auto"/>
                <w:sz w:val="24"/>
                <w:szCs w:val="24"/>
              </w:rPr>
              <w:t>μT，</w:t>
            </w:r>
            <w:r>
              <w:rPr>
                <w:rFonts w:ascii="Times New Roman" w:hAnsi="Times New Roman"/>
                <w:bCs/>
                <w:color w:val="auto"/>
                <w:kern w:val="0"/>
                <w:sz w:val="24"/>
                <w:szCs w:val="24"/>
              </w:rPr>
              <w:t>满足《电磁环境控制限值》（GB8702</w:t>
            </w:r>
            <w:r>
              <w:rPr>
                <w:rFonts w:hint="eastAsia" w:ascii="Times New Roman" w:hAnsi="Times New Roman"/>
                <w:bCs/>
                <w:color w:val="auto"/>
                <w:kern w:val="0"/>
                <w:sz w:val="24"/>
                <w:szCs w:val="24"/>
                <w:lang w:val="en-US" w:eastAsia="zh-CN"/>
              </w:rPr>
              <w:t>-</w:t>
            </w:r>
            <w:r>
              <w:rPr>
                <w:rFonts w:ascii="Times New Roman" w:hAnsi="Times New Roman"/>
                <w:bCs/>
                <w:color w:val="auto"/>
                <w:kern w:val="0"/>
                <w:sz w:val="24"/>
                <w:szCs w:val="24"/>
              </w:rPr>
              <w:t>2014）中4kV/m、100μT的环境质量限值要求。</w:t>
            </w:r>
          </w:p>
          <w:p w14:paraId="4655036E">
            <w:pPr>
              <w:adjustRightInd w:val="0"/>
              <w:snapToGrid w:val="0"/>
              <w:spacing w:line="440" w:lineRule="exact"/>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3.</w:t>
            </w:r>
            <w:r>
              <w:rPr>
                <w:rFonts w:hint="eastAsia" w:ascii="Times New Roman" w:hAnsi="Times New Roman" w:cs="Times New Roman"/>
                <w:b/>
                <w:color w:val="auto"/>
                <w:sz w:val="24"/>
                <w:lang w:val="en-US" w:eastAsia="zh-CN"/>
              </w:rPr>
              <w:t>6</w:t>
            </w:r>
            <w:r>
              <w:rPr>
                <w:rFonts w:hint="default" w:ascii="Times New Roman" w:hAnsi="Times New Roman" w:cs="Times New Roman"/>
                <w:b/>
                <w:color w:val="auto"/>
                <w:sz w:val="24"/>
              </w:rPr>
              <w:t>声环境质量现状</w:t>
            </w:r>
          </w:p>
          <w:p w14:paraId="3EECB685">
            <w:pPr>
              <w:adjustRightInd w:val="0"/>
              <w:snapToGrid w:val="0"/>
              <w:spacing w:line="440" w:lineRule="exact"/>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rPr>
              <w:t>项目位于会泽县</w:t>
            </w:r>
            <w:r>
              <w:rPr>
                <w:rFonts w:hint="eastAsia" w:ascii="Times New Roman" w:hAnsi="Times New Roman" w:cs="Times New Roman"/>
                <w:color w:val="auto"/>
                <w:sz w:val="24"/>
                <w:szCs w:val="24"/>
                <w:lang w:eastAsia="zh-CN"/>
              </w:rPr>
              <w:t>宝云街道、乐业镇、</w:t>
            </w:r>
            <w:r>
              <w:rPr>
                <w:rFonts w:hint="eastAsia" w:ascii="Times New Roman" w:hAnsi="Times New Roman" w:cs="Times New Roman"/>
                <w:color w:val="auto"/>
                <w:sz w:val="24"/>
                <w:szCs w:val="24"/>
                <w:lang w:val="en-US" w:eastAsia="zh-CN"/>
              </w:rPr>
              <w:t>五星乡</w:t>
            </w:r>
            <w:r>
              <w:rPr>
                <w:rFonts w:hint="default" w:ascii="Times New Roman" w:hAnsi="Times New Roman" w:cs="Times New Roman"/>
                <w:color w:val="auto"/>
                <w:sz w:val="24"/>
                <w:szCs w:val="24"/>
              </w:rPr>
              <w:t>，项目区无相关声环境功能区划，</w:t>
            </w:r>
            <w:r>
              <w:rPr>
                <w:rFonts w:hint="default" w:ascii="Times New Roman" w:hAnsi="Times New Roman" w:cs="Times New Roman"/>
                <w:color w:val="auto"/>
                <w:sz w:val="24"/>
              </w:rPr>
              <w:t>建设项目线路所在区域</w:t>
            </w:r>
            <w:r>
              <w:rPr>
                <w:rFonts w:hint="eastAsia" w:ascii="Times New Roman" w:hAnsi="Times New Roman" w:cs="Times New Roman"/>
                <w:color w:val="auto"/>
                <w:sz w:val="24"/>
                <w:lang w:eastAsia="zh-CN"/>
              </w:rPr>
              <w:t>属于</w:t>
            </w:r>
            <w:r>
              <w:rPr>
                <w:rFonts w:hint="default" w:ascii="Times New Roman" w:hAnsi="Times New Roman" w:cs="Times New Roman"/>
                <w:color w:val="auto"/>
                <w:sz w:val="24"/>
              </w:rPr>
              <w:t>城郊农村地区，沿线周边分布有村庄、道路等，</w:t>
            </w:r>
            <w:r>
              <w:rPr>
                <w:rFonts w:hint="default" w:ascii="Times New Roman" w:hAnsi="Times New Roman" w:eastAsia="宋体" w:cs="Times New Roman"/>
                <w:color w:val="auto"/>
                <w:sz w:val="24"/>
              </w:rPr>
              <w:t>线路沿线区域主</w:t>
            </w:r>
            <w:r>
              <w:rPr>
                <w:rFonts w:hint="eastAsia" w:ascii="Times New Roman" w:hAnsi="Times New Roman" w:cs="Times New Roman"/>
                <w:color w:val="auto"/>
                <w:sz w:val="24"/>
                <w:lang w:eastAsia="zh-CN"/>
              </w:rPr>
              <w:t>要以</w:t>
            </w:r>
            <w:r>
              <w:rPr>
                <w:rFonts w:hint="default" w:ascii="Times New Roman" w:hAnsi="Times New Roman" w:eastAsia="宋体" w:cs="Times New Roman"/>
                <w:color w:val="auto"/>
                <w:kern w:val="0"/>
                <w:sz w:val="24"/>
              </w:rPr>
              <w:t>林地、耕地</w:t>
            </w:r>
            <w:r>
              <w:rPr>
                <w:rFonts w:hint="eastAsia" w:ascii="Times New Roman" w:hAnsi="Times New Roman" w:cs="Times New Roman"/>
                <w:color w:val="auto"/>
                <w:kern w:val="0"/>
                <w:sz w:val="24"/>
                <w:lang w:val="en-US" w:eastAsia="zh-CN"/>
              </w:rPr>
              <w:t>和草地</w:t>
            </w:r>
            <w:r>
              <w:rPr>
                <w:rFonts w:hint="default" w:ascii="Times New Roman" w:hAnsi="Times New Roman" w:eastAsia="宋体" w:cs="Times New Roman"/>
                <w:color w:val="auto"/>
                <w:kern w:val="0"/>
                <w:sz w:val="24"/>
              </w:rPr>
              <w:t>为主</w:t>
            </w:r>
            <w:r>
              <w:rPr>
                <w:rFonts w:hint="default" w:ascii="Times New Roman" w:hAnsi="Times New Roman" w:eastAsia="宋体" w:cs="Times New Roman"/>
                <w:color w:val="auto"/>
                <w:sz w:val="24"/>
              </w:rPr>
              <w:t>。</w:t>
            </w:r>
            <w:r>
              <w:rPr>
                <w:rFonts w:hint="default" w:ascii="Times New Roman" w:hAnsi="Times New Roman" w:eastAsia="宋体" w:cs="Times New Roman"/>
                <w:color w:val="auto"/>
                <w:kern w:val="0"/>
                <w:sz w:val="24"/>
                <w:szCs w:val="24"/>
              </w:rPr>
              <w:t>评价范围内</w:t>
            </w:r>
            <w:r>
              <w:rPr>
                <w:rFonts w:hint="eastAsia" w:ascii="Times New Roman" w:hAnsi="Times New Roman" w:cs="Times New Roman"/>
                <w:color w:val="auto"/>
                <w:kern w:val="0"/>
                <w:sz w:val="24"/>
                <w:szCs w:val="24"/>
                <w:lang w:val="en-US" w:eastAsia="zh-CN"/>
              </w:rPr>
              <w:t>噪声环境质量</w:t>
            </w:r>
            <w:r>
              <w:rPr>
                <w:rFonts w:hint="default" w:ascii="Times New Roman" w:hAnsi="Times New Roman" w:eastAsia="宋体" w:cs="Times New Roman"/>
                <w:color w:val="auto"/>
                <w:kern w:val="0"/>
                <w:sz w:val="24"/>
              </w:rPr>
              <w:t>执行《声环境质量标准》（GB3096-2008）</w:t>
            </w:r>
            <w:r>
              <w:rPr>
                <w:rFonts w:hint="eastAsia" w:ascii="Times New Roman" w:hAnsi="Times New Roman" w:cs="Times New Roman"/>
                <w:color w:val="auto"/>
                <w:kern w:val="0"/>
                <w:sz w:val="24"/>
                <w:lang w:val="en-US" w:eastAsia="zh-CN"/>
              </w:rPr>
              <w:t>1类</w:t>
            </w:r>
            <w:r>
              <w:rPr>
                <w:rFonts w:hint="default" w:ascii="Times New Roman" w:hAnsi="Times New Roman" w:eastAsia="宋体" w:cs="Times New Roman"/>
                <w:color w:val="auto"/>
                <w:kern w:val="0"/>
                <w:sz w:val="24"/>
              </w:rPr>
              <w:t>标准</w:t>
            </w:r>
            <w:r>
              <w:rPr>
                <w:rFonts w:hint="default" w:ascii="Times New Roman" w:hAnsi="Times New Roman" w:eastAsia="宋体" w:cs="Times New Roman"/>
                <w:color w:val="auto"/>
                <w:sz w:val="24"/>
                <w:szCs w:val="24"/>
              </w:rPr>
              <w:t>。</w:t>
            </w:r>
          </w:p>
          <w:p w14:paraId="71A88B60">
            <w:pPr>
              <w:adjustRightInd w:val="0"/>
              <w:snapToGrid w:val="0"/>
              <w:spacing w:line="440" w:lineRule="exact"/>
              <w:ind w:firstLine="480" w:firstLineChars="200"/>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为了解项目区声环境质量现状，委托</w:t>
            </w:r>
            <w:r>
              <w:rPr>
                <w:rFonts w:hint="default" w:ascii="Times New Roman" w:hAnsi="Times New Roman" w:eastAsia="宋体" w:cs="Times New Roman"/>
                <w:color w:val="auto"/>
                <w:sz w:val="24"/>
                <w:szCs w:val="24"/>
                <w:lang w:eastAsia="zh-CN"/>
              </w:rPr>
              <w:t>贵州元烁环境检测技术有限公司</w:t>
            </w:r>
            <w:r>
              <w:rPr>
                <w:rFonts w:hint="default" w:ascii="Times New Roman" w:hAnsi="Times New Roman" w:eastAsia="宋体" w:cs="Times New Roman"/>
                <w:color w:val="auto"/>
                <w:sz w:val="24"/>
                <w:szCs w:val="24"/>
              </w:rPr>
              <w:t>对项目拟建</w:t>
            </w:r>
            <w:r>
              <w:rPr>
                <w:rFonts w:hint="default" w:ascii="Times New Roman" w:hAnsi="Times New Roman" w:eastAsia="宋体" w:cs="Times New Roman"/>
                <w:color w:val="auto"/>
                <w:sz w:val="24"/>
                <w:szCs w:val="24"/>
                <w:lang w:val="en-US" w:eastAsia="zh-CN"/>
              </w:rPr>
              <w:t>线路</w:t>
            </w:r>
            <w:r>
              <w:rPr>
                <w:rFonts w:hint="default" w:ascii="Times New Roman" w:hAnsi="Times New Roman" w:eastAsia="宋体" w:cs="Times New Roman"/>
                <w:color w:val="auto"/>
                <w:sz w:val="24"/>
                <w:szCs w:val="24"/>
              </w:rPr>
              <w:t>进行了声环境质量监测，并出具了《</w:t>
            </w:r>
            <w:r>
              <w:rPr>
                <w:rFonts w:hint="eastAsia" w:ascii="Times New Roman" w:hAnsi="Times New Roman" w:cs="Times New Roman"/>
                <w:color w:val="auto"/>
                <w:sz w:val="24"/>
                <w:szCs w:val="24"/>
                <w:lang w:eastAsia="zh-CN"/>
              </w:rPr>
              <w:t>大</w:t>
            </w:r>
            <w:r>
              <w:rPr>
                <w:rFonts w:hint="eastAsia" w:ascii="Times New Roman" w:hAnsi="Times New Roman" w:cs="Times New Roman"/>
                <w:color w:val="auto"/>
                <w:sz w:val="24"/>
                <w:szCs w:val="24"/>
                <w:lang w:val="en-US" w:eastAsia="zh-CN"/>
              </w:rPr>
              <w:t>草房</w:t>
            </w:r>
            <w:r>
              <w:rPr>
                <w:rFonts w:hint="eastAsia" w:ascii="Times New Roman" w:hAnsi="Times New Roman" w:cs="Times New Roman"/>
                <w:color w:val="auto"/>
                <w:sz w:val="24"/>
                <w:szCs w:val="24"/>
                <w:lang w:eastAsia="zh-CN"/>
              </w:rPr>
              <w:t>至</w:t>
            </w:r>
            <w:r>
              <w:rPr>
                <w:rFonts w:hint="eastAsia" w:ascii="Times New Roman" w:hAnsi="Times New Roman" w:cs="Times New Roman"/>
                <w:color w:val="auto"/>
                <w:sz w:val="24"/>
                <w:szCs w:val="24"/>
                <w:lang w:val="en-US" w:eastAsia="zh-CN"/>
              </w:rPr>
              <w:t>六合一11</w:t>
            </w:r>
            <w:r>
              <w:rPr>
                <w:rFonts w:hint="eastAsia" w:ascii="Times New Roman" w:hAnsi="Times New Roman" w:cs="Times New Roman"/>
                <w:color w:val="auto"/>
                <w:sz w:val="24"/>
                <w:szCs w:val="24"/>
                <w:lang w:eastAsia="zh-CN"/>
              </w:rPr>
              <w:t>0kV送出线路工程</w:t>
            </w:r>
            <w:r>
              <w:rPr>
                <w:rFonts w:hint="default" w:ascii="Times New Roman" w:hAnsi="Times New Roman" w:eastAsia="宋体" w:cs="Times New Roman"/>
                <w:color w:val="auto"/>
                <w:sz w:val="24"/>
                <w:szCs w:val="24"/>
              </w:rPr>
              <w:t>环境质量现状监测报告》（报告编号：</w:t>
            </w:r>
            <w:r>
              <w:rPr>
                <w:rFonts w:hint="eastAsia" w:ascii="Times New Roman" w:hAnsi="Times New Roman" w:cs="Times New Roman"/>
                <w:color w:val="auto"/>
                <w:sz w:val="24"/>
                <w:szCs w:val="24"/>
              </w:rPr>
              <w:t>YSBG20260526</w:t>
            </w:r>
            <w:r>
              <w:rPr>
                <w:rFonts w:hint="eastAsia" w:ascii="Times New Roman" w:hAnsi="Times New Roman" w:cs="Times New Roman"/>
                <w:color w:val="auto"/>
                <w:sz w:val="24"/>
                <w:szCs w:val="24"/>
                <w:lang w:val="en-US" w:eastAsia="zh-CN"/>
              </w:rPr>
              <w:t>3</w:t>
            </w:r>
            <w:r>
              <w:rPr>
                <w:rFonts w:hint="default" w:ascii="Times New Roman" w:hAnsi="Times New Roman" w:eastAsia="宋体" w:cs="Times New Roman"/>
                <w:color w:val="auto"/>
                <w:sz w:val="24"/>
                <w:szCs w:val="24"/>
              </w:rPr>
              <w:t>号）</w:t>
            </w:r>
            <w:r>
              <w:rPr>
                <w:rFonts w:hint="default" w:ascii="Times New Roman" w:hAnsi="Times New Roman" w:eastAsia="宋体" w:cs="Times New Roman"/>
                <w:color w:val="auto"/>
                <w:sz w:val="24"/>
                <w:szCs w:val="24"/>
                <w:lang w:eastAsia="zh-CN"/>
              </w:rPr>
              <w:t>。</w:t>
            </w:r>
          </w:p>
          <w:p w14:paraId="4C29DEAE">
            <w:pPr>
              <w:adjustRightInd w:val="0"/>
              <w:snapToGrid w:val="0"/>
              <w:spacing w:line="440" w:lineRule="exact"/>
              <w:ind w:firstLine="480" w:firstLineChars="200"/>
              <w:rPr>
                <w:rFonts w:hint="eastAsia" w:ascii="Times New Roman" w:hAnsi="Times New Roman"/>
                <w:color w:val="auto"/>
                <w:sz w:val="24"/>
                <w:szCs w:val="24"/>
                <w:highlight w:val="yellow"/>
                <w:lang w:val="en-US" w:eastAsia="zh-CN"/>
              </w:rPr>
            </w:pPr>
            <w:r>
              <w:rPr>
                <w:rFonts w:ascii="Times New Roman" w:hAnsi="Times New Roman" w:cs="Times New Roman"/>
                <w:color w:val="auto"/>
                <w:sz w:val="24"/>
                <w:szCs w:val="24"/>
                <w:highlight w:val="none"/>
              </w:rPr>
              <w:t>同时，</w:t>
            </w:r>
            <w:r>
              <w:rPr>
                <w:rFonts w:hint="eastAsia" w:ascii="Times New Roman" w:hAnsi="Times New Roman"/>
                <w:color w:val="auto"/>
                <w:sz w:val="24"/>
                <w:szCs w:val="24"/>
                <w:highlight w:val="none"/>
              </w:rPr>
              <w:t>因本次评价时，</w:t>
            </w:r>
            <w:r>
              <w:rPr>
                <w:rFonts w:ascii="Times New Roman" w:hAnsi="Times New Roman"/>
                <w:color w:val="auto"/>
                <w:sz w:val="24"/>
                <w:szCs w:val="24"/>
                <w:highlight w:val="none"/>
              </w:rPr>
              <w:t>拟建</w:t>
            </w:r>
            <w:r>
              <w:rPr>
                <w:rFonts w:hint="eastAsia" w:ascii="Times New Roman" w:hAnsi="Times New Roman"/>
                <w:color w:val="auto"/>
                <w:sz w:val="24"/>
                <w:szCs w:val="24"/>
                <w:highlight w:val="none"/>
                <w:lang w:val="en-US" w:eastAsia="zh-CN"/>
              </w:rPr>
              <w:t>110kV大草房升压站</w:t>
            </w:r>
            <w:r>
              <w:rPr>
                <w:rFonts w:ascii="Times New Roman" w:hAnsi="Times New Roman"/>
                <w:color w:val="auto"/>
                <w:sz w:val="24"/>
                <w:szCs w:val="24"/>
                <w:highlight w:val="none"/>
              </w:rPr>
              <w:t>正在建设中，因此，本次评价</w:t>
            </w:r>
            <w:r>
              <w:rPr>
                <w:rFonts w:hint="eastAsia" w:ascii="Times New Roman" w:hAnsi="Times New Roman"/>
                <w:color w:val="auto"/>
                <w:sz w:val="24"/>
                <w:szCs w:val="24"/>
                <w:highlight w:val="none"/>
                <w:lang w:val="en-US" w:eastAsia="zh-CN"/>
              </w:rPr>
              <w:t>110kV大草房升压站声环境</w:t>
            </w:r>
            <w:r>
              <w:rPr>
                <w:rFonts w:ascii="Times New Roman" w:hAnsi="Times New Roman"/>
                <w:color w:val="auto"/>
                <w:sz w:val="24"/>
                <w:szCs w:val="24"/>
                <w:highlight w:val="none"/>
              </w:rPr>
              <w:t>现状引用</w:t>
            </w:r>
            <w:r>
              <w:rPr>
                <w:rFonts w:hint="eastAsia" w:ascii="Times New Roman" w:hAnsi="Times New Roman"/>
                <w:color w:val="auto"/>
                <w:sz w:val="24"/>
                <w:szCs w:val="24"/>
                <w:highlight w:val="none"/>
                <w:lang w:eastAsia="zh-CN"/>
              </w:rPr>
              <w:t>《</w:t>
            </w:r>
            <w:r>
              <w:rPr>
                <w:rFonts w:hint="eastAsia" w:ascii="Times New Roman" w:hAnsi="Times New Roman"/>
                <w:color w:val="auto"/>
                <w:sz w:val="24"/>
                <w:szCs w:val="24"/>
                <w:highlight w:val="none"/>
                <w:lang w:val="en-US" w:eastAsia="zh-CN"/>
              </w:rPr>
              <w:t>火红湾子村委会大草房光伏项目环境影响报告表（复合型光伏发电项目）（重新报批）</w:t>
            </w:r>
            <w:r>
              <w:rPr>
                <w:rFonts w:hint="eastAsia" w:ascii="Times New Roman" w:hAnsi="Times New Roman"/>
                <w:color w:val="auto"/>
                <w:sz w:val="24"/>
                <w:szCs w:val="24"/>
                <w:highlight w:val="none"/>
                <w:lang w:eastAsia="zh-CN"/>
              </w:rPr>
              <w:t>》</w:t>
            </w:r>
            <w:r>
              <w:rPr>
                <w:rFonts w:hint="eastAsia" w:ascii="Times New Roman" w:hAnsi="Times New Roman"/>
                <w:color w:val="auto"/>
                <w:sz w:val="24"/>
                <w:szCs w:val="24"/>
                <w:highlight w:val="none"/>
                <w:lang w:val="en-US" w:eastAsia="zh-CN"/>
              </w:rPr>
              <w:t>中云南科环环境工程咨询有限公司2025年10月23日至10月25日对拟建升压站站址厂界的声环境现状监测数据（报告编号：科环检字【2025】-1017003）。</w:t>
            </w:r>
          </w:p>
          <w:p w14:paraId="02134D48">
            <w:pPr>
              <w:adjustRightInd w:val="0"/>
              <w:snapToGrid w:val="0"/>
              <w:spacing w:line="440" w:lineRule="exact"/>
              <w:ind w:firstLine="482" w:firstLineChars="20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3.</w:t>
            </w:r>
            <w:r>
              <w:rPr>
                <w:rFonts w:hint="default" w:ascii="Times New Roman" w:hAnsi="Times New Roman" w:eastAsia="宋体" w:cs="Times New Roman"/>
                <w:b/>
                <w:bCs/>
                <w:color w:val="auto"/>
                <w:sz w:val="24"/>
                <w:szCs w:val="24"/>
                <w:lang w:val="en-US" w:eastAsia="zh-CN"/>
              </w:rPr>
              <w:t>6</w:t>
            </w:r>
            <w:r>
              <w:rPr>
                <w:rFonts w:hint="default" w:ascii="Times New Roman" w:hAnsi="Times New Roman" w:eastAsia="宋体" w:cs="Times New Roman"/>
                <w:b/>
                <w:bCs/>
                <w:color w:val="auto"/>
                <w:sz w:val="24"/>
                <w:szCs w:val="24"/>
              </w:rPr>
              <w:t>.1监测因子及监测频次</w:t>
            </w:r>
          </w:p>
          <w:p w14:paraId="30B9F2B0">
            <w:pPr>
              <w:adjustRightInd w:val="0"/>
              <w:snapToGrid w:val="0"/>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监测因子：等效连续A声级。</w:t>
            </w:r>
          </w:p>
          <w:p w14:paraId="435B63F2">
            <w:pPr>
              <w:adjustRightInd w:val="0"/>
              <w:snapToGrid w:val="0"/>
              <w:spacing w:line="440" w:lineRule="exact"/>
              <w:ind w:firstLine="480" w:firstLineChars="200"/>
              <w:rPr>
                <w:rFonts w:hint="default" w:ascii="Times New Roman" w:hAnsi="Times New Roman" w:eastAsia="宋体" w:cs="Times New Roman"/>
                <w:color w:val="auto"/>
                <w:sz w:val="24"/>
                <w:szCs w:val="24"/>
                <w:highlight w:val="yellow"/>
              </w:rPr>
            </w:pPr>
            <w:r>
              <w:rPr>
                <w:rFonts w:hint="default" w:ascii="Times New Roman" w:hAnsi="Times New Roman" w:eastAsia="宋体" w:cs="Times New Roman"/>
                <w:color w:val="auto"/>
                <w:sz w:val="24"/>
                <w:szCs w:val="24"/>
              </w:rPr>
              <w:t>监测时间：</w:t>
            </w:r>
            <w:r>
              <w:rPr>
                <w:rFonts w:hint="default" w:ascii="Times New Roman" w:hAnsi="Times New Roman" w:eastAsia="宋体" w:cs="Times New Roman"/>
                <w:color w:val="auto"/>
                <w:sz w:val="24"/>
                <w:szCs w:val="24"/>
                <w:highlight w:val="none"/>
              </w:rPr>
              <w:t>202</w:t>
            </w:r>
            <w:r>
              <w:rPr>
                <w:rFonts w:hint="eastAsia" w:ascii="Times New Roman" w:hAnsi="Times New Roman"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eastAsia" w:ascii="Times New Roman" w:hAnsi="Times New Roman"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月</w:t>
            </w:r>
            <w:r>
              <w:rPr>
                <w:rFonts w:hint="eastAsia" w:ascii="Times New Roman" w:hAnsi="Times New Roman"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日。</w:t>
            </w:r>
          </w:p>
          <w:p w14:paraId="438C49F7">
            <w:pPr>
              <w:adjustRightInd w:val="0"/>
              <w:snapToGrid w:val="0"/>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监测频次：每个监测点昼间、夜间各监测一次。</w:t>
            </w:r>
          </w:p>
          <w:p w14:paraId="220DC890">
            <w:pPr>
              <w:adjustRightInd w:val="0"/>
              <w:snapToGrid w:val="0"/>
              <w:spacing w:line="440" w:lineRule="exact"/>
              <w:ind w:firstLine="482" w:firstLineChars="20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3.</w:t>
            </w:r>
            <w:r>
              <w:rPr>
                <w:rFonts w:hint="default" w:ascii="Times New Roman" w:hAnsi="Times New Roman" w:eastAsia="宋体" w:cs="Times New Roman"/>
                <w:b/>
                <w:bCs/>
                <w:color w:val="auto"/>
                <w:sz w:val="24"/>
                <w:szCs w:val="24"/>
                <w:lang w:val="en-US" w:eastAsia="zh-CN"/>
              </w:rPr>
              <w:t>6</w:t>
            </w:r>
            <w:r>
              <w:rPr>
                <w:rFonts w:hint="default" w:ascii="Times New Roman" w:hAnsi="Times New Roman" w:eastAsia="宋体" w:cs="Times New Roman"/>
                <w:b/>
                <w:bCs/>
                <w:color w:val="auto"/>
                <w:sz w:val="24"/>
                <w:szCs w:val="24"/>
              </w:rPr>
              <w:t>.2监测点位及布点方法</w:t>
            </w:r>
          </w:p>
          <w:p w14:paraId="7F3E882D">
            <w:pPr>
              <w:adjustRightInd w:val="0"/>
              <w:snapToGrid w:val="0"/>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（1）布点原则</w:t>
            </w:r>
          </w:p>
          <w:p w14:paraId="42D9197E">
            <w:pPr>
              <w:adjustRightInd w:val="0"/>
              <w:snapToGrid w:val="0"/>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对周边噪声敏感建筑物（声环境敏感目标）进行声环境质量监测。根据声源、周围噪声敏感建筑物的布局以及毗邻的区域类别，在每一侧厂界外布设多个监测点，其中包括距噪声敏感建筑物较近以及受被测声源影响大的位置。噪声敏感建筑物的监测点选择在从不同方位</w:t>
            </w:r>
            <w:r>
              <w:rPr>
                <w:rFonts w:hint="eastAsia" w:ascii="Times New Roman" w:hAnsi="Times New Roman" w:cs="Times New Roman"/>
                <w:color w:val="auto"/>
                <w:sz w:val="24"/>
                <w:szCs w:val="24"/>
                <w:lang w:eastAsia="zh-CN"/>
              </w:rPr>
              <w:t>距离</w:t>
            </w:r>
            <w:r>
              <w:rPr>
                <w:rFonts w:hint="default" w:ascii="Times New Roman" w:hAnsi="Times New Roman" w:eastAsia="宋体" w:cs="Times New Roman"/>
                <w:color w:val="auto"/>
                <w:sz w:val="24"/>
                <w:szCs w:val="24"/>
              </w:rPr>
              <w:t>最近的建筑物外，且距墙壁或窗户1m、距地面高度1.2m以上的位置。</w:t>
            </w:r>
          </w:p>
          <w:p w14:paraId="4F456184">
            <w:pPr>
              <w:adjustRightInd w:val="0"/>
              <w:snapToGrid w:val="0"/>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（2）监测点布设</w:t>
            </w:r>
          </w:p>
          <w:p w14:paraId="20164B89">
            <w:pPr>
              <w:adjustRightInd w:val="0"/>
              <w:snapToGrid w:val="0"/>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对噪声敏感建筑物的监测点选择在距输电线路最近的建筑物外，且距墙壁或窗户1m、距地面高度1.2m以上的位置。</w:t>
            </w:r>
          </w:p>
          <w:p w14:paraId="35569E37">
            <w:pPr>
              <w:adjustRightInd w:val="0"/>
              <w:snapToGrid w:val="0"/>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本次新建</w:t>
            </w:r>
            <w:r>
              <w:rPr>
                <w:rFonts w:hint="eastAsia" w:ascii="Times New Roman" w:hAnsi="Times New Roman" w:cs="Times New Roman"/>
                <w:color w:val="auto"/>
                <w:sz w:val="24"/>
                <w:szCs w:val="24"/>
                <w:lang w:val="en-US" w:eastAsia="zh-CN"/>
              </w:rPr>
              <w:t>11</w:t>
            </w:r>
            <w:r>
              <w:rPr>
                <w:rFonts w:hint="default" w:ascii="Times New Roman" w:hAnsi="Times New Roman" w:eastAsia="宋体" w:cs="Times New Roman"/>
                <w:color w:val="auto"/>
                <w:sz w:val="24"/>
                <w:szCs w:val="24"/>
              </w:rPr>
              <w:t>0kV输电线路涉及</w:t>
            </w:r>
            <w:r>
              <w:rPr>
                <w:rFonts w:hint="eastAsia" w:ascii="Times New Roman" w:hAnsi="Times New Roman" w:cs="Times New Roman"/>
                <w:color w:val="auto"/>
                <w:sz w:val="24"/>
                <w:szCs w:val="24"/>
                <w:lang w:val="en-US" w:eastAsia="zh-CN"/>
              </w:rPr>
              <w:t>2处</w:t>
            </w:r>
            <w:r>
              <w:rPr>
                <w:rFonts w:hint="default" w:ascii="Times New Roman" w:hAnsi="Times New Roman" w:eastAsia="宋体" w:cs="Times New Roman"/>
                <w:color w:val="auto"/>
                <w:sz w:val="24"/>
                <w:szCs w:val="24"/>
              </w:rPr>
              <w:t>敏感点，敏感点距离工程相对位置具体见表3-</w:t>
            </w:r>
            <w:r>
              <w:rPr>
                <w:rFonts w:hint="eastAsia" w:ascii="Times New Roman" w:hAnsi="Times New Roman" w:cs="Times New Roman"/>
                <w:color w:val="auto"/>
                <w:sz w:val="24"/>
                <w:szCs w:val="24"/>
                <w:lang w:val="en-US" w:eastAsia="zh-CN"/>
              </w:rPr>
              <w:t>5</w:t>
            </w:r>
            <w:r>
              <w:rPr>
                <w:rFonts w:hint="default" w:ascii="Times New Roman" w:hAnsi="Times New Roman" w:eastAsia="宋体" w:cs="Times New Roman"/>
                <w:color w:val="auto"/>
                <w:sz w:val="24"/>
                <w:szCs w:val="24"/>
              </w:rPr>
              <w:t>，本次对涉及的敏感点均布置监测点。项目共设置</w:t>
            </w:r>
            <w:r>
              <w:rPr>
                <w:rFonts w:hint="eastAsia" w:ascii="Times New Roman" w:hAnsi="Times New Roman" w:cs="Times New Roman"/>
                <w:color w:val="auto"/>
                <w:sz w:val="24"/>
                <w:szCs w:val="24"/>
                <w:lang w:val="en-US" w:eastAsia="zh-CN"/>
              </w:rPr>
              <w:t>2处</w:t>
            </w:r>
            <w:r>
              <w:rPr>
                <w:rFonts w:hint="default" w:ascii="Times New Roman" w:hAnsi="Times New Roman" w:eastAsia="宋体" w:cs="Times New Roman"/>
                <w:color w:val="auto"/>
                <w:sz w:val="24"/>
                <w:szCs w:val="24"/>
              </w:rPr>
              <w:t>声环境质量监测点位，监测布点符合《环境影响评价技术导则  输变电》（HJ24-2020）等的相关要求，监测结果可充分反映</w:t>
            </w:r>
            <w:r>
              <w:rPr>
                <w:rFonts w:hint="eastAsia" w:ascii="Times New Roman" w:hAnsi="Times New Roman" w:cs="Times New Roman"/>
                <w:color w:val="auto"/>
                <w:sz w:val="24"/>
                <w:szCs w:val="24"/>
                <w:lang w:val="en-US" w:eastAsia="zh-CN"/>
              </w:rPr>
              <w:t>线路</w:t>
            </w:r>
            <w:r>
              <w:rPr>
                <w:rFonts w:hint="default" w:ascii="Times New Roman" w:hAnsi="Times New Roman" w:eastAsia="宋体" w:cs="Times New Roman"/>
                <w:color w:val="auto"/>
                <w:sz w:val="24"/>
                <w:szCs w:val="24"/>
              </w:rPr>
              <w:t>声环境现状和线路周边敏感目标的声环境质量。因此，本期工程声环境现状监测布点合理，且具有代表性。</w:t>
            </w:r>
          </w:p>
          <w:p w14:paraId="7B65553F">
            <w:pPr>
              <w:adjustRightInd w:val="0"/>
              <w:snapToGrid w:val="0"/>
              <w:spacing w:line="440" w:lineRule="exact"/>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同时，</w:t>
            </w:r>
            <w:r>
              <w:rPr>
                <w:rFonts w:hint="eastAsia" w:ascii="Times New Roman" w:hAnsi="Times New Roman" w:cs="Times New Roman"/>
                <w:color w:val="auto"/>
                <w:sz w:val="24"/>
                <w:szCs w:val="24"/>
              </w:rPr>
              <w:t>因本次评价时，</w:t>
            </w:r>
            <w:r>
              <w:rPr>
                <w:rFonts w:ascii="Times New Roman" w:hAnsi="Times New Roman" w:cs="Times New Roman"/>
                <w:color w:val="auto"/>
                <w:sz w:val="24"/>
                <w:szCs w:val="24"/>
              </w:rPr>
              <w:t>拟建</w:t>
            </w:r>
            <w:r>
              <w:rPr>
                <w:rFonts w:hint="eastAsia" w:ascii="Times New Roman" w:hAnsi="Times New Roman" w:cs="Times New Roman"/>
                <w:color w:val="auto"/>
                <w:sz w:val="24"/>
                <w:szCs w:val="24"/>
                <w:lang w:val="en-US" w:eastAsia="zh-CN"/>
              </w:rPr>
              <w:t>220kV六合一升压站、110kV大草房升压站</w:t>
            </w:r>
            <w:r>
              <w:rPr>
                <w:rFonts w:ascii="Times New Roman" w:hAnsi="Times New Roman" w:cs="Times New Roman"/>
                <w:color w:val="auto"/>
                <w:sz w:val="24"/>
                <w:szCs w:val="24"/>
              </w:rPr>
              <w:t>正在建设中，因此，</w:t>
            </w:r>
            <w:r>
              <w:rPr>
                <w:rFonts w:hint="eastAsia" w:ascii="Times New Roman" w:hAnsi="Times New Roman" w:cs="Times New Roman"/>
                <w:color w:val="auto"/>
                <w:sz w:val="24"/>
                <w:szCs w:val="24"/>
                <w:lang w:val="en-US" w:eastAsia="zh-CN"/>
              </w:rPr>
              <w:t>本次评价引用升压站环评阶段噪声环境现状监测数据。</w:t>
            </w:r>
          </w:p>
          <w:p w14:paraId="08E89A64">
            <w:pPr>
              <w:pStyle w:val="19"/>
              <w:keepNext w:val="0"/>
              <w:keepLines w:val="0"/>
              <w:pageBreakBefore w:val="0"/>
              <w:widowControl w:val="0"/>
              <w:pBdr>
                <w:bottom w:val="none" w:color="auto" w:sz="0" w:space="0"/>
              </w:pBdr>
              <w:kinsoku/>
              <w:wordWrap/>
              <w:overflowPunct/>
              <w:topLinePunct w:val="0"/>
              <w:autoSpaceDE/>
              <w:autoSpaceDN/>
              <w:bidi w:val="0"/>
              <w:adjustRightInd/>
              <w:snapToGrid w:val="0"/>
              <w:spacing w:line="240" w:lineRule="auto"/>
              <w:ind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表3-</w:t>
            </w:r>
            <w:r>
              <w:rPr>
                <w:rFonts w:hint="eastAsia" w:ascii="Times New Roman" w:hAnsi="Times New Roman" w:eastAsia="宋体" w:cs="Times New Roman"/>
                <w:b/>
                <w:bCs/>
                <w:color w:val="auto"/>
                <w:sz w:val="24"/>
                <w:szCs w:val="24"/>
                <w:lang w:val="en-US" w:eastAsia="zh-CN"/>
              </w:rPr>
              <w:t>4</w:t>
            </w:r>
            <w:r>
              <w:rPr>
                <w:rFonts w:hint="default" w:ascii="Times New Roman" w:hAnsi="Times New Roman" w:eastAsia="宋体" w:cs="Times New Roman"/>
                <w:b/>
                <w:bCs/>
                <w:color w:val="auto"/>
                <w:sz w:val="24"/>
                <w:szCs w:val="24"/>
              </w:rPr>
              <w:t xml:space="preserve">  噪声现状监测点位表</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0"/>
              <w:gridCol w:w="3361"/>
              <w:gridCol w:w="1122"/>
              <w:gridCol w:w="2249"/>
              <w:gridCol w:w="819"/>
            </w:tblGrid>
            <w:tr w14:paraId="366B75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tcBorders>
                    <w:tl2br w:val="nil"/>
                    <w:tr2bl w:val="nil"/>
                  </w:tcBorders>
                  <w:noWrap w:val="0"/>
                  <w:vAlign w:val="center"/>
                </w:tcPr>
                <w:p w14:paraId="252168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工程</w:t>
                  </w:r>
                </w:p>
              </w:tc>
              <w:tc>
                <w:tcPr>
                  <w:tcW w:w="2029" w:type="pct"/>
                  <w:tcBorders>
                    <w:tl2br w:val="nil"/>
                    <w:tr2bl w:val="nil"/>
                  </w:tcBorders>
                  <w:noWrap w:val="0"/>
                  <w:vAlign w:val="center"/>
                </w:tcPr>
                <w:p w14:paraId="09835B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监测点位</w:t>
                  </w:r>
                </w:p>
              </w:tc>
              <w:tc>
                <w:tcPr>
                  <w:tcW w:w="677" w:type="pct"/>
                  <w:tcBorders>
                    <w:tl2br w:val="nil"/>
                    <w:tr2bl w:val="nil"/>
                  </w:tcBorders>
                  <w:noWrap w:val="0"/>
                  <w:vAlign w:val="center"/>
                </w:tcPr>
                <w:p w14:paraId="2D3EDA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位置关系</w:t>
                  </w:r>
                </w:p>
              </w:tc>
              <w:tc>
                <w:tcPr>
                  <w:tcW w:w="1357" w:type="pct"/>
                  <w:tcBorders>
                    <w:tl2br w:val="nil"/>
                    <w:tr2bl w:val="nil"/>
                  </w:tcBorders>
                  <w:noWrap w:val="0"/>
                  <w:vAlign w:val="center"/>
                </w:tcPr>
                <w:p w14:paraId="4F7464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监测位置</w:t>
                  </w:r>
                </w:p>
              </w:tc>
              <w:tc>
                <w:tcPr>
                  <w:tcW w:w="494" w:type="pct"/>
                  <w:tcBorders>
                    <w:tl2br w:val="nil"/>
                    <w:tr2bl w:val="nil"/>
                  </w:tcBorders>
                  <w:noWrap w:val="0"/>
                  <w:vAlign w:val="center"/>
                </w:tcPr>
                <w:p w14:paraId="10799A1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执行标准</w:t>
                  </w:r>
                </w:p>
              </w:tc>
            </w:tr>
            <w:tr w14:paraId="11029E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Merge w:val="restart"/>
                  <w:tcBorders>
                    <w:tl2br w:val="nil"/>
                    <w:tr2bl w:val="nil"/>
                  </w:tcBorders>
                  <w:noWrap w:val="0"/>
                  <w:vAlign w:val="center"/>
                </w:tcPr>
                <w:p w14:paraId="29686B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11</w:t>
                  </w:r>
                  <w:r>
                    <w:rPr>
                      <w:rFonts w:hint="default" w:ascii="Times New Roman" w:hAnsi="Times New Roman" w:eastAsia="宋体" w:cs="Times New Roman"/>
                      <w:color w:val="auto"/>
                      <w:sz w:val="21"/>
                      <w:szCs w:val="21"/>
                    </w:rPr>
                    <w:t>0</w:t>
                  </w:r>
                  <w:r>
                    <w:rPr>
                      <w:rFonts w:hint="default" w:ascii="Times New Roman" w:hAnsi="Times New Roman" w:eastAsia="宋体" w:cs="Times New Roman"/>
                      <w:color w:val="auto"/>
                      <w:sz w:val="21"/>
                      <w:szCs w:val="21"/>
                      <w:lang w:eastAsia="zh-CN"/>
                    </w:rPr>
                    <w:t>kV</w:t>
                  </w:r>
                  <w:r>
                    <w:rPr>
                      <w:rFonts w:hint="default" w:ascii="Times New Roman" w:hAnsi="Times New Roman" w:eastAsia="宋体" w:cs="Times New Roman"/>
                      <w:color w:val="auto"/>
                      <w:sz w:val="21"/>
                      <w:szCs w:val="21"/>
                    </w:rPr>
                    <w:t>线路</w:t>
                  </w:r>
                </w:p>
              </w:tc>
              <w:tc>
                <w:tcPr>
                  <w:tcW w:w="2029" w:type="pct"/>
                  <w:tcBorders>
                    <w:tl2br w:val="nil"/>
                    <w:tr2bl w:val="nil"/>
                  </w:tcBorders>
                  <w:noWrap w:val="0"/>
                  <w:vAlign w:val="top"/>
                </w:tcPr>
                <w:p w14:paraId="23D4E7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w:t>
                  </w:r>
                  <w:r>
                    <w:rPr>
                      <w:rFonts w:hint="eastAsia" w:ascii="Times New Roman" w:hAnsi="Times New Roman" w:eastAsia="宋体" w:cs="Times New Roman"/>
                      <w:color w:val="auto"/>
                      <w:sz w:val="21"/>
                      <w:szCs w:val="21"/>
                      <w:lang w:val="en-US" w:eastAsia="zh-CN"/>
                    </w:rPr>
                    <w:t>10</w:t>
                  </w:r>
                  <w:r>
                    <w:rPr>
                      <w:rFonts w:hint="default" w:ascii="Times New Roman" w:hAnsi="Times New Roman" w:eastAsia="宋体" w:cs="Times New Roman"/>
                      <w:color w:val="auto"/>
                      <w:sz w:val="21"/>
                      <w:szCs w:val="21"/>
                    </w:rPr>
                    <w:t>~N</w:t>
                  </w:r>
                  <w:r>
                    <w:rPr>
                      <w:rFonts w:hint="eastAsia" w:ascii="Times New Roman" w:hAnsi="Times New Roman" w:eastAsia="宋体" w:cs="Times New Roman"/>
                      <w:color w:val="auto"/>
                      <w:sz w:val="21"/>
                      <w:szCs w:val="21"/>
                      <w:lang w:val="en-US" w:eastAsia="zh-CN"/>
                    </w:rPr>
                    <w:t>11</w:t>
                  </w:r>
                  <w:r>
                    <w:rPr>
                      <w:rFonts w:hint="default" w:ascii="Times New Roman" w:hAnsi="Times New Roman" w:eastAsia="宋体" w:cs="Times New Roman"/>
                      <w:color w:val="auto"/>
                      <w:sz w:val="21"/>
                      <w:szCs w:val="21"/>
                    </w:rPr>
                    <w:t>间左侧2</w:t>
                  </w:r>
                  <w:r>
                    <w:rPr>
                      <w:rFonts w:hint="eastAsia" w:ascii="Times New Roman" w:hAnsi="Times New Roman" w:eastAsia="宋体" w:cs="Times New Roman"/>
                      <w:color w:val="auto"/>
                      <w:sz w:val="21"/>
                      <w:szCs w:val="21"/>
                      <w:lang w:val="en-US" w:eastAsia="zh-CN"/>
                    </w:rPr>
                    <w:t>9</w:t>
                  </w:r>
                  <w:r>
                    <w:rPr>
                      <w:rFonts w:hint="default" w:ascii="Times New Roman" w:hAnsi="Times New Roman" w:eastAsia="宋体" w:cs="Times New Roman"/>
                      <w:color w:val="auto"/>
                      <w:sz w:val="21"/>
                      <w:szCs w:val="21"/>
                    </w:rPr>
                    <w:t>m处</w:t>
                  </w:r>
                  <w:r>
                    <w:rPr>
                      <w:rFonts w:hint="eastAsia" w:ascii="Times New Roman" w:hAnsi="Times New Roman" w:eastAsia="宋体" w:cs="Times New Roman"/>
                      <w:color w:val="auto"/>
                      <w:sz w:val="21"/>
                      <w:szCs w:val="21"/>
                      <w:lang w:val="en-US" w:eastAsia="zh-CN"/>
                    </w:rPr>
                    <w:t>石碓窝居民</w:t>
                  </w:r>
                  <w:r>
                    <w:rPr>
                      <w:rFonts w:hint="default" w:ascii="Times New Roman" w:hAnsi="Times New Roman" w:eastAsia="宋体" w:cs="Times New Roman"/>
                      <w:color w:val="auto"/>
                      <w:sz w:val="21"/>
                      <w:szCs w:val="21"/>
                    </w:rPr>
                    <w:t>（1#</w:t>
                  </w:r>
                  <w:r>
                    <w:rPr>
                      <w:rFonts w:hint="eastAsia" w:ascii="Times New Roman" w:hAnsi="Times New Roman" w:eastAsia="宋体" w:cs="Times New Roman"/>
                      <w:color w:val="auto"/>
                      <w:sz w:val="21"/>
                      <w:szCs w:val="21"/>
                      <w:lang w:eastAsia="zh-CN"/>
                    </w:rPr>
                    <w:t>）</w:t>
                  </w:r>
                </w:p>
              </w:tc>
              <w:tc>
                <w:tcPr>
                  <w:tcW w:w="677" w:type="pct"/>
                  <w:tcBorders>
                    <w:tl2br w:val="nil"/>
                    <w:tr2bl w:val="nil"/>
                  </w:tcBorders>
                  <w:noWrap w:val="0"/>
                  <w:vAlign w:val="center"/>
                </w:tcPr>
                <w:p w14:paraId="1DD02C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eastAsia" w:ascii="Times New Roman" w:hAnsi="Times New Roman" w:cs="Times New Roman"/>
                      <w:b w:val="0"/>
                      <w:bCs w:val="0"/>
                      <w:color w:val="auto"/>
                      <w:sz w:val="21"/>
                      <w:szCs w:val="21"/>
                      <w:lang w:val="en-US" w:eastAsia="zh-CN"/>
                    </w:rPr>
                    <w:t>西</w:t>
                  </w:r>
                  <w:r>
                    <w:rPr>
                      <w:rFonts w:hint="default" w:ascii="Times New Roman" w:hAnsi="Times New Roman" w:eastAsia="宋体" w:cs="Times New Roman"/>
                      <w:b w:val="0"/>
                      <w:bCs w:val="0"/>
                      <w:color w:val="auto"/>
                      <w:sz w:val="21"/>
                      <w:szCs w:val="21"/>
                      <w:lang w:val="en-US" w:eastAsia="zh-CN"/>
                    </w:rPr>
                    <w:t>侧</w:t>
                  </w:r>
                  <w:r>
                    <w:rPr>
                      <w:rFonts w:hint="eastAsia" w:ascii="Times New Roman" w:hAnsi="Times New Roman" w:cs="Times New Roman"/>
                      <w:b w:val="0"/>
                      <w:bCs w:val="0"/>
                      <w:color w:val="auto"/>
                      <w:sz w:val="21"/>
                      <w:szCs w:val="21"/>
                      <w:lang w:val="en-US" w:eastAsia="zh-CN"/>
                    </w:rPr>
                    <w:t>29</w:t>
                  </w:r>
                  <w:r>
                    <w:rPr>
                      <w:rFonts w:hint="default" w:ascii="Times New Roman" w:hAnsi="Times New Roman" w:eastAsia="宋体" w:cs="Times New Roman"/>
                      <w:b w:val="0"/>
                      <w:bCs w:val="0"/>
                      <w:color w:val="auto"/>
                      <w:sz w:val="21"/>
                      <w:szCs w:val="21"/>
                      <w:lang w:val="en-US" w:eastAsia="zh-CN"/>
                    </w:rPr>
                    <w:t>m</w:t>
                  </w:r>
                </w:p>
              </w:tc>
              <w:tc>
                <w:tcPr>
                  <w:tcW w:w="1357" w:type="pct"/>
                  <w:vMerge w:val="restart"/>
                  <w:tcBorders>
                    <w:tl2br w:val="nil"/>
                    <w:tr2bl w:val="nil"/>
                  </w:tcBorders>
                  <w:noWrap w:val="0"/>
                  <w:vAlign w:val="center"/>
                </w:tcPr>
                <w:p w14:paraId="796833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建筑物外且距墙壁或窗户1m、距地面高度1.2m以上的位置</w:t>
                  </w:r>
                </w:p>
              </w:tc>
              <w:tc>
                <w:tcPr>
                  <w:tcW w:w="494" w:type="pct"/>
                  <w:tcBorders>
                    <w:tl2br w:val="nil"/>
                    <w:tr2bl w:val="nil"/>
                  </w:tcBorders>
                  <w:noWrap w:val="0"/>
                  <w:vAlign w:val="center"/>
                </w:tcPr>
                <w:p w14:paraId="30B284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rPr>
                    <w:t>类</w:t>
                  </w:r>
                </w:p>
              </w:tc>
            </w:tr>
            <w:tr w14:paraId="60C46E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Merge w:val="continue"/>
                  <w:tcBorders>
                    <w:tl2br w:val="nil"/>
                    <w:tr2bl w:val="nil"/>
                  </w:tcBorders>
                  <w:noWrap w:val="0"/>
                  <w:vAlign w:val="center"/>
                </w:tcPr>
                <w:p w14:paraId="3FF7A7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p>
              </w:tc>
              <w:tc>
                <w:tcPr>
                  <w:tcW w:w="2029" w:type="pct"/>
                  <w:tcBorders>
                    <w:tl2br w:val="nil"/>
                    <w:tr2bl w:val="nil"/>
                  </w:tcBorders>
                  <w:noWrap w:val="0"/>
                  <w:vAlign w:val="top"/>
                </w:tcPr>
                <w:p w14:paraId="788187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w:t>
                  </w:r>
                  <w:r>
                    <w:rPr>
                      <w:rFonts w:hint="eastAsia" w:ascii="Times New Roman" w:hAnsi="Times New Roman" w:eastAsia="宋体" w:cs="Times New Roman"/>
                      <w:color w:val="auto"/>
                      <w:sz w:val="21"/>
                      <w:szCs w:val="21"/>
                      <w:lang w:val="en-US" w:eastAsia="zh-CN"/>
                    </w:rPr>
                    <w:t>21</w:t>
                  </w:r>
                  <w:r>
                    <w:rPr>
                      <w:rFonts w:hint="default" w:ascii="Times New Roman" w:hAnsi="Times New Roman" w:eastAsia="宋体" w:cs="Times New Roman"/>
                      <w:color w:val="auto"/>
                      <w:sz w:val="21"/>
                      <w:szCs w:val="21"/>
                    </w:rPr>
                    <w:t>~N</w:t>
                  </w:r>
                  <w:r>
                    <w:rPr>
                      <w:rFonts w:hint="eastAsia" w:ascii="Times New Roman" w:hAnsi="Times New Roman" w:eastAsia="宋体" w:cs="Times New Roman"/>
                      <w:color w:val="auto"/>
                      <w:sz w:val="21"/>
                      <w:szCs w:val="21"/>
                      <w:lang w:val="en-US" w:eastAsia="zh-CN"/>
                    </w:rPr>
                    <w:t>22</w:t>
                  </w:r>
                  <w:r>
                    <w:rPr>
                      <w:rFonts w:hint="default" w:ascii="Times New Roman" w:hAnsi="Times New Roman" w:eastAsia="宋体" w:cs="Times New Roman"/>
                      <w:color w:val="auto"/>
                      <w:sz w:val="21"/>
                      <w:szCs w:val="21"/>
                    </w:rPr>
                    <w:t>间右侧2</w:t>
                  </w:r>
                  <w:r>
                    <w:rPr>
                      <w:rFonts w:hint="eastAsia"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rPr>
                    <w:t>m处</w:t>
                  </w:r>
                  <w:r>
                    <w:rPr>
                      <w:rFonts w:hint="eastAsia" w:ascii="Times New Roman" w:hAnsi="Times New Roman" w:eastAsia="宋体" w:cs="Times New Roman"/>
                      <w:color w:val="auto"/>
                      <w:sz w:val="21"/>
                      <w:szCs w:val="21"/>
                      <w:lang w:val="en-US" w:eastAsia="zh-CN"/>
                    </w:rPr>
                    <w:t>红地丫口</w:t>
                  </w:r>
                  <w:r>
                    <w:rPr>
                      <w:rFonts w:hint="default" w:ascii="Times New Roman" w:hAnsi="Times New Roman" w:eastAsia="宋体" w:cs="Times New Roman"/>
                      <w:color w:val="auto"/>
                      <w:sz w:val="21"/>
                      <w:szCs w:val="21"/>
                    </w:rPr>
                    <w:t>居民（2#</w:t>
                  </w:r>
                  <w:r>
                    <w:rPr>
                      <w:rFonts w:hint="eastAsia" w:ascii="Times New Roman" w:hAnsi="Times New Roman" w:eastAsia="宋体" w:cs="Times New Roman"/>
                      <w:color w:val="auto"/>
                      <w:sz w:val="21"/>
                      <w:szCs w:val="21"/>
                      <w:lang w:eastAsia="zh-CN"/>
                    </w:rPr>
                    <w:t>）</w:t>
                  </w:r>
                </w:p>
              </w:tc>
              <w:tc>
                <w:tcPr>
                  <w:tcW w:w="677" w:type="pct"/>
                  <w:tcBorders>
                    <w:tl2br w:val="nil"/>
                    <w:tr2bl w:val="nil"/>
                  </w:tcBorders>
                  <w:noWrap w:val="0"/>
                  <w:vAlign w:val="center"/>
                </w:tcPr>
                <w:p w14:paraId="40AA02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eastAsia" w:ascii="Times New Roman" w:hAnsi="Times New Roman" w:cs="Times New Roman"/>
                      <w:b w:val="0"/>
                      <w:bCs w:val="0"/>
                      <w:color w:val="auto"/>
                      <w:sz w:val="21"/>
                      <w:szCs w:val="21"/>
                      <w:lang w:val="en-US" w:eastAsia="zh-CN"/>
                    </w:rPr>
                    <w:t>东</w:t>
                  </w:r>
                  <w:r>
                    <w:rPr>
                      <w:rFonts w:hint="default" w:ascii="Times New Roman" w:hAnsi="Times New Roman" w:eastAsia="宋体" w:cs="Times New Roman"/>
                      <w:b w:val="0"/>
                      <w:bCs w:val="0"/>
                      <w:color w:val="auto"/>
                      <w:sz w:val="21"/>
                      <w:szCs w:val="21"/>
                      <w:lang w:val="en-US" w:eastAsia="zh-CN"/>
                    </w:rPr>
                    <w:t>侧2</w:t>
                  </w:r>
                  <w:r>
                    <w:rPr>
                      <w:rFonts w:hint="eastAsia" w:ascii="Times New Roman" w:hAnsi="Times New Roman" w:eastAsia="宋体" w:cs="Times New Roman"/>
                      <w:b w:val="0"/>
                      <w:bCs w:val="0"/>
                      <w:color w:val="auto"/>
                      <w:sz w:val="21"/>
                      <w:szCs w:val="21"/>
                      <w:lang w:val="en-US" w:eastAsia="zh-CN"/>
                    </w:rPr>
                    <w:t>3</w:t>
                  </w:r>
                  <w:r>
                    <w:rPr>
                      <w:rFonts w:hint="default" w:ascii="Times New Roman" w:hAnsi="Times New Roman" w:eastAsia="宋体" w:cs="Times New Roman"/>
                      <w:b w:val="0"/>
                      <w:bCs w:val="0"/>
                      <w:color w:val="auto"/>
                      <w:sz w:val="21"/>
                      <w:szCs w:val="21"/>
                      <w:lang w:val="en-US" w:eastAsia="zh-CN"/>
                    </w:rPr>
                    <w:t>m</w:t>
                  </w:r>
                </w:p>
              </w:tc>
              <w:tc>
                <w:tcPr>
                  <w:tcW w:w="1357" w:type="pct"/>
                  <w:vMerge w:val="continue"/>
                  <w:tcBorders>
                    <w:tl2br w:val="nil"/>
                    <w:tr2bl w:val="nil"/>
                  </w:tcBorders>
                  <w:noWrap w:val="0"/>
                  <w:vAlign w:val="center"/>
                </w:tcPr>
                <w:p w14:paraId="472D4A0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p w14:paraId="1001A96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rPr>
                    <w:t>类</w:t>
                  </w:r>
                </w:p>
                <w:p w14:paraId="32E580A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rPr>
                    <w:t>类</w:t>
                  </w:r>
                </w:p>
                <w:p w14:paraId="19D154C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rPr>
                    <w:t>类</w:t>
                  </w:r>
                </w:p>
                <w:p w14:paraId="0C41087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rPr>
                    <w:t>类</w:t>
                  </w:r>
                </w:p>
              </w:tc>
              <w:tc>
                <w:tcPr>
                  <w:tcW w:w="494" w:type="pct"/>
                  <w:tcBorders>
                    <w:tl2br w:val="nil"/>
                    <w:tr2bl w:val="nil"/>
                  </w:tcBorders>
                  <w:noWrap w:val="0"/>
                  <w:vAlign w:val="center"/>
                </w:tcPr>
                <w:p w14:paraId="7799EF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rPr>
                    <w:t>类</w:t>
                  </w:r>
                </w:p>
              </w:tc>
            </w:tr>
          </w:tbl>
          <w:p w14:paraId="6E4434F7">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3.</w:t>
            </w:r>
            <w:r>
              <w:rPr>
                <w:rFonts w:hint="default" w:ascii="Times New Roman" w:hAnsi="Times New Roman" w:eastAsia="宋体" w:cs="Times New Roman"/>
                <w:b/>
                <w:bCs/>
                <w:color w:val="auto"/>
                <w:sz w:val="24"/>
                <w:szCs w:val="24"/>
                <w:lang w:val="en-US" w:eastAsia="zh-CN"/>
              </w:rPr>
              <w:t>6</w:t>
            </w:r>
            <w:r>
              <w:rPr>
                <w:rFonts w:hint="default" w:ascii="Times New Roman" w:hAnsi="Times New Roman" w:eastAsia="宋体" w:cs="Times New Roman"/>
                <w:b/>
                <w:bCs/>
                <w:color w:val="auto"/>
                <w:sz w:val="24"/>
                <w:szCs w:val="24"/>
              </w:rPr>
              <w:t>.3监测时间及气象条件</w:t>
            </w:r>
          </w:p>
          <w:p w14:paraId="28BEF8C4">
            <w:pPr>
              <w:adjustRightInd w:val="0"/>
              <w:snapToGrid w:val="0"/>
              <w:spacing w:line="440" w:lineRule="exact"/>
              <w:ind w:firstLine="480" w:firstLineChars="200"/>
              <w:rPr>
                <w:rFonts w:hint="eastAsia"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环境条件：天气：</w:t>
            </w:r>
            <w:r>
              <w:rPr>
                <w:rFonts w:hint="eastAsia" w:ascii="Times New Roman" w:hAnsi="Times New Roman" w:cs="Times New Roman"/>
                <w:color w:val="auto"/>
                <w:sz w:val="24"/>
                <w:szCs w:val="24"/>
                <w:highlight w:val="none"/>
                <w:lang w:val="en-US" w:eastAsia="zh-CN"/>
              </w:rPr>
              <w:t>多云</w:t>
            </w:r>
            <w:r>
              <w:rPr>
                <w:rFonts w:hint="eastAsia" w:ascii="Times New Roman" w:hAnsi="Times New Roman" w:cs="Times New Roman"/>
                <w:color w:val="auto"/>
                <w:sz w:val="24"/>
                <w:szCs w:val="24"/>
                <w:highlight w:val="none"/>
                <w:lang w:eastAsia="zh-CN"/>
              </w:rPr>
              <w:t>；</w:t>
            </w:r>
            <w:r>
              <w:rPr>
                <w:rFonts w:ascii="Times New Roman" w:hAnsi="Times New Roman" w:cs="Times New Roman"/>
                <w:color w:val="auto"/>
                <w:sz w:val="24"/>
                <w:szCs w:val="24"/>
                <w:highlight w:val="none"/>
              </w:rPr>
              <w:t>环境温度：</w:t>
            </w:r>
            <w:r>
              <w:rPr>
                <w:rFonts w:hint="eastAsia" w:ascii="Times New Roman" w:hAnsi="Times New Roman" w:cs="Times New Roman"/>
                <w:color w:val="auto"/>
                <w:sz w:val="24"/>
                <w:szCs w:val="24"/>
                <w:highlight w:val="none"/>
                <w:lang w:val="en-US" w:eastAsia="zh-CN"/>
              </w:rPr>
              <w:t>15~27</w:t>
            </w:r>
            <w:r>
              <w:rPr>
                <w:rFonts w:ascii="Times New Roman" w:hAnsi="Times New Roman" w:cs="Times New Roman"/>
                <w:color w:val="auto"/>
                <w:sz w:val="24"/>
                <w:szCs w:val="24"/>
                <w:highlight w:val="none"/>
              </w:rPr>
              <w:t xml:space="preserve">℃  </w:t>
            </w:r>
            <w:r>
              <w:rPr>
                <w:rFonts w:hint="eastAsia" w:ascii="Times New Roman" w:hAnsi="Times New Roman" w:cs="Times New Roman"/>
                <w:color w:val="auto"/>
                <w:sz w:val="24"/>
                <w:szCs w:val="24"/>
                <w:highlight w:val="none"/>
              </w:rPr>
              <w:t>风速</w:t>
            </w:r>
            <w:r>
              <w:rPr>
                <w:rFonts w:hint="eastAsia" w:ascii="Times New Roman" w:hAnsi="Times New Roman" w:cs="Times New Roman"/>
                <w:color w:val="auto"/>
                <w:sz w:val="24"/>
                <w:szCs w:val="24"/>
                <w:highlight w:val="none"/>
                <w:lang w:val="en-US" w:eastAsia="zh-CN"/>
              </w:rPr>
              <w:t>1.3～2.0</w:t>
            </w:r>
            <w:r>
              <w:rPr>
                <w:rFonts w:hint="eastAsia" w:ascii="Times New Roman" w:hAnsi="Times New Roman" w:cs="Times New Roman"/>
                <w:color w:val="auto"/>
                <w:sz w:val="24"/>
                <w:szCs w:val="24"/>
                <w:highlight w:val="none"/>
              </w:rPr>
              <w:t>m/s，风向：西南风；大气压：</w:t>
            </w:r>
            <w:r>
              <w:rPr>
                <w:rFonts w:hint="eastAsia" w:ascii="Times New Roman" w:hAnsi="Times New Roman" w:cs="Times New Roman"/>
                <w:color w:val="auto"/>
                <w:sz w:val="24"/>
                <w:szCs w:val="24"/>
                <w:highlight w:val="none"/>
                <w:lang w:val="en-US" w:eastAsia="zh-CN"/>
              </w:rPr>
              <w:t>77.8</w:t>
            </w:r>
            <w:r>
              <w:rPr>
                <w:rFonts w:hint="eastAsia" w:ascii="Times New Roman" w:hAnsi="Times New Roman" w:cs="Times New Roman"/>
                <w:color w:val="auto"/>
                <w:sz w:val="24"/>
                <w:szCs w:val="24"/>
                <w:highlight w:val="none"/>
              </w:rPr>
              <w:t>kPa</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湿度：40%～50%</w:t>
            </w:r>
            <w:r>
              <w:rPr>
                <w:rFonts w:hint="eastAsia" w:ascii="Times New Roman" w:hAnsi="Times New Roman" w:cs="Times New Roman"/>
                <w:color w:val="auto"/>
                <w:sz w:val="24"/>
                <w:szCs w:val="24"/>
                <w:highlight w:val="none"/>
              </w:rPr>
              <w:t>。</w:t>
            </w:r>
          </w:p>
          <w:p w14:paraId="378AC878">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3.</w:t>
            </w:r>
            <w:r>
              <w:rPr>
                <w:rFonts w:hint="default" w:ascii="Times New Roman" w:hAnsi="Times New Roman" w:eastAsia="宋体" w:cs="Times New Roman"/>
                <w:b/>
                <w:bCs/>
                <w:color w:val="auto"/>
                <w:sz w:val="24"/>
                <w:szCs w:val="24"/>
                <w:lang w:val="en-US" w:eastAsia="zh-CN"/>
              </w:rPr>
              <w:t>6</w:t>
            </w:r>
            <w:r>
              <w:rPr>
                <w:rFonts w:hint="default" w:ascii="Times New Roman" w:hAnsi="Times New Roman" w:eastAsia="宋体" w:cs="Times New Roman"/>
                <w:b/>
                <w:bCs/>
                <w:color w:val="auto"/>
                <w:sz w:val="24"/>
                <w:szCs w:val="24"/>
              </w:rPr>
              <w:t>.4质量保证</w:t>
            </w:r>
          </w:p>
          <w:p w14:paraId="7ADAF25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（1）监测单位：</w:t>
            </w:r>
            <w:r>
              <w:rPr>
                <w:rFonts w:hint="default" w:ascii="Times New Roman" w:hAnsi="Times New Roman" w:eastAsia="宋体" w:cs="Times New Roman"/>
                <w:color w:val="auto"/>
                <w:sz w:val="24"/>
                <w:szCs w:val="24"/>
                <w:lang w:eastAsia="zh-CN"/>
              </w:rPr>
              <w:t>贵州元烁环境检测技术有限公司</w:t>
            </w:r>
          </w:p>
          <w:p w14:paraId="666ED19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（2）监测方法</w:t>
            </w:r>
          </w:p>
          <w:p w14:paraId="12AE49A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《声环境质量标准》（GB3096-2008）。</w:t>
            </w:r>
          </w:p>
          <w:p w14:paraId="5DE5A654">
            <w:pPr>
              <w:pStyle w:val="19"/>
              <w:keepNext w:val="0"/>
              <w:keepLines w:val="0"/>
              <w:pageBreakBefore w:val="0"/>
              <w:widowControl w:val="0"/>
              <w:pBdr>
                <w:bottom w:val="none" w:color="auto" w:sz="0" w:space="0"/>
              </w:pBdr>
              <w:kinsoku/>
              <w:wordWrap/>
              <w:overflowPunct/>
              <w:topLinePunct w:val="0"/>
              <w:autoSpaceDE/>
              <w:autoSpaceDN/>
              <w:bidi w:val="0"/>
              <w:adjustRightInd w:val="0"/>
              <w:snapToGrid w:val="0"/>
              <w:spacing w:line="240" w:lineRule="auto"/>
              <w:ind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表3-</w:t>
            </w:r>
            <w:r>
              <w:rPr>
                <w:rFonts w:hint="eastAsia" w:ascii="Times New Roman" w:hAnsi="Times New Roman" w:eastAsia="宋体" w:cs="Times New Roman"/>
                <w:b/>
                <w:bCs/>
                <w:color w:val="auto"/>
                <w:sz w:val="24"/>
                <w:szCs w:val="24"/>
                <w:lang w:val="en-US" w:eastAsia="zh-CN"/>
              </w:rPr>
              <w:t>5</w:t>
            </w:r>
            <w:r>
              <w:rPr>
                <w:rFonts w:hint="default" w:ascii="Times New Roman" w:hAnsi="Times New Roman" w:eastAsia="宋体" w:cs="Times New Roman"/>
                <w:b/>
                <w:bCs/>
                <w:color w:val="auto"/>
                <w:sz w:val="24"/>
                <w:szCs w:val="24"/>
              </w:rPr>
              <w:t xml:space="preserve">  检测分析方法</w:t>
            </w:r>
          </w:p>
          <w:tbl>
            <w:tblPr>
              <w:tblStyle w:val="30"/>
              <w:tblW w:w="842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05"/>
              <w:gridCol w:w="1762"/>
              <w:gridCol w:w="2548"/>
              <w:gridCol w:w="759"/>
              <w:gridCol w:w="1156"/>
              <w:gridCol w:w="1392"/>
            </w:tblGrid>
            <w:tr w14:paraId="443BD8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5" w:type="dxa"/>
                  <w:tcBorders>
                    <w:tl2br w:val="nil"/>
                    <w:tr2bl w:val="nil"/>
                  </w:tcBorders>
                  <w:noWrap w:val="0"/>
                  <w:vAlign w:val="center"/>
                </w:tcPr>
                <w:p w14:paraId="7CB01A6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检测项目</w:t>
                  </w:r>
                </w:p>
              </w:tc>
              <w:tc>
                <w:tcPr>
                  <w:tcW w:w="1762" w:type="dxa"/>
                  <w:tcBorders>
                    <w:tl2br w:val="nil"/>
                    <w:tr2bl w:val="nil"/>
                  </w:tcBorders>
                  <w:noWrap w:val="0"/>
                  <w:vAlign w:val="center"/>
                </w:tcPr>
                <w:p w14:paraId="61A601A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检测方法依据标准代号及名称</w:t>
                  </w:r>
                </w:p>
              </w:tc>
              <w:tc>
                <w:tcPr>
                  <w:tcW w:w="2548" w:type="dxa"/>
                  <w:tcBorders>
                    <w:tl2br w:val="nil"/>
                    <w:tr2bl w:val="nil"/>
                  </w:tcBorders>
                  <w:noWrap w:val="0"/>
                  <w:vAlign w:val="center"/>
                </w:tcPr>
                <w:p w14:paraId="79DE688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主要检测仪器设备型号及名称、编号</w:t>
                  </w:r>
                </w:p>
              </w:tc>
              <w:tc>
                <w:tcPr>
                  <w:tcW w:w="759" w:type="dxa"/>
                  <w:tcBorders>
                    <w:tl2br w:val="nil"/>
                    <w:tr2bl w:val="nil"/>
                  </w:tcBorders>
                  <w:noWrap w:val="0"/>
                  <w:vAlign w:val="center"/>
                </w:tcPr>
                <w:p w14:paraId="5CAAEDC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eastAsia="宋体" w:cs="Times New Roman"/>
                      <w:b/>
                      <w:color w:val="auto"/>
                      <w:sz w:val="21"/>
                      <w:szCs w:val="21"/>
                      <w:highlight w:val="none"/>
                      <w:lang w:val="en-US" w:eastAsia="zh-CN"/>
                    </w:rPr>
                    <w:t>仪器编号</w:t>
                  </w:r>
                </w:p>
              </w:tc>
              <w:tc>
                <w:tcPr>
                  <w:tcW w:w="1156" w:type="dxa"/>
                  <w:tcBorders>
                    <w:tl2br w:val="nil"/>
                    <w:tr2bl w:val="nil"/>
                  </w:tcBorders>
                  <w:noWrap w:val="0"/>
                  <w:vAlign w:val="center"/>
                </w:tcPr>
                <w:p w14:paraId="708130E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检测</w:t>
                  </w:r>
                </w:p>
                <w:p w14:paraId="7133C5F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人员</w:t>
                  </w:r>
                </w:p>
              </w:tc>
              <w:tc>
                <w:tcPr>
                  <w:tcW w:w="1392" w:type="dxa"/>
                  <w:tcBorders>
                    <w:tl2br w:val="nil"/>
                    <w:tr2bl w:val="nil"/>
                  </w:tcBorders>
                  <w:noWrap w:val="0"/>
                  <w:vAlign w:val="center"/>
                </w:tcPr>
                <w:p w14:paraId="270A4DA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最低检出限或范围</w:t>
                  </w:r>
                </w:p>
              </w:tc>
            </w:tr>
            <w:tr w14:paraId="0FB508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5" w:type="dxa"/>
                  <w:tcBorders>
                    <w:tl2br w:val="nil"/>
                    <w:tr2bl w:val="nil"/>
                  </w:tcBorders>
                  <w:noWrap w:val="0"/>
                  <w:vAlign w:val="center"/>
                </w:tcPr>
                <w:p w14:paraId="26ECF2D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环境噪声</w:t>
                  </w:r>
                </w:p>
              </w:tc>
              <w:tc>
                <w:tcPr>
                  <w:tcW w:w="1762" w:type="dxa"/>
                  <w:tcBorders>
                    <w:tl2br w:val="nil"/>
                    <w:tr2bl w:val="nil"/>
                  </w:tcBorders>
                  <w:noWrap w:val="0"/>
                  <w:vAlign w:val="center"/>
                </w:tcPr>
                <w:p w14:paraId="1B35AA74">
                  <w:pPr>
                    <w:pStyle w:val="101"/>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《声环境质量标准》GB3096-2008</w:t>
                  </w:r>
                </w:p>
              </w:tc>
              <w:tc>
                <w:tcPr>
                  <w:tcW w:w="2548" w:type="dxa"/>
                  <w:tcBorders>
                    <w:tl2br w:val="nil"/>
                    <w:tr2bl w:val="nil"/>
                  </w:tcBorders>
                  <w:noWrap w:val="0"/>
                  <w:vAlign w:val="center"/>
                </w:tcPr>
                <w:p w14:paraId="66EDDA89">
                  <w:pPr>
                    <w:pStyle w:val="101"/>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多功能声级计</w:t>
                  </w:r>
                </w:p>
                <w:p w14:paraId="77FF6352">
                  <w:pPr>
                    <w:pStyle w:val="101"/>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eastAsia="zh-CN"/>
                    </w:rPr>
                  </w:pPr>
                  <w:r>
                    <w:rPr>
                      <w:rFonts w:hint="default" w:ascii="Times New Roman" w:hAnsi="Times New Roman" w:eastAsia="宋体" w:cs="Times New Roman"/>
                      <w:color w:val="auto"/>
                      <w:kern w:val="2"/>
                      <w:sz w:val="21"/>
                      <w:szCs w:val="21"/>
                      <w:highlight w:val="none"/>
                    </w:rPr>
                    <w:t>AWA56</w:t>
                  </w:r>
                  <w:r>
                    <w:rPr>
                      <w:rFonts w:hint="eastAsia" w:cs="Times New Roman"/>
                      <w:color w:val="auto"/>
                      <w:kern w:val="2"/>
                      <w:sz w:val="21"/>
                      <w:szCs w:val="21"/>
                      <w:highlight w:val="none"/>
                      <w:lang w:val="en-US" w:eastAsia="zh-CN"/>
                    </w:rPr>
                    <w:t>88</w:t>
                  </w:r>
                </w:p>
              </w:tc>
              <w:tc>
                <w:tcPr>
                  <w:tcW w:w="759" w:type="dxa"/>
                  <w:tcBorders>
                    <w:tl2br w:val="nil"/>
                    <w:tr2bl w:val="nil"/>
                  </w:tcBorders>
                  <w:noWrap w:val="0"/>
                  <w:vAlign w:val="center"/>
                </w:tcPr>
                <w:p w14:paraId="3BD7A774">
                  <w:pPr>
                    <w:pStyle w:val="101"/>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eastAsia="zh-CN"/>
                    </w:rPr>
                  </w:pPr>
                  <w:r>
                    <w:rPr>
                      <w:rFonts w:hint="default" w:ascii="Times New Roman" w:hAnsi="Times New Roman" w:eastAsia="宋体" w:cs="Times New Roman"/>
                      <w:color w:val="auto"/>
                      <w:kern w:val="2"/>
                      <w:sz w:val="21"/>
                      <w:szCs w:val="21"/>
                      <w:highlight w:val="none"/>
                      <w:lang w:eastAsia="zh-CN"/>
                    </w:rPr>
                    <w:t>YS-XC079</w:t>
                  </w:r>
                </w:p>
              </w:tc>
              <w:tc>
                <w:tcPr>
                  <w:tcW w:w="1156" w:type="dxa"/>
                  <w:tcBorders>
                    <w:tl2br w:val="nil"/>
                    <w:tr2bl w:val="nil"/>
                  </w:tcBorders>
                  <w:noWrap w:val="0"/>
                  <w:vAlign w:val="center"/>
                </w:tcPr>
                <w:p w14:paraId="3CADA01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w:t>
                  </w:r>
                </w:p>
              </w:tc>
              <w:tc>
                <w:tcPr>
                  <w:tcW w:w="1392" w:type="dxa"/>
                  <w:tcBorders>
                    <w:tl2br w:val="nil"/>
                    <w:tr2bl w:val="nil"/>
                  </w:tcBorders>
                  <w:noWrap w:val="0"/>
                  <w:vAlign w:val="center"/>
                </w:tcPr>
                <w:p w14:paraId="4EDD4DD1">
                  <w:pPr>
                    <w:pStyle w:val="101"/>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28~133dB(A)</w:t>
                  </w:r>
                </w:p>
              </w:tc>
            </w:tr>
          </w:tbl>
          <w:p w14:paraId="79E4AE3B">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3.</w:t>
            </w:r>
            <w:r>
              <w:rPr>
                <w:rFonts w:hint="default" w:ascii="Times New Roman" w:hAnsi="Times New Roman" w:eastAsia="宋体" w:cs="Times New Roman"/>
                <w:b/>
                <w:bCs/>
                <w:color w:val="auto"/>
                <w:sz w:val="24"/>
                <w:szCs w:val="24"/>
                <w:lang w:val="en-US" w:eastAsia="zh-CN"/>
              </w:rPr>
              <w:t>6</w:t>
            </w:r>
            <w:r>
              <w:rPr>
                <w:rFonts w:hint="default" w:ascii="Times New Roman" w:hAnsi="Times New Roman" w:eastAsia="宋体" w:cs="Times New Roman"/>
                <w:b/>
                <w:bCs/>
                <w:color w:val="auto"/>
                <w:sz w:val="24"/>
                <w:szCs w:val="24"/>
              </w:rPr>
              <w:t>.5质量控制</w:t>
            </w:r>
          </w:p>
          <w:p w14:paraId="3C8B399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与电磁环境监测质量控制一致。</w:t>
            </w:r>
          </w:p>
          <w:p w14:paraId="20830514">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3.</w:t>
            </w:r>
            <w:r>
              <w:rPr>
                <w:rFonts w:hint="default" w:ascii="Times New Roman" w:hAnsi="Times New Roman" w:eastAsia="宋体" w:cs="Times New Roman"/>
                <w:b/>
                <w:bCs/>
                <w:color w:val="auto"/>
                <w:sz w:val="24"/>
                <w:szCs w:val="24"/>
                <w:lang w:val="en-US" w:eastAsia="zh-CN"/>
              </w:rPr>
              <w:t>6</w:t>
            </w:r>
            <w:r>
              <w:rPr>
                <w:rFonts w:hint="default" w:ascii="Times New Roman" w:hAnsi="Times New Roman" w:eastAsia="宋体" w:cs="Times New Roman"/>
                <w:b/>
                <w:bCs/>
                <w:color w:val="auto"/>
                <w:sz w:val="24"/>
                <w:szCs w:val="24"/>
              </w:rPr>
              <w:t>.6监测结果及分析</w:t>
            </w:r>
          </w:p>
          <w:p w14:paraId="3FA211C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本项目声环境监测结果见表3-</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w:t>
            </w:r>
          </w:p>
          <w:p w14:paraId="7F5CD5FE">
            <w:pPr>
              <w:pStyle w:val="19"/>
              <w:pBdr>
                <w:bottom w:val="none" w:color="auto" w:sz="0" w:space="0"/>
              </w:pBdr>
              <w:spacing w:line="240" w:lineRule="auto"/>
              <w:ind w:firstLine="482" w:firstLineChars="20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表3-</w:t>
            </w:r>
            <w:r>
              <w:rPr>
                <w:rFonts w:hint="eastAsia" w:ascii="Times New Roman" w:hAnsi="Times New Roman" w:eastAsia="宋体" w:cs="Times New Roman"/>
                <w:b/>
                <w:bCs/>
                <w:color w:val="auto"/>
                <w:sz w:val="24"/>
                <w:szCs w:val="24"/>
                <w:lang w:val="en-US" w:eastAsia="zh-CN"/>
              </w:rPr>
              <w:t>6</w:t>
            </w:r>
            <w:r>
              <w:rPr>
                <w:rFonts w:hint="default" w:ascii="Times New Roman" w:hAnsi="Times New Roman" w:eastAsia="宋体" w:cs="Times New Roman"/>
                <w:b/>
                <w:bCs/>
                <w:color w:val="auto"/>
                <w:sz w:val="24"/>
                <w:szCs w:val="24"/>
              </w:rPr>
              <w:t xml:space="preserve">  声环境质量现状监测结果</w:t>
            </w:r>
          </w:p>
          <w:tbl>
            <w:tblPr>
              <w:tblStyle w:val="91"/>
              <w:tblW w:w="4997" w:type="pct"/>
              <w:tblInd w:w="2"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2143"/>
              <w:gridCol w:w="664"/>
              <w:gridCol w:w="596"/>
              <w:gridCol w:w="930"/>
              <w:gridCol w:w="1581"/>
              <w:gridCol w:w="1042"/>
              <w:gridCol w:w="1323"/>
            </w:tblGrid>
            <w:tr w14:paraId="3B0EB5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294" w:type="pct"/>
                  <w:vMerge w:val="restart"/>
                  <w:tcBorders>
                    <w:tl2br w:val="nil"/>
                    <w:tr2bl w:val="nil"/>
                  </w:tcBorders>
                  <w:noWrap w:val="0"/>
                  <w:vAlign w:val="center"/>
                </w:tcPr>
                <w:p w14:paraId="2CA435ED">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7"/>
                      <w:sz w:val="21"/>
                      <w:szCs w:val="21"/>
                    </w:rPr>
                    <w:t>监测点位</w:t>
                  </w:r>
                </w:p>
              </w:tc>
              <w:tc>
                <w:tcPr>
                  <w:tcW w:w="401" w:type="pct"/>
                  <w:vMerge w:val="restart"/>
                  <w:tcBorders>
                    <w:tl2br w:val="nil"/>
                    <w:tr2bl w:val="nil"/>
                  </w:tcBorders>
                  <w:noWrap w:val="0"/>
                  <w:vAlign w:val="center"/>
                </w:tcPr>
                <w:p w14:paraId="3E8B85BB">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6"/>
                      <w:sz w:val="21"/>
                      <w:szCs w:val="21"/>
                    </w:rPr>
                    <w:t>监测项</w:t>
                  </w:r>
                  <w:r>
                    <w:rPr>
                      <w:rFonts w:hint="default" w:ascii="Times New Roman" w:hAnsi="Times New Roman" w:eastAsia="宋体" w:cs="Times New Roman"/>
                      <w:b/>
                      <w:bCs/>
                      <w:color w:val="auto"/>
                      <w:sz w:val="21"/>
                      <w:szCs w:val="21"/>
                    </w:rPr>
                    <w:t>目</w:t>
                  </w:r>
                </w:p>
              </w:tc>
              <w:tc>
                <w:tcPr>
                  <w:tcW w:w="360" w:type="pct"/>
                  <w:vMerge w:val="restart"/>
                  <w:tcBorders>
                    <w:tl2br w:val="nil"/>
                    <w:tr2bl w:val="nil"/>
                  </w:tcBorders>
                  <w:noWrap w:val="0"/>
                  <w:vAlign w:val="center"/>
                </w:tcPr>
                <w:p w14:paraId="0FD08664">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3"/>
                      <w:sz w:val="21"/>
                      <w:szCs w:val="21"/>
                    </w:rPr>
                    <w:t>单位</w:t>
                  </w:r>
                </w:p>
              </w:tc>
              <w:tc>
                <w:tcPr>
                  <w:tcW w:w="562" w:type="pct"/>
                  <w:vMerge w:val="restart"/>
                  <w:tcBorders>
                    <w:tl2br w:val="nil"/>
                    <w:tr2bl w:val="nil"/>
                  </w:tcBorders>
                  <w:noWrap w:val="0"/>
                  <w:vAlign w:val="center"/>
                </w:tcPr>
                <w:p w14:paraId="444157CD">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1"/>
                      <w:sz w:val="21"/>
                      <w:szCs w:val="21"/>
                    </w:rPr>
                    <w:t>时段</w:t>
                  </w:r>
                </w:p>
              </w:tc>
              <w:tc>
                <w:tcPr>
                  <w:tcW w:w="955" w:type="pct"/>
                  <w:tcBorders>
                    <w:tl2br w:val="nil"/>
                    <w:tr2bl w:val="nil"/>
                  </w:tcBorders>
                  <w:noWrap w:val="0"/>
                  <w:vAlign w:val="center"/>
                </w:tcPr>
                <w:p w14:paraId="70BD2582">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8"/>
                      <w:sz w:val="21"/>
                      <w:szCs w:val="21"/>
                    </w:rPr>
                    <w:t>检测结果</w:t>
                  </w:r>
                </w:p>
              </w:tc>
              <w:tc>
                <w:tcPr>
                  <w:tcW w:w="629" w:type="pct"/>
                  <w:vMerge w:val="restart"/>
                  <w:tcBorders>
                    <w:tl2br w:val="nil"/>
                    <w:tr2bl w:val="nil"/>
                  </w:tcBorders>
                  <w:noWrap w:val="0"/>
                  <w:vAlign w:val="center"/>
                </w:tcPr>
                <w:p w14:paraId="5322AF26">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7"/>
                      <w:sz w:val="21"/>
                      <w:szCs w:val="21"/>
                    </w:rPr>
                    <w:t>标准限值</w:t>
                  </w:r>
                </w:p>
              </w:tc>
              <w:tc>
                <w:tcPr>
                  <w:tcW w:w="797" w:type="pct"/>
                  <w:vMerge w:val="restart"/>
                  <w:tcBorders>
                    <w:tl2br w:val="nil"/>
                    <w:tr2bl w:val="nil"/>
                  </w:tcBorders>
                  <w:noWrap w:val="0"/>
                  <w:vAlign w:val="center"/>
                </w:tcPr>
                <w:p w14:paraId="0679C467">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eastAsia" w:ascii="Times New Roman" w:hAnsi="Times New Roman" w:eastAsia="宋体" w:cs="Times New Roman"/>
                      <w:b/>
                      <w:bCs/>
                      <w:color w:val="auto"/>
                      <w:sz w:val="21"/>
                      <w:szCs w:val="21"/>
                      <w:lang w:eastAsia="zh-CN"/>
                    </w:rPr>
                  </w:pPr>
                  <w:r>
                    <w:rPr>
                      <w:rFonts w:hint="eastAsia" w:ascii="Times New Roman" w:hAnsi="Times New Roman" w:eastAsia="宋体" w:cs="Times New Roman"/>
                      <w:b/>
                      <w:bCs/>
                      <w:color w:val="auto"/>
                      <w:spacing w:val="6"/>
                      <w:sz w:val="21"/>
                      <w:szCs w:val="21"/>
                      <w:lang w:val="en-US" w:eastAsia="zh-CN"/>
                    </w:rPr>
                    <w:t>达标性</w:t>
                  </w:r>
                </w:p>
              </w:tc>
            </w:tr>
            <w:tr w14:paraId="1186212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294" w:type="pct"/>
                  <w:vMerge w:val="continue"/>
                  <w:tcBorders>
                    <w:tl2br w:val="nil"/>
                    <w:tr2bl w:val="nil"/>
                  </w:tcBorders>
                  <w:noWrap w:val="0"/>
                  <w:vAlign w:val="center"/>
                </w:tcPr>
                <w:p w14:paraId="3644CE42">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1" w:type="pct"/>
                  <w:vMerge w:val="continue"/>
                  <w:tcBorders>
                    <w:tl2br w:val="nil"/>
                    <w:tr2bl w:val="nil"/>
                  </w:tcBorders>
                  <w:noWrap w:val="0"/>
                  <w:vAlign w:val="center"/>
                </w:tcPr>
                <w:p w14:paraId="798147B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360" w:type="pct"/>
                  <w:vMerge w:val="continue"/>
                  <w:tcBorders>
                    <w:tl2br w:val="nil"/>
                    <w:tr2bl w:val="nil"/>
                  </w:tcBorders>
                  <w:noWrap w:val="0"/>
                  <w:vAlign w:val="center"/>
                </w:tcPr>
                <w:p w14:paraId="74F9201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2" w:type="pct"/>
                  <w:vMerge w:val="continue"/>
                  <w:tcBorders>
                    <w:tl2br w:val="nil"/>
                    <w:tr2bl w:val="nil"/>
                  </w:tcBorders>
                  <w:noWrap w:val="0"/>
                  <w:vAlign w:val="center"/>
                </w:tcPr>
                <w:p w14:paraId="2A770F3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955" w:type="pct"/>
                  <w:tcBorders>
                    <w:tl2br w:val="nil"/>
                    <w:tr2bl w:val="nil"/>
                  </w:tcBorders>
                  <w:noWrap w:val="0"/>
                  <w:vAlign w:val="center"/>
                </w:tcPr>
                <w:p w14:paraId="43559FF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4"/>
                      <w:sz w:val="21"/>
                      <w:szCs w:val="21"/>
                    </w:rPr>
                    <w:t>2026.0</w:t>
                  </w:r>
                  <w:r>
                    <w:rPr>
                      <w:rFonts w:hint="eastAsia" w:ascii="Times New Roman" w:hAnsi="Times New Roman" w:cs="Times New Roman"/>
                      <w:color w:val="auto"/>
                      <w:spacing w:val="4"/>
                      <w:sz w:val="21"/>
                      <w:szCs w:val="21"/>
                      <w:lang w:val="en-US" w:eastAsia="zh-CN"/>
                    </w:rPr>
                    <w:t>6.02</w:t>
                  </w:r>
                </w:p>
              </w:tc>
              <w:tc>
                <w:tcPr>
                  <w:tcW w:w="629" w:type="pct"/>
                  <w:vMerge w:val="continue"/>
                  <w:tcBorders>
                    <w:tl2br w:val="nil"/>
                    <w:tr2bl w:val="nil"/>
                  </w:tcBorders>
                  <w:noWrap w:val="0"/>
                  <w:vAlign w:val="center"/>
                </w:tcPr>
                <w:p w14:paraId="60B8C36E">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797" w:type="pct"/>
                  <w:vMerge w:val="continue"/>
                  <w:tcBorders>
                    <w:tl2br w:val="nil"/>
                    <w:tr2bl w:val="nil"/>
                  </w:tcBorders>
                  <w:noWrap w:val="0"/>
                  <w:vAlign w:val="center"/>
                </w:tcPr>
                <w:p w14:paraId="2C1FF18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r>
            <w:tr w14:paraId="786012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2181" w:type="dxa"/>
                  <w:vMerge w:val="restart"/>
                  <w:tcBorders>
                    <w:tl2br w:val="nil"/>
                    <w:tr2bl w:val="nil"/>
                  </w:tcBorders>
                  <w:noWrap w:val="0"/>
                  <w:vAlign w:val="top"/>
                </w:tcPr>
                <w:p w14:paraId="00F1DC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N</w:t>
                  </w:r>
                  <w:r>
                    <w:rPr>
                      <w:rFonts w:hint="eastAsia" w:ascii="Times New Roman" w:hAnsi="Times New Roman" w:eastAsia="宋体" w:cs="Times New Roman"/>
                      <w:color w:val="auto"/>
                      <w:sz w:val="21"/>
                      <w:szCs w:val="21"/>
                      <w:lang w:val="en-US" w:eastAsia="zh-CN"/>
                    </w:rPr>
                    <w:t>10</w:t>
                  </w:r>
                  <w:r>
                    <w:rPr>
                      <w:rFonts w:hint="default" w:ascii="Times New Roman" w:hAnsi="Times New Roman" w:eastAsia="宋体" w:cs="Times New Roman"/>
                      <w:color w:val="auto"/>
                      <w:sz w:val="21"/>
                      <w:szCs w:val="21"/>
                    </w:rPr>
                    <w:t>~N</w:t>
                  </w:r>
                  <w:r>
                    <w:rPr>
                      <w:rFonts w:hint="eastAsia" w:ascii="Times New Roman" w:hAnsi="Times New Roman" w:eastAsia="宋体" w:cs="Times New Roman"/>
                      <w:color w:val="auto"/>
                      <w:sz w:val="21"/>
                      <w:szCs w:val="21"/>
                      <w:lang w:val="en-US" w:eastAsia="zh-CN"/>
                    </w:rPr>
                    <w:t>11</w:t>
                  </w:r>
                  <w:r>
                    <w:rPr>
                      <w:rFonts w:hint="default" w:ascii="Times New Roman" w:hAnsi="Times New Roman" w:eastAsia="宋体" w:cs="Times New Roman"/>
                      <w:color w:val="auto"/>
                      <w:sz w:val="21"/>
                      <w:szCs w:val="21"/>
                    </w:rPr>
                    <w:t>间左侧2</w:t>
                  </w:r>
                  <w:r>
                    <w:rPr>
                      <w:rFonts w:hint="eastAsia" w:ascii="Times New Roman" w:hAnsi="Times New Roman" w:eastAsia="宋体" w:cs="Times New Roman"/>
                      <w:color w:val="auto"/>
                      <w:sz w:val="21"/>
                      <w:szCs w:val="21"/>
                      <w:lang w:val="en-US" w:eastAsia="zh-CN"/>
                    </w:rPr>
                    <w:t>9</w:t>
                  </w:r>
                  <w:r>
                    <w:rPr>
                      <w:rFonts w:hint="default" w:ascii="Times New Roman" w:hAnsi="Times New Roman" w:eastAsia="宋体" w:cs="Times New Roman"/>
                      <w:color w:val="auto"/>
                      <w:sz w:val="21"/>
                      <w:szCs w:val="21"/>
                    </w:rPr>
                    <w:t>m处</w:t>
                  </w:r>
                  <w:r>
                    <w:rPr>
                      <w:rFonts w:hint="eastAsia" w:ascii="Times New Roman" w:hAnsi="Times New Roman" w:eastAsia="宋体" w:cs="Times New Roman"/>
                      <w:color w:val="auto"/>
                      <w:sz w:val="21"/>
                      <w:szCs w:val="21"/>
                      <w:lang w:val="en-US" w:eastAsia="zh-CN"/>
                    </w:rPr>
                    <w:t>石碓窝居民</w:t>
                  </w:r>
                  <w:r>
                    <w:rPr>
                      <w:rFonts w:hint="default" w:ascii="Times New Roman" w:hAnsi="Times New Roman" w:eastAsia="宋体" w:cs="Times New Roman"/>
                      <w:color w:val="auto"/>
                      <w:sz w:val="21"/>
                      <w:szCs w:val="21"/>
                    </w:rPr>
                    <w:t>（1#</w:t>
                  </w:r>
                  <w:r>
                    <w:rPr>
                      <w:rFonts w:hint="eastAsia" w:ascii="Times New Roman" w:hAnsi="Times New Roman" w:eastAsia="宋体" w:cs="Times New Roman"/>
                      <w:color w:val="auto"/>
                      <w:sz w:val="21"/>
                      <w:szCs w:val="21"/>
                      <w:lang w:eastAsia="zh-CN"/>
                    </w:rPr>
                    <w:t>）</w:t>
                  </w:r>
                </w:p>
              </w:tc>
              <w:tc>
                <w:tcPr>
                  <w:tcW w:w="401" w:type="pct"/>
                  <w:vMerge w:val="restart"/>
                  <w:tcBorders>
                    <w:tl2br w:val="nil"/>
                    <w:tr2bl w:val="nil"/>
                  </w:tcBorders>
                  <w:noWrap w:val="0"/>
                  <w:vAlign w:val="center"/>
                </w:tcPr>
                <w:p w14:paraId="77CE474A">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
                      <w:sz w:val="21"/>
                      <w:szCs w:val="21"/>
                    </w:rPr>
                    <w:t>噪声</w:t>
                  </w:r>
                </w:p>
              </w:tc>
              <w:tc>
                <w:tcPr>
                  <w:tcW w:w="360" w:type="pct"/>
                  <w:vMerge w:val="restart"/>
                  <w:tcBorders>
                    <w:tl2br w:val="nil"/>
                    <w:tr2bl w:val="nil"/>
                  </w:tcBorders>
                  <w:noWrap w:val="0"/>
                  <w:vAlign w:val="center"/>
                </w:tcPr>
                <w:p w14:paraId="134907B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dB</w:t>
                  </w:r>
                  <w:r>
                    <w:rPr>
                      <w:rFonts w:hint="default" w:ascii="Times New Roman" w:hAnsi="Times New Roman" w:eastAsia="宋体" w:cs="Times New Roman"/>
                      <w:color w:val="auto"/>
                      <w:spacing w:val="5"/>
                      <w:sz w:val="21"/>
                      <w:szCs w:val="21"/>
                    </w:rPr>
                    <w:t>(A)</w:t>
                  </w:r>
                </w:p>
              </w:tc>
              <w:tc>
                <w:tcPr>
                  <w:tcW w:w="562" w:type="pct"/>
                  <w:tcBorders>
                    <w:tl2br w:val="nil"/>
                    <w:tr2bl w:val="nil"/>
                  </w:tcBorders>
                  <w:noWrap w:val="0"/>
                  <w:vAlign w:val="center"/>
                </w:tcPr>
                <w:p w14:paraId="1A771A0C">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昼间</w:t>
                  </w:r>
                </w:p>
              </w:tc>
              <w:tc>
                <w:tcPr>
                  <w:tcW w:w="955" w:type="pct"/>
                  <w:tcBorders>
                    <w:tl2br w:val="nil"/>
                    <w:tr2bl w:val="nil"/>
                  </w:tcBorders>
                  <w:noWrap w:val="0"/>
                  <w:vAlign w:val="top"/>
                </w:tcPr>
                <w:p w14:paraId="2C79421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5</w:t>
                  </w:r>
                  <w:r>
                    <w:rPr>
                      <w:rFonts w:hint="eastAsia" w:ascii="Times New Roman" w:hAnsi="Times New Roman" w:eastAsia="宋体" w:cs="Times New Roman"/>
                      <w:color w:val="auto"/>
                      <w:sz w:val="21"/>
                      <w:szCs w:val="21"/>
                      <w:lang w:val="en-US" w:eastAsia="zh-CN"/>
                    </w:rPr>
                    <w:t>2</w:t>
                  </w:r>
                </w:p>
              </w:tc>
              <w:tc>
                <w:tcPr>
                  <w:tcW w:w="629" w:type="pct"/>
                  <w:tcBorders>
                    <w:tl2br w:val="nil"/>
                    <w:tr2bl w:val="nil"/>
                  </w:tcBorders>
                  <w:noWrap w:val="0"/>
                  <w:vAlign w:val="center"/>
                </w:tcPr>
                <w:p w14:paraId="6CCCEC9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w:t>
                  </w:r>
                </w:p>
              </w:tc>
              <w:tc>
                <w:tcPr>
                  <w:tcW w:w="797" w:type="pct"/>
                  <w:tcBorders>
                    <w:tl2br w:val="nil"/>
                    <w:tr2bl w:val="nil"/>
                  </w:tcBorders>
                  <w:noWrap w:val="0"/>
                  <w:vAlign w:val="center"/>
                </w:tcPr>
                <w:p w14:paraId="49736434">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23889A9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294" w:type="pct"/>
                  <w:vMerge w:val="continue"/>
                  <w:tcBorders>
                    <w:tl2br w:val="nil"/>
                    <w:tr2bl w:val="nil"/>
                  </w:tcBorders>
                  <w:noWrap w:val="0"/>
                  <w:vAlign w:val="center"/>
                </w:tcPr>
                <w:p w14:paraId="444672B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1" w:type="pct"/>
                  <w:vMerge w:val="continue"/>
                  <w:tcBorders>
                    <w:tl2br w:val="nil"/>
                    <w:tr2bl w:val="nil"/>
                  </w:tcBorders>
                  <w:noWrap w:val="0"/>
                  <w:vAlign w:val="center"/>
                </w:tcPr>
                <w:p w14:paraId="1C3224DA">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360" w:type="pct"/>
                  <w:vMerge w:val="continue"/>
                  <w:tcBorders>
                    <w:tl2br w:val="nil"/>
                    <w:tr2bl w:val="nil"/>
                  </w:tcBorders>
                  <w:noWrap w:val="0"/>
                  <w:vAlign w:val="center"/>
                </w:tcPr>
                <w:p w14:paraId="30827E1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2" w:type="pct"/>
                  <w:tcBorders>
                    <w:tl2br w:val="nil"/>
                    <w:tr2bl w:val="nil"/>
                  </w:tcBorders>
                  <w:noWrap w:val="0"/>
                  <w:vAlign w:val="center"/>
                </w:tcPr>
                <w:p w14:paraId="3907F7F2">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夜间</w:t>
                  </w:r>
                </w:p>
              </w:tc>
              <w:tc>
                <w:tcPr>
                  <w:tcW w:w="955" w:type="pct"/>
                  <w:tcBorders>
                    <w:tl2br w:val="nil"/>
                    <w:tr2bl w:val="nil"/>
                  </w:tcBorders>
                  <w:noWrap w:val="0"/>
                  <w:vAlign w:val="top"/>
                </w:tcPr>
                <w:p w14:paraId="083DE91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4</w:t>
                  </w:r>
                  <w:r>
                    <w:rPr>
                      <w:rFonts w:hint="eastAsia" w:ascii="Times New Roman" w:hAnsi="Times New Roman" w:eastAsia="宋体" w:cs="Times New Roman"/>
                      <w:color w:val="auto"/>
                      <w:sz w:val="21"/>
                      <w:szCs w:val="21"/>
                      <w:lang w:val="en-US" w:eastAsia="zh-CN"/>
                    </w:rPr>
                    <w:t>1</w:t>
                  </w:r>
                </w:p>
              </w:tc>
              <w:tc>
                <w:tcPr>
                  <w:tcW w:w="629" w:type="pct"/>
                  <w:tcBorders>
                    <w:tl2br w:val="nil"/>
                    <w:tr2bl w:val="nil"/>
                  </w:tcBorders>
                  <w:noWrap w:val="0"/>
                  <w:vAlign w:val="center"/>
                </w:tcPr>
                <w:p w14:paraId="73CAEB9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45</w:t>
                  </w:r>
                </w:p>
              </w:tc>
              <w:tc>
                <w:tcPr>
                  <w:tcW w:w="797" w:type="pct"/>
                  <w:tcBorders>
                    <w:tl2br w:val="nil"/>
                    <w:tr2bl w:val="nil"/>
                  </w:tcBorders>
                  <w:noWrap w:val="0"/>
                  <w:vAlign w:val="center"/>
                </w:tcPr>
                <w:p w14:paraId="5A2DA0D7">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036D73F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2181" w:type="dxa"/>
                  <w:vMerge w:val="restart"/>
                  <w:tcBorders>
                    <w:tl2br w:val="nil"/>
                    <w:tr2bl w:val="nil"/>
                  </w:tcBorders>
                  <w:noWrap w:val="0"/>
                  <w:vAlign w:val="top"/>
                </w:tcPr>
                <w:p w14:paraId="649978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N</w:t>
                  </w:r>
                  <w:r>
                    <w:rPr>
                      <w:rFonts w:hint="eastAsia" w:ascii="Times New Roman" w:hAnsi="Times New Roman" w:eastAsia="宋体" w:cs="Times New Roman"/>
                      <w:color w:val="auto"/>
                      <w:sz w:val="21"/>
                      <w:szCs w:val="21"/>
                      <w:lang w:val="en-US" w:eastAsia="zh-CN"/>
                    </w:rPr>
                    <w:t>21</w:t>
                  </w:r>
                  <w:r>
                    <w:rPr>
                      <w:rFonts w:hint="default" w:ascii="Times New Roman" w:hAnsi="Times New Roman" w:eastAsia="宋体" w:cs="Times New Roman"/>
                      <w:color w:val="auto"/>
                      <w:sz w:val="21"/>
                      <w:szCs w:val="21"/>
                    </w:rPr>
                    <w:t>~N</w:t>
                  </w:r>
                  <w:r>
                    <w:rPr>
                      <w:rFonts w:hint="eastAsia" w:ascii="Times New Roman" w:hAnsi="Times New Roman" w:eastAsia="宋体" w:cs="Times New Roman"/>
                      <w:color w:val="auto"/>
                      <w:sz w:val="21"/>
                      <w:szCs w:val="21"/>
                      <w:lang w:val="en-US" w:eastAsia="zh-CN"/>
                    </w:rPr>
                    <w:t>22</w:t>
                  </w:r>
                  <w:r>
                    <w:rPr>
                      <w:rFonts w:hint="default" w:ascii="Times New Roman" w:hAnsi="Times New Roman" w:eastAsia="宋体" w:cs="Times New Roman"/>
                      <w:color w:val="auto"/>
                      <w:sz w:val="21"/>
                      <w:szCs w:val="21"/>
                    </w:rPr>
                    <w:t>间右侧2</w:t>
                  </w:r>
                  <w:r>
                    <w:rPr>
                      <w:rFonts w:hint="eastAsia"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rPr>
                    <w:t>m处</w:t>
                  </w:r>
                  <w:r>
                    <w:rPr>
                      <w:rFonts w:hint="eastAsia" w:ascii="Times New Roman" w:hAnsi="Times New Roman" w:eastAsia="宋体" w:cs="Times New Roman"/>
                      <w:color w:val="auto"/>
                      <w:sz w:val="21"/>
                      <w:szCs w:val="21"/>
                      <w:lang w:val="en-US" w:eastAsia="zh-CN"/>
                    </w:rPr>
                    <w:t>红地丫口</w:t>
                  </w:r>
                  <w:r>
                    <w:rPr>
                      <w:rFonts w:hint="default" w:ascii="Times New Roman" w:hAnsi="Times New Roman" w:eastAsia="宋体" w:cs="Times New Roman"/>
                      <w:color w:val="auto"/>
                      <w:sz w:val="21"/>
                      <w:szCs w:val="21"/>
                    </w:rPr>
                    <w:t>居民（2#</w:t>
                  </w:r>
                  <w:r>
                    <w:rPr>
                      <w:rFonts w:hint="eastAsia" w:ascii="Times New Roman" w:hAnsi="Times New Roman" w:eastAsia="宋体" w:cs="Times New Roman"/>
                      <w:color w:val="auto"/>
                      <w:sz w:val="21"/>
                      <w:szCs w:val="21"/>
                      <w:lang w:eastAsia="zh-CN"/>
                    </w:rPr>
                    <w:t>）</w:t>
                  </w:r>
                </w:p>
              </w:tc>
              <w:tc>
                <w:tcPr>
                  <w:tcW w:w="401" w:type="pct"/>
                  <w:vMerge w:val="restart"/>
                  <w:tcBorders>
                    <w:tl2br w:val="nil"/>
                    <w:tr2bl w:val="nil"/>
                  </w:tcBorders>
                  <w:noWrap w:val="0"/>
                  <w:vAlign w:val="center"/>
                </w:tcPr>
                <w:p w14:paraId="42F33B10">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
                      <w:sz w:val="21"/>
                      <w:szCs w:val="21"/>
                    </w:rPr>
                    <w:t>噪声</w:t>
                  </w:r>
                </w:p>
              </w:tc>
              <w:tc>
                <w:tcPr>
                  <w:tcW w:w="360" w:type="pct"/>
                  <w:vMerge w:val="restart"/>
                  <w:tcBorders>
                    <w:tl2br w:val="nil"/>
                    <w:tr2bl w:val="nil"/>
                  </w:tcBorders>
                  <w:noWrap w:val="0"/>
                  <w:vAlign w:val="center"/>
                </w:tcPr>
                <w:p w14:paraId="6BD5087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dB</w:t>
                  </w:r>
                  <w:r>
                    <w:rPr>
                      <w:rFonts w:hint="default" w:ascii="Times New Roman" w:hAnsi="Times New Roman" w:eastAsia="宋体" w:cs="Times New Roman"/>
                      <w:color w:val="auto"/>
                      <w:spacing w:val="5"/>
                      <w:sz w:val="21"/>
                      <w:szCs w:val="21"/>
                    </w:rPr>
                    <w:t>(A)</w:t>
                  </w:r>
                </w:p>
              </w:tc>
              <w:tc>
                <w:tcPr>
                  <w:tcW w:w="562" w:type="pct"/>
                  <w:tcBorders>
                    <w:tl2br w:val="nil"/>
                    <w:tr2bl w:val="nil"/>
                  </w:tcBorders>
                  <w:noWrap w:val="0"/>
                  <w:vAlign w:val="center"/>
                </w:tcPr>
                <w:p w14:paraId="2FA9DAC6">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昼间</w:t>
                  </w:r>
                </w:p>
              </w:tc>
              <w:tc>
                <w:tcPr>
                  <w:tcW w:w="955" w:type="pct"/>
                  <w:tcBorders>
                    <w:tl2br w:val="nil"/>
                    <w:tr2bl w:val="nil"/>
                  </w:tcBorders>
                  <w:noWrap w:val="0"/>
                  <w:vAlign w:val="top"/>
                </w:tcPr>
                <w:p w14:paraId="49EA1D6A">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5</w:t>
                  </w:r>
                  <w:r>
                    <w:rPr>
                      <w:rFonts w:hint="eastAsia" w:ascii="Times New Roman" w:hAnsi="Times New Roman" w:eastAsia="宋体" w:cs="Times New Roman"/>
                      <w:color w:val="auto"/>
                      <w:sz w:val="21"/>
                      <w:szCs w:val="21"/>
                      <w:lang w:val="en-US" w:eastAsia="zh-CN"/>
                    </w:rPr>
                    <w:t>0</w:t>
                  </w:r>
                </w:p>
              </w:tc>
              <w:tc>
                <w:tcPr>
                  <w:tcW w:w="629" w:type="pct"/>
                  <w:tcBorders>
                    <w:tl2br w:val="nil"/>
                    <w:tr2bl w:val="nil"/>
                  </w:tcBorders>
                  <w:noWrap w:val="0"/>
                  <w:vAlign w:val="center"/>
                </w:tcPr>
                <w:p w14:paraId="7D5869DE">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w:t>
                  </w:r>
                </w:p>
              </w:tc>
              <w:tc>
                <w:tcPr>
                  <w:tcW w:w="797" w:type="pct"/>
                  <w:tcBorders>
                    <w:tl2br w:val="nil"/>
                    <w:tr2bl w:val="nil"/>
                  </w:tcBorders>
                  <w:noWrap w:val="0"/>
                  <w:vAlign w:val="center"/>
                </w:tcPr>
                <w:p w14:paraId="6AD40DAC">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4933828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294" w:type="pct"/>
                  <w:vMerge w:val="continue"/>
                  <w:tcBorders>
                    <w:tl2br w:val="nil"/>
                    <w:tr2bl w:val="nil"/>
                  </w:tcBorders>
                  <w:noWrap w:val="0"/>
                  <w:vAlign w:val="center"/>
                </w:tcPr>
                <w:p w14:paraId="3F0DE5A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1" w:type="pct"/>
                  <w:vMerge w:val="continue"/>
                  <w:tcBorders>
                    <w:tl2br w:val="nil"/>
                    <w:tr2bl w:val="nil"/>
                  </w:tcBorders>
                  <w:noWrap w:val="0"/>
                  <w:vAlign w:val="center"/>
                </w:tcPr>
                <w:p w14:paraId="09C72BE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360" w:type="pct"/>
                  <w:vMerge w:val="continue"/>
                  <w:tcBorders>
                    <w:tl2br w:val="nil"/>
                    <w:tr2bl w:val="nil"/>
                  </w:tcBorders>
                  <w:noWrap w:val="0"/>
                  <w:vAlign w:val="center"/>
                </w:tcPr>
                <w:p w14:paraId="2F1FBFB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2" w:type="pct"/>
                  <w:tcBorders>
                    <w:tl2br w:val="nil"/>
                    <w:tr2bl w:val="nil"/>
                  </w:tcBorders>
                  <w:noWrap w:val="0"/>
                  <w:vAlign w:val="center"/>
                </w:tcPr>
                <w:p w14:paraId="0E2B759A">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夜间</w:t>
                  </w:r>
                </w:p>
              </w:tc>
              <w:tc>
                <w:tcPr>
                  <w:tcW w:w="955" w:type="pct"/>
                  <w:tcBorders>
                    <w:tl2br w:val="nil"/>
                    <w:tr2bl w:val="nil"/>
                  </w:tcBorders>
                  <w:noWrap w:val="0"/>
                  <w:vAlign w:val="top"/>
                </w:tcPr>
                <w:p w14:paraId="2BB8847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40</w:t>
                  </w:r>
                </w:p>
              </w:tc>
              <w:tc>
                <w:tcPr>
                  <w:tcW w:w="629" w:type="pct"/>
                  <w:tcBorders>
                    <w:tl2br w:val="nil"/>
                    <w:tr2bl w:val="nil"/>
                  </w:tcBorders>
                  <w:noWrap w:val="0"/>
                  <w:vAlign w:val="center"/>
                </w:tcPr>
                <w:p w14:paraId="022A10EE">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45</w:t>
                  </w:r>
                </w:p>
              </w:tc>
              <w:tc>
                <w:tcPr>
                  <w:tcW w:w="797" w:type="pct"/>
                  <w:tcBorders>
                    <w:tl2br w:val="nil"/>
                    <w:tr2bl w:val="nil"/>
                  </w:tcBorders>
                  <w:noWrap w:val="0"/>
                  <w:vAlign w:val="center"/>
                </w:tcPr>
                <w:p w14:paraId="1FA9948F">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1ACA70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000" w:type="pct"/>
                  <w:gridSpan w:val="7"/>
                  <w:tcBorders>
                    <w:tl2br w:val="nil"/>
                    <w:tr2bl w:val="nil"/>
                  </w:tcBorders>
                  <w:noWrap w:val="0"/>
                  <w:vAlign w:val="center"/>
                </w:tcPr>
                <w:p w14:paraId="0A812D29">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9"/>
                      <w:sz w:val="21"/>
                      <w:szCs w:val="21"/>
                    </w:rPr>
                    <w:t>评价标准：线路沿线评价范围内环境敏感点执行《声环境质量标准》（</w:t>
                  </w:r>
                  <w:r>
                    <w:rPr>
                      <w:rFonts w:hint="default" w:ascii="Times New Roman" w:hAnsi="Times New Roman" w:eastAsia="宋体" w:cs="Times New Roman"/>
                      <w:color w:val="auto"/>
                      <w:sz w:val="21"/>
                      <w:szCs w:val="21"/>
                    </w:rPr>
                    <w:t>GB</w:t>
                  </w:r>
                  <w:r>
                    <w:rPr>
                      <w:rFonts w:hint="default" w:ascii="Times New Roman" w:hAnsi="Times New Roman" w:eastAsia="宋体" w:cs="Times New Roman"/>
                      <w:color w:val="auto"/>
                      <w:spacing w:val="9"/>
                      <w:sz w:val="21"/>
                      <w:szCs w:val="21"/>
                    </w:rPr>
                    <w:t>3096-2008）中1类标准</w:t>
                  </w:r>
                  <w:r>
                    <w:rPr>
                      <w:rFonts w:hint="default" w:ascii="Times New Roman" w:hAnsi="Times New Roman" w:eastAsia="宋体" w:cs="Times New Roman"/>
                      <w:color w:val="auto"/>
                      <w:spacing w:val="6"/>
                      <w:sz w:val="21"/>
                      <w:szCs w:val="21"/>
                    </w:rPr>
                    <w:t>。</w:t>
                  </w:r>
                </w:p>
              </w:tc>
            </w:tr>
            <w:tr w14:paraId="5C59F70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000" w:type="pct"/>
                  <w:gridSpan w:val="7"/>
                  <w:tcBorders>
                    <w:tl2br w:val="nil"/>
                    <w:tr2bl w:val="nil"/>
                  </w:tcBorders>
                  <w:noWrap w:val="0"/>
                  <w:vAlign w:val="center"/>
                </w:tcPr>
                <w:p w14:paraId="284F667E">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both"/>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8"/>
                      <w:sz w:val="21"/>
                      <w:szCs w:val="21"/>
                    </w:rPr>
                    <w:t>备注：噪声检测期间风速小于5m/s；无雨无雪。</w:t>
                  </w:r>
                </w:p>
              </w:tc>
            </w:tr>
          </w:tbl>
          <w:p w14:paraId="1C5DD03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w:t>
            </w:r>
            <w:r>
              <w:rPr>
                <w:rFonts w:hint="default" w:ascii="Times New Roman" w:hAnsi="Times New Roman" w:eastAsia="宋体" w:cs="Times New Roman"/>
                <w:color w:val="auto"/>
                <w:sz w:val="24"/>
                <w:szCs w:val="24"/>
                <w:lang w:val="en-US" w:eastAsia="zh-CN"/>
              </w:rPr>
              <w:t>线路</w:t>
            </w:r>
            <w:r>
              <w:rPr>
                <w:rFonts w:hint="default" w:ascii="Times New Roman" w:hAnsi="Times New Roman" w:eastAsia="宋体" w:cs="Times New Roman"/>
                <w:color w:val="auto"/>
                <w:sz w:val="24"/>
                <w:szCs w:val="24"/>
              </w:rPr>
              <w:t>声环境质量监测结果，</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rPr>
              <w:t>0</w:t>
            </w:r>
            <w:r>
              <w:rPr>
                <w:rFonts w:hint="default" w:ascii="Times New Roman" w:hAnsi="Times New Roman" w:eastAsia="宋体" w:cs="Times New Roman"/>
                <w:color w:val="auto"/>
                <w:sz w:val="24"/>
                <w:szCs w:val="24"/>
                <w:lang w:eastAsia="zh-CN"/>
              </w:rPr>
              <w:t>kV</w:t>
            </w:r>
            <w:r>
              <w:rPr>
                <w:rFonts w:hint="default" w:ascii="Times New Roman" w:hAnsi="Times New Roman" w:eastAsia="宋体" w:cs="Times New Roman"/>
                <w:color w:val="auto"/>
                <w:sz w:val="24"/>
                <w:szCs w:val="24"/>
              </w:rPr>
              <w:t>输电线路</w:t>
            </w:r>
            <w:r>
              <w:rPr>
                <w:rFonts w:hint="eastAsia" w:ascii="Times New Roman" w:hAnsi="Times New Roman" w:cs="Times New Roman"/>
                <w:color w:val="auto"/>
                <w:sz w:val="24"/>
                <w:szCs w:val="24"/>
                <w:lang w:val="en-US" w:eastAsia="zh-CN"/>
              </w:rPr>
              <w:t>敏感点</w:t>
            </w:r>
            <w:r>
              <w:rPr>
                <w:rFonts w:hint="default" w:ascii="Times New Roman" w:hAnsi="Times New Roman" w:eastAsia="宋体" w:cs="Times New Roman"/>
                <w:color w:val="auto"/>
                <w:sz w:val="24"/>
                <w:szCs w:val="24"/>
              </w:rPr>
              <w:t>声环境昼间噪声监测值范围为</w:t>
            </w:r>
            <w:r>
              <w:rPr>
                <w:rFonts w:hint="eastAsia" w:ascii="Times New Roman" w:hAnsi="Times New Roman" w:cs="Times New Roman"/>
                <w:color w:val="auto"/>
                <w:sz w:val="24"/>
                <w:szCs w:val="24"/>
                <w:lang w:val="en-US" w:eastAsia="zh-CN"/>
              </w:rPr>
              <w:t>50</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5</w:t>
            </w:r>
            <w:r>
              <w:rPr>
                <w:rFonts w:hint="eastAsia" w:ascii="Times New Roman" w:hAnsi="Times New Roman" w:cs="Times New Roman"/>
                <w:color w:val="auto"/>
                <w:sz w:val="24"/>
                <w:szCs w:val="24"/>
                <w:lang w:val="en-US" w:eastAsia="zh-CN"/>
              </w:rPr>
              <w:t>2</w:t>
            </w:r>
            <w:r>
              <w:rPr>
                <w:rFonts w:hint="default" w:ascii="Times New Roman" w:hAnsi="Times New Roman" w:eastAsia="宋体" w:cs="Times New Roman"/>
                <w:color w:val="auto"/>
                <w:sz w:val="24"/>
                <w:szCs w:val="24"/>
              </w:rPr>
              <w:t>dB（A），夜间噪声监测值为</w:t>
            </w:r>
            <w:r>
              <w:rPr>
                <w:rFonts w:hint="eastAsia" w:ascii="Times New Roman" w:hAnsi="Times New Roman" w:cs="Times New Roman"/>
                <w:color w:val="auto"/>
                <w:sz w:val="24"/>
                <w:szCs w:val="24"/>
                <w:lang w:val="en-US" w:eastAsia="zh-CN"/>
              </w:rPr>
              <w:t>40~41</w:t>
            </w:r>
            <w:r>
              <w:rPr>
                <w:rFonts w:hint="default" w:ascii="Times New Roman" w:hAnsi="Times New Roman" w:eastAsia="宋体" w:cs="Times New Roman"/>
                <w:color w:val="auto"/>
                <w:sz w:val="24"/>
                <w:szCs w:val="24"/>
              </w:rPr>
              <w:t>dB（A），均满足《声环境质量标准》（GB3096-2008）</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类区标准限值。</w:t>
            </w:r>
          </w:p>
          <w:p w14:paraId="5732106D">
            <w:pPr>
              <w:adjustRightInd w:val="0"/>
              <w:snapToGrid w:val="0"/>
              <w:spacing w:line="440" w:lineRule="exact"/>
              <w:ind w:firstLine="482" w:firstLineChars="20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3.6.7</w:t>
            </w:r>
            <w:r>
              <w:rPr>
                <w:rFonts w:hint="default" w:ascii="Times New Roman" w:hAnsi="Times New Roman" w:eastAsia="宋体" w:cs="Times New Roman"/>
                <w:b/>
                <w:bCs/>
                <w:color w:val="auto"/>
                <w:sz w:val="24"/>
                <w:szCs w:val="24"/>
                <w:highlight w:val="none"/>
              </w:rPr>
              <w:t>引用数据监测结果</w:t>
            </w:r>
          </w:p>
          <w:p w14:paraId="5C940E9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拟建</w:t>
            </w:r>
            <w:r>
              <w:rPr>
                <w:rFonts w:hint="eastAsia" w:ascii="Times New Roman" w:hAnsi="Times New Roman" w:cs="Times New Roman"/>
                <w:color w:val="auto"/>
                <w:sz w:val="24"/>
                <w:szCs w:val="24"/>
                <w:highlight w:val="none"/>
                <w:lang w:val="en-US" w:eastAsia="zh-CN"/>
              </w:rPr>
              <w:t>110kV大草房升压站</w:t>
            </w:r>
            <w:r>
              <w:rPr>
                <w:rFonts w:hint="eastAsia" w:ascii="Times New Roman" w:hAnsi="Times New Roman" w:eastAsia="宋体" w:cs="Times New Roman"/>
                <w:color w:val="auto"/>
                <w:sz w:val="24"/>
                <w:szCs w:val="24"/>
                <w:highlight w:val="none"/>
                <w:lang w:val="en-US" w:eastAsia="zh-CN"/>
              </w:rPr>
              <w:t>噪声环境现状监测数据见下表。</w:t>
            </w:r>
          </w:p>
          <w:p w14:paraId="2405E3E3">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eastAsia="宋体" w:cs="Times New Roman"/>
                <w:b/>
                <w:color w:val="auto"/>
                <w:kern w:val="24"/>
                <w:sz w:val="24"/>
                <w:szCs w:val="24"/>
                <w:highlight w:val="none"/>
              </w:rPr>
            </w:pPr>
            <w:r>
              <w:rPr>
                <w:rFonts w:hint="default" w:ascii="Times New Roman" w:hAnsi="Times New Roman" w:eastAsia="宋体" w:cs="Times New Roman"/>
                <w:b/>
                <w:color w:val="auto"/>
                <w:kern w:val="24"/>
                <w:sz w:val="24"/>
                <w:szCs w:val="24"/>
                <w:highlight w:val="none"/>
              </w:rPr>
              <w:t>表3-</w:t>
            </w:r>
            <w:r>
              <w:rPr>
                <w:rFonts w:hint="eastAsia" w:ascii="Times New Roman" w:hAnsi="Times New Roman" w:eastAsia="宋体" w:cs="Times New Roman"/>
                <w:b/>
                <w:color w:val="auto"/>
                <w:kern w:val="24"/>
                <w:sz w:val="24"/>
                <w:szCs w:val="24"/>
                <w:highlight w:val="none"/>
                <w:lang w:val="en-US" w:eastAsia="zh-CN"/>
              </w:rPr>
              <w:t>7</w:t>
            </w:r>
            <w:r>
              <w:rPr>
                <w:rFonts w:hint="default" w:ascii="Times New Roman" w:hAnsi="Times New Roman" w:eastAsia="宋体" w:cs="Times New Roman"/>
                <w:b/>
                <w:color w:val="auto"/>
                <w:kern w:val="24"/>
                <w:sz w:val="24"/>
                <w:szCs w:val="24"/>
                <w:highlight w:val="none"/>
              </w:rPr>
              <w:t xml:space="preserve">  </w:t>
            </w:r>
            <w:r>
              <w:rPr>
                <w:rFonts w:hint="eastAsia" w:ascii="Times New Roman" w:hAnsi="Times New Roman" w:cs="Times New Roman"/>
                <w:b/>
                <w:color w:val="auto"/>
                <w:kern w:val="24"/>
                <w:sz w:val="24"/>
                <w:szCs w:val="24"/>
                <w:highlight w:val="none"/>
                <w:lang w:val="en-US" w:eastAsia="zh-CN"/>
              </w:rPr>
              <w:t>110kV大草房升压站</w:t>
            </w:r>
            <w:r>
              <w:rPr>
                <w:rFonts w:hint="default" w:ascii="Times New Roman" w:hAnsi="Times New Roman" w:eastAsia="宋体" w:cs="Times New Roman"/>
                <w:b/>
                <w:color w:val="auto"/>
                <w:kern w:val="24"/>
                <w:sz w:val="24"/>
                <w:szCs w:val="24"/>
                <w:highlight w:val="none"/>
              </w:rPr>
              <w:t>噪声监测结果  单位：dB（A）</w:t>
            </w:r>
          </w:p>
          <w:tbl>
            <w:tblPr>
              <w:tblStyle w:val="30"/>
              <w:tblW w:w="4995"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53"/>
              <w:gridCol w:w="1725"/>
              <w:gridCol w:w="890"/>
              <w:gridCol w:w="806"/>
              <w:gridCol w:w="1036"/>
              <w:gridCol w:w="1068"/>
              <w:gridCol w:w="709"/>
              <w:gridCol w:w="644"/>
              <w:gridCol w:w="946"/>
            </w:tblGrid>
            <w:tr w14:paraId="795C58E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287" w:hRule="atLeast"/>
              </w:trPr>
              <w:tc>
                <w:tcPr>
                  <w:tcW w:w="273" w:type="pct"/>
                  <w:vMerge w:val="restart"/>
                  <w:tcBorders>
                    <w:tl2br w:val="nil"/>
                    <w:tr2bl w:val="nil"/>
                  </w:tcBorders>
                  <w:noWrap w:val="0"/>
                  <w:vAlign w:val="center"/>
                </w:tcPr>
                <w:p w14:paraId="0F063834">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spacing w:val="-2"/>
                      <w:sz w:val="21"/>
                      <w:szCs w:val="21"/>
                      <w:highlight w:val="none"/>
                    </w:rPr>
                  </w:pPr>
                  <w:r>
                    <w:rPr>
                      <w:rFonts w:hint="default" w:ascii="Times New Roman" w:hAnsi="Times New Roman" w:eastAsia="宋体" w:cs="Times New Roman"/>
                      <w:b/>
                      <w:bCs/>
                      <w:color w:val="auto"/>
                      <w:spacing w:val="-2"/>
                      <w:sz w:val="21"/>
                      <w:szCs w:val="21"/>
                      <w:highlight w:val="none"/>
                    </w:rPr>
                    <w:t>编号</w:t>
                  </w:r>
                </w:p>
              </w:tc>
              <w:tc>
                <w:tcPr>
                  <w:tcW w:w="1042" w:type="pct"/>
                  <w:vMerge w:val="restart"/>
                  <w:tcBorders>
                    <w:tl2br w:val="nil"/>
                    <w:tr2bl w:val="nil"/>
                  </w:tcBorders>
                  <w:noWrap w:val="0"/>
                  <w:vAlign w:val="center"/>
                </w:tcPr>
                <w:p w14:paraId="1F36B8A1">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spacing w:val="-2"/>
                      <w:sz w:val="21"/>
                      <w:szCs w:val="21"/>
                      <w:highlight w:val="none"/>
                    </w:rPr>
                  </w:pPr>
                  <w:r>
                    <w:rPr>
                      <w:rFonts w:hint="default" w:ascii="Times New Roman" w:hAnsi="Times New Roman" w:eastAsia="宋体" w:cs="Times New Roman"/>
                      <w:b/>
                      <w:bCs/>
                      <w:color w:val="auto"/>
                      <w:spacing w:val="-2"/>
                      <w:sz w:val="21"/>
                      <w:szCs w:val="21"/>
                      <w:highlight w:val="none"/>
                    </w:rPr>
                    <w:t>监测点位</w:t>
                  </w:r>
                </w:p>
              </w:tc>
              <w:tc>
                <w:tcPr>
                  <w:tcW w:w="2295" w:type="pct"/>
                  <w:gridSpan w:val="4"/>
                  <w:tcBorders>
                    <w:tl2br w:val="nil"/>
                    <w:tr2bl w:val="nil"/>
                  </w:tcBorders>
                  <w:noWrap w:val="0"/>
                  <w:vAlign w:val="center"/>
                </w:tcPr>
                <w:p w14:paraId="3623B440">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spacing w:val="-2"/>
                      <w:sz w:val="21"/>
                      <w:szCs w:val="21"/>
                      <w:highlight w:val="none"/>
                    </w:rPr>
                  </w:pPr>
                  <w:r>
                    <w:rPr>
                      <w:rFonts w:hint="default" w:ascii="Times New Roman" w:hAnsi="Times New Roman" w:eastAsia="宋体" w:cs="Times New Roman"/>
                      <w:b/>
                      <w:bCs/>
                      <w:color w:val="auto"/>
                      <w:spacing w:val="-2"/>
                      <w:sz w:val="21"/>
                      <w:szCs w:val="21"/>
                      <w:highlight w:val="none"/>
                    </w:rPr>
                    <w:t>监测数据</w:t>
                  </w:r>
                </w:p>
              </w:tc>
              <w:tc>
                <w:tcPr>
                  <w:tcW w:w="817" w:type="pct"/>
                  <w:gridSpan w:val="2"/>
                  <w:vMerge w:val="restart"/>
                  <w:tcBorders>
                    <w:tl2br w:val="nil"/>
                    <w:tr2bl w:val="nil"/>
                  </w:tcBorders>
                  <w:noWrap w:val="0"/>
                  <w:vAlign w:val="center"/>
                </w:tcPr>
                <w:p w14:paraId="51C9E2FE">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spacing w:val="-2"/>
                      <w:sz w:val="21"/>
                      <w:szCs w:val="21"/>
                      <w:highlight w:val="none"/>
                      <w:lang w:eastAsia="zh-CN"/>
                    </w:rPr>
                  </w:pPr>
                  <w:r>
                    <w:rPr>
                      <w:rFonts w:hint="default" w:ascii="Times New Roman" w:hAnsi="Times New Roman" w:eastAsia="宋体" w:cs="Times New Roman"/>
                      <w:b/>
                      <w:bCs/>
                      <w:color w:val="auto"/>
                      <w:spacing w:val="-2"/>
                      <w:sz w:val="21"/>
                      <w:szCs w:val="21"/>
                      <w:highlight w:val="none"/>
                      <w:lang w:val="en-US" w:eastAsia="zh-CN"/>
                    </w:rPr>
                    <w:t>标准值</w:t>
                  </w:r>
                </w:p>
              </w:tc>
              <w:tc>
                <w:tcPr>
                  <w:tcW w:w="571" w:type="pct"/>
                  <w:vMerge w:val="restart"/>
                  <w:tcBorders>
                    <w:tl2br w:val="nil"/>
                    <w:tr2bl w:val="nil"/>
                  </w:tcBorders>
                  <w:noWrap w:val="0"/>
                  <w:vAlign w:val="center"/>
                </w:tcPr>
                <w:p w14:paraId="1C027FFD">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b/>
                      <w:bCs/>
                      <w:color w:val="auto"/>
                      <w:spacing w:val="-2"/>
                      <w:sz w:val="21"/>
                      <w:szCs w:val="21"/>
                      <w:highlight w:val="none"/>
                    </w:rPr>
                    <w:t>达标情况</w:t>
                  </w:r>
                </w:p>
              </w:tc>
            </w:tr>
            <w:tr w14:paraId="44ED4F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46" w:hRule="atLeast"/>
              </w:trPr>
              <w:tc>
                <w:tcPr>
                  <w:tcW w:w="273" w:type="pct"/>
                  <w:vMerge w:val="continue"/>
                  <w:tcBorders>
                    <w:tl2br w:val="nil"/>
                    <w:tr2bl w:val="nil"/>
                  </w:tcBorders>
                  <w:noWrap w:val="0"/>
                  <w:textDirection w:val="tbRlV"/>
                  <w:vAlign w:val="center"/>
                </w:tcPr>
                <w:p w14:paraId="1DB0E6F8">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spacing w:val="-2"/>
                      <w:sz w:val="21"/>
                      <w:szCs w:val="21"/>
                      <w:highlight w:val="none"/>
                    </w:rPr>
                  </w:pPr>
                </w:p>
              </w:tc>
              <w:tc>
                <w:tcPr>
                  <w:tcW w:w="1042" w:type="pct"/>
                  <w:vMerge w:val="continue"/>
                  <w:tcBorders>
                    <w:tl2br w:val="nil"/>
                    <w:tr2bl w:val="nil"/>
                  </w:tcBorders>
                  <w:noWrap w:val="0"/>
                  <w:vAlign w:val="center"/>
                </w:tcPr>
                <w:p w14:paraId="5208191B">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spacing w:val="-2"/>
                      <w:sz w:val="21"/>
                      <w:szCs w:val="21"/>
                      <w:highlight w:val="none"/>
                    </w:rPr>
                  </w:pPr>
                </w:p>
              </w:tc>
              <w:tc>
                <w:tcPr>
                  <w:tcW w:w="1024" w:type="pct"/>
                  <w:gridSpan w:val="2"/>
                  <w:tcBorders>
                    <w:tl2br w:val="nil"/>
                    <w:tr2bl w:val="nil"/>
                  </w:tcBorders>
                  <w:noWrap w:val="0"/>
                  <w:vAlign w:val="center"/>
                </w:tcPr>
                <w:p w14:paraId="6BDA0306">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spacing w:val="-2"/>
                      <w:sz w:val="21"/>
                      <w:szCs w:val="21"/>
                      <w:highlight w:val="none"/>
                      <w:lang w:eastAsia="zh-CN"/>
                    </w:rPr>
                  </w:pPr>
                  <w:r>
                    <w:rPr>
                      <w:rFonts w:hint="default" w:ascii="Times New Roman" w:hAnsi="Times New Roman" w:eastAsia="宋体" w:cs="Times New Roman"/>
                      <w:b/>
                      <w:bCs/>
                      <w:color w:val="auto"/>
                      <w:spacing w:val="-2"/>
                      <w:sz w:val="21"/>
                      <w:szCs w:val="21"/>
                      <w:highlight w:val="none"/>
                    </w:rPr>
                    <w:t>202</w:t>
                  </w:r>
                  <w:r>
                    <w:rPr>
                      <w:rFonts w:hint="default" w:ascii="Times New Roman" w:hAnsi="Times New Roman" w:eastAsia="宋体" w:cs="Times New Roman"/>
                      <w:b/>
                      <w:bCs/>
                      <w:color w:val="auto"/>
                      <w:spacing w:val="-2"/>
                      <w:sz w:val="21"/>
                      <w:szCs w:val="21"/>
                      <w:highlight w:val="none"/>
                      <w:lang w:val="en-US" w:eastAsia="zh-CN"/>
                    </w:rPr>
                    <w:t>5</w:t>
                  </w:r>
                  <w:r>
                    <w:rPr>
                      <w:rFonts w:hint="default" w:ascii="Times New Roman" w:hAnsi="Times New Roman" w:eastAsia="宋体" w:cs="Times New Roman"/>
                      <w:b/>
                      <w:bCs/>
                      <w:color w:val="auto"/>
                      <w:spacing w:val="-2"/>
                      <w:sz w:val="21"/>
                      <w:szCs w:val="21"/>
                      <w:highlight w:val="none"/>
                    </w:rPr>
                    <w:t>.</w:t>
                  </w:r>
                  <w:r>
                    <w:rPr>
                      <w:rFonts w:hint="default" w:ascii="Times New Roman" w:hAnsi="Times New Roman" w:eastAsia="宋体" w:cs="Times New Roman"/>
                      <w:b/>
                      <w:bCs/>
                      <w:color w:val="auto"/>
                      <w:spacing w:val="-2"/>
                      <w:sz w:val="21"/>
                      <w:szCs w:val="21"/>
                      <w:highlight w:val="none"/>
                      <w:lang w:val="en-US" w:eastAsia="zh-CN"/>
                    </w:rPr>
                    <w:t>10</w:t>
                  </w:r>
                  <w:r>
                    <w:rPr>
                      <w:rFonts w:hint="default" w:ascii="Times New Roman" w:hAnsi="Times New Roman" w:eastAsia="宋体" w:cs="Times New Roman"/>
                      <w:b/>
                      <w:bCs/>
                      <w:color w:val="auto"/>
                      <w:spacing w:val="-2"/>
                      <w:sz w:val="21"/>
                      <w:szCs w:val="21"/>
                      <w:highlight w:val="none"/>
                    </w:rPr>
                    <w:t>.</w:t>
                  </w:r>
                  <w:r>
                    <w:rPr>
                      <w:rFonts w:hint="default" w:ascii="Times New Roman" w:hAnsi="Times New Roman" w:eastAsia="宋体" w:cs="Times New Roman"/>
                      <w:b/>
                      <w:bCs/>
                      <w:color w:val="auto"/>
                      <w:spacing w:val="-2"/>
                      <w:sz w:val="21"/>
                      <w:szCs w:val="21"/>
                      <w:highlight w:val="none"/>
                      <w:lang w:eastAsia="zh-CN"/>
                    </w:rPr>
                    <w:t>2</w:t>
                  </w:r>
                  <w:r>
                    <w:rPr>
                      <w:rFonts w:hint="default" w:ascii="Times New Roman" w:hAnsi="Times New Roman" w:eastAsia="宋体" w:cs="Times New Roman"/>
                      <w:b/>
                      <w:bCs/>
                      <w:color w:val="auto"/>
                      <w:spacing w:val="-2"/>
                      <w:sz w:val="21"/>
                      <w:szCs w:val="21"/>
                      <w:highlight w:val="none"/>
                      <w:lang w:val="en-US" w:eastAsia="zh-CN"/>
                    </w:rPr>
                    <w:t>3</w:t>
                  </w:r>
                  <w:r>
                    <w:rPr>
                      <w:rFonts w:hint="default" w:ascii="Times New Roman" w:hAnsi="Times New Roman" w:eastAsia="宋体" w:cs="Times New Roman"/>
                      <w:b/>
                      <w:bCs/>
                      <w:color w:val="auto"/>
                      <w:spacing w:val="-2"/>
                      <w:sz w:val="21"/>
                      <w:szCs w:val="21"/>
                      <w:highlight w:val="none"/>
                      <w:lang w:eastAsia="zh-CN"/>
                    </w:rPr>
                    <w:t>~</w:t>
                  </w:r>
                  <w:r>
                    <w:rPr>
                      <w:rFonts w:hint="default" w:ascii="Times New Roman" w:hAnsi="Times New Roman" w:eastAsia="宋体" w:cs="Times New Roman"/>
                      <w:b/>
                      <w:bCs/>
                      <w:color w:val="auto"/>
                      <w:spacing w:val="-2"/>
                      <w:sz w:val="21"/>
                      <w:szCs w:val="21"/>
                      <w:highlight w:val="none"/>
                      <w:lang w:val="en-US" w:eastAsia="zh-CN"/>
                    </w:rPr>
                    <w:t>10.24</w:t>
                  </w:r>
                </w:p>
              </w:tc>
              <w:tc>
                <w:tcPr>
                  <w:tcW w:w="1270" w:type="pct"/>
                  <w:gridSpan w:val="2"/>
                  <w:tcBorders>
                    <w:tl2br w:val="nil"/>
                    <w:tr2bl w:val="nil"/>
                  </w:tcBorders>
                  <w:noWrap w:val="0"/>
                  <w:vAlign w:val="center"/>
                </w:tcPr>
                <w:p w14:paraId="58419D0C">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spacing w:val="-2"/>
                      <w:sz w:val="21"/>
                      <w:szCs w:val="21"/>
                      <w:highlight w:val="none"/>
                    </w:rPr>
                  </w:pPr>
                  <w:r>
                    <w:rPr>
                      <w:rFonts w:hint="default" w:ascii="Times New Roman" w:hAnsi="Times New Roman" w:eastAsia="宋体" w:cs="Times New Roman"/>
                      <w:b/>
                      <w:bCs/>
                      <w:color w:val="auto"/>
                      <w:spacing w:val="-2"/>
                      <w:sz w:val="21"/>
                      <w:szCs w:val="21"/>
                      <w:highlight w:val="none"/>
                    </w:rPr>
                    <w:t>202</w:t>
                  </w:r>
                  <w:r>
                    <w:rPr>
                      <w:rFonts w:hint="default" w:ascii="Times New Roman" w:hAnsi="Times New Roman" w:eastAsia="宋体" w:cs="Times New Roman"/>
                      <w:b/>
                      <w:bCs/>
                      <w:color w:val="auto"/>
                      <w:spacing w:val="-2"/>
                      <w:sz w:val="21"/>
                      <w:szCs w:val="21"/>
                      <w:highlight w:val="none"/>
                      <w:lang w:val="en-US" w:eastAsia="zh-CN"/>
                    </w:rPr>
                    <w:t>5</w:t>
                  </w:r>
                  <w:r>
                    <w:rPr>
                      <w:rFonts w:hint="default" w:ascii="Times New Roman" w:hAnsi="Times New Roman" w:eastAsia="宋体" w:cs="Times New Roman"/>
                      <w:b/>
                      <w:bCs/>
                      <w:color w:val="auto"/>
                      <w:spacing w:val="-2"/>
                      <w:sz w:val="21"/>
                      <w:szCs w:val="21"/>
                      <w:highlight w:val="none"/>
                    </w:rPr>
                    <w:t>.</w:t>
                  </w:r>
                  <w:r>
                    <w:rPr>
                      <w:rFonts w:hint="default" w:ascii="Times New Roman" w:hAnsi="Times New Roman" w:eastAsia="宋体" w:cs="Times New Roman"/>
                      <w:b/>
                      <w:bCs/>
                      <w:color w:val="auto"/>
                      <w:spacing w:val="-2"/>
                      <w:sz w:val="21"/>
                      <w:szCs w:val="21"/>
                      <w:highlight w:val="none"/>
                      <w:lang w:val="en-US" w:eastAsia="zh-CN"/>
                    </w:rPr>
                    <w:t>10</w:t>
                  </w:r>
                  <w:r>
                    <w:rPr>
                      <w:rFonts w:hint="default" w:ascii="Times New Roman" w:hAnsi="Times New Roman" w:eastAsia="宋体" w:cs="Times New Roman"/>
                      <w:b/>
                      <w:bCs/>
                      <w:color w:val="auto"/>
                      <w:spacing w:val="-2"/>
                      <w:sz w:val="21"/>
                      <w:szCs w:val="21"/>
                      <w:highlight w:val="none"/>
                    </w:rPr>
                    <w:t>.</w:t>
                  </w:r>
                  <w:r>
                    <w:rPr>
                      <w:rFonts w:hint="default" w:ascii="Times New Roman" w:hAnsi="Times New Roman" w:eastAsia="宋体" w:cs="Times New Roman"/>
                      <w:b/>
                      <w:bCs/>
                      <w:color w:val="auto"/>
                      <w:spacing w:val="-2"/>
                      <w:sz w:val="21"/>
                      <w:szCs w:val="21"/>
                      <w:highlight w:val="none"/>
                      <w:lang w:eastAsia="zh-CN"/>
                    </w:rPr>
                    <w:t>2</w:t>
                  </w:r>
                  <w:r>
                    <w:rPr>
                      <w:rFonts w:hint="default" w:ascii="Times New Roman" w:hAnsi="Times New Roman" w:eastAsia="宋体" w:cs="Times New Roman"/>
                      <w:b/>
                      <w:bCs/>
                      <w:color w:val="auto"/>
                      <w:spacing w:val="-2"/>
                      <w:sz w:val="21"/>
                      <w:szCs w:val="21"/>
                      <w:highlight w:val="none"/>
                      <w:lang w:val="en-US" w:eastAsia="zh-CN"/>
                    </w:rPr>
                    <w:t>4</w:t>
                  </w:r>
                  <w:r>
                    <w:rPr>
                      <w:rFonts w:hint="default" w:ascii="Times New Roman" w:hAnsi="Times New Roman" w:eastAsia="宋体" w:cs="Times New Roman"/>
                      <w:b/>
                      <w:bCs/>
                      <w:color w:val="auto"/>
                      <w:spacing w:val="-2"/>
                      <w:sz w:val="21"/>
                      <w:szCs w:val="21"/>
                      <w:highlight w:val="none"/>
                      <w:lang w:eastAsia="zh-CN"/>
                    </w:rPr>
                    <w:t>~</w:t>
                  </w:r>
                  <w:r>
                    <w:rPr>
                      <w:rFonts w:hint="default" w:ascii="Times New Roman" w:hAnsi="Times New Roman" w:eastAsia="宋体" w:cs="Times New Roman"/>
                      <w:b/>
                      <w:bCs/>
                      <w:color w:val="auto"/>
                      <w:spacing w:val="-2"/>
                      <w:sz w:val="21"/>
                      <w:szCs w:val="21"/>
                      <w:highlight w:val="none"/>
                      <w:lang w:val="en-US" w:eastAsia="zh-CN"/>
                    </w:rPr>
                    <w:t>10.25</w:t>
                  </w:r>
                </w:p>
              </w:tc>
              <w:tc>
                <w:tcPr>
                  <w:tcW w:w="817" w:type="pct"/>
                  <w:gridSpan w:val="2"/>
                  <w:vMerge w:val="continue"/>
                  <w:tcBorders>
                    <w:tl2br w:val="nil"/>
                    <w:tr2bl w:val="nil"/>
                  </w:tcBorders>
                  <w:noWrap w:val="0"/>
                  <w:vAlign w:val="center"/>
                </w:tcPr>
                <w:p w14:paraId="3C687B7C">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spacing w:val="-2"/>
                      <w:sz w:val="21"/>
                      <w:szCs w:val="21"/>
                      <w:highlight w:val="none"/>
                    </w:rPr>
                  </w:pPr>
                </w:p>
              </w:tc>
              <w:tc>
                <w:tcPr>
                  <w:tcW w:w="571" w:type="pct"/>
                  <w:vMerge w:val="continue"/>
                  <w:tcBorders>
                    <w:tl2br w:val="nil"/>
                    <w:tr2bl w:val="nil"/>
                  </w:tcBorders>
                  <w:noWrap w:val="0"/>
                  <w:vAlign w:val="center"/>
                </w:tcPr>
                <w:p w14:paraId="03DE2C7F">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rPr>
                  </w:pPr>
                </w:p>
              </w:tc>
            </w:tr>
            <w:tr w14:paraId="6F4087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184" w:hRule="atLeast"/>
              </w:trPr>
              <w:tc>
                <w:tcPr>
                  <w:tcW w:w="273" w:type="pct"/>
                  <w:vMerge w:val="continue"/>
                  <w:tcBorders>
                    <w:tl2br w:val="nil"/>
                    <w:tr2bl w:val="nil"/>
                  </w:tcBorders>
                  <w:noWrap w:val="0"/>
                  <w:textDirection w:val="tbRlV"/>
                  <w:vAlign w:val="center"/>
                </w:tcPr>
                <w:p w14:paraId="19D87C14">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spacing w:val="-2"/>
                      <w:sz w:val="21"/>
                      <w:szCs w:val="21"/>
                      <w:highlight w:val="none"/>
                    </w:rPr>
                  </w:pPr>
                </w:p>
              </w:tc>
              <w:tc>
                <w:tcPr>
                  <w:tcW w:w="1042" w:type="pct"/>
                  <w:vMerge w:val="continue"/>
                  <w:tcBorders>
                    <w:tl2br w:val="nil"/>
                    <w:tr2bl w:val="nil"/>
                  </w:tcBorders>
                  <w:noWrap w:val="0"/>
                  <w:vAlign w:val="center"/>
                </w:tcPr>
                <w:p w14:paraId="29FD2B69">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spacing w:val="-2"/>
                      <w:sz w:val="21"/>
                      <w:szCs w:val="21"/>
                      <w:highlight w:val="none"/>
                    </w:rPr>
                  </w:pPr>
                </w:p>
              </w:tc>
              <w:tc>
                <w:tcPr>
                  <w:tcW w:w="537" w:type="pct"/>
                  <w:tcBorders>
                    <w:tl2br w:val="nil"/>
                    <w:tr2bl w:val="nil"/>
                  </w:tcBorders>
                  <w:noWrap w:val="0"/>
                  <w:vAlign w:val="center"/>
                </w:tcPr>
                <w:p w14:paraId="43A85619">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spacing w:val="-2"/>
                      <w:sz w:val="21"/>
                      <w:szCs w:val="21"/>
                      <w:highlight w:val="none"/>
                    </w:rPr>
                  </w:pPr>
                  <w:r>
                    <w:rPr>
                      <w:rFonts w:hint="default" w:ascii="Times New Roman" w:hAnsi="Times New Roman" w:eastAsia="宋体" w:cs="Times New Roman"/>
                      <w:b/>
                      <w:bCs/>
                      <w:color w:val="auto"/>
                      <w:spacing w:val="-2"/>
                      <w:sz w:val="21"/>
                      <w:szCs w:val="21"/>
                      <w:highlight w:val="none"/>
                    </w:rPr>
                    <w:t>昼间</w:t>
                  </w:r>
                </w:p>
              </w:tc>
              <w:tc>
                <w:tcPr>
                  <w:tcW w:w="486" w:type="pct"/>
                  <w:tcBorders>
                    <w:tl2br w:val="nil"/>
                    <w:tr2bl w:val="nil"/>
                  </w:tcBorders>
                  <w:noWrap w:val="0"/>
                  <w:vAlign w:val="center"/>
                </w:tcPr>
                <w:p w14:paraId="4A457A51">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spacing w:val="-2"/>
                      <w:sz w:val="21"/>
                      <w:szCs w:val="21"/>
                      <w:highlight w:val="none"/>
                    </w:rPr>
                  </w:pPr>
                  <w:r>
                    <w:rPr>
                      <w:rFonts w:hint="default" w:ascii="Times New Roman" w:hAnsi="Times New Roman" w:eastAsia="宋体" w:cs="Times New Roman"/>
                      <w:b/>
                      <w:bCs/>
                      <w:color w:val="auto"/>
                      <w:spacing w:val="-2"/>
                      <w:sz w:val="21"/>
                      <w:szCs w:val="21"/>
                      <w:highlight w:val="none"/>
                    </w:rPr>
                    <w:t>夜间</w:t>
                  </w:r>
                </w:p>
              </w:tc>
              <w:tc>
                <w:tcPr>
                  <w:tcW w:w="625" w:type="pct"/>
                  <w:tcBorders>
                    <w:tl2br w:val="nil"/>
                    <w:tr2bl w:val="nil"/>
                  </w:tcBorders>
                  <w:noWrap w:val="0"/>
                  <w:vAlign w:val="center"/>
                </w:tcPr>
                <w:p w14:paraId="6A8B8CD4">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b/>
                      <w:bCs/>
                      <w:color w:val="auto"/>
                      <w:spacing w:val="-2"/>
                      <w:sz w:val="21"/>
                      <w:szCs w:val="21"/>
                      <w:highlight w:val="none"/>
                    </w:rPr>
                  </w:pPr>
                  <w:r>
                    <w:rPr>
                      <w:rFonts w:hint="default" w:ascii="Times New Roman" w:hAnsi="Times New Roman" w:eastAsia="宋体" w:cs="Times New Roman"/>
                      <w:b/>
                      <w:bCs/>
                      <w:color w:val="auto"/>
                      <w:spacing w:val="-2"/>
                      <w:sz w:val="21"/>
                      <w:szCs w:val="21"/>
                      <w:highlight w:val="none"/>
                    </w:rPr>
                    <w:t>昼间</w:t>
                  </w:r>
                </w:p>
              </w:tc>
              <w:tc>
                <w:tcPr>
                  <w:tcW w:w="645" w:type="pct"/>
                  <w:tcBorders>
                    <w:tl2br w:val="nil"/>
                    <w:tr2bl w:val="nil"/>
                  </w:tcBorders>
                  <w:noWrap w:val="0"/>
                  <w:vAlign w:val="center"/>
                </w:tcPr>
                <w:p w14:paraId="64018D6D">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b/>
                      <w:bCs/>
                      <w:color w:val="auto"/>
                      <w:spacing w:val="-2"/>
                      <w:sz w:val="21"/>
                      <w:szCs w:val="21"/>
                      <w:highlight w:val="none"/>
                    </w:rPr>
                  </w:pPr>
                  <w:r>
                    <w:rPr>
                      <w:rFonts w:hint="default" w:ascii="Times New Roman" w:hAnsi="Times New Roman" w:eastAsia="宋体" w:cs="Times New Roman"/>
                      <w:b/>
                      <w:bCs/>
                      <w:color w:val="auto"/>
                      <w:spacing w:val="-2"/>
                      <w:sz w:val="21"/>
                      <w:szCs w:val="21"/>
                      <w:highlight w:val="none"/>
                    </w:rPr>
                    <w:t>夜间</w:t>
                  </w:r>
                </w:p>
              </w:tc>
              <w:tc>
                <w:tcPr>
                  <w:tcW w:w="428" w:type="pct"/>
                  <w:tcBorders>
                    <w:tl2br w:val="nil"/>
                    <w:tr2bl w:val="nil"/>
                  </w:tcBorders>
                  <w:noWrap w:val="0"/>
                  <w:vAlign w:val="center"/>
                </w:tcPr>
                <w:p w14:paraId="273E32B8">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spacing w:val="-2"/>
                      <w:sz w:val="21"/>
                      <w:szCs w:val="21"/>
                      <w:highlight w:val="none"/>
                    </w:rPr>
                  </w:pPr>
                  <w:r>
                    <w:rPr>
                      <w:rFonts w:hint="default" w:ascii="Times New Roman" w:hAnsi="Times New Roman" w:eastAsia="宋体" w:cs="Times New Roman"/>
                      <w:b/>
                      <w:bCs/>
                      <w:color w:val="auto"/>
                      <w:spacing w:val="-2"/>
                      <w:sz w:val="21"/>
                      <w:szCs w:val="21"/>
                      <w:highlight w:val="none"/>
                    </w:rPr>
                    <w:t>昼间</w:t>
                  </w:r>
                </w:p>
              </w:tc>
              <w:tc>
                <w:tcPr>
                  <w:tcW w:w="389" w:type="pct"/>
                  <w:tcBorders>
                    <w:tl2br w:val="nil"/>
                    <w:tr2bl w:val="nil"/>
                  </w:tcBorders>
                  <w:noWrap w:val="0"/>
                  <w:vAlign w:val="center"/>
                </w:tcPr>
                <w:p w14:paraId="33029A93">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spacing w:val="-2"/>
                      <w:sz w:val="21"/>
                      <w:szCs w:val="21"/>
                      <w:highlight w:val="none"/>
                    </w:rPr>
                  </w:pPr>
                  <w:r>
                    <w:rPr>
                      <w:rFonts w:hint="default" w:ascii="Times New Roman" w:hAnsi="Times New Roman" w:eastAsia="宋体" w:cs="Times New Roman"/>
                      <w:b/>
                      <w:bCs/>
                      <w:color w:val="auto"/>
                      <w:spacing w:val="-2"/>
                      <w:sz w:val="21"/>
                      <w:szCs w:val="21"/>
                      <w:highlight w:val="none"/>
                    </w:rPr>
                    <w:t>夜间</w:t>
                  </w:r>
                </w:p>
              </w:tc>
              <w:tc>
                <w:tcPr>
                  <w:tcW w:w="571" w:type="pct"/>
                  <w:vMerge w:val="continue"/>
                  <w:tcBorders>
                    <w:tl2br w:val="nil"/>
                    <w:tr2bl w:val="nil"/>
                  </w:tcBorders>
                  <w:noWrap w:val="0"/>
                  <w:vAlign w:val="center"/>
                </w:tcPr>
                <w:p w14:paraId="60560A7E">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rPr>
                  </w:pPr>
                </w:p>
              </w:tc>
            </w:tr>
            <w:tr w14:paraId="3321068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273" w:type="pct"/>
                  <w:tcBorders>
                    <w:tl2br w:val="nil"/>
                    <w:tr2bl w:val="nil"/>
                  </w:tcBorders>
                  <w:noWrap w:val="0"/>
                  <w:vAlign w:val="center"/>
                </w:tcPr>
                <w:p w14:paraId="3253DEBE">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rPr>
                    <w:t>N</w:t>
                  </w:r>
                  <w:r>
                    <w:rPr>
                      <w:rFonts w:hint="default" w:ascii="Times New Roman" w:hAnsi="Times New Roman" w:eastAsia="宋体" w:cs="Times New Roman"/>
                      <w:color w:val="auto"/>
                      <w:spacing w:val="-2"/>
                      <w:sz w:val="21"/>
                      <w:szCs w:val="21"/>
                      <w:highlight w:val="none"/>
                      <w:lang w:val="en-US" w:eastAsia="zh-CN"/>
                    </w:rPr>
                    <w:t>7</w:t>
                  </w:r>
                </w:p>
              </w:tc>
              <w:tc>
                <w:tcPr>
                  <w:tcW w:w="1042" w:type="pct"/>
                  <w:tcBorders>
                    <w:tl2br w:val="nil"/>
                    <w:tr2bl w:val="nil"/>
                  </w:tcBorders>
                  <w:noWrap w:val="0"/>
                  <w:vAlign w:val="center"/>
                </w:tcPr>
                <w:p w14:paraId="708731AD">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N7升压站地址东侧厂界外1m</w:t>
                  </w:r>
                </w:p>
              </w:tc>
              <w:tc>
                <w:tcPr>
                  <w:tcW w:w="537" w:type="pct"/>
                  <w:tcBorders>
                    <w:tl2br w:val="nil"/>
                    <w:tr2bl w:val="nil"/>
                  </w:tcBorders>
                  <w:noWrap w:val="0"/>
                  <w:vAlign w:val="center"/>
                </w:tcPr>
                <w:p w14:paraId="0BEFC12A">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43</w:t>
                  </w:r>
                </w:p>
              </w:tc>
              <w:tc>
                <w:tcPr>
                  <w:tcW w:w="486" w:type="pct"/>
                  <w:tcBorders>
                    <w:tl2br w:val="nil"/>
                    <w:tr2bl w:val="nil"/>
                  </w:tcBorders>
                  <w:noWrap w:val="0"/>
                  <w:vAlign w:val="center"/>
                </w:tcPr>
                <w:p w14:paraId="080F655E">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eastAsia="zh-CN"/>
                    </w:rPr>
                  </w:pPr>
                  <w:r>
                    <w:rPr>
                      <w:rFonts w:hint="default" w:ascii="Times New Roman" w:hAnsi="Times New Roman" w:eastAsia="宋体" w:cs="Times New Roman"/>
                      <w:color w:val="auto"/>
                      <w:spacing w:val="-2"/>
                      <w:sz w:val="21"/>
                      <w:szCs w:val="21"/>
                      <w:highlight w:val="none"/>
                      <w:lang w:val="en-US" w:eastAsia="zh-CN"/>
                    </w:rPr>
                    <w:t>37</w:t>
                  </w:r>
                </w:p>
              </w:tc>
              <w:tc>
                <w:tcPr>
                  <w:tcW w:w="625" w:type="pct"/>
                  <w:tcBorders>
                    <w:tl2br w:val="nil"/>
                    <w:tr2bl w:val="nil"/>
                  </w:tcBorders>
                  <w:noWrap w:val="0"/>
                  <w:vAlign w:val="center"/>
                </w:tcPr>
                <w:p w14:paraId="0A5693F1">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41</w:t>
                  </w:r>
                </w:p>
              </w:tc>
              <w:tc>
                <w:tcPr>
                  <w:tcW w:w="645" w:type="pct"/>
                  <w:tcBorders>
                    <w:tl2br w:val="nil"/>
                    <w:tr2bl w:val="nil"/>
                  </w:tcBorders>
                  <w:noWrap w:val="0"/>
                  <w:vAlign w:val="center"/>
                </w:tcPr>
                <w:p w14:paraId="0158B5B6">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39</w:t>
                  </w:r>
                </w:p>
              </w:tc>
              <w:tc>
                <w:tcPr>
                  <w:tcW w:w="428" w:type="pct"/>
                  <w:tcBorders>
                    <w:tl2br w:val="nil"/>
                    <w:tr2bl w:val="nil"/>
                  </w:tcBorders>
                  <w:noWrap w:val="0"/>
                  <w:vAlign w:val="center"/>
                </w:tcPr>
                <w:p w14:paraId="4C1F0E76">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55</w:t>
                  </w:r>
                </w:p>
              </w:tc>
              <w:tc>
                <w:tcPr>
                  <w:tcW w:w="389" w:type="pct"/>
                  <w:tcBorders>
                    <w:tl2br w:val="nil"/>
                    <w:tr2bl w:val="nil"/>
                  </w:tcBorders>
                  <w:noWrap w:val="0"/>
                  <w:vAlign w:val="center"/>
                </w:tcPr>
                <w:p w14:paraId="70A2932D">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45</w:t>
                  </w:r>
                </w:p>
              </w:tc>
              <w:tc>
                <w:tcPr>
                  <w:tcW w:w="571" w:type="pct"/>
                  <w:tcBorders>
                    <w:tl2br w:val="nil"/>
                    <w:tr2bl w:val="nil"/>
                  </w:tcBorders>
                  <w:noWrap w:val="0"/>
                  <w:vAlign w:val="center"/>
                </w:tcPr>
                <w:p w14:paraId="08874FBD">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达标</w:t>
                  </w:r>
                </w:p>
              </w:tc>
            </w:tr>
            <w:tr w14:paraId="549DDB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273" w:type="pct"/>
                  <w:tcBorders>
                    <w:tl2br w:val="nil"/>
                    <w:tr2bl w:val="nil"/>
                  </w:tcBorders>
                  <w:noWrap w:val="0"/>
                  <w:vAlign w:val="center"/>
                </w:tcPr>
                <w:p w14:paraId="0374819A">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N8</w:t>
                  </w:r>
                </w:p>
              </w:tc>
              <w:tc>
                <w:tcPr>
                  <w:tcW w:w="1042" w:type="pct"/>
                  <w:tcBorders>
                    <w:tl2br w:val="nil"/>
                    <w:tr2bl w:val="nil"/>
                  </w:tcBorders>
                  <w:noWrap w:val="0"/>
                  <w:vAlign w:val="center"/>
                </w:tcPr>
                <w:p w14:paraId="58B8D90E">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N8升压站地址南侧厂界外1m</w:t>
                  </w:r>
                </w:p>
              </w:tc>
              <w:tc>
                <w:tcPr>
                  <w:tcW w:w="537" w:type="pct"/>
                  <w:tcBorders>
                    <w:tl2br w:val="nil"/>
                    <w:tr2bl w:val="nil"/>
                  </w:tcBorders>
                  <w:noWrap w:val="0"/>
                  <w:vAlign w:val="center"/>
                </w:tcPr>
                <w:p w14:paraId="474F0DB6">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43</w:t>
                  </w:r>
                </w:p>
              </w:tc>
              <w:tc>
                <w:tcPr>
                  <w:tcW w:w="486" w:type="pct"/>
                  <w:tcBorders>
                    <w:tl2br w:val="nil"/>
                    <w:tr2bl w:val="nil"/>
                  </w:tcBorders>
                  <w:noWrap w:val="0"/>
                  <w:vAlign w:val="center"/>
                </w:tcPr>
                <w:p w14:paraId="4A28F289">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38</w:t>
                  </w:r>
                </w:p>
              </w:tc>
              <w:tc>
                <w:tcPr>
                  <w:tcW w:w="625" w:type="pct"/>
                  <w:tcBorders>
                    <w:tl2br w:val="nil"/>
                    <w:tr2bl w:val="nil"/>
                  </w:tcBorders>
                  <w:noWrap w:val="0"/>
                  <w:vAlign w:val="center"/>
                </w:tcPr>
                <w:p w14:paraId="1A4DE22F">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43</w:t>
                  </w:r>
                </w:p>
              </w:tc>
              <w:tc>
                <w:tcPr>
                  <w:tcW w:w="645" w:type="pct"/>
                  <w:tcBorders>
                    <w:tl2br w:val="nil"/>
                    <w:tr2bl w:val="nil"/>
                  </w:tcBorders>
                  <w:noWrap w:val="0"/>
                  <w:vAlign w:val="center"/>
                </w:tcPr>
                <w:p w14:paraId="7D0B5A31">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40</w:t>
                  </w:r>
                </w:p>
              </w:tc>
              <w:tc>
                <w:tcPr>
                  <w:tcW w:w="428" w:type="pct"/>
                  <w:tcBorders>
                    <w:tl2br w:val="nil"/>
                    <w:tr2bl w:val="nil"/>
                  </w:tcBorders>
                  <w:noWrap w:val="0"/>
                  <w:vAlign w:val="center"/>
                </w:tcPr>
                <w:p w14:paraId="1F6CBF5B">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55</w:t>
                  </w:r>
                </w:p>
              </w:tc>
              <w:tc>
                <w:tcPr>
                  <w:tcW w:w="389" w:type="pct"/>
                  <w:tcBorders>
                    <w:tl2br w:val="nil"/>
                    <w:tr2bl w:val="nil"/>
                  </w:tcBorders>
                  <w:noWrap w:val="0"/>
                  <w:vAlign w:val="center"/>
                </w:tcPr>
                <w:p w14:paraId="33DE5511">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45</w:t>
                  </w:r>
                </w:p>
              </w:tc>
              <w:tc>
                <w:tcPr>
                  <w:tcW w:w="571" w:type="pct"/>
                  <w:tcBorders>
                    <w:tl2br w:val="nil"/>
                    <w:tr2bl w:val="nil"/>
                  </w:tcBorders>
                  <w:noWrap w:val="0"/>
                  <w:vAlign w:val="center"/>
                </w:tcPr>
                <w:p w14:paraId="1CB8B52E">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达标</w:t>
                  </w:r>
                </w:p>
              </w:tc>
            </w:tr>
            <w:tr w14:paraId="1CF94CB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273" w:type="pct"/>
                  <w:tcBorders>
                    <w:tl2br w:val="nil"/>
                    <w:tr2bl w:val="nil"/>
                  </w:tcBorders>
                  <w:noWrap w:val="0"/>
                  <w:vAlign w:val="center"/>
                </w:tcPr>
                <w:p w14:paraId="0DCF6292">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N9</w:t>
                  </w:r>
                </w:p>
              </w:tc>
              <w:tc>
                <w:tcPr>
                  <w:tcW w:w="1042" w:type="pct"/>
                  <w:tcBorders>
                    <w:tl2br w:val="nil"/>
                    <w:tr2bl w:val="nil"/>
                  </w:tcBorders>
                  <w:noWrap w:val="0"/>
                  <w:vAlign w:val="center"/>
                </w:tcPr>
                <w:p w14:paraId="20518A3F">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z w:val="21"/>
                      <w:szCs w:val="21"/>
                      <w:highlight w:val="none"/>
                    </w:rPr>
                    <w:t>N9升压站地址西侧厂界外1m</w:t>
                  </w:r>
                </w:p>
              </w:tc>
              <w:tc>
                <w:tcPr>
                  <w:tcW w:w="537" w:type="pct"/>
                  <w:tcBorders>
                    <w:tl2br w:val="nil"/>
                    <w:tr2bl w:val="nil"/>
                  </w:tcBorders>
                  <w:noWrap w:val="0"/>
                  <w:vAlign w:val="center"/>
                </w:tcPr>
                <w:p w14:paraId="0161F1DB">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42</w:t>
                  </w:r>
                </w:p>
              </w:tc>
              <w:tc>
                <w:tcPr>
                  <w:tcW w:w="486" w:type="pct"/>
                  <w:tcBorders>
                    <w:tl2br w:val="nil"/>
                    <w:tr2bl w:val="nil"/>
                  </w:tcBorders>
                  <w:noWrap w:val="0"/>
                  <w:vAlign w:val="center"/>
                </w:tcPr>
                <w:p w14:paraId="638BD334">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39</w:t>
                  </w:r>
                </w:p>
              </w:tc>
              <w:tc>
                <w:tcPr>
                  <w:tcW w:w="625" w:type="pct"/>
                  <w:tcBorders>
                    <w:tl2br w:val="nil"/>
                    <w:tr2bl w:val="nil"/>
                  </w:tcBorders>
                  <w:noWrap w:val="0"/>
                  <w:vAlign w:val="center"/>
                </w:tcPr>
                <w:p w14:paraId="3346A762">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42</w:t>
                  </w:r>
                </w:p>
              </w:tc>
              <w:tc>
                <w:tcPr>
                  <w:tcW w:w="645" w:type="pct"/>
                  <w:tcBorders>
                    <w:tl2br w:val="nil"/>
                    <w:tr2bl w:val="nil"/>
                  </w:tcBorders>
                  <w:noWrap w:val="0"/>
                  <w:vAlign w:val="center"/>
                </w:tcPr>
                <w:p w14:paraId="79F6883C">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38</w:t>
                  </w:r>
                </w:p>
              </w:tc>
              <w:tc>
                <w:tcPr>
                  <w:tcW w:w="428" w:type="pct"/>
                  <w:tcBorders>
                    <w:tl2br w:val="nil"/>
                    <w:tr2bl w:val="nil"/>
                  </w:tcBorders>
                  <w:noWrap w:val="0"/>
                  <w:vAlign w:val="center"/>
                </w:tcPr>
                <w:p w14:paraId="230988BD">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55</w:t>
                  </w:r>
                </w:p>
              </w:tc>
              <w:tc>
                <w:tcPr>
                  <w:tcW w:w="389" w:type="pct"/>
                  <w:tcBorders>
                    <w:tl2br w:val="nil"/>
                    <w:tr2bl w:val="nil"/>
                  </w:tcBorders>
                  <w:noWrap w:val="0"/>
                  <w:vAlign w:val="center"/>
                </w:tcPr>
                <w:p w14:paraId="4F2AADAB">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45</w:t>
                  </w:r>
                </w:p>
              </w:tc>
              <w:tc>
                <w:tcPr>
                  <w:tcW w:w="571" w:type="pct"/>
                  <w:tcBorders>
                    <w:tl2br w:val="nil"/>
                    <w:tr2bl w:val="nil"/>
                  </w:tcBorders>
                  <w:noWrap w:val="0"/>
                  <w:vAlign w:val="center"/>
                </w:tcPr>
                <w:p w14:paraId="39D0667F">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达标</w:t>
                  </w:r>
                </w:p>
              </w:tc>
            </w:tr>
            <w:tr w14:paraId="5E71D28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273" w:type="pct"/>
                  <w:tcBorders>
                    <w:tl2br w:val="nil"/>
                    <w:tr2bl w:val="nil"/>
                  </w:tcBorders>
                  <w:noWrap w:val="0"/>
                  <w:vAlign w:val="center"/>
                </w:tcPr>
                <w:p w14:paraId="73352871">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N10</w:t>
                  </w:r>
                </w:p>
              </w:tc>
              <w:tc>
                <w:tcPr>
                  <w:tcW w:w="1042" w:type="pct"/>
                  <w:tcBorders>
                    <w:tl2br w:val="nil"/>
                    <w:tr2bl w:val="nil"/>
                  </w:tcBorders>
                  <w:noWrap w:val="0"/>
                  <w:vAlign w:val="center"/>
                </w:tcPr>
                <w:p w14:paraId="011A69CB">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z w:val="21"/>
                      <w:szCs w:val="21"/>
                      <w:highlight w:val="none"/>
                    </w:rPr>
                    <w:t>N10升压站地址北侧厂界外1m</w:t>
                  </w:r>
                </w:p>
              </w:tc>
              <w:tc>
                <w:tcPr>
                  <w:tcW w:w="537" w:type="pct"/>
                  <w:tcBorders>
                    <w:tl2br w:val="nil"/>
                    <w:tr2bl w:val="nil"/>
                  </w:tcBorders>
                  <w:noWrap w:val="0"/>
                  <w:vAlign w:val="center"/>
                </w:tcPr>
                <w:p w14:paraId="476DAC88">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42</w:t>
                  </w:r>
                </w:p>
              </w:tc>
              <w:tc>
                <w:tcPr>
                  <w:tcW w:w="486" w:type="pct"/>
                  <w:tcBorders>
                    <w:tl2br w:val="nil"/>
                    <w:tr2bl w:val="nil"/>
                  </w:tcBorders>
                  <w:noWrap w:val="0"/>
                  <w:vAlign w:val="center"/>
                </w:tcPr>
                <w:p w14:paraId="35EA17D9">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38</w:t>
                  </w:r>
                </w:p>
              </w:tc>
              <w:tc>
                <w:tcPr>
                  <w:tcW w:w="625" w:type="pct"/>
                  <w:tcBorders>
                    <w:tl2br w:val="nil"/>
                    <w:tr2bl w:val="nil"/>
                  </w:tcBorders>
                  <w:noWrap w:val="0"/>
                  <w:vAlign w:val="center"/>
                </w:tcPr>
                <w:p w14:paraId="2582F434">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43</w:t>
                  </w:r>
                </w:p>
              </w:tc>
              <w:tc>
                <w:tcPr>
                  <w:tcW w:w="645" w:type="pct"/>
                  <w:tcBorders>
                    <w:tl2br w:val="nil"/>
                    <w:tr2bl w:val="nil"/>
                  </w:tcBorders>
                  <w:noWrap w:val="0"/>
                  <w:vAlign w:val="center"/>
                </w:tcPr>
                <w:p w14:paraId="3867C41F">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37</w:t>
                  </w:r>
                </w:p>
              </w:tc>
              <w:tc>
                <w:tcPr>
                  <w:tcW w:w="428" w:type="pct"/>
                  <w:tcBorders>
                    <w:tl2br w:val="nil"/>
                    <w:tr2bl w:val="nil"/>
                  </w:tcBorders>
                  <w:noWrap w:val="0"/>
                  <w:vAlign w:val="center"/>
                </w:tcPr>
                <w:p w14:paraId="7BCAFAE2">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55</w:t>
                  </w:r>
                </w:p>
              </w:tc>
              <w:tc>
                <w:tcPr>
                  <w:tcW w:w="389" w:type="pct"/>
                  <w:tcBorders>
                    <w:tl2br w:val="nil"/>
                    <w:tr2bl w:val="nil"/>
                  </w:tcBorders>
                  <w:noWrap w:val="0"/>
                  <w:vAlign w:val="center"/>
                </w:tcPr>
                <w:p w14:paraId="292B9947">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45</w:t>
                  </w:r>
                </w:p>
              </w:tc>
              <w:tc>
                <w:tcPr>
                  <w:tcW w:w="571" w:type="pct"/>
                  <w:tcBorders>
                    <w:tl2br w:val="nil"/>
                    <w:tr2bl w:val="nil"/>
                  </w:tcBorders>
                  <w:noWrap w:val="0"/>
                  <w:vAlign w:val="center"/>
                </w:tcPr>
                <w:p w14:paraId="2957FE9D">
                  <w:pPr>
                    <w:pStyle w:val="126"/>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达标</w:t>
                  </w:r>
                </w:p>
              </w:tc>
            </w:tr>
          </w:tbl>
          <w:p w14:paraId="22C6B925">
            <w:pPr>
              <w:adjustRightInd w:val="0"/>
              <w:snapToGrid w:val="0"/>
              <w:spacing w:line="440" w:lineRule="exact"/>
              <w:ind w:firstLine="480" w:firstLineChars="200"/>
              <w:rPr>
                <w:rFonts w:hint="default" w:ascii="Times New Roman" w:hAnsi="Times New Roman" w:cs="Times New Roman"/>
                <w:color w:val="auto"/>
              </w:rPr>
            </w:pPr>
            <w:r>
              <w:rPr>
                <w:rFonts w:hint="default" w:ascii="Times New Roman" w:hAnsi="Times New Roman" w:eastAsia="宋体" w:cs="Times New Roman"/>
                <w:color w:val="auto"/>
                <w:kern w:val="0"/>
                <w:sz w:val="24"/>
                <w:szCs w:val="24"/>
                <w:highlight w:val="none"/>
              </w:rPr>
              <w:t>根据监测结果，拟建</w:t>
            </w:r>
            <w:r>
              <w:rPr>
                <w:rFonts w:hint="eastAsia" w:ascii="Times New Roman" w:hAnsi="Times New Roman" w:cs="Times New Roman"/>
                <w:color w:val="auto"/>
                <w:kern w:val="0"/>
                <w:sz w:val="24"/>
                <w:szCs w:val="24"/>
                <w:highlight w:val="none"/>
                <w:lang w:val="en-US" w:eastAsia="zh-CN"/>
              </w:rPr>
              <w:t>110kV大草房升压站</w:t>
            </w:r>
            <w:r>
              <w:rPr>
                <w:rFonts w:hint="eastAsia" w:ascii="Times New Roman" w:hAnsi="Times New Roman" w:eastAsia="宋体" w:cs="Times New Roman"/>
                <w:color w:val="auto"/>
                <w:kern w:val="0"/>
                <w:sz w:val="24"/>
                <w:szCs w:val="24"/>
                <w:highlight w:val="none"/>
                <w:lang w:val="en-US" w:eastAsia="zh-CN"/>
              </w:rPr>
              <w:t>厂界</w:t>
            </w:r>
            <w:r>
              <w:rPr>
                <w:rFonts w:hint="default" w:ascii="Times New Roman" w:hAnsi="Times New Roman" w:eastAsia="宋体" w:cs="Times New Roman"/>
                <w:color w:val="auto"/>
                <w:kern w:val="0"/>
                <w:sz w:val="24"/>
                <w:szCs w:val="24"/>
                <w:highlight w:val="none"/>
              </w:rPr>
              <w:t>昼间噪声监测值为</w:t>
            </w:r>
            <w:r>
              <w:rPr>
                <w:rFonts w:hint="eastAsia" w:ascii="Times New Roman" w:hAnsi="Times New Roman" w:eastAsia="宋体" w:cs="Times New Roman"/>
                <w:color w:val="auto"/>
                <w:kern w:val="0"/>
                <w:sz w:val="24"/>
                <w:szCs w:val="24"/>
                <w:highlight w:val="none"/>
                <w:lang w:val="en-US" w:eastAsia="zh-CN"/>
              </w:rPr>
              <w:t>41-</w:t>
            </w:r>
            <w:r>
              <w:rPr>
                <w:rFonts w:hint="default" w:ascii="Times New Roman" w:hAnsi="Times New Roman" w:eastAsia="宋体" w:cs="Times New Roman"/>
                <w:color w:val="auto"/>
                <w:kern w:val="0"/>
                <w:sz w:val="24"/>
                <w:szCs w:val="24"/>
                <w:highlight w:val="none"/>
              </w:rPr>
              <w:t>4</w:t>
            </w:r>
            <w:r>
              <w:rPr>
                <w:rFonts w:hint="eastAsia" w:ascii="Times New Roman" w:hAnsi="Times New Roman"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rPr>
              <w:t>dB（A），夜间噪声监测值为3</w:t>
            </w:r>
            <w:r>
              <w:rPr>
                <w:rFonts w:hint="eastAsia" w:ascii="Times New Roman" w:hAnsi="Times New Roman" w:eastAsia="宋体" w:cs="Times New Roman"/>
                <w:color w:val="auto"/>
                <w:kern w:val="0"/>
                <w:sz w:val="24"/>
                <w:szCs w:val="24"/>
                <w:highlight w:val="none"/>
                <w:lang w:val="en-US" w:eastAsia="zh-CN"/>
              </w:rPr>
              <w:t>7-40</w:t>
            </w:r>
            <w:r>
              <w:rPr>
                <w:rFonts w:hint="default" w:ascii="Times New Roman" w:hAnsi="Times New Roman" w:eastAsia="宋体" w:cs="Times New Roman"/>
                <w:color w:val="auto"/>
                <w:kern w:val="0"/>
                <w:sz w:val="24"/>
                <w:szCs w:val="24"/>
                <w:highlight w:val="none"/>
              </w:rPr>
              <w:t>dB（A），满足《声环境质量标准》（GB3096-2008）中</w:t>
            </w:r>
            <w:r>
              <w:rPr>
                <w:rFonts w:hint="eastAsia" w:ascii="Times New Roman" w:hAnsi="Times New Roman" w:cs="Times New Roman"/>
                <w:color w:val="auto"/>
                <w:kern w:val="0"/>
                <w:sz w:val="24"/>
                <w:szCs w:val="24"/>
                <w:highlight w:val="none"/>
                <w:lang w:val="en-US" w:eastAsia="zh-CN"/>
              </w:rPr>
              <w:t>1</w:t>
            </w:r>
            <w:r>
              <w:rPr>
                <w:rFonts w:hint="default" w:ascii="Times New Roman" w:hAnsi="Times New Roman" w:eastAsia="宋体" w:cs="Times New Roman"/>
                <w:color w:val="auto"/>
                <w:kern w:val="0"/>
                <w:sz w:val="24"/>
                <w:szCs w:val="24"/>
                <w:highlight w:val="none"/>
              </w:rPr>
              <w:t>类标准限值要求。</w:t>
            </w:r>
            <w:r>
              <w:rPr>
                <w:rFonts w:hint="default" w:ascii="Times New Roman" w:hAnsi="Times New Roman" w:cs="Times New Roman"/>
                <w:color w:val="auto"/>
                <w:sz w:val="24"/>
                <w:highlight w:val="none"/>
              </w:rPr>
              <w:t>从整个线路区域来看，声环境现状较好。</w:t>
            </w:r>
          </w:p>
        </w:tc>
      </w:tr>
      <w:tr w14:paraId="6FF21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2" w:type="dxa"/>
            <w:noWrap w:val="0"/>
            <w:vAlign w:val="center"/>
          </w:tcPr>
          <w:p w14:paraId="47481DDD">
            <w:pPr>
              <w:adjustRightInd w:val="0"/>
              <w:snapToGrid w:val="0"/>
              <w:jc w:val="center"/>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与项目有关的原有环境污染和生态破坏问题</w:t>
            </w:r>
          </w:p>
        </w:tc>
        <w:tc>
          <w:tcPr>
            <w:tcW w:w="8500" w:type="dxa"/>
            <w:noWrap w:val="0"/>
            <w:vAlign w:val="top"/>
          </w:tcPr>
          <w:p w14:paraId="6045FE87">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lang w:val="en-US" w:eastAsia="zh-CN"/>
              </w:rPr>
              <w:t>1</w:t>
            </w:r>
            <w:r>
              <w:rPr>
                <w:rFonts w:hint="default" w:ascii="Times New Roman" w:hAnsi="Times New Roman" w:eastAsia="宋体" w:cs="Times New Roman"/>
                <w:b/>
                <w:bCs/>
                <w:color w:val="auto"/>
                <w:sz w:val="24"/>
                <w:szCs w:val="24"/>
                <w:lang w:eastAsia="zh-CN"/>
              </w:rPr>
              <w:t>）与本项目有关的原有</w:t>
            </w:r>
            <w:r>
              <w:rPr>
                <w:rFonts w:hint="default" w:ascii="Times New Roman" w:hAnsi="Times New Roman" w:eastAsia="宋体" w:cs="Times New Roman"/>
                <w:b/>
                <w:bCs/>
                <w:color w:val="auto"/>
                <w:sz w:val="24"/>
                <w:szCs w:val="24"/>
                <w:lang w:val="en-US" w:eastAsia="zh-CN"/>
              </w:rPr>
              <w:t>环境问题</w:t>
            </w:r>
          </w:p>
          <w:p w14:paraId="7ABBD82C">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rPr>
              <w:t>①</w:t>
            </w:r>
            <w:r>
              <w:rPr>
                <w:rFonts w:hint="eastAsia" w:ascii="Times New Roman" w:hAnsi="Times New Roman" w:cs="Times New Roman"/>
                <w:b/>
                <w:bCs/>
                <w:color w:val="auto"/>
                <w:sz w:val="24"/>
                <w:szCs w:val="24"/>
                <w:lang w:val="en-US" w:eastAsia="zh-CN"/>
              </w:rPr>
              <w:t>110kV大草房升压站</w:t>
            </w:r>
          </w:p>
          <w:p w14:paraId="153E3728">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110kV大草房光伏升压站位于会泽县宝云街道扯戛社区居委会白彝村西南山脊上（养殖场东侧），由会泽华电道成清洁能源开发有限公司（现更名：</w:t>
            </w:r>
            <w:r>
              <w:rPr>
                <w:rFonts w:hint="eastAsia" w:ascii="Times New Roman" w:hAnsi="Times New Roman" w:cs="Times New Roman"/>
                <w:b w:val="0"/>
                <w:bCs w:val="0"/>
                <w:color w:val="auto"/>
                <w:sz w:val="24"/>
                <w:szCs w:val="24"/>
                <w:lang w:val="en-US" w:eastAsia="zh-CN"/>
              </w:rPr>
              <w:t>云南华电道成清洁能源有限公司</w:t>
            </w:r>
            <w:r>
              <w:rPr>
                <w:rFonts w:hint="eastAsia" w:ascii="Times New Roman" w:hAnsi="Times New Roman" w:cs="Times New Roman"/>
                <w:b w:val="0"/>
                <w:bCs w:val="0"/>
                <w:color w:val="auto"/>
                <w:sz w:val="24"/>
                <w:szCs w:val="24"/>
                <w:highlight w:val="none"/>
                <w:lang w:val="en-US" w:eastAsia="zh-CN"/>
              </w:rPr>
              <w:t>）负责投资建设及运行管理，预计2026年12月建成投产运行。火红乡湾子村委会大草房光伏项目（复合型光伏发电项目）（重新报批）</w:t>
            </w:r>
            <w:r>
              <w:rPr>
                <w:rFonts w:hint="default" w:ascii="Times New Roman" w:hAnsi="Times New Roman" w:cs="Times New Roman"/>
                <w:b w:val="0"/>
                <w:bCs w:val="0"/>
                <w:color w:val="auto"/>
                <w:sz w:val="24"/>
                <w:szCs w:val="24"/>
                <w:highlight w:val="none"/>
                <w:lang w:val="en-US" w:eastAsia="zh-CN"/>
              </w:rPr>
              <w:t>由云南恒诚科技有限公司于202</w:t>
            </w:r>
            <w:r>
              <w:rPr>
                <w:rFonts w:hint="eastAsia" w:ascii="Times New Roman" w:hAnsi="Times New Roman" w:cs="Times New Roman"/>
                <w:b w:val="0"/>
                <w:bCs w:val="0"/>
                <w:color w:val="auto"/>
                <w:sz w:val="24"/>
                <w:szCs w:val="24"/>
                <w:highlight w:val="none"/>
                <w:lang w:val="en-US" w:eastAsia="zh-CN"/>
              </w:rPr>
              <w:t>6</w:t>
            </w:r>
            <w:r>
              <w:rPr>
                <w:rFonts w:hint="default" w:ascii="Times New Roman" w:hAnsi="Times New Roman" w:cs="Times New Roman"/>
                <w:b w:val="0"/>
                <w:bCs w:val="0"/>
                <w:color w:val="auto"/>
                <w:sz w:val="24"/>
                <w:szCs w:val="24"/>
                <w:highlight w:val="none"/>
                <w:lang w:val="en-US" w:eastAsia="zh-CN"/>
              </w:rPr>
              <w:t>年</w:t>
            </w:r>
            <w:r>
              <w:rPr>
                <w:rFonts w:hint="eastAsia" w:ascii="Times New Roman" w:hAnsi="Times New Roman" w:cs="Times New Roman"/>
                <w:b w:val="0"/>
                <w:bCs w:val="0"/>
                <w:color w:val="auto"/>
                <w:sz w:val="24"/>
                <w:szCs w:val="24"/>
                <w:highlight w:val="none"/>
                <w:lang w:val="en-US" w:eastAsia="zh-CN"/>
              </w:rPr>
              <w:t>6</w:t>
            </w:r>
            <w:r>
              <w:rPr>
                <w:rFonts w:hint="default" w:ascii="Times New Roman" w:hAnsi="Times New Roman" w:cs="Times New Roman"/>
                <w:b w:val="0"/>
                <w:bCs w:val="0"/>
                <w:color w:val="auto"/>
                <w:sz w:val="24"/>
                <w:szCs w:val="24"/>
                <w:highlight w:val="none"/>
                <w:lang w:val="en-US" w:eastAsia="zh-CN"/>
              </w:rPr>
              <w:t>月编制完成《</w:t>
            </w:r>
            <w:r>
              <w:rPr>
                <w:rFonts w:hint="eastAsia" w:ascii="Times New Roman" w:hAnsi="Times New Roman" w:cs="Times New Roman"/>
                <w:b w:val="0"/>
                <w:bCs w:val="0"/>
                <w:color w:val="auto"/>
                <w:sz w:val="24"/>
                <w:szCs w:val="24"/>
                <w:highlight w:val="none"/>
                <w:lang w:val="en-US" w:eastAsia="zh-CN"/>
              </w:rPr>
              <w:t>火红乡湾子村委会大草房光伏项目（复合型光伏发电项目）（重新报批）</w:t>
            </w:r>
            <w:r>
              <w:rPr>
                <w:rFonts w:hint="default" w:ascii="Times New Roman" w:hAnsi="Times New Roman" w:cs="Times New Roman"/>
                <w:b w:val="0"/>
                <w:bCs w:val="0"/>
                <w:color w:val="auto"/>
                <w:sz w:val="24"/>
                <w:szCs w:val="24"/>
                <w:highlight w:val="none"/>
                <w:lang w:val="en-US" w:eastAsia="zh-CN"/>
              </w:rPr>
              <w:t>环境影响报告表》（报批稿），于202</w:t>
            </w:r>
            <w:r>
              <w:rPr>
                <w:rFonts w:hint="eastAsia" w:ascii="Times New Roman" w:hAnsi="Times New Roman" w:cs="Times New Roman"/>
                <w:b w:val="0"/>
                <w:bCs w:val="0"/>
                <w:color w:val="auto"/>
                <w:sz w:val="24"/>
                <w:szCs w:val="24"/>
                <w:highlight w:val="none"/>
                <w:lang w:val="en-US" w:eastAsia="zh-CN"/>
              </w:rPr>
              <w:t>6</w:t>
            </w:r>
            <w:r>
              <w:rPr>
                <w:rFonts w:hint="default" w:ascii="Times New Roman" w:hAnsi="Times New Roman" w:cs="Times New Roman"/>
                <w:b w:val="0"/>
                <w:bCs w:val="0"/>
                <w:color w:val="auto"/>
                <w:sz w:val="24"/>
                <w:szCs w:val="24"/>
                <w:highlight w:val="none"/>
                <w:lang w:val="en-US" w:eastAsia="zh-CN"/>
              </w:rPr>
              <w:t>年</w:t>
            </w:r>
            <w:r>
              <w:rPr>
                <w:rFonts w:hint="eastAsia" w:ascii="Times New Roman" w:hAnsi="Times New Roman" w:cs="Times New Roman"/>
                <w:b w:val="0"/>
                <w:bCs w:val="0"/>
                <w:color w:val="auto"/>
                <w:sz w:val="24"/>
                <w:szCs w:val="24"/>
                <w:highlight w:val="none"/>
                <w:lang w:val="en-US" w:eastAsia="zh-CN"/>
              </w:rPr>
              <w:t>6</w:t>
            </w:r>
            <w:r>
              <w:rPr>
                <w:rFonts w:hint="default" w:ascii="Times New Roman" w:hAnsi="Times New Roman" w:cs="Times New Roman"/>
                <w:b w:val="0"/>
                <w:bCs w:val="0"/>
                <w:color w:val="auto"/>
                <w:sz w:val="24"/>
                <w:szCs w:val="24"/>
                <w:highlight w:val="none"/>
                <w:lang w:val="en-US" w:eastAsia="zh-CN"/>
              </w:rPr>
              <w:t>月</w:t>
            </w:r>
            <w:r>
              <w:rPr>
                <w:rFonts w:hint="eastAsia" w:ascii="Times New Roman" w:hAnsi="Times New Roman" w:cs="Times New Roman"/>
                <w:b w:val="0"/>
                <w:bCs w:val="0"/>
                <w:color w:val="auto"/>
                <w:sz w:val="24"/>
                <w:szCs w:val="24"/>
                <w:highlight w:val="none"/>
                <w:lang w:val="en-US" w:eastAsia="zh-CN"/>
              </w:rPr>
              <w:t>2</w:t>
            </w:r>
            <w:r>
              <w:rPr>
                <w:rFonts w:hint="default" w:ascii="Times New Roman" w:hAnsi="Times New Roman" w:cs="Times New Roman"/>
                <w:b w:val="0"/>
                <w:bCs w:val="0"/>
                <w:color w:val="auto"/>
                <w:sz w:val="24"/>
                <w:szCs w:val="24"/>
                <w:highlight w:val="none"/>
                <w:lang w:val="en-US" w:eastAsia="zh-CN"/>
              </w:rPr>
              <w:t>日取得</w:t>
            </w:r>
            <w:r>
              <w:rPr>
                <w:rFonts w:hint="eastAsia" w:ascii="Times New Roman" w:hAnsi="Times New Roman" w:cs="Times New Roman"/>
                <w:b w:val="0"/>
                <w:bCs w:val="0"/>
                <w:color w:val="auto"/>
                <w:sz w:val="24"/>
                <w:szCs w:val="24"/>
                <w:highlight w:val="none"/>
                <w:lang w:val="en-US" w:eastAsia="zh-CN"/>
              </w:rPr>
              <w:t>曲靖市生态环境局关于火红乡湾子村委会大草房光伏项目（复合型光伏发电项目）（重新报批）环境影响报告表的批复（曲环审〔2026〕20号）</w:t>
            </w:r>
            <w:r>
              <w:rPr>
                <w:rFonts w:hint="default" w:ascii="Times New Roman" w:hAnsi="Times New Roman" w:cs="Times New Roman"/>
                <w:b w:val="0"/>
                <w:bCs w:val="0"/>
                <w:color w:val="auto"/>
                <w:sz w:val="24"/>
                <w:szCs w:val="24"/>
                <w:highlight w:val="none"/>
                <w:lang w:val="en-US" w:eastAsia="zh-CN"/>
              </w:rPr>
              <w:t>，目前，</w:t>
            </w:r>
            <w:r>
              <w:rPr>
                <w:rFonts w:hint="default" w:ascii="Times New Roman" w:hAnsi="Times New Roman" w:eastAsia="宋体" w:cs="Times New Roman"/>
                <w:b w:val="0"/>
                <w:bCs w:val="0"/>
                <w:color w:val="auto"/>
                <w:sz w:val="24"/>
                <w:szCs w:val="24"/>
                <w:highlight w:val="none"/>
                <w:lang w:val="en-US" w:eastAsia="zh-CN"/>
              </w:rPr>
              <w:t>升压站</w:t>
            </w:r>
            <w:r>
              <w:rPr>
                <w:rFonts w:hint="default" w:ascii="Times New Roman" w:hAnsi="Times New Roman" w:cs="Times New Roman"/>
                <w:b w:val="0"/>
                <w:bCs w:val="0"/>
                <w:color w:val="auto"/>
                <w:sz w:val="24"/>
                <w:szCs w:val="24"/>
                <w:highlight w:val="none"/>
                <w:lang w:val="en-US" w:eastAsia="zh-CN"/>
              </w:rPr>
              <w:t>正在建设中，</w:t>
            </w:r>
            <w:r>
              <w:rPr>
                <w:rFonts w:hint="eastAsia" w:ascii="Times New Roman" w:hAnsi="Times New Roman" w:cs="Times New Roman"/>
                <w:b w:val="0"/>
                <w:bCs w:val="0"/>
                <w:color w:val="auto"/>
                <w:sz w:val="24"/>
                <w:szCs w:val="24"/>
                <w:highlight w:val="none"/>
                <w:lang w:val="en-US" w:eastAsia="zh-CN"/>
              </w:rPr>
              <w:t>尚</w:t>
            </w:r>
            <w:r>
              <w:rPr>
                <w:rFonts w:hint="default" w:ascii="Times New Roman" w:hAnsi="Times New Roman" w:cs="Times New Roman"/>
                <w:b w:val="0"/>
                <w:bCs w:val="0"/>
                <w:color w:val="auto"/>
                <w:sz w:val="24"/>
                <w:szCs w:val="24"/>
                <w:highlight w:val="none"/>
                <w:lang w:val="en-US" w:eastAsia="zh-CN"/>
              </w:rPr>
              <w:t>未完工，未开展竣工环保验收工作。</w:t>
            </w:r>
          </w:p>
          <w:p w14:paraId="01E60102">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目前，</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lang w:val="en-US" w:eastAsia="zh-CN"/>
              </w:rPr>
              <w:t>0kV</w:t>
            </w:r>
            <w:r>
              <w:rPr>
                <w:rFonts w:hint="eastAsia" w:ascii="Times New Roman" w:hAnsi="Times New Roman" w:eastAsia="宋体" w:cs="Times New Roman"/>
                <w:color w:val="auto"/>
                <w:sz w:val="24"/>
                <w:szCs w:val="24"/>
                <w:lang w:val="en-US" w:eastAsia="zh-CN"/>
              </w:rPr>
              <w:t>大草房升压站</w:t>
            </w:r>
            <w:r>
              <w:rPr>
                <w:rFonts w:hint="default" w:ascii="Times New Roman" w:hAnsi="Times New Roman" w:eastAsia="宋体" w:cs="Times New Roman"/>
                <w:color w:val="auto"/>
                <w:sz w:val="24"/>
                <w:szCs w:val="24"/>
                <w:lang w:val="en-US" w:eastAsia="zh-CN"/>
              </w:rPr>
              <w:t>正在建设中，均按照环评及批复要求落实环保措施，未发生环境污染事故和环保纠纷及投诉等事件，不存在与项目有关的原有环境污染和生态破坏问题</w:t>
            </w:r>
            <w:r>
              <w:rPr>
                <w:rFonts w:hint="eastAsia" w:ascii="Times New Roman" w:hAnsi="Times New Roman" w:cs="Times New Roman"/>
                <w:color w:val="auto"/>
                <w:sz w:val="24"/>
                <w:szCs w:val="24"/>
                <w:lang w:val="en-US" w:eastAsia="zh-CN"/>
              </w:rPr>
              <w:t>。</w:t>
            </w:r>
          </w:p>
          <w:p w14:paraId="79194316">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②220kV</w:t>
            </w:r>
            <w:r>
              <w:rPr>
                <w:rFonts w:hint="eastAsia" w:ascii="Times New Roman" w:hAnsi="Times New Roman" w:eastAsia="宋体" w:cs="Times New Roman"/>
                <w:b/>
                <w:bCs/>
                <w:color w:val="auto"/>
                <w:sz w:val="24"/>
                <w:szCs w:val="24"/>
                <w:lang w:val="en-US" w:eastAsia="zh-CN"/>
              </w:rPr>
              <w:t>六合一</w:t>
            </w:r>
            <w:r>
              <w:rPr>
                <w:rFonts w:hint="default" w:ascii="Times New Roman" w:hAnsi="Times New Roman" w:eastAsia="宋体" w:cs="Times New Roman"/>
                <w:b/>
                <w:bCs/>
                <w:color w:val="auto"/>
                <w:sz w:val="24"/>
                <w:szCs w:val="24"/>
                <w:lang w:val="en-US" w:eastAsia="zh-CN"/>
              </w:rPr>
              <w:t>升压站</w:t>
            </w:r>
          </w:p>
          <w:p w14:paraId="4FF680C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cs="Times New Roman"/>
                <w:b w:val="0"/>
                <w:bCs w:val="0"/>
                <w:color w:val="auto"/>
                <w:sz w:val="24"/>
                <w:szCs w:val="24"/>
                <w:lang w:val="en-US" w:eastAsia="zh-CN"/>
              </w:rPr>
            </w:pPr>
            <w:r>
              <w:rPr>
                <w:rFonts w:hint="default" w:ascii="Times New Roman" w:hAnsi="Times New Roman" w:eastAsia="宋体" w:cs="Times New Roman"/>
                <w:color w:val="auto"/>
                <w:sz w:val="24"/>
                <w:szCs w:val="24"/>
                <w:highlight w:val="none"/>
                <w:lang w:val="en-US" w:eastAsia="zh-CN"/>
              </w:rPr>
              <w:t>根据调查，</w:t>
            </w:r>
            <w:r>
              <w:rPr>
                <w:rFonts w:hint="default" w:ascii="Times New Roman" w:hAnsi="Times New Roman" w:cs="Times New Roman"/>
                <w:b w:val="0"/>
                <w:bCs w:val="0"/>
                <w:color w:val="auto"/>
                <w:sz w:val="24"/>
                <w:szCs w:val="24"/>
                <w:lang w:val="en-US" w:eastAsia="zh-CN"/>
              </w:rPr>
              <w:t>220kV六合一升压站位于会泽县乐业镇六合村西面山包上，由云会泽华电道成清洁能源开发有限公司</w:t>
            </w:r>
            <w:r>
              <w:rPr>
                <w:rFonts w:hint="eastAsia" w:ascii="Times New Roman" w:hAnsi="Times New Roman" w:cs="Times New Roman"/>
                <w:b w:val="0"/>
                <w:bCs w:val="0"/>
                <w:color w:val="auto"/>
                <w:sz w:val="24"/>
                <w:szCs w:val="24"/>
                <w:highlight w:val="none"/>
                <w:lang w:val="en-US" w:eastAsia="zh-CN"/>
              </w:rPr>
              <w:t>（现更名：</w:t>
            </w:r>
            <w:r>
              <w:rPr>
                <w:rFonts w:hint="eastAsia" w:ascii="Times New Roman" w:hAnsi="Times New Roman" w:cs="Times New Roman"/>
                <w:b w:val="0"/>
                <w:bCs w:val="0"/>
                <w:color w:val="auto"/>
                <w:sz w:val="24"/>
                <w:szCs w:val="24"/>
                <w:lang w:val="en-US" w:eastAsia="zh-CN"/>
              </w:rPr>
              <w:t>云南华电道成清洁能源有限公司</w:t>
            </w:r>
            <w:r>
              <w:rPr>
                <w:rFonts w:hint="eastAsia" w:ascii="Times New Roman" w:hAnsi="Times New Roman" w:cs="Times New Roman"/>
                <w:b w:val="0"/>
                <w:bCs w:val="0"/>
                <w:color w:val="auto"/>
                <w:sz w:val="24"/>
                <w:szCs w:val="24"/>
                <w:highlight w:val="none"/>
                <w:lang w:val="en-US" w:eastAsia="zh-CN"/>
              </w:rPr>
              <w:t>）</w:t>
            </w:r>
            <w:r>
              <w:rPr>
                <w:rFonts w:hint="default" w:ascii="Times New Roman" w:hAnsi="Times New Roman" w:cs="Times New Roman"/>
                <w:b w:val="0"/>
                <w:bCs w:val="0"/>
                <w:color w:val="auto"/>
                <w:sz w:val="24"/>
                <w:szCs w:val="24"/>
                <w:lang w:val="en-US" w:eastAsia="zh-CN"/>
              </w:rPr>
              <w:t>负责投资建设及运行管理，预计2026年12月投产</w:t>
            </w:r>
            <w:r>
              <w:rPr>
                <w:rFonts w:hint="eastAsia" w:ascii="Times New Roman" w:hAnsi="Times New Roman" w:cs="Times New Roman"/>
                <w:b w:val="0"/>
                <w:bCs w:val="0"/>
                <w:color w:val="auto"/>
                <w:sz w:val="24"/>
                <w:szCs w:val="24"/>
                <w:lang w:val="en-US" w:eastAsia="zh-CN"/>
              </w:rPr>
              <w:t>。</w:t>
            </w:r>
            <w:r>
              <w:rPr>
                <w:rFonts w:hint="default" w:ascii="Times New Roman" w:hAnsi="Times New Roman" w:cs="Times New Roman"/>
                <w:b w:val="0"/>
                <w:bCs w:val="0"/>
                <w:color w:val="auto"/>
                <w:sz w:val="24"/>
                <w:szCs w:val="24"/>
                <w:lang w:val="en-US" w:eastAsia="zh-CN"/>
              </w:rPr>
              <w:t>于2022年8月25日取得曲靖市生态环境局关于乐业镇六合村一期光伏项目（复合型光伏发电项目）环境影响报告表的批复（曲环审〔2022〕44号）。目前，220kV六合一升压站正在建设中，目前尚未完工，未开展竣工环保验收工作。</w:t>
            </w:r>
          </w:p>
          <w:p w14:paraId="2019A6F5">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目前，220kV</w:t>
            </w:r>
            <w:r>
              <w:rPr>
                <w:rFonts w:hint="eastAsia" w:ascii="Times New Roman" w:hAnsi="Times New Roman" w:eastAsia="宋体" w:cs="Times New Roman"/>
                <w:color w:val="auto"/>
                <w:sz w:val="24"/>
                <w:szCs w:val="24"/>
                <w:lang w:val="en-US" w:eastAsia="zh-CN"/>
              </w:rPr>
              <w:t>六合一</w:t>
            </w:r>
            <w:r>
              <w:rPr>
                <w:rFonts w:hint="default" w:ascii="Times New Roman" w:hAnsi="Times New Roman" w:eastAsia="宋体" w:cs="Times New Roman"/>
                <w:color w:val="auto"/>
                <w:sz w:val="24"/>
                <w:szCs w:val="24"/>
                <w:lang w:val="en-US" w:eastAsia="zh-CN"/>
              </w:rPr>
              <w:t>光伏升压站正在建设中，均按照环评及批复要求落实环保措施，未发生环境污染事故和环保纠纷及投诉等事件，不存在与项目有关的原有环境污染和生态破坏问题</w:t>
            </w:r>
            <w:r>
              <w:rPr>
                <w:rFonts w:hint="eastAsia" w:ascii="Times New Roman" w:hAnsi="Times New Roman" w:cs="Times New Roman"/>
                <w:color w:val="auto"/>
                <w:sz w:val="24"/>
                <w:szCs w:val="24"/>
                <w:lang w:val="en-US" w:eastAsia="zh-CN"/>
              </w:rPr>
              <w:t>。</w:t>
            </w:r>
          </w:p>
          <w:p w14:paraId="2CE5B9ED">
            <w:pPr>
              <w:pStyle w:val="29"/>
              <w:tabs>
                <w:tab w:val="left" w:pos="540"/>
              </w:tabs>
              <w:adjustRightInd w:val="0"/>
              <w:snapToGrid w:val="0"/>
              <w:spacing w:line="440" w:lineRule="exact"/>
              <w:ind w:left="0" w:leftChars="0" w:firstLine="480" w:firstLineChars="20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kern w:val="0"/>
                <w:sz w:val="24"/>
                <w:lang w:val="en-US" w:eastAsia="zh-CN"/>
              </w:rPr>
              <w:t>本项目为新建项目</w:t>
            </w:r>
            <w:r>
              <w:rPr>
                <w:rFonts w:hint="eastAsia" w:ascii="Times New Roman" w:hAnsi="Times New Roman" w:eastAsia="宋体" w:cs="Times New Roman"/>
                <w:color w:val="auto"/>
                <w:kern w:val="0"/>
                <w:sz w:val="24"/>
                <w:highlight w:val="none"/>
                <w:lang w:val="en-US" w:eastAsia="zh-CN"/>
              </w:rPr>
              <w:t>，项目区占地现状主要为林地、</w:t>
            </w:r>
            <w:r>
              <w:rPr>
                <w:rFonts w:hint="eastAsia" w:ascii="Times New Roman" w:hAnsi="Times New Roman" w:cs="Times New Roman"/>
                <w:color w:val="auto"/>
                <w:kern w:val="0"/>
                <w:sz w:val="24"/>
                <w:highlight w:val="none"/>
                <w:lang w:val="en-US" w:eastAsia="zh-CN"/>
              </w:rPr>
              <w:t>耕地及草地</w:t>
            </w:r>
            <w:r>
              <w:rPr>
                <w:rFonts w:hint="eastAsia" w:ascii="Times New Roman" w:hAnsi="Times New Roman" w:eastAsia="宋体" w:cs="Times New Roman"/>
                <w:color w:val="auto"/>
                <w:kern w:val="0"/>
                <w:sz w:val="24"/>
                <w:highlight w:val="none"/>
                <w:lang w:val="en-US" w:eastAsia="zh-CN"/>
              </w:rPr>
              <w:t>，项目未开工建设</w:t>
            </w:r>
            <w:r>
              <w:rPr>
                <w:rFonts w:hint="eastAsia" w:ascii="Times New Roman" w:hAnsi="Times New Roman" w:eastAsia="宋体" w:cs="Times New Roman"/>
                <w:color w:val="auto"/>
                <w:kern w:val="0"/>
                <w:sz w:val="24"/>
                <w:lang w:val="en-US" w:eastAsia="zh-CN"/>
              </w:rPr>
              <w:t>，</w:t>
            </w:r>
            <w:r>
              <w:rPr>
                <w:rFonts w:hint="eastAsia" w:ascii="Times New Roman" w:hAnsi="Times New Roman" w:eastAsia="宋体" w:cs="Times New Roman"/>
                <w:color w:val="auto"/>
                <w:sz w:val="24"/>
                <w:szCs w:val="24"/>
                <w:lang w:val="en-US" w:eastAsia="zh-CN"/>
              </w:rPr>
              <w:t>区域环境质量良好，生态环境较好，未出现过环境空气、生态环境等方面的环境污染问题。因此，无与本项目有关的原有生态破坏问题。</w:t>
            </w:r>
          </w:p>
        </w:tc>
      </w:tr>
      <w:tr w14:paraId="1EB4E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2" w:type="dxa"/>
            <w:noWrap w:val="0"/>
            <w:vAlign w:val="top"/>
          </w:tcPr>
          <w:p w14:paraId="5721A414">
            <w:pPr>
              <w:jc w:val="center"/>
              <w:rPr>
                <w:rFonts w:hint="default" w:ascii="Times New Roman" w:hAnsi="Times New Roman" w:cs="Times New Roman"/>
                <w:b/>
                <w:color w:val="auto"/>
                <w:sz w:val="24"/>
                <w:szCs w:val="24"/>
              </w:rPr>
            </w:pPr>
          </w:p>
          <w:p w14:paraId="0D79E48D">
            <w:pPr>
              <w:jc w:val="center"/>
              <w:rPr>
                <w:rFonts w:hint="default" w:ascii="Times New Roman" w:hAnsi="Times New Roman" w:cs="Times New Roman"/>
                <w:b/>
                <w:color w:val="auto"/>
                <w:sz w:val="24"/>
                <w:szCs w:val="24"/>
              </w:rPr>
            </w:pPr>
          </w:p>
          <w:p w14:paraId="0D792C75">
            <w:pPr>
              <w:jc w:val="center"/>
              <w:rPr>
                <w:rFonts w:hint="default" w:ascii="Times New Roman" w:hAnsi="Times New Roman" w:cs="Times New Roman"/>
                <w:b/>
                <w:color w:val="auto"/>
                <w:sz w:val="24"/>
                <w:szCs w:val="24"/>
              </w:rPr>
            </w:pPr>
          </w:p>
          <w:p w14:paraId="5EF1DEE9">
            <w:pPr>
              <w:jc w:val="center"/>
              <w:rPr>
                <w:rFonts w:hint="default" w:ascii="Times New Roman" w:hAnsi="Times New Roman" w:cs="Times New Roman"/>
                <w:b/>
                <w:color w:val="auto"/>
                <w:sz w:val="24"/>
                <w:szCs w:val="24"/>
              </w:rPr>
            </w:pPr>
          </w:p>
          <w:p w14:paraId="09A37079">
            <w:pPr>
              <w:jc w:val="center"/>
              <w:rPr>
                <w:rFonts w:hint="default" w:ascii="Times New Roman" w:hAnsi="Times New Roman" w:cs="Times New Roman"/>
                <w:b/>
                <w:color w:val="auto"/>
                <w:sz w:val="24"/>
                <w:szCs w:val="24"/>
              </w:rPr>
            </w:pPr>
          </w:p>
          <w:p w14:paraId="43AB2670">
            <w:pPr>
              <w:jc w:val="center"/>
              <w:rPr>
                <w:rFonts w:hint="default" w:ascii="Times New Roman" w:hAnsi="Times New Roman" w:cs="Times New Roman"/>
                <w:b/>
                <w:color w:val="auto"/>
                <w:sz w:val="24"/>
                <w:szCs w:val="24"/>
              </w:rPr>
            </w:pPr>
          </w:p>
          <w:p w14:paraId="3222D6FE">
            <w:pPr>
              <w:jc w:val="center"/>
              <w:rPr>
                <w:rFonts w:hint="default" w:ascii="Times New Roman" w:hAnsi="Times New Roman" w:cs="Times New Roman"/>
                <w:b/>
                <w:color w:val="auto"/>
                <w:sz w:val="24"/>
                <w:szCs w:val="24"/>
              </w:rPr>
            </w:pPr>
          </w:p>
          <w:p w14:paraId="0085C4E1">
            <w:pPr>
              <w:jc w:val="center"/>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生态环境保护目标</w:t>
            </w:r>
          </w:p>
          <w:p w14:paraId="6E28AFA0">
            <w:pPr>
              <w:jc w:val="center"/>
              <w:rPr>
                <w:rFonts w:hint="default" w:ascii="Times New Roman" w:hAnsi="Times New Roman" w:cs="Times New Roman"/>
                <w:b/>
                <w:color w:val="auto"/>
                <w:sz w:val="24"/>
                <w:szCs w:val="24"/>
              </w:rPr>
            </w:pPr>
          </w:p>
          <w:p w14:paraId="61D162E2">
            <w:pPr>
              <w:jc w:val="center"/>
              <w:rPr>
                <w:rFonts w:hint="default" w:ascii="Times New Roman" w:hAnsi="Times New Roman" w:cs="Times New Roman"/>
                <w:b/>
                <w:color w:val="auto"/>
                <w:sz w:val="24"/>
                <w:szCs w:val="24"/>
              </w:rPr>
            </w:pPr>
          </w:p>
          <w:p w14:paraId="6B16D5BC">
            <w:pPr>
              <w:jc w:val="center"/>
              <w:rPr>
                <w:rFonts w:hint="default" w:ascii="Times New Roman" w:hAnsi="Times New Roman" w:cs="Times New Roman"/>
                <w:b/>
                <w:color w:val="auto"/>
                <w:sz w:val="24"/>
                <w:szCs w:val="24"/>
              </w:rPr>
            </w:pPr>
          </w:p>
          <w:p w14:paraId="3A16BEB2">
            <w:pPr>
              <w:jc w:val="center"/>
              <w:rPr>
                <w:rFonts w:hint="default" w:ascii="Times New Roman" w:hAnsi="Times New Roman" w:cs="Times New Roman"/>
                <w:b/>
                <w:color w:val="auto"/>
                <w:sz w:val="24"/>
                <w:szCs w:val="24"/>
              </w:rPr>
            </w:pPr>
          </w:p>
          <w:p w14:paraId="726DE9ED">
            <w:pPr>
              <w:jc w:val="center"/>
              <w:rPr>
                <w:rFonts w:hint="default" w:ascii="Times New Roman" w:hAnsi="Times New Roman" w:cs="Times New Roman"/>
                <w:b/>
                <w:color w:val="auto"/>
                <w:sz w:val="24"/>
                <w:szCs w:val="24"/>
              </w:rPr>
            </w:pPr>
          </w:p>
          <w:p w14:paraId="4B857293">
            <w:pPr>
              <w:jc w:val="center"/>
              <w:rPr>
                <w:rFonts w:hint="default" w:ascii="Times New Roman" w:hAnsi="Times New Roman" w:cs="Times New Roman"/>
                <w:b/>
                <w:color w:val="auto"/>
                <w:sz w:val="24"/>
                <w:szCs w:val="24"/>
              </w:rPr>
            </w:pPr>
          </w:p>
          <w:p w14:paraId="73C78CC1">
            <w:pPr>
              <w:jc w:val="center"/>
              <w:rPr>
                <w:rFonts w:hint="default" w:ascii="Times New Roman" w:hAnsi="Times New Roman" w:cs="Times New Roman"/>
                <w:b/>
                <w:color w:val="auto"/>
                <w:sz w:val="24"/>
                <w:szCs w:val="24"/>
              </w:rPr>
            </w:pPr>
          </w:p>
          <w:p w14:paraId="7EC0FF83">
            <w:pPr>
              <w:jc w:val="center"/>
              <w:rPr>
                <w:rFonts w:hint="default" w:ascii="Times New Roman" w:hAnsi="Times New Roman" w:cs="Times New Roman"/>
                <w:b/>
                <w:color w:val="auto"/>
                <w:sz w:val="24"/>
                <w:szCs w:val="24"/>
              </w:rPr>
            </w:pPr>
          </w:p>
          <w:p w14:paraId="42C79E78">
            <w:pPr>
              <w:jc w:val="center"/>
              <w:rPr>
                <w:rFonts w:hint="default" w:ascii="Times New Roman" w:hAnsi="Times New Roman" w:cs="Times New Roman"/>
                <w:b/>
                <w:color w:val="auto"/>
                <w:sz w:val="24"/>
                <w:szCs w:val="24"/>
              </w:rPr>
            </w:pPr>
          </w:p>
          <w:p w14:paraId="7D6ACB6A">
            <w:pPr>
              <w:jc w:val="center"/>
              <w:rPr>
                <w:rFonts w:hint="default" w:ascii="Times New Roman" w:hAnsi="Times New Roman" w:cs="Times New Roman"/>
                <w:b/>
                <w:color w:val="auto"/>
                <w:sz w:val="24"/>
                <w:szCs w:val="24"/>
              </w:rPr>
            </w:pPr>
          </w:p>
          <w:p w14:paraId="3192A05E">
            <w:pPr>
              <w:jc w:val="center"/>
              <w:rPr>
                <w:rFonts w:hint="default" w:ascii="Times New Roman" w:hAnsi="Times New Roman" w:cs="Times New Roman"/>
                <w:b/>
                <w:color w:val="auto"/>
                <w:sz w:val="24"/>
                <w:szCs w:val="24"/>
              </w:rPr>
            </w:pPr>
          </w:p>
          <w:p w14:paraId="1A8ADA7A">
            <w:pPr>
              <w:jc w:val="center"/>
              <w:rPr>
                <w:rFonts w:hint="default" w:ascii="Times New Roman" w:hAnsi="Times New Roman" w:cs="Times New Roman"/>
                <w:b/>
                <w:color w:val="auto"/>
                <w:sz w:val="24"/>
                <w:szCs w:val="24"/>
              </w:rPr>
            </w:pPr>
          </w:p>
          <w:p w14:paraId="7592F567">
            <w:pPr>
              <w:jc w:val="center"/>
              <w:rPr>
                <w:rFonts w:hint="default" w:ascii="Times New Roman" w:hAnsi="Times New Roman" w:cs="Times New Roman"/>
                <w:b/>
                <w:color w:val="auto"/>
                <w:sz w:val="24"/>
                <w:szCs w:val="24"/>
              </w:rPr>
            </w:pPr>
          </w:p>
          <w:p w14:paraId="162DACEF">
            <w:pPr>
              <w:jc w:val="center"/>
              <w:rPr>
                <w:rFonts w:hint="default" w:ascii="Times New Roman" w:hAnsi="Times New Roman" w:cs="Times New Roman"/>
                <w:b/>
                <w:color w:val="auto"/>
                <w:sz w:val="24"/>
                <w:szCs w:val="24"/>
              </w:rPr>
            </w:pPr>
          </w:p>
          <w:p w14:paraId="0BD3F249">
            <w:pPr>
              <w:jc w:val="center"/>
              <w:rPr>
                <w:rFonts w:hint="default" w:ascii="Times New Roman" w:hAnsi="Times New Roman" w:cs="Times New Roman"/>
                <w:b/>
                <w:color w:val="auto"/>
                <w:sz w:val="24"/>
                <w:szCs w:val="24"/>
              </w:rPr>
            </w:pPr>
          </w:p>
          <w:p w14:paraId="1D75C672">
            <w:pPr>
              <w:jc w:val="center"/>
              <w:rPr>
                <w:rFonts w:hint="default" w:ascii="Times New Roman" w:hAnsi="Times New Roman" w:cs="Times New Roman"/>
                <w:b/>
                <w:color w:val="auto"/>
                <w:sz w:val="24"/>
                <w:szCs w:val="24"/>
              </w:rPr>
            </w:pPr>
          </w:p>
          <w:p w14:paraId="50EAAC94">
            <w:pPr>
              <w:jc w:val="center"/>
              <w:rPr>
                <w:rFonts w:hint="default" w:ascii="Times New Roman" w:hAnsi="Times New Roman" w:cs="Times New Roman"/>
                <w:b/>
                <w:color w:val="auto"/>
                <w:sz w:val="24"/>
                <w:szCs w:val="24"/>
              </w:rPr>
            </w:pPr>
          </w:p>
          <w:p w14:paraId="262563EB">
            <w:pPr>
              <w:jc w:val="center"/>
              <w:rPr>
                <w:rFonts w:hint="default" w:ascii="Times New Roman" w:hAnsi="Times New Roman" w:cs="Times New Roman"/>
                <w:b/>
                <w:color w:val="auto"/>
                <w:sz w:val="24"/>
                <w:szCs w:val="24"/>
              </w:rPr>
            </w:pPr>
          </w:p>
          <w:p w14:paraId="1071759F">
            <w:pPr>
              <w:jc w:val="center"/>
              <w:rPr>
                <w:rFonts w:hint="default" w:ascii="Times New Roman" w:hAnsi="Times New Roman" w:cs="Times New Roman"/>
                <w:b/>
                <w:color w:val="auto"/>
                <w:sz w:val="24"/>
                <w:szCs w:val="24"/>
              </w:rPr>
            </w:pPr>
          </w:p>
          <w:p w14:paraId="0E298264">
            <w:pPr>
              <w:jc w:val="center"/>
              <w:rPr>
                <w:rFonts w:hint="default" w:ascii="Times New Roman" w:hAnsi="Times New Roman" w:cs="Times New Roman"/>
                <w:b/>
                <w:color w:val="auto"/>
                <w:sz w:val="24"/>
                <w:szCs w:val="24"/>
              </w:rPr>
            </w:pPr>
          </w:p>
          <w:p w14:paraId="6722C848">
            <w:pPr>
              <w:jc w:val="center"/>
              <w:rPr>
                <w:rFonts w:hint="default" w:ascii="Times New Roman" w:hAnsi="Times New Roman" w:cs="Times New Roman"/>
                <w:b/>
                <w:color w:val="auto"/>
                <w:sz w:val="24"/>
                <w:szCs w:val="24"/>
              </w:rPr>
            </w:pPr>
          </w:p>
          <w:p w14:paraId="45F9CEC1">
            <w:pPr>
              <w:jc w:val="center"/>
              <w:rPr>
                <w:rFonts w:hint="default" w:ascii="Times New Roman" w:hAnsi="Times New Roman" w:cs="Times New Roman"/>
                <w:b/>
                <w:color w:val="auto"/>
                <w:sz w:val="24"/>
                <w:szCs w:val="24"/>
              </w:rPr>
            </w:pPr>
          </w:p>
          <w:p w14:paraId="4CD64F0D">
            <w:pPr>
              <w:jc w:val="center"/>
              <w:rPr>
                <w:rFonts w:hint="default" w:ascii="Times New Roman" w:hAnsi="Times New Roman" w:cs="Times New Roman"/>
                <w:b/>
                <w:color w:val="auto"/>
                <w:sz w:val="24"/>
                <w:szCs w:val="24"/>
              </w:rPr>
            </w:pPr>
          </w:p>
          <w:p w14:paraId="6804B5A9">
            <w:pPr>
              <w:jc w:val="center"/>
              <w:rPr>
                <w:rFonts w:hint="default" w:ascii="Times New Roman" w:hAnsi="Times New Roman" w:cs="Times New Roman"/>
                <w:b/>
                <w:color w:val="auto"/>
                <w:sz w:val="24"/>
                <w:szCs w:val="24"/>
              </w:rPr>
            </w:pPr>
          </w:p>
          <w:p w14:paraId="2EC7CF06">
            <w:pPr>
              <w:jc w:val="center"/>
              <w:rPr>
                <w:rFonts w:hint="default" w:ascii="Times New Roman" w:hAnsi="Times New Roman" w:cs="Times New Roman"/>
                <w:b/>
                <w:color w:val="auto"/>
                <w:sz w:val="24"/>
                <w:szCs w:val="24"/>
              </w:rPr>
            </w:pPr>
          </w:p>
          <w:p w14:paraId="78D111FF">
            <w:pPr>
              <w:jc w:val="center"/>
              <w:rPr>
                <w:rFonts w:hint="default" w:ascii="Times New Roman" w:hAnsi="Times New Roman" w:cs="Times New Roman"/>
                <w:b/>
                <w:color w:val="auto"/>
                <w:sz w:val="24"/>
                <w:szCs w:val="24"/>
              </w:rPr>
            </w:pPr>
          </w:p>
          <w:p w14:paraId="173A6103">
            <w:pPr>
              <w:jc w:val="center"/>
              <w:rPr>
                <w:rFonts w:hint="default" w:ascii="Times New Roman" w:hAnsi="Times New Roman" w:cs="Times New Roman"/>
                <w:b/>
                <w:color w:val="auto"/>
                <w:sz w:val="24"/>
                <w:szCs w:val="24"/>
              </w:rPr>
            </w:pPr>
          </w:p>
          <w:p w14:paraId="0B29596E">
            <w:pPr>
              <w:jc w:val="center"/>
              <w:rPr>
                <w:rFonts w:hint="default" w:ascii="Times New Roman" w:hAnsi="Times New Roman" w:cs="Times New Roman"/>
                <w:b/>
                <w:color w:val="auto"/>
                <w:sz w:val="24"/>
                <w:szCs w:val="24"/>
              </w:rPr>
            </w:pPr>
          </w:p>
          <w:p w14:paraId="436FF4BD">
            <w:pPr>
              <w:jc w:val="center"/>
              <w:rPr>
                <w:rFonts w:hint="default" w:ascii="Times New Roman" w:hAnsi="Times New Roman" w:cs="Times New Roman"/>
                <w:b/>
                <w:color w:val="auto"/>
                <w:sz w:val="24"/>
                <w:szCs w:val="24"/>
              </w:rPr>
            </w:pPr>
          </w:p>
          <w:p w14:paraId="21C4E9C2">
            <w:pPr>
              <w:jc w:val="center"/>
              <w:rPr>
                <w:rFonts w:hint="default" w:ascii="Times New Roman" w:hAnsi="Times New Roman" w:cs="Times New Roman"/>
                <w:b/>
                <w:color w:val="auto"/>
                <w:sz w:val="24"/>
                <w:szCs w:val="24"/>
              </w:rPr>
            </w:pPr>
          </w:p>
          <w:p w14:paraId="45155066">
            <w:pPr>
              <w:jc w:val="center"/>
              <w:rPr>
                <w:rFonts w:hint="default" w:ascii="Times New Roman" w:hAnsi="Times New Roman" w:cs="Times New Roman"/>
                <w:b/>
                <w:color w:val="auto"/>
                <w:sz w:val="24"/>
                <w:szCs w:val="24"/>
              </w:rPr>
            </w:pPr>
          </w:p>
          <w:p w14:paraId="7C17F726">
            <w:pPr>
              <w:jc w:val="center"/>
              <w:rPr>
                <w:rFonts w:hint="default" w:ascii="Times New Roman" w:hAnsi="Times New Roman" w:cs="Times New Roman"/>
                <w:b/>
                <w:color w:val="auto"/>
                <w:sz w:val="24"/>
                <w:szCs w:val="24"/>
              </w:rPr>
            </w:pPr>
          </w:p>
          <w:p w14:paraId="671E18D5">
            <w:pPr>
              <w:jc w:val="center"/>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生态环境保护目标</w:t>
            </w:r>
          </w:p>
          <w:p w14:paraId="5A67A1F7">
            <w:pPr>
              <w:jc w:val="center"/>
              <w:rPr>
                <w:rFonts w:hint="default" w:ascii="Times New Roman" w:hAnsi="Times New Roman" w:cs="Times New Roman"/>
                <w:b/>
                <w:color w:val="auto"/>
                <w:sz w:val="24"/>
                <w:szCs w:val="24"/>
              </w:rPr>
            </w:pPr>
          </w:p>
          <w:p w14:paraId="17E842D8">
            <w:pPr>
              <w:jc w:val="center"/>
              <w:rPr>
                <w:rFonts w:hint="default" w:ascii="Times New Roman" w:hAnsi="Times New Roman" w:cs="Times New Roman"/>
                <w:b/>
                <w:color w:val="auto"/>
                <w:sz w:val="24"/>
                <w:szCs w:val="24"/>
              </w:rPr>
            </w:pPr>
          </w:p>
          <w:p w14:paraId="0CE3255F">
            <w:pPr>
              <w:jc w:val="center"/>
              <w:rPr>
                <w:rFonts w:hint="default" w:ascii="Times New Roman" w:hAnsi="Times New Roman" w:cs="Times New Roman"/>
                <w:b/>
                <w:color w:val="auto"/>
                <w:sz w:val="24"/>
                <w:szCs w:val="24"/>
              </w:rPr>
            </w:pPr>
          </w:p>
          <w:p w14:paraId="2F91247F">
            <w:pPr>
              <w:jc w:val="center"/>
              <w:rPr>
                <w:rFonts w:hint="default" w:ascii="Times New Roman" w:hAnsi="Times New Roman" w:cs="Times New Roman"/>
                <w:b/>
                <w:color w:val="auto"/>
                <w:sz w:val="24"/>
                <w:szCs w:val="24"/>
              </w:rPr>
            </w:pPr>
          </w:p>
          <w:p w14:paraId="3505C14C">
            <w:pPr>
              <w:jc w:val="center"/>
              <w:rPr>
                <w:rFonts w:hint="default" w:ascii="Times New Roman" w:hAnsi="Times New Roman" w:cs="Times New Roman"/>
                <w:b/>
                <w:color w:val="auto"/>
                <w:sz w:val="24"/>
                <w:szCs w:val="24"/>
              </w:rPr>
            </w:pPr>
          </w:p>
          <w:p w14:paraId="6A20D3D8">
            <w:pPr>
              <w:jc w:val="both"/>
              <w:rPr>
                <w:rFonts w:hint="default" w:ascii="Times New Roman" w:hAnsi="Times New Roman" w:cs="Times New Roman"/>
                <w:b/>
                <w:color w:val="auto"/>
                <w:sz w:val="24"/>
                <w:szCs w:val="24"/>
              </w:rPr>
            </w:pPr>
          </w:p>
        </w:tc>
        <w:tc>
          <w:tcPr>
            <w:tcW w:w="8500" w:type="dxa"/>
            <w:noWrap w:val="0"/>
            <w:vAlign w:val="top"/>
          </w:tcPr>
          <w:p w14:paraId="1B2099C2">
            <w:pPr>
              <w:adjustRightInd w:val="0"/>
              <w:snapToGrid w:val="0"/>
              <w:spacing w:line="440" w:lineRule="exact"/>
              <w:ind w:firstLine="241"/>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3.</w:t>
            </w:r>
            <w:r>
              <w:rPr>
                <w:rFonts w:hint="eastAsia" w:ascii="Times New Roman" w:hAnsi="Times New Roman" w:cs="Times New Roman"/>
                <w:b/>
                <w:color w:val="auto"/>
                <w:sz w:val="24"/>
                <w:szCs w:val="24"/>
                <w:lang w:val="en-US" w:eastAsia="zh-CN"/>
              </w:rPr>
              <w:t>7</w:t>
            </w:r>
            <w:r>
              <w:rPr>
                <w:rFonts w:hint="default" w:ascii="Times New Roman" w:hAnsi="Times New Roman" w:cs="Times New Roman"/>
                <w:b/>
                <w:color w:val="auto"/>
                <w:sz w:val="24"/>
                <w:szCs w:val="24"/>
              </w:rPr>
              <w:t>环境保护目标</w:t>
            </w:r>
          </w:p>
          <w:p w14:paraId="6053E78C">
            <w:pPr>
              <w:adjustRightInd w:val="0"/>
              <w:snapToGrid w:val="0"/>
              <w:spacing w:line="440" w:lineRule="exact"/>
              <w:ind w:firstLine="241"/>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3.</w:t>
            </w:r>
            <w:r>
              <w:rPr>
                <w:rFonts w:hint="eastAsia" w:ascii="Times New Roman" w:hAnsi="Times New Roman" w:cs="Times New Roman"/>
                <w:b/>
                <w:color w:val="auto"/>
                <w:sz w:val="24"/>
                <w:szCs w:val="24"/>
                <w:lang w:val="en-US" w:eastAsia="zh-CN"/>
              </w:rPr>
              <w:t>7</w:t>
            </w:r>
            <w:r>
              <w:rPr>
                <w:rFonts w:hint="default" w:ascii="Times New Roman" w:hAnsi="Times New Roman" w:cs="Times New Roman"/>
                <w:b/>
                <w:color w:val="auto"/>
                <w:sz w:val="24"/>
                <w:szCs w:val="24"/>
              </w:rPr>
              <w:t>.1环境影响评价工作等级、评价范围、评价重点及评价因子</w:t>
            </w:r>
          </w:p>
          <w:p w14:paraId="4AFF0EE1">
            <w:pPr>
              <w:adjustRightInd w:val="0"/>
              <w:snapToGrid w:val="0"/>
              <w:spacing w:line="440" w:lineRule="exact"/>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根据HJ24-2020《环境影响评价技术导则 输变电》、HJ19-20</w:t>
            </w:r>
            <w:r>
              <w:rPr>
                <w:rFonts w:hint="eastAsia" w:ascii="Times New Roman" w:hAnsi="Times New Roman" w:cs="Times New Roman"/>
                <w:color w:val="auto"/>
                <w:sz w:val="24"/>
                <w:szCs w:val="24"/>
                <w:lang w:val="en-US" w:eastAsia="zh-CN"/>
              </w:rPr>
              <w:t>22</w:t>
            </w:r>
            <w:r>
              <w:rPr>
                <w:rFonts w:hint="default" w:ascii="Times New Roman" w:hAnsi="Times New Roman" w:cs="Times New Roman"/>
                <w:color w:val="auto"/>
                <w:sz w:val="24"/>
                <w:szCs w:val="24"/>
              </w:rPr>
              <w:t>《环境影响评价技术导则  生态影响》、HJ2.4-20</w:t>
            </w:r>
            <w:r>
              <w:rPr>
                <w:rFonts w:hint="eastAsia" w:ascii="Times New Roman" w:hAnsi="Times New Roman" w:cs="Times New Roman"/>
                <w:color w:val="auto"/>
                <w:sz w:val="24"/>
                <w:szCs w:val="24"/>
                <w:lang w:val="en-US" w:eastAsia="zh-CN"/>
              </w:rPr>
              <w:t>21</w:t>
            </w:r>
            <w:r>
              <w:rPr>
                <w:rFonts w:hint="default" w:ascii="Times New Roman" w:hAnsi="Times New Roman" w:cs="Times New Roman"/>
                <w:color w:val="auto"/>
                <w:sz w:val="24"/>
                <w:szCs w:val="24"/>
              </w:rPr>
              <w:t xml:space="preserve">《环境影响评价技术导则 </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声环境》和HJ2.3-2018《环境影响评价技术导则  地表水环境》的要求，确定本项目的环境影响评价工作等级、评价范围、评价因子如下：</w:t>
            </w:r>
          </w:p>
          <w:p w14:paraId="787E2900">
            <w:pPr>
              <w:adjustRightInd w:val="0"/>
              <w:snapToGrid w:val="0"/>
              <w:spacing w:line="440" w:lineRule="exact"/>
              <w:ind w:firstLine="241"/>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3.</w:t>
            </w:r>
            <w:r>
              <w:rPr>
                <w:rFonts w:hint="eastAsia" w:ascii="Times New Roman" w:hAnsi="Times New Roman" w:cs="Times New Roman"/>
                <w:b/>
                <w:color w:val="auto"/>
                <w:sz w:val="24"/>
                <w:szCs w:val="24"/>
                <w:lang w:val="en-US" w:eastAsia="zh-CN"/>
              </w:rPr>
              <w:t>7</w:t>
            </w:r>
            <w:r>
              <w:rPr>
                <w:rFonts w:hint="default" w:ascii="Times New Roman" w:hAnsi="Times New Roman" w:cs="Times New Roman"/>
                <w:b/>
                <w:color w:val="auto"/>
                <w:sz w:val="24"/>
                <w:szCs w:val="24"/>
              </w:rPr>
              <w:t>.1.1评价因子</w:t>
            </w:r>
          </w:p>
          <w:p w14:paraId="4DB45E7C">
            <w:pPr>
              <w:adjustRightInd w:val="0"/>
              <w:snapToGrid w:val="0"/>
              <w:spacing w:line="240" w:lineRule="auto"/>
              <w:jc w:val="center"/>
              <w:rPr>
                <w:rFonts w:hint="default" w:ascii="Times New Roman" w:hAnsi="Times New Roman" w:cs="Times New Roman"/>
                <w:color w:val="auto"/>
                <w:sz w:val="24"/>
                <w:szCs w:val="24"/>
              </w:rPr>
            </w:pPr>
            <w:r>
              <w:rPr>
                <w:rFonts w:hint="default" w:ascii="Times New Roman" w:hAnsi="Times New Roman" w:cs="Times New Roman"/>
                <w:b/>
                <w:color w:val="auto"/>
                <w:sz w:val="24"/>
                <w:szCs w:val="24"/>
              </w:rPr>
              <w:t>表3-</w:t>
            </w:r>
            <w:r>
              <w:rPr>
                <w:rFonts w:hint="eastAsia" w:ascii="Times New Roman" w:hAnsi="Times New Roman" w:cs="Times New Roman"/>
                <w:b/>
                <w:color w:val="auto"/>
                <w:sz w:val="24"/>
                <w:szCs w:val="24"/>
                <w:lang w:val="en-US" w:eastAsia="zh-CN"/>
              </w:rPr>
              <w:t>8</w:t>
            </w:r>
            <w:r>
              <w:rPr>
                <w:rFonts w:hint="default" w:ascii="Times New Roman" w:hAnsi="Times New Roman" w:cs="Times New Roman"/>
                <w:b/>
                <w:color w:val="auto"/>
                <w:sz w:val="24"/>
                <w:szCs w:val="24"/>
              </w:rPr>
              <w:t xml:space="preserve">  环境影响评价因子</w:t>
            </w:r>
          </w:p>
          <w:tbl>
            <w:tblPr>
              <w:tblStyle w:val="30"/>
              <w:tblW w:w="8423"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66"/>
              <w:gridCol w:w="1126"/>
              <w:gridCol w:w="2638"/>
              <w:gridCol w:w="2709"/>
              <w:gridCol w:w="845"/>
            </w:tblGrid>
            <w:tr w14:paraId="3F5E59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8" w:type="dxa"/>
                  <w:noWrap/>
                  <w:vAlign w:val="center"/>
                </w:tcPr>
                <w:p w14:paraId="599A264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kern w:val="0"/>
                      <w:szCs w:val="21"/>
                    </w:rPr>
                  </w:pPr>
                  <w:r>
                    <w:rPr>
                      <w:rFonts w:hint="default" w:ascii="Times New Roman" w:hAnsi="Times New Roman" w:eastAsia="宋体" w:cs="Times New Roman"/>
                      <w:b/>
                      <w:bCs w:val="0"/>
                      <w:color w:val="auto"/>
                      <w:kern w:val="0"/>
                      <w:szCs w:val="21"/>
                    </w:rPr>
                    <w:t>评价阶段</w:t>
                  </w:r>
                </w:p>
              </w:tc>
              <w:tc>
                <w:tcPr>
                  <w:tcW w:w="1157" w:type="dxa"/>
                  <w:noWrap/>
                  <w:vAlign w:val="center"/>
                </w:tcPr>
                <w:p w14:paraId="08143E5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kern w:val="0"/>
                      <w:szCs w:val="21"/>
                    </w:rPr>
                  </w:pPr>
                  <w:r>
                    <w:rPr>
                      <w:rFonts w:hint="default" w:ascii="Times New Roman" w:hAnsi="Times New Roman" w:eastAsia="宋体" w:cs="Times New Roman"/>
                      <w:b/>
                      <w:bCs w:val="0"/>
                      <w:color w:val="auto"/>
                      <w:kern w:val="0"/>
                      <w:szCs w:val="21"/>
                    </w:rPr>
                    <w:t>评价项目</w:t>
                  </w:r>
                </w:p>
              </w:tc>
              <w:tc>
                <w:tcPr>
                  <w:tcW w:w="2719" w:type="dxa"/>
                  <w:noWrap/>
                  <w:vAlign w:val="center"/>
                </w:tcPr>
                <w:p w14:paraId="54B5892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kern w:val="0"/>
                      <w:szCs w:val="21"/>
                    </w:rPr>
                  </w:pPr>
                  <w:r>
                    <w:rPr>
                      <w:rFonts w:hint="default" w:ascii="Times New Roman" w:hAnsi="Times New Roman" w:eastAsia="宋体" w:cs="Times New Roman"/>
                      <w:b/>
                      <w:bCs w:val="0"/>
                      <w:color w:val="auto"/>
                      <w:kern w:val="0"/>
                      <w:szCs w:val="21"/>
                    </w:rPr>
                    <w:t>现状评价因子</w:t>
                  </w:r>
                </w:p>
              </w:tc>
              <w:tc>
                <w:tcPr>
                  <w:tcW w:w="2793" w:type="dxa"/>
                  <w:noWrap/>
                  <w:vAlign w:val="center"/>
                </w:tcPr>
                <w:p w14:paraId="6934D61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kern w:val="0"/>
                      <w:szCs w:val="21"/>
                    </w:rPr>
                  </w:pPr>
                  <w:r>
                    <w:rPr>
                      <w:rFonts w:hint="default" w:ascii="Times New Roman" w:hAnsi="Times New Roman" w:eastAsia="宋体" w:cs="Times New Roman"/>
                      <w:b/>
                      <w:bCs w:val="0"/>
                      <w:color w:val="auto"/>
                      <w:kern w:val="0"/>
                      <w:szCs w:val="21"/>
                    </w:rPr>
                    <w:t>预测评价因子</w:t>
                  </w:r>
                </w:p>
              </w:tc>
              <w:tc>
                <w:tcPr>
                  <w:tcW w:w="866" w:type="dxa"/>
                  <w:noWrap/>
                  <w:vAlign w:val="center"/>
                </w:tcPr>
                <w:p w14:paraId="0A82D89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kern w:val="0"/>
                      <w:szCs w:val="21"/>
                    </w:rPr>
                  </w:pPr>
                  <w:r>
                    <w:rPr>
                      <w:rFonts w:hint="default" w:ascii="Times New Roman" w:hAnsi="Times New Roman" w:eastAsia="宋体" w:cs="Times New Roman"/>
                      <w:b/>
                      <w:bCs w:val="0"/>
                      <w:color w:val="auto"/>
                      <w:kern w:val="0"/>
                      <w:szCs w:val="21"/>
                    </w:rPr>
                    <w:t>单位</w:t>
                  </w:r>
                </w:p>
              </w:tc>
            </w:tr>
            <w:tr w14:paraId="752458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8" w:type="dxa"/>
                  <w:vMerge w:val="restart"/>
                  <w:noWrap/>
                  <w:vAlign w:val="center"/>
                </w:tcPr>
                <w:p w14:paraId="5BC1275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施工期</w:t>
                  </w:r>
                </w:p>
              </w:tc>
              <w:tc>
                <w:tcPr>
                  <w:tcW w:w="1157" w:type="dxa"/>
                  <w:noWrap/>
                  <w:vAlign w:val="center"/>
                </w:tcPr>
                <w:p w14:paraId="3AEC98D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声环境</w:t>
                  </w:r>
                </w:p>
              </w:tc>
              <w:tc>
                <w:tcPr>
                  <w:tcW w:w="2719" w:type="dxa"/>
                  <w:noWrap/>
                  <w:vAlign w:val="center"/>
                </w:tcPr>
                <w:p w14:paraId="560FE80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昼间、夜间等效声级，Leq</w:t>
                  </w:r>
                </w:p>
              </w:tc>
              <w:tc>
                <w:tcPr>
                  <w:tcW w:w="2793" w:type="dxa"/>
                  <w:noWrap/>
                  <w:vAlign w:val="center"/>
                </w:tcPr>
                <w:p w14:paraId="30754EE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昼间、夜间等效声级，Leq</w:t>
                  </w:r>
                </w:p>
              </w:tc>
              <w:tc>
                <w:tcPr>
                  <w:tcW w:w="866" w:type="dxa"/>
                  <w:noWrap/>
                  <w:vAlign w:val="center"/>
                </w:tcPr>
                <w:p w14:paraId="5B589AD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lang w:eastAsia="zh-CN"/>
                    </w:rPr>
                  </w:pPr>
                  <w:r>
                    <w:rPr>
                      <w:rFonts w:hint="default" w:ascii="Times New Roman" w:hAnsi="Times New Roman" w:eastAsia="宋体" w:cs="Times New Roman"/>
                      <w:b w:val="0"/>
                      <w:bCs/>
                      <w:color w:val="auto"/>
                      <w:kern w:val="0"/>
                      <w:szCs w:val="21"/>
                    </w:rPr>
                    <w:t>dB</w:t>
                  </w:r>
                  <w:r>
                    <w:rPr>
                      <w:rFonts w:hint="eastAsia" w:ascii="Times New Roman" w:hAnsi="Times New Roman" w:eastAsia="宋体" w:cs="Times New Roman"/>
                      <w:b w:val="0"/>
                      <w:bCs/>
                      <w:color w:val="auto"/>
                      <w:kern w:val="0"/>
                      <w:szCs w:val="21"/>
                      <w:lang w:eastAsia="zh-CN"/>
                    </w:rPr>
                    <w:t>(</w:t>
                  </w:r>
                  <w:r>
                    <w:rPr>
                      <w:rFonts w:hint="default" w:ascii="Times New Roman" w:hAnsi="Times New Roman" w:eastAsia="宋体" w:cs="Times New Roman"/>
                      <w:b w:val="0"/>
                      <w:bCs/>
                      <w:color w:val="auto"/>
                      <w:kern w:val="0"/>
                      <w:szCs w:val="21"/>
                    </w:rPr>
                    <w:t>A</w:t>
                  </w:r>
                  <w:r>
                    <w:rPr>
                      <w:rFonts w:hint="eastAsia" w:ascii="Times New Roman" w:hAnsi="Times New Roman" w:eastAsia="宋体" w:cs="Times New Roman"/>
                      <w:b w:val="0"/>
                      <w:bCs/>
                      <w:color w:val="auto"/>
                      <w:kern w:val="0"/>
                      <w:szCs w:val="21"/>
                      <w:lang w:eastAsia="zh-CN"/>
                    </w:rPr>
                    <w:t>)</w:t>
                  </w:r>
                </w:p>
              </w:tc>
            </w:tr>
            <w:tr w14:paraId="6FBDDD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8" w:type="dxa"/>
                  <w:vMerge w:val="continue"/>
                  <w:noWrap/>
                  <w:vAlign w:val="center"/>
                </w:tcPr>
                <w:p w14:paraId="7D462B8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p>
              </w:tc>
              <w:tc>
                <w:tcPr>
                  <w:tcW w:w="1157" w:type="dxa"/>
                  <w:noWrap/>
                  <w:vAlign w:val="center"/>
                </w:tcPr>
                <w:p w14:paraId="4F96C33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生态环境</w:t>
                  </w:r>
                </w:p>
              </w:tc>
              <w:tc>
                <w:tcPr>
                  <w:tcW w:w="2719" w:type="dxa"/>
                  <w:noWrap/>
                  <w:vAlign w:val="center"/>
                </w:tcPr>
                <w:p w14:paraId="5BBD276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生态系统及其生物因子、非生物因子</w:t>
                  </w:r>
                </w:p>
              </w:tc>
              <w:tc>
                <w:tcPr>
                  <w:tcW w:w="2793" w:type="dxa"/>
                  <w:noWrap/>
                  <w:vAlign w:val="center"/>
                </w:tcPr>
                <w:p w14:paraId="2A066C1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生态系统及其生物因子、非生物因子</w:t>
                  </w:r>
                </w:p>
              </w:tc>
              <w:tc>
                <w:tcPr>
                  <w:tcW w:w="866" w:type="dxa"/>
                  <w:noWrap/>
                  <w:vAlign w:val="center"/>
                </w:tcPr>
                <w:p w14:paraId="7F6AD2F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w:t>
                  </w:r>
                </w:p>
              </w:tc>
            </w:tr>
            <w:tr w14:paraId="67CAA5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8" w:type="dxa"/>
                  <w:vMerge w:val="continue"/>
                  <w:noWrap/>
                  <w:vAlign w:val="center"/>
                </w:tcPr>
                <w:p w14:paraId="2AACD61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p>
              </w:tc>
              <w:tc>
                <w:tcPr>
                  <w:tcW w:w="1157" w:type="dxa"/>
                  <w:noWrap/>
                  <w:vAlign w:val="center"/>
                </w:tcPr>
                <w:p w14:paraId="5777CB8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地表水</w:t>
                  </w:r>
                </w:p>
              </w:tc>
              <w:tc>
                <w:tcPr>
                  <w:tcW w:w="2719" w:type="dxa"/>
                  <w:noWrap/>
                  <w:vAlign w:val="center"/>
                </w:tcPr>
                <w:p w14:paraId="2C85B0A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PH、COD、BOD</w:t>
                  </w:r>
                  <w:r>
                    <w:rPr>
                      <w:rFonts w:hint="default" w:ascii="Times New Roman" w:hAnsi="Times New Roman" w:eastAsia="宋体" w:cs="Times New Roman"/>
                      <w:b w:val="0"/>
                      <w:bCs/>
                      <w:color w:val="auto"/>
                      <w:kern w:val="0"/>
                      <w:szCs w:val="21"/>
                      <w:vertAlign w:val="subscript"/>
                    </w:rPr>
                    <w:t>5</w:t>
                  </w:r>
                  <w:r>
                    <w:rPr>
                      <w:rFonts w:hint="default" w:ascii="Times New Roman" w:hAnsi="Times New Roman" w:eastAsia="宋体" w:cs="Times New Roman"/>
                      <w:b w:val="0"/>
                      <w:bCs/>
                      <w:color w:val="auto"/>
                      <w:kern w:val="0"/>
                      <w:szCs w:val="21"/>
                    </w:rPr>
                    <w:t>、NH</w:t>
                  </w:r>
                  <w:r>
                    <w:rPr>
                      <w:rFonts w:hint="default" w:ascii="Times New Roman" w:hAnsi="Times New Roman" w:eastAsia="宋体" w:cs="Times New Roman"/>
                      <w:b w:val="0"/>
                      <w:bCs/>
                      <w:color w:val="auto"/>
                      <w:kern w:val="0"/>
                      <w:szCs w:val="21"/>
                      <w:vertAlign w:val="subscript"/>
                    </w:rPr>
                    <w:t>3</w:t>
                  </w:r>
                  <w:r>
                    <w:rPr>
                      <w:rFonts w:hint="default" w:ascii="Times New Roman" w:hAnsi="Times New Roman" w:eastAsia="宋体" w:cs="Times New Roman"/>
                      <w:b w:val="0"/>
                      <w:bCs/>
                      <w:color w:val="auto"/>
                      <w:kern w:val="0"/>
                      <w:szCs w:val="21"/>
                    </w:rPr>
                    <w:t>-N、石油类</w:t>
                  </w:r>
                </w:p>
              </w:tc>
              <w:tc>
                <w:tcPr>
                  <w:tcW w:w="2793" w:type="dxa"/>
                  <w:noWrap/>
                  <w:vAlign w:val="center"/>
                </w:tcPr>
                <w:p w14:paraId="39A8524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PH、COD、BOD</w:t>
                  </w:r>
                  <w:r>
                    <w:rPr>
                      <w:rFonts w:hint="default" w:ascii="Times New Roman" w:hAnsi="Times New Roman" w:eastAsia="宋体" w:cs="Times New Roman"/>
                      <w:b w:val="0"/>
                      <w:bCs/>
                      <w:color w:val="auto"/>
                      <w:kern w:val="0"/>
                      <w:szCs w:val="21"/>
                      <w:vertAlign w:val="subscript"/>
                    </w:rPr>
                    <w:t>5</w:t>
                  </w:r>
                  <w:r>
                    <w:rPr>
                      <w:rFonts w:hint="default" w:ascii="Times New Roman" w:hAnsi="Times New Roman" w:eastAsia="宋体" w:cs="Times New Roman"/>
                      <w:b w:val="0"/>
                      <w:bCs/>
                      <w:color w:val="auto"/>
                      <w:kern w:val="0"/>
                      <w:szCs w:val="21"/>
                    </w:rPr>
                    <w:t>、NH</w:t>
                  </w:r>
                  <w:r>
                    <w:rPr>
                      <w:rFonts w:hint="default" w:ascii="Times New Roman" w:hAnsi="Times New Roman" w:eastAsia="宋体" w:cs="Times New Roman"/>
                      <w:b w:val="0"/>
                      <w:bCs/>
                      <w:color w:val="auto"/>
                      <w:kern w:val="0"/>
                      <w:szCs w:val="21"/>
                      <w:vertAlign w:val="subscript"/>
                    </w:rPr>
                    <w:t>3</w:t>
                  </w:r>
                  <w:r>
                    <w:rPr>
                      <w:rFonts w:hint="default" w:ascii="Times New Roman" w:hAnsi="Times New Roman" w:eastAsia="宋体" w:cs="Times New Roman"/>
                      <w:b w:val="0"/>
                      <w:bCs/>
                      <w:color w:val="auto"/>
                      <w:kern w:val="0"/>
                      <w:szCs w:val="21"/>
                    </w:rPr>
                    <w:t>-N、石油类</w:t>
                  </w:r>
                </w:p>
              </w:tc>
              <w:tc>
                <w:tcPr>
                  <w:tcW w:w="866" w:type="dxa"/>
                  <w:noWrap/>
                  <w:vAlign w:val="center"/>
                </w:tcPr>
                <w:p w14:paraId="2D36777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mg/L</w:t>
                  </w:r>
                </w:p>
              </w:tc>
            </w:tr>
            <w:tr w14:paraId="56C9AA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8" w:type="dxa"/>
                  <w:vMerge w:val="continue"/>
                  <w:noWrap/>
                  <w:vAlign w:val="center"/>
                </w:tcPr>
                <w:p w14:paraId="4CBEBA9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p>
              </w:tc>
              <w:tc>
                <w:tcPr>
                  <w:tcW w:w="1157" w:type="dxa"/>
                  <w:noWrap/>
                  <w:vAlign w:val="center"/>
                </w:tcPr>
                <w:p w14:paraId="04B9C87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kern w:val="0"/>
                      <w:szCs w:val="21"/>
                      <w:lang w:val="en-US" w:eastAsia="zh-CN"/>
                    </w:rPr>
                  </w:pPr>
                  <w:r>
                    <w:rPr>
                      <w:rFonts w:hint="eastAsia" w:ascii="Times New Roman" w:hAnsi="Times New Roman" w:eastAsia="宋体" w:cs="Times New Roman"/>
                      <w:b w:val="0"/>
                      <w:bCs/>
                      <w:color w:val="auto"/>
                      <w:kern w:val="0"/>
                      <w:szCs w:val="21"/>
                      <w:lang w:val="en-US" w:eastAsia="zh-CN"/>
                    </w:rPr>
                    <w:t>大气环境</w:t>
                  </w:r>
                </w:p>
              </w:tc>
              <w:tc>
                <w:tcPr>
                  <w:tcW w:w="2719" w:type="dxa"/>
                  <w:noWrap/>
                  <w:vAlign w:val="center"/>
                </w:tcPr>
                <w:p w14:paraId="5A59E02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SO</w:t>
                  </w:r>
                  <w:r>
                    <w:rPr>
                      <w:rFonts w:hint="default" w:ascii="Times New Roman" w:hAnsi="Times New Roman" w:eastAsia="宋体" w:cs="Times New Roman"/>
                      <w:b w:val="0"/>
                      <w:bCs/>
                      <w:color w:val="auto"/>
                      <w:kern w:val="0"/>
                      <w:szCs w:val="21"/>
                      <w:vertAlign w:val="subscript"/>
                    </w:rPr>
                    <w:t>2</w:t>
                  </w:r>
                  <w:r>
                    <w:rPr>
                      <w:rFonts w:hint="eastAsia" w:ascii="Times New Roman" w:hAnsi="Times New Roman" w:eastAsia="宋体" w:cs="Times New Roman"/>
                      <w:b w:val="0"/>
                      <w:bCs/>
                      <w:color w:val="auto"/>
                      <w:kern w:val="0"/>
                      <w:szCs w:val="21"/>
                      <w:lang w:eastAsia="zh-CN"/>
                    </w:rPr>
                    <w:t>、</w:t>
                  </w:r>
                  <w:r>
                    <w:rPr>
                      <w:rFonts w:hint="default" w:ascii="Times New Roman" w:hAnsi="Times New Roman" w:eastAsia="宋体" w:cs="Times New Roman"/>
                      <w:b w:val="0"/>
                      <w:bCs/>
                      <w:color w:val="auto"/>
                      <w:kern w:val="0"/>
                      <w:szCs w:val="21"/>
                    </w:rPr>
                    <w:t>NO</w:t>
                  </w:r>
                  <w:r>
                    <w:rPr>
                      <w:rFonts w:hint="default" w:ascii="Times New Roman" w:hAnsi="Times New Roman" w:eastAsia="宋体" w:cs="Times New Roman"/>
                      <w:b w:val="0"/>
                      <w:bCs/>
                      <w:color w:val="auto"/>
                      <w:kern w:val="0"/>
                      <w:szCs w:val="21"/>
                      <w:vertAlign w:val="subscript"/>
                    </w:rPr>
                    <w:t>2</w:t>
                  </w:r>
                  <w:r>
                    <w:rPr>
                      <w:rFonts w:hint="eastAsia" w:ascii="Times New Roman" w:hAnsi="Times New Roman" w:eastAsia="宋体" w:cs="Times New Roman"/>
                      <w:b w:val="0"/>
                      <w:bCs/>
                      <w:color w:val="auto"/>
                      <w:kern w:val="0"/>
                      <w:szCs w:val="21"/>
                      <w:lang w:val="en-US" w:eastAsia="zh-CN"/>
                    </w:rPr>
                    <w:t>、</w:t>
                  </w:r>
                  <w:r>
                    <w:rPr>
                      <w:rFonts w:hint="default" w:ascii="Times New Roman" w:hAnsi="Times New Roman" w:eastAsia="宋体" w:cs="Times New Roman"/>
                      <w:b w:val="0"/>
                      <w:bCs/>
                      <w:color w:val="auto"/>
                      <w:kern w:val="0"/>
                      <w:szCs w:val="21"/>
                    </w:rPr>
                    <w:t>PM</w:t>
                  </w:r>
                  <w:r>
                    <w:rPr>
                      <w:rFonts w:hint="default" w:ascii="Times New Roman" w:hAnsi="Times New Roman" w:eastAsia="宋体" w:cs="Times New Roman"/>
                      <w:b w:val="0"/>
                      <w:bCs/>
                      <w:color w:val="auto"/>
                      <w:kern w:val="0"/>
                      <w:szCs w:val="21"/>
                      <w:vertAlign w:val="subscript"/>
                    </w:rPr>
                    <w:t>10</w:t>
                  </w:r>
                  <w:r>
                    <w:rPr>
                      <w:rFonts w:hint="eastAsia" w:ascii="Times New Roman" w:hAnsi="Times New Roman" w:eastAsia="宋体" w:cs="Times New Roman"/>
                      <w:b w:val="0"/>
                      <w:bCs/>
                      <w:color w:val="auto"/>
                      <w:kern w:val="0"/>
                      <w:szCs w:val="21"/>
                      <w:lang w:eastAsia="zh-CN"/>
                    </w:rPr>
                    <w:t>、</w:t>
                  </w:r>
                  <w:r>
                    <w:rPr>
                      <w:rFonts w:hint="default" w:ascii="Times New Roman" w:hAnsi="Times New Roman" w:eastAsia="宋体" w:cs="Times New Roman"/>
                      <w:b w:val="0"/>
                      <w:bCs/>
                      <w:color w:val="auto"/>
                      <w:kern w:val="0"/>
                      <w:szCs w:val="21"/>
                    </w:rPr>
                    <w:t>PM</w:t>
                  </w:r>
                  <w:r>
                    <w:rPr>
                      <w:rFonts w:hint="default" w:ascii="Times New Roman" w:hAnsi="Times New Roman" w:eastAsia="宋体" w:cs="Times New Roman"/>
                      <w:b w:val="0"/>
                      <w:bCs/>
                      <w:color w:val="auto"/>
                      <w:kern w:val="0"/>
                      <w:szCs w:val="21"/>
                      <w:vertAlign w:val="subscript"/>
                    </w:rPr>
                    <w:t>2.5</w:t>
                  </w:r>
                  <w:r>
                    <w:rPr>
                      <w:rFonts w:hint="eastAsia" w:ascii="Times New Roman" w:hAnsi="Times New Roman" w:eastAsia="宋体" w:cs="Times New Roman"/>
                      <w:b w:val="0"/>
                      <w:bCs/>
                      <w:color w:val="auto"/>
                      <w:kern w:val="0"/>
                      <w:szCs w:val="21"/>
                      <w:lang w:eastAsia="zh-CN"/>
                    </w:rPr>
                    <w:t>、</w:t>
                  </w:r>
                  <w:r>
                    <w:rPr>
                      <w:rFonts w:hint="default" w:ascii="Times New Roman" w:hAnsi="Times New Roman" w:eastAsia="宋体" w:cs="Times New Roman"/>
                      <w:b w:val="0"/>
                      <w:bCs/>
                      <w:color w:val="auto"/>
                      <w:kern w:val="0"/>
                      <w:szCs w:val="21"/>
                    </w:rPr>
                    <w:t>CO</w:t>
                  </w:r>
                  <w:r>
                    <w:rPr>
                      <w:rFonts w:hint="eastAsia" w:ascii="Times New Roman" w:hAnsi="Times New Roman" w:eastAsia="宋体" w:cs="Times New Roman"/>
                      <w:b w:val="0"/>
                      <w:bCs/>
                      <w:color w:val="auto"/>
                      <w:kern w:val="0"/>
                      <w:szCs w:val="21"/>
                      <w:lang w:eastAsia="zh-CN"/>
                    </w:rPr>
                    <w:t>、</w:t>
                  </w:r>
                  <w:r>
                    <w:rPr>
                      <w:rFonts w:hint="default" w:ascii="Times New Roman" w:hAnsi="Times New Roman" w:eastAsia="宋体" w:cs="Times New Roman"/>
                      <w:b w:val="0"/>
                      <w:bCs/>
                      <w:color w:val="auto"/>
                      <w:kern w:val="0"/>
                      <w:szCs w:val="21"/>
                    </w:rPr>
                    <w:t>O</w:t>
                  </w:r>
                  <w:r>
                    <w:rPr>
                      <w:rFonts w:hint="default" w:ascii="Times New Roman" w:hAnsi="Times New Roman" w:eastAsia="宋体" w:cs="Times New Roman"/>
                      <w:b w:val="0"/>
                      <w:bCs/>
                      <w:color w:val="auto"/>
                      <w:kern w:val="0"/>
                      <w:szCs w:val="21"/>
                      <w:vertAlign w:val="subscript"/>
                    </w:rPr>
                    <w:t>3</w:t>
                  </w:r>
                </w:p>
              </w:tc>
              <w:tc>
                <w:tcPr>
                  <w:tcW w:w="2793" w:type="dxa"/>
                  <w:noWrap/>
                  <w:vAlign w:val="center"/>
                </w:tcPr>
                <w:p w14:paraId="750C7B1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lang w:val="en-US" w:eastAsia="zh-CN"/>
                    </w:rPr>
                  </w:pPr>
                  <w:r>
                    <w:rPr>
                      <w:rFonts w:hint="eastAsia" w:ascii="Times New Roman" w:hAnsi="Times New Roman" w:eastAsia="宋体" w:cs="Times New Roman"/>
                      <w:b w:val="0"/>
                      <w:bCs/>
                      <w:color w:val="auto"/>
                      <w:kern w:val="0"/>
                      <w:szCs w:val="21"/>
                      <w:lang w:val="en-US" w:eastAsia="zh-CN"/>
                    </w:rPr>
                    <w:t>颗粒物（TSP）</w:t>
                  </w:r>
                </w:p>
              </w:tc>
              <w:tc>
                <w:tcPr>
                  <w:tcW w:w="866" w:type="dxa"/>
                  <w:noWrap/>
                  <w:vAlign w:val="center"/>
                </w:tcPr>
                <w:p w14:paraId="17CDAD1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lang w:val="en-US" w:eastAsia="zh-CN"/>
                    </w:rPr>
                  </w:pPr>
                  <w:r>
                    <w:rPr>
                      <w:rFonts w:hint="default" w:ascii="Times New Roman" w:hAnsi="Times New Roman" w:eastAsia="宋体" w:cs="Times New Roman"/>
                      <w:b w:val="0"/>
                      <w:bCs/>
                      <w:color w:val="auto"/>
                      <w:kern w:val="0"/>
                      <w:szCs w:val="21"/>
                    </w:rPr>
                    <w:t>mg/</w:t>
                  </w:r>
                  <w:r>
                    <w:rPr>
                      <w:rFonts w:hint="eastAsia" w:ascii="Times New Roman" w:hAnsi="Times New Roman" w:eastAsia="宋体" w:cs="Times New Roman"/>
                      <w:b w:val="0"/>
                      <w:bCs/>
                      <w:color w:val="auto"/>
                      <w:kern w:val="0"/>
                      <w:szCs w:val="21"/>
                      <w:lang w:val="en-US" w:eastAsia="zh-CN"/>
                    </w:rPr>
                    <w:t>m</w:t>
                  </w:r>
                  <w:r>
                    <w:rPr>
                      <w:rFonts w:hint="eastAsia" w:ascii="Times New Roman" w:hAnsi="Times New Roman" w:eastAsia="宋体" w:cs="Times New Roman"/>
                      <w:b w:val="0"/>
                      <w:bCs/>
                      <w:color w:val="auto"/>
                      <w:kern w:val="0"/>
                      <w:szCs w:val="21"/>
                      <w:vertAlign w:val="subscript"/>
                      <w:lang w:val="en-US" w:eastAsia="zh-CN"/>
                    </w:rPr>
                    <w:t>3</w:t>
                  </w:r>
                </w:p>
              </w:tc>
            </w:tr>
            <w:tr w14:paraId="0B135E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8" w:type="dxa"/>
                  <w:vMerge w:val="continue"/>
                  <w:noWrap/>
                  <w:vAlign w:val="center"/>
                </w:tcPr>
                <w:p w14:paraId="77E40AF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p>
              </w:tc>
              <w:tc>
                <w:tcPr>
                  <w:tcW w:w="1157" w:type="dxa"/>
                  <w:noWrap/>
                  <w:vAlign w:val="center"/>
                </w:tcPr>
                <w:p w14:paraId="1CFD4B6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kern w:val="0"/>
                      <w:szCs w:val="21"/>
                      <w:lang w:val="en-US" w:eastAsia="zh-CN"/>
                    </w:rPr>
                  </w:pPr>
                  <w:r>
                    <w:rPr>
                      <w:rFonts w:hint="eastAsia" w:ascii="Times New Roman" w:hAnsi="Times New Roman" w:eastAsia="宋体" w:cs="Times New Roman"/>
                      <w:b w:val="0"/>
                      <w:bCs/>
                      <w:color w:val="auto"/>
                      <w:kern w:val="0"/>
                      <w:szCs w:val="21"/>
                      <w:lang w:val="en-US" w:eastAsia="zh-CN"/>
                    </w:rPr>
                    <w:t>固废</w:t>
                  </w:r>
                </w:p>
              </w:tc>
              <w:tc>
                <w:tcPr>
                  <w:tcW w:w="2719" w:type="dxa"/>
                  <w:noWrap/>
                  <w:vAlign w:val="center"/>
                </w:tcPr>
                <w:p w14:paraId="218BF7C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kern w:val="0"/>
                      <w:szCs w:val="21"/>
                      <w:lang w:eastAsia="zh-CN"/>
                    </w:rPr>
                  </w:pPr>
                  <w:r>
                    <w:rPr>
                      <w:rFonts w:hint="default" w:ascii="Times New Roman" w:hAnsi="Times New Roman" w:eastAsia="宋体" w:cs="Times New Roman"/>
                      <w:b w:val="0"/>
                      <w:bCs/>
                      <w:color w:val="auto"/>
                      <w:kern w:val="0"/>
                      <w:szCs w:val="21"/>
                    </w:rPr>
                    <w:t>/</w:t>
                  </w:r>
                </w:p>
              </w:tc>
              <w:tc>
                <w:tcPr>
                  <w:tcW w:w="2793" w:type="dxa"/>
                  <w:noWrap/>
                  <w:vAlign w:val="center"/>
                </w:tcPr>
                <w:p w14:paraId="427DF3E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lang w:val="en-US" w:eastAsia="zh-CN"/>
                    </w:rPr>
                  </w:pPr>
                  <w:r>
                    <w:rPr>
                      <w:rFonts w:hint="eastAsia" w:ascii="Times New Roman" w:hAnsi="Times New Roman" w:eastAsia="宋体" w:cs="Times New Roman"/>
                      <w:b w:val="0"/>
                      <w:bCs/>
                      <w:color w:val="auto"/>
                      <w:kern w:val="0"/>
                      <w:szCs w:val="21"/>
                      <w:lang w:val="en-US" w:eastAsia="zh-CN"/>
                    </w:rPr>
                    <w:t>废土石方、生活垃圾、建筑垃圾等</w:t>
                  </w:r>
                </w:p>
              </w:tc>
              <w:tc>
                <w:tcPr>
                  <w:tcW w:w="866" w:type="dxa"/>
                  <w:noWrap/>
                  <w:vAlign w:val="center"/>
                </w:tcPr>
                <w:p w14:paraId="70142D6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p>
              </w:tc>
            </w:tr>
            <w:tr w14:paraId="2E3209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8" w:type="dxa"/>
                  <w:vMerge w:val="restart"/>
                  <w:noWrap/>
                  <w:vAlign w:val="center"/>
                </w:tcPr>
                <w:p w14:paraId="6B0476C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运行期</w:t>
                  </w:r>
                </w:p>
              </w:tc>
              <w:tc>
                <w:tcPr>
                  <w:tcW w:w="1157" w:type="dxa"/>
                  <w:vMerge w:val="restart"/>
                  <w:noWrap/>
                  <w:vAlign w:val="center"/>
                </w:tcPr>
                <w:p w14:paraId="17AAF47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电磁环境</w:t>
                  </w:r>
                </w:p>
              </w:tc>
              <w:tc>
                <w:tcPr>
                  <w:tcW w:w="2719" w:type="dxa"/>
                  <w:noWrap/>
                  <w:vAlign w:val="center"/>
                </w:tcPr>
                <w:p w14:paraId="100FBF7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工频电场</w:t>
                  </w:r>
                </w:p>
              </w:tc>
              <w:tc>
                <w:tcPr>
                  <w:tcW w:w="2793" w:type="dxa"/>
                  <w:noWrap/>
                  <w:vAlign w:val="center"/>
                </w:tcPr>
                <w:p w14:paraId="05F5F2D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工频电场</w:t>
                  </w:r>
                </w:p>
              </w:tc>
              <w:tc>
                <w:tcPr>
                  <w:tcW w:w="866" w:type="dxa"/>
                  <w:noWrap/>
                  <w:vAlign w:val="center"/>
                </w:tcPr>
                <w:p w14:paraId="109D26C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lang w:eastAsia="zh-CN"/>
                    </w:rPr>
                    <w:t>kV</w:t>
                  </w:r>
                  <w:r>
                    <w:rPr>
                      <w:rFonts w:hint="default" w:ascii="Times New Roman" w:hAnsi="Times New Roman" w:eastAsia="宋体" w:cs="Times New Roman"/>
                      <w:b w:val="0"/>
                      <w:bCs/>
                      <w:color w:val="auto"/>
                      <w:kern w:val="0"/>
                      <w:szCs w:val="21"/>
                    </w:rPr>
                    <w:t>/m</w:t>
                  </w:r>
                </w:p>
              </w:tc>
            </w:tr>
            <w:tr w14:paraId="494CC8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8" w:type="dxa"/>
                  <w:vMerge w:val="continue"/>
                  <w:noWrap w:val="0"/>
                  <w:vAlign w:val="center"/>
                </w:tcPr>
                <w:p w14:paraId="2A20E76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p>
              </w:tc>
              <w:tc>
                <w:tcPr>
                  <w:tcW w:w="1157" w:type="dxa"/>
                  <w:vMerge w:val="continue"/>
                  <w:noWrap w:val="0"/>
                  <w:vAlign w:val="center"/>
                </w:tcPr>
                <w:p w14:paraId="454A0E7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p>
              </w:tc>
              <w:tc>
                <w:tcPr>
                  <w:tcW w:w="2719" w:type="dxa"/>
                  <w:noWrap/>
                  <w:vAlign w:val="center"/>
                </w:tcPr>
                <w:p w14:paraId="60053FD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工频磁场</w:t>
                  </w:r>
                </w:p>
              </w:tc>
              <w:tc>
                <w:tcPr>
                  <w:tcW w:w="2793" w:type="dxa"/>
                  <w:noWrap/>
                  <w:vAlign w:val="center"/>
                </w:tcPr>
                <w:p w14:paraId="39CEFA9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工频磁场</w:t>
                  </w:r>
                </w:p>
              </w:tc>
              <w:tc>
                <w:tcPr>
                  <w:tcW w:w="866" w:type="dxa"/>
                  <w:noWrap/>
                  <w:vAlign w:val="center"/>
                </w:tcPr>
                <w:p w14:paraId="267A1A3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μT</w:t>
                  </w:r>
                </w:p>
              </w:tc>
            </w:tr>
            <w:tr w14:paraId="51B41B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8" w:type="dxa"/>
                  <w:vMerge w:val="continue"/>
                  <w:noWrap w:val="0"/>
                  <w:vAlign w:val="center"/>
                </w:tcPr>
                <w:p w14:paraId="1671CC6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p>
              </w:tc>
              <w:tc>
                <w:tcPr>
                  <w:tcW w:w="1157" w:type="dxa"/>
                  <w:noWrap/>
                  <w:vAlign w:val="center"/>
                </w:tcPr>
                <w:p w14:paraId="357FBF5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声环境</w:t>
                  </w:r>
                </w:p>
              </w:tc>
              <w:tc>
                <w:tcPr>
                  <w:tcW w:w="2719" w:type="dxa"/>
                  <w:noWrap/>
                  <w:vAlign w:val="center"/>
                </w:tcPr>
                <w:p w14:paraId="79DF315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昼间、夜间等效声级，Leq</w:t>
                  </w:r>
                </w:p>
              </w:tc>
              <w:tc>
                <w:tcPr>
                  <w:tcW w:w="2793" w:type="dxa"/>
                  <w:noWrap/>
                  <w:vAlign w:val="center"/>
                </w:tcPr>
                <w:p w14:paraId="29D2EC0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r>
                    <w:rPr>
                      <w:rFonts w:hint="default" w:ascii="Times New Roman" w:hAnsi="Times New Roman" w:eastAsia="宋体" w:cs="Times New Roman"/>
                      <w:b w:val="0"/>
                      <w:bCs/>
                      <w:color w:val="auto"/>
                      <w:kern w:val="0"/>
                      <w:szCs w:val="21"/>
                    </w:rPr>
                    <w:t>昼间、夜间等效声级，Leq</w:t>
                  </w:r>
                </w:p>
              </w:tc>
              <w:tc>
                <w:tcPr>
                  <w:tcW w:w="866" w:type="dxa"/>
                  <w:noWrap/>
                  <w:vAlign w:val="center"/>
                </w:tcPr>
                <w:p w14:paraId="1B24517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lang w:eastAsia="zh-CN"/>
                    </w:rPr>
                  </w:pPr>
                  <w:r>
                    <w:rPr>
                      <w:rFonts w:hint="default" w:ascii="Times New Roman" w:hAnsi="Times New Roman" w:eastAsia="宋体" w:cs="Times New Roman"/>
                      <w:b w:val="0"/>
                      <w:bCs/>
                      <w:color w:val="auto"/>
                      <w:kern w:val="0"/>
                      <w:szCs w:val="21"/>
                    </w:rPr>
                    <w:t>dB</w:t>
                  </w:r>
                  <w:r>
                    <w:rPr>
                      <w:rFonts w:hint="eastAsia" w:ascii="Times New Roman" w:hAnsi="Times New Roman" w:eastAsia="宋体" w:cs="Times New Roman"/>
                      <w:b w:val="0"/>
                      <w:bCs/>
                      <w:color w:val="auto"/>
                      <w:kern w:val="0"/>
                      <w:szCs w:val="21"/>
                      <w:lang w:eastAsia="zh-CN"/>
                    </w:rPr>
                    <w:t>(</w:t>
                  </w:r>
                  <w:r>
                    <w:rPr>
                      <w:rFonts w:hint="default" w:ascii="Times New Roman" w:hAnsi="Times New Roman" w:eastAsia="宋体" w:cs="Times New Roman"/>
                      <w:b w:val="0"/>
                      <w:bCs/>
                      <w:color w:val="auto"/>
                      <w:kern w:val="0"/>
                      <w:szCs w:val="21"/>
                    </w:rPr>
                    <w:t>A</w:t>
                  </w:r>
                  <w:r>
                    <w:rPr>
                      <w:rFonts w:hint="eastAsia" w:ascii="Times New Roman" w:hAnsi="Times New Roman" w:eastAsia="宋体" w:cs="Times New Roman"/>
                      <w:b w:val="0"/>
                      <w:bCs/>
                      <w:color w:val="auto"/>
                      <w:kern w:val="0"/>
                      <w:szCs w:val="21"/>
                      <w:lang w:eastAsia="zh-CN"/>
                    </w:rPr>
                    <w:t>)</w:t>
                  </w:r>
                </w:p>
              </w:tc>
            </w:tr>
            <w:tr w14:paraId="23877D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8" w:type="dxa"/>
                  <w:vMerge w:val="continue"/>
                  <w:noWrap w:val="0"/>
                  <w:vAlign w:val="center"/>
                </w:tcPr>
                <w:p w14:paraId="1327800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p>
              </w:tc>
              <w:tc>
                <w:tcPr>
                  <w:tcW w:w="1157" w:type="dxa"/>
                  <w:noWrap/>
                  <w:vAlign w:val="center"/>
                </w:tcPr>
                <w:p w14:paraId="6133751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lang w:val="en-US" w:eastAsia="zh-CN"/>
                    </w:rPr>
                  </w:pPr>
                  <w:r>
                    <w:rPr>
                      <w:rFonts w:hint="eastAsia" w:ascii="Times New Roman" w:hAnsi="Times New Roman" w:eastAsia="宋体" w:cs="Times New Roman"/>
                      <w:b w:val="0"/>
                      <w:bCs/>
                      <w:color w:val="auto"/>
                      <w:kern w:val="0"/>
                      <w:szCs w:val="21"/>
                      <w:lang w:val="en-US" w:eastAsia="zh-CN"/>
                    </w:rPr>
                    <w:t>固废</w:t>
                  </w:r>
                </w:p>
              </w:tc>
              <w:tc>
                <w:tcPr>
                  <w:tcW w:w="2719" w:type="dxa"/>
                  <w:noWrap/>
                  <w:vAlign w:val="center"/>
                </w:tcPr>
                <w:p w14:paraId="1C41695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lang w:val="en-US" w:eastAsia="zh-CN"/>
                    </w:rPr>
                  </w:pPr>
                  <w:r>
                    <w:rPr>
                      <w:rFonts w:hint="eastAsia" w:ascii="Times New Roman" w:hAnsi="Times New Roman" w:eastAsia="宋体" w:cs="Times New Roman"/>
                      <w:b w:val="0"/>
                      <w:bCs/>
                      <w:color w:val="auto"/>
                      <w:kern w:val="0"/>
                      <w:szCs w:val="21"/>
                      <w:lang w:val="en-US" w:eastAsia="zh-CN"/>
                    </w:rPr>
                    <w:t>/</w:t>
                  </w:r>
                </w:p>
              </w:tc>
              <w:tc>
                <w:tcPr>
                  <w:tcW w:w="2793" w:type="dxa"/>
                  <w:noWrap/>
                  <w:vAlign w:val="center"/>
                </w:tcPr>
                <w:p w14:paraId="5ACD121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lang w:val="en-US" w:eastAsia="zh-CN"/>
                    </w:rPr>
                  </w:pPr>
                  <w:r>
                    <w:rPr>
                      <w:rFonts w:hint="default" w:ascii="Times New Roman" w:hAnsi="Times New Roman" w:eastAsia="宋体" w:cs="Times New Roman"/>
                      <w:b w:val="0"/>
                      <w:bCs/>
                      <w:color w:val="auto"/>
                      <w:kern w:val="0"/>
                      <w:szCs w:val="21"/>
                    </w:rPr>
                    <w:t>生活垃圾、废旧材料</w:t>
                  </w:r>
                </w:p>
              </w:tc>
              <w:tc>
                <w:tcPr>
                  <w:tcW w:w="866" w:type="dxa"/>
                  <w:noWrap/>
                  <w:vAlign w:val="center"/>
                </w:tcPr>
                <w:p w14:paraId="5EF09FB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lang w:val="en-US" w:eastAsia="zh-CN"/>
                    </w:rPr>
                  </w:pPr>
                </w:p>
              </w:tc>
            </w:tr>
            <w:tr w14:paraId="73D783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8" w:type="dxa"/>
                  <w:vMerge w:val="continue"/>
                  <w:noWrap w:val="0"/>
                  <w:vAlign w:val="center"/>
                </w:tcPr>
                <w:p w14:paraId="7155C06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p>
              </w:tc>
              <w:tc>
                <w:tcPr>
                  <w:tcW w:w="1157" w:type="dxa"/>
                  <w:noWrap/>
                  <w:vAlign w:val="center"/>
                </w:tcPr>
                <w:p w14:paraId="087ABAD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lang w:val="en-US" w:eastAsia="zh-CN"/>
                    </w:rPr>
                  </w:pPr>
                  <w:r>
                    <w:rPr>
                      <w:rFonts w:hint="eastAsia" w:ascii="Times New Roman" w:hAnsi="Times New Roman" w:eastAsia="宋体" w:cs="Times New Roman"/>
                      <w:b w:val="0"/>
                      <w:bCs/>
                      <w:color w:val="auto"/>
                      <w:kern w:val="0"/>
                      <w:szCs w:val="21"/>
                      <w:lang w:val="en-US" w:eastAsia="zh-CN"/>
                    </w:rPr>
                    <w:t>生态环境</w:t>
                  </w:r>
                </w:p>
              </w:tc>
              <w:tc>
                <w:tcPr>
                  <w:tcW w:w="2719" w:type="dxa"/>
                  <w:noWrap/>
                  <w:vAlign w:val="center"/>
                </w:tcPr>
                <w:p w14:paraId="1CAB22A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kern w:val="0"/>
                      <w:szCs w:val="21"/>
                      <w:lang w:val="en-US" w:eastAsia="zh-CN"/>
                    </w:rPr>
                  </w:pPr>
                  <w:r>
                    <w:rPr>
                      <w:rFonts w:hint="default" w:ascii="Times New Roman" w:hAnsi="Times New Roman" w:eastAsia="宋体" w:cs="Times New Roman"/>
                      <w:b w:val="0"/>
                      <w:bCs/>
                      <w:color w:val="auto"/>
                      <w:kern w:val="0"/>
                      <w:szCs w:val="21"/>
                    </w:rPr>
                    <w:t>生态系统及其生物因子、非生物因子</w:t>
                  </w:r>
                </w:p>
              </w:tc>
              <w:tc>
                <w:tcPr>
                  <w:tcW w:w="2793" w:type="dxa"/>
                  <w:noWrap/>
                  <w:vAlign w:val="center"/>
                </w:tcPr>
                <w:p w14:paraId="3E51AEC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lang w:val="en-US" w:eastAsia="zh-CN"/>
                    </w:rPr>
                  </w:pPr>
                  <w:r>
                    <w:rPr>
                      <w:rFonts w:hint="default" w:ascii="Times New Roman" w:hAnsi="Times New Roman" w:eastAsia="宋体" w:cs="Times New Roman"/>
                      <w:b w:val="0"/>
                      <w:bCs/>
                      <w:color w:val="auto"/>
                      <w:kern w:val="0"/>
                      <w:szCs w:val="21"/>
                    </w:rPr>
                    <w:t>生态系统及其生物因子、非生物因子</w:t>
                  </w:r>
                </w:p>
              </w:tc>
              <w:tc>
                <w:tcPr>
                  <w:tcW w:w="866" w:type="dxa"/>
                  <w:noWrap/>
                  <w:vAlign w:val="center"/>
                </w:tcPr>
                <w:p w14:paraId="417D8F0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0"/>
                      <w:szCs w:val="21"/>
                    </w:rPr>
                  </w:pPr>
                </w:p>
              </w:tc>
            </w:tr>
          </w:tbl>
          <w:p w14:paraId="502E4CAF">
            <w:pPr>
              <w:keepNext w:val="0"/>
              <w:keepLines w:val="0"/>
              <w:pageBreakBefore w:val="0"/>
              <w:widowControl w:val="0"/>
              <w:kinsoku/>
              <w:wordWrap/>
              <w:overflowPunct/>
              <w:topLinePunct w:val="0"/>
              <w:autoSpaceDE/>
              <w:autoSpaceDN/>
              <w:bidi w:val="0"/>
              <w:adjustRightInd w:val="0"/>
              <w:snapToGrid w:val="0"/>
              <w:spacing w:line="440" w:lineRule="exact"/>
              <w:ind w:firstLine="0"/>
              <w:textAlignment w:val="auto"/>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3.</w:t>
            </w:r>
            <w:r>
              <w:rPr>
                <w:rFonts w:hint="eastAsia" w:ascii="Times New Roman" w:hAnsi="Times New Roman" w:cs="Times New Roman"/>
                <w:b/>
                <w:color w:val="auto"/>
                <w:sz w:val="24"/>
                <w:szCs w:val="24"/>
                <w:lang w:val="en-US" w:eastAsia="zh-CN"/>
              </w:rPr>
              <w:t>7</w:t>
            </w:r>
            <w:r>
              <w:rPr>
                <w:rFonts w:hint="default" w:ascii="Times New Roman" w:hAnsi="Times New Roman" w:cs="Times New Roman"/>
                <w:b/>
                <w:color w:val="auto"/>
                <w:sz w:val="24"/>
                <w:szCs w:val="24"/>
              </w:rPr>
              <w:t>.1.</w:t>
            </w:r>
            <w:r>
              <w:rPr>
                <w:rFonts w:hint="eastAsia" w:ascii="Times New Roman" w:hAnsi="Times New Roman" w:cs="Times New Roman"/>
                <w:b/>
                <w:color w:val="auto"/>
                <w:sz w:val="24"/>
                <w:szCs w:val="24"/>
                <w:lang w:val="en-US" w:eastAsia="zh-CN"/>
              </w:rPr>
              <w:t>2</w:t>
            </w:r>
            <w:r>
              <w:rPr>
                <w:rFonts w:hint="default" w:ascii="Times New Roman" w:hAnsi="Times New Roman" w:cs="Times New Roman"/>
                <w:b/>
                <w:color w:val="auto"/>
                <w:sz w:val="24"/>
                <w:szCs w:val="24"/>
              </w:rPr>
              <w:t>评价范围</w:t>
            </w:r>
          </w:p>
          <w:p w14:paraId="35776A43">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表3-</w:t>
            </w:r>
            <w:r>
              <w:rPr>
                <w:rFonts w:hint="eastAsia" w:ascii="Times New Roman" w:hAnsi="Times New Roman" w:cs="Times New Roman"/>
                <w:b/>
                <w:color w:val="auto"/>
                <w:sz w:val="24"/>
                <w:szCs w:val="24"/>
                <w:lang w:val="en-US" w:eastAsia="zh-CN"/>
              </w:rPr>
              <w:t>9</w:t>
            </w:r>
            <w:r>
              <w:rPr>
                <w:rFonts w:hint="default" w:ascii="Times New Roman" w:hAnsi="Times New Roman" w:cs="Times New Roman"/>
                <w:b/>
                <w:color w:val="auto"/>
                <w:sz w:val="24"/>
                <w:szCs w:val="24"/>
              </w:rPr>
              <w:t xml:space="preserve">  环境影响评价范围</w:t>
            </w:r>
          </w:p>
          <w:tbl>
            <w:tblPr>
              <w:tblStyle w:val="3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3"/>
              <w:gridCol w:w="958"/>
              <w:gridCol w:w="727"/>
              <w:gridCol w:w="5823"/>
            </w:tblGrid>
            <w:tr w14:paraId="6D9081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6" w:type="pct"/>
                  <w:noWrap/>
                  <w:vAlign w:val="center"/>
                </w:tcPr>
                <w:p w14:paraId="2129670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color w:val="auto"/>
                      <w:kern w:val="0"/>
                      <w:szCs w:val="21"/>
                    </w:rPr>
                  </w:pPr>
                  <w:r>
                    <w:rPr>
                      <w:rFonts w:hint="default" w:ascii="Times New Roman" w:hAnsi="Times New Roman" w:cs="Times New Roman"/>
                      <w:b/>
                      <w:color w:val="auto"/>
                      <w:kern w:val="0"/>
                      <w:szCs w:val="21"/>
                    </w:rPr>
                    <w:t>分类</w:t>
                  </w:r>
                </w:p>
              </w:tc>
              <w:tc>
                <w:tcPr>
                  <w:tcW w:w="1017" w:type="pct"/>
                  <w:gridSpan w:val="2"/>
                  <w:noWrap/>
                  <w:vAlign w:val="center"/>
                </w:tcPr>
                <w:p w14:paraId="3E52AE2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color w:val="auto"/>
                      <w:kern w:val="0"/>
                      <w:szCs w:val="21"/>
                    </w:rPr>
                  </w:pPr>
                  <w:r>
                    <w:rPr>
                      <w:rFonts w:hint="default" w:ascii="Times New Roman" w:hAnsi="Times New Roman" w:cs="Times New Roman"/>
                      <w:b/>
                      <w:color w:val="auto"/>
                      <w:kern w:val="0"/>
                      <w:szCs w:val="21"/>
                    </w:rPr>
                    <w:t>工程</w:t>
                  </w:r>
                </w:p>
              </w:tc>
              <w:tc>
                <w:tcPr>
                  <w:tcW w:w="3515" w:type="pct"/>
                  <w:noWrap w:val="0"/>
                  <w:vAlign w:val="center"/>
                </w:tcPr>
                <w:p w14:paraId="4CF0148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color w:val="auto"/>
                      <w:kern w:val="0"/>
                      <w:szCs w:val="21"/>
                    </w:rPr>
                  </w:pPr>
                  <w:r>
                    <w:rPr>
                      <w:rFonts w:hint="default" w:ascii="Times New Roman" w:hAnsi="Times New Roman" w:cs="Times New Roman"/>
                      <w:b/>
                      <w:color w:val="auto"/>
                      <w:kern w:val="0"/>
                      <w:szCs w:val="21"/>
                    </w:rPr>
                    <w:t>评价范围</w:t>
                  </w:r>
                </w:p>
              </w:tc>
            </w:tr>
            <w:tr w14:paraId="57EA7B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6" w:type="pct"/>
                  <w:vMerge w:val="restart"/>
                  <w:noWrap/>
                  <w:vAlign w:val="center"/>
                </w:tcPr>
                <w:p w14:paraId="04811F1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r>
                    <w:rPr>
                      <w:rFonts w:hint="eastAsia" w:ascii="Times New Roman" w:hAnsi="Times New Roman" w:cs="Times New Roman"/>
                      <w:color w:val="auto"/>
                      <w:kern w:val="0"/>
                      <w:szCs w:val="21"/>
                      <w:lang w:val="en-US" w:eastAsia="zh-CN"/>
                    </w:rPr>
                    <w:t>110kV</w:t>
                  </w:r>
                  <w:r>
                    <w:rPr>
                      <w:rFonts w:hint="default" w:ascii="Times New Roman" w:hAnsi="Times New Roman" w:cs="Times New Roman"/>
                      <w:color w:val="auto"/>
                      <w:kern w:val="0"/>
                      <w:szCs w:val="21"/>
                    </w:rPr>
                    <w:t>交流</w:t>
                  </w:r>
                </w:p>
              </w:tc>
              <w:tc>
                <w:tcPr>
                  <w:tcW w:w="578" w:type="pct"/>
                  <w:noWrap/>
                  <w:vAlign w:val="center"/>
                </w:tcPr>
                <w:p w14:paraId="4D050D2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电磁环境影响</w:t>
                  </w:r>
                </w:p>
              </w:tc>
              <w:tc>
                <w:tcPr>
                  <w:tcW w:w="438" w:type="pct"/>
                  <w:noWrap/>
                  <w:vAlign w:val="center"/>
                </w:tcPr>
                <w:p w14:paraId="0A2A57A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架空线路</w:t>
                  </w:r>
                </w:p>
              </w:tc>
              <w:tc>
                <w:tcPr>
                  <w:tcW w:w="3515" w:type="pct"/>
                  <w:noWrap w:val="0"/>
                  <w:vAlign w:val="center"/>
                </w:tcPr>
                <w:p w14:paraId="0221C1EB">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边导线地面投影外两侧各30m</w:t>
                  </w:r>
                </w:p>
              </w:tc>
            </w:tr>
            <w:tr w14:paraId="38CAC7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6" w:type="pct"/>
                  <w:vMerge w:val="continue"/>
                  <w:noWrap w:val="0"/>
                  <w:vAlign w:val="center"/>
                </w:tcPr>
                <w:p w14:paraId="41762A9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p>
              </w:tc>
              <w:tc>
                <w:tcPr>
                  <w:tcW w:w="1017" w:type="pct"/>
                  <w:gridSpan w:val="2"/>
                  <w:noWrap/>
                  <w:vAlign w:val="center"/>
                </w:tcPr>
                <w:p w14:paraId="77E043E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声环境影响</w:t>
                  </w:r>
                </w:p>
              </w:tc>
              <w:tc>
                <w:tcPr>
                  <w:tcW w:w="3515" w:type="pct"/>
                  <w:noWrap w:val="0"/>
                  <w:vAlign w:val="center"/>
                </w:tcPr>
                <w:p w14:paraId="26CCC9CB">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输电线路：边导线地面投影外两侧各30m。</w:t>
                  </w:r>
                </w:p>
              </w:tc>
            </w:tr>
            <w:tr w14:paraId="4AA16F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6" w:type="pct"/>
                  <w:vMerge w:val="continue"/>
                  <w:noWrap w:val="0"/>
                  <w:vAlign w:val="center"/>
                </w:tcPr>
                <w:p w14:paraId="26BD1B4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p>
              </w:tc>
              <w:tc>
                <w:tcPr>
                  <w:tcW w:w="1017" w:type="pct"/>
                  <w:gridSpan w:val="2"/>
                  <w:noWrap/>
                  <w:vAlign w:val="center"/>
                </w:tcPr>
                <w:p w14:paraId="2DDE3C5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生态环境影响</w:t>
                  </w:r>
                </w:p>
              </w:tc>
              <w:tc>
                <w:tcPr>
                  <w:tcW w:w="3515" w:type="pct"/>
                  <w:noWrap w:val="0"/>
                  <w:vAlign w:val="center"/>
                </w:tcPr>
                <w:p w14:paraId="0F67A2A2">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cs="Times New Roman"/>
                      <w:color w:val="auto"/>
                      <w:kern w:val="0"/>
                      <w:szCs w:val="21"/>
                    </w:rPr>
                    <w:t>输电线路：边导线地面投影外两侧各300m内的带状区域。</w:t>
                  </w:r>
                  <w:r>
                    <w:rPr>
                      <w:rFonts w:hint="eastAsia" w:ascii="Times New Roman" w:hAnsi="Times New Roman" w:cs="Times New Roman"/>
                      <w:color w:val="auto"/>
                      <w:kern w:val="0"/>
                      <w:szCs w:val="21"/>
                      <w:lang w:val="en-US" w:eastAsia="zh-CN"/>
                    </w:rPr>
                    <w:t>N7-N8涉及跨越生态保护红线段边导线地面投影外两侧及两端外延1000m的区域。</w:t>
                  </w:r>
                </w:p>
              </w:tc>
            </w:tr>
          </w:tbl>
          <w:p w14:paraId="594EBC36">
            <w:pPr>
              <w:keepNext w:val="0"/>
              <w:keepLines w:val="0"/>
              <w:pageBreakBefore w:val="0"/>
              <w:widowControl w:val="0"/>
              <w:kinsoku/>
              <w:wordWrap/>
              <w:overflowPunct/>
              <w:topLinePunct w:val="0"/>
              <w:autoSpaceDE/>
              <w:autoSpaceDN/>
              <w:bidi w:val="0"/>
              <w:adjustRightInd w:val="0"/>
              <w:snapToGrid w:val="0"/>
              <w:spacing w:line="440" w:lineRule="exact"/>
              <w:ind w:firstLine="241"/>
              <w:textAlignment w:val="auto"/>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rPr>
              <w:t>3.</w:t>
            </w:r>
            <w:r>
              <w:rPr>
                <w:rFonts w:hint="default" w:ascii="Times New Roman" w:hAnsi="Times New Roman" w:eastAsia="宋体" w:cs="Times New Roman"/>
                <w:b/>
                <w:color w:val="auto"/>
                <w:sz w:val="24"/>
                <w:szCs w:val="24"/>
                <w:lang w:val="en-US" w:eastAsia="zh-CN"/>
              </w:rPr>
              <w:t>7</w:t>
            </w:r>
            <w:r>
              <w:rPr>
                <w:rFonts w:hint="default" w:ascii="Times New Roman" w:hAnsi="Times New Roman" w:eastAsia="宋体" w:cs="Times New Roman"/>
                <w:b/>
                <w:color w:val="auto"/>
                <w:sz w:val="24"/>
                <w:szCs w:val="24"/>
              </w:rPr>
              <w:t>.2</w:t>
            </w:r>
            <w:r>
              <w:rPr>
                <w:rFonts w:hint="eastAsia" w:ascii="Times New Roman" w:hAnsi="Times New Roman" w:cs="Times New Roman"/>
                <w:b/>
                <w:color w:val="auto"/>
                <w:sz w:val="24"/>
                <w:szCs w:val="24"/>
                <w:lang w:val="en-US" w:eastAsia="zh-CN"/>
              </w:rPr>
              <w:t>环境保护目标</w:t>
            </w:r>
          </w:p>
          <w:p w14:paraId="430D2D71">
            <w:pPr>
              <w:keepNext w:val="0"/>
              <w:keepLines w:val="0"/>
              <w:pageBreakBefore w:val="0"/>
              <w:widowControl w:val="0"/>
              <w:kinsoku/>
              <w:wordWrap/>
              <w:overflowPunct/>
              <w:topLinePunct w:val="0"/>
              <w:autoSpaceDE/>
              <w:autoSpaceDN/>
              <w:bidi w:val="0"/>
              <w:adjustRightInd w:val="0"/>
              <w:snapToGrid w:val="0"/>
              <w:spacing w:line="440" w:lineRule="exact"/>
              <w:ind w:firstLine="241"/>
              <w:textAlignment w:val="auto"/>
              <w:rPr>
                <w:rFonts w:hint="default" w:ascii="Times New Roman" w:hAnsi="Times New Roman" w:cs="Times New Roman"/>
                <w:b/>
                <w:color w:val="auto"/>
                <w:sz w:val="24"/>
                <w:szCs w:val="24"/>
                <w:lang w:val="en-US" w:eastAsia="zh-CN"/>
              </w:rPr>
            </w:pPr>
            <w:r>
              <w:rPr>
                <w:rFonts w:hint="eastAsia" w:ascii="Times New Roman" w:hAnsi="Times New Roman" w:cs="Times New Roman"/>
                <w:b/>
                <w:color w:val="auto"/>
                <w:sz w:val="24"/>
                <w:szCs w:val="24"/>
                <w:lang w:val="en-US" w:eastAsia="zh-CN"/>
              </w:rPr>
              <w:t>3.7.2.1生态环境保护目标</w:t>
            </w:r>
          </w:p>
          <w:p w14:paraId="44210A0C">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①生态敏感区</w:t>
            </w:r>
          </w:p>
          <w:p w14:paraId="635DDA3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根据《环境影响评价技术导则 生态影响》（HJ19-2022）中生态敏感区包括法定生态保护区域、重要生境以及其他具有重要生态功能、对保护生物多样性具有重要意义的区域。其中，法定生态保护区域包括：依据法律法规、政策等规范性文件划定或确认的国家公园、自然保护区、自然公园等自然保护地、世界自然遗产、生态保护红线等区域；重要生境包括：重要物种的天然集中分布区、栖息地，重要水生生物的产卵场、索饵场、越冬场和洄游通道，迁徙鸟类的重要繁殖地、停歇地、越冬地以及野生动物迁徙通道等。</w:t>
            </w:r>
          </w:p>
          <w:p w14:paraId="0277757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项目评价范围内不涉及重要物种及重要生境，以及其他具有重要生态功能、对保护生物多样性具有重要意义的区域，不涉及占用国家公园、自然保护区、自然公园等自然保护地、世界自然遗产，不涉及永久基本农田、基本草原、自然公园（森林公园、地质公园、海洋公园等）、重要湿地，重点保护野生动物栖息地，重点保护野生植物生长繁殖地，重要水生生物的自然产卵场、索饵场、越冬场和洄游通道，天然渔场，沙化土地封禁保护区、封闭及半封闭海域等生态敏感区。</w:t>
            </w:r>
          </w:p>
          <w:p w14:paraId="2EF0081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根据</w:t>
            </w:r>
            <w:r>
              <w:rPr>
                <w:rFonts w:hint="eastAsia" w:ascii="Times New Roman" w:hAnsi="Times New Roman" w:cs="Times New Roman"/>
                <w:color w:val="auto"/>
                <w:sz w:val="24"/>
                <w:szCs w:val="24"/>
                <w:highlight w:val="none"/>
                <w:lang w:val="en-US" w:eastAsia="zh-CN"/>
              </w:rPr>
              <w:t>2026年6月23日</w:t>
            </w:r>
            <w:r>
              <w:rPr>
                <w:rFonts w:hint="eastAsia" w:ascii="Times New Roman" w:hAnsi="Times New Roman" w:eastAsia="宋体" w:cs="Times New Roman"/>
                <w:color w:val="auto"/>
                <w:sz w:val="24"/>
                <w:szCs w:val="24"/>
                <w:highlight w:val="none"/>
                <w:lang w:val="en-US" w:eastAsia="zh-CN"/>
              </w:rPr>
              <w:t>会泽县</w:t>
            </w:r>
            <w:r>
              <w:rPr>
                <w:rFonts w:hint="eastAsia" w:ascii="Times New Roman" w:hAnsi="Times New Roman" w:eastAsia="宋体" w:cs="Times New Roman"/>
                <w:color w:val="auto"/>
                <w:sz w:val="24"/>
                <w:szCs w:val="24"/>
                <w:highlight w:val="none"/>
                <w:lang w:eastAsia="zh-CN"/>
              </w:rPr>
              <w:t>林业和草原局关于大</w:t>
            </w:r>
            <w:r>
              <w:rPr>
                <w:rFonts w:hint="eastAsia" w:ascii="Times New Roman" w:hAnsi="Times New Roman" w:eastAsia="宋体" w:cs="Times New Roman"/>
                <w:color w:val="auto"/>
                <w:sz w:val="24"/>
                <w:szCs w:val="24"/>
                <w:highlight w:val="none"/>
                <w:lang w:val="en-US" w:eastAsia="zh-CN"/>
              </w:rPr>
              <w:t>草房</w:t>
            </w:r>
            <w:r>
              <w:rPr>
                <w:rFonts w:hint="eastAsia" w:ascii="Times New Roman" w:hAnsi="Times New Roman" w:eastAsia="宋体" w:cs="Times New Roman"/>
                <w:color w:val="auto"/>
                <w:sz w:val="24"/>
                <w:szCs w:val="24"/>
                <w:highlight w:val="none"/>
                <w:lang w:eastAsia="zh-CN"/>
              </w:rPr>
              <w:t>至</w:t>
            </w:r>
            <w:r>
              <w:rPr>
                <w:rFonts w:hint="eastAsia" w:ascii="Times New Roman" w:hAnsi="Times New Roman" w:eastAsia="宋体" w:cs="Times New Roman"/>
                <w:color w:val="auto"/>
                <w:sz w:val="24"/>
                <w:szCs w:val="24"/>
                <w:highlight w:val="none"/>
                <w:lang w:val="en-US" w:eastAsia="zh-CN"/>
              </w:rPr>
              <w:t>六合一11</w:t>
            </w:r>
            <w:r>
              <w:rPr>
                <w:rFonts w:hint="eastAsia" w:ascii="Times New Roman" w:hAnsi="Times New Roman" w:eastAsia="宋体" w:cs="Times New Roman"/>
                <w:color w:val="auto"/>
                <w:sz w:val="24"/>
                <w:szCs w:val="24"/>
                <w:highlight w:val="none"/>
                <w:lang w:eastAsia="zh-CN"/>
              </w:rPr>
              <w:t>0</w:t>
            </w:r>
            <w:r>
              <w:rPr>
                <w:rFonts w:hint="eastAsia" w:ascii="Times New Roman" w:hAnsi="Times New Roman" w:cs="Times New Roman"/>
                <w:color w:val="auto"/>
                <w:sz w:val="24"/>
                <w:szCs w:val="24"/>
                <w:highlight w:val="none"/>
                <w:lang w:val="en-US" w:eastAsia="zh-CN"/>
              </w:rPr>
              <w:t>k</w:t>
            </w:r>
            <w:r>
              <w:rPr>
                <w:rFonts w:hint="eastAsia" w:ascii="Times New Roman" w:hAnsi="Times New Roman" w:eastAsia="宋体" w:cs="Times New Roman"/>
                <w:color w:val="auto"/>
                <w:sz w:val="24"/>
                <w:szCs w:val="24"/>
                <w:highlight w:val="none"/>
                <w:lang w:eastAsia="zh-CN"/>
              </w:rPr>
              <w:t>V</w:t>
            </w:r>
            <w:r>
              <w:rPr>
                <w:rFonts w:hint="eastAsia" w:ascii="Times New Roman" w:hAnsi="Times New Roman" w:eastAsia="宋体" w:cs="Times New Roman"/>
                <w:color w:val="auto"/>
                <w:sz w:val="24"/>
                <w:szCs w:val="24"/>
                <w:highlight w:val="none"/>
                <w:lang w:val="en-US" w:eastAsia="zh-CN"/>
              </w:rPr>
              <w:t>联络</w:t>
            </w:r>
            <w:r>
              <w:rPr>
                <w:rFonts w:hint="eastAsia" w:ascii="Times New Roman" w:hAnsi="Times New Roman" w:eastAsia="宋体" w:cs="Times New Roman"/>
                <w:color w:val="auto"/>
                <w:sz w:val="24"/>
                <w:szCs w:val="24"/>
                <w:highlight w:val="none"/>
                <w:lang w:eastAsia="zh-CN"/>
              </w:rPr>
              <w:t>线路工程情况说明</w:t>
            </w:r>
            <w:r>
              <w:rPr>
                <w:rFonts w:hint="eastAsia" w:ascii="Times New Roman" w:hAnsi="Times New Roman" w:cs="Times New Roman"/>
                <w:color w:val="auto"/>
                <w:sz w:val="24"/>
                <w:szCs w:val="24"/>
                <w:highlight w:val="none"/>
                <w:lang w:eastAsia="zh-CN"/>
              </w:rPr>
              <w:t>，会泽县大草房至六合一110kV联络线路工程不涉及占用自然保护区（地）（包括：自然保护区、自然公园、风景名胜区）。</w:t>
            </w:r>
          </w:p>
          <w:p w14:paraId="04AF69F9">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②生态保护红线</w:t>
            </w:r>
          </w:p>
          <w:p w14:paraId="40B21E4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根据</w:t>
            </w:r>
            <w:r>
              <w:rPr>
                <w:rFonts w:hint="eastAsia" w:ascii="Times New Roman" w:hAnsi="Times New Roman" w:cs="Times New Roman"/>
                <w:color w:val="auto"/>
                <w:sz w:val="24"/>
                <w:szCs w:val="24"/>
                <w:highlight w:val="none"/>
                <w:lang w:val="en-US" w:eastAsia="zh-CN"/>
              </w:rPr>
              <w:t>2023年6月23日会泽县自然资源局关于</w:t>
            </w:r>
            <w:r>
              <w:rPr>
                <w:rFonts w:hint="eastAsia" w:ascii="Times New Roman" w:hAnsi="Times New Roman" w:eastAsia="宋体" w:cs="Times New Roman"/>
                <w:color w:val="auto"/>
                <w:sz w:val="24"/>
                <w:szCs w:val="24"/>
                <w:highlight w:val="none"/>
                <w:lang w:eastAsia="zh-CN"/>
              </w:rPr>
              <w:t>大</w:t>
            </w:r>
            <w:r>
              <w:rPr>
                <w:rFonts w:hint="eastAsia" w:ascii="Times New Roman" w:hAnsi="Times New Roman" w:eastAsia="宋体" w:cs="Times New Roman"/>
                <w:color w:val="auto"/>
                <w:sz w:val="24"/>
                <w:szCs w:val="24"/>
                <w:highlight w:val="none"/>
                <w:lang w:val="en-US" w:eastAsia="zh-CN"/>
              </w:rPr>
              <w:t>草房</w:t>
            </w:r>
            <w:r>
              <w:rPr>
                <w:rFonts w:hint="eastAsia" w:ascii="Times New Roman" w:hAnsi="Times New Roman" w:eastAsia="宋体" w:cs="Times New Roman"/>
                <w:color w:val="auto"/>
                <w:sz w:val="24"/>
                <w:szCs w:val="24"/>
                <w:highlight w:val="none"/>
                <w:lang w:eastAsia="zh-CN"/>
              </w:rPr>
              <w:t>至</w:t>
            </w:r>
            <w:r>
              <w:rPr>
                <w:rFonts w:hint="eastAsia" w:ascii="Times New Roman" w:hAnsi="Times New Roman" w:eastAsia="宋体" w:cs="Times New Roman"/>
                <w:color w:val="auto"/>
                <w:sz w:val="24"/>
                <w:szCs w:val="24"/>
                <w:highlight w:val="none"/>
                <w:lang w:val="en-US" w:eastAsia="zh-CN"/>
              </w:rPr>
              <w:t>六合一11</w:t>
            </w:r>
            <w:r>
              <w:rPr>
                <w:rFonts w:hint="eastAsia" w:ascii="Times New Roman" w:hAnsi="Times New Roman" w:eastAsia="宋体" w:cs="Times New Roman"/>
                <w:color w:val="auto"/>
                <w:sz w:val="24"/>
                <w:szCs w:val="24"/>
                <w:highlight w:val="none"/>
                <w:lang w:eastAsia="zh-CN"/>
              </w:rPr>
              <w:t>0</w:t>
            </w:r>
            <w:r>
              <w:rPr>
                <w:rFonts w:hint="eastAsia" w:ascii="Times New Roman" w:hAnsi="Times New Roman" w:cs="Times New Roman"/>
                <w:color w:val="auto"/>
                <w:sz w:val="24"/>
                <w:szCs w:val="24"/>
                <w:highlight w:val="none"/>
                <w:lang w:val="en-US" w:eastAsia="zh-CN"/>
              </w:rPr>
              <w:t>k</w:t>
            </w:r>
            <w:r>
              <w:rPr>
                <w:rFonts w:hint="eastAsia" w:ascii="Times New Roman" w:hAnsi="Times New Roman" w:eastAsia="宋体" w:cs="Times New Roman"/>
                <w:color w:val="auto"/>
                <w:sz w:val="24"/>
                <w:szCs w:val="24"/>
                <w:highlight w:val="none"/>
                <w:lang w:eastAsia="zh-CN"/>
              </w:rPr>
              <w:t>V</w:t>
            </w:r>
            <w:r>
              <w:rPr>
                <w:rFonts w:hint="eastAsia" w:ascii="Times New Roman" w:hAnsi="Times New Roman" w:cs="Times New Roman"/>
                <w:color w:val="auto"/>
                <w:sz w:val="24"/>
                <w:szCs w:val="24"/>
                <w:highlight w:val="none"/>
                <w:lang w:val="en-US" w:eastAsia="zh-CN"/>
              </w:rPr>
              <w:t>送出线路工程查询的情况说明，不涉及占用“三区三线”划定的会泽县生态保护红线，不位于城镇开发边界及中心城区；不涉及占用永久基本农田核实处置成果。</w:t>
            </w:r>
          </w:p>
          <w:p w14:paraId="50DCB58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b w:val="0"/>
                <w:bCs/>
                <w:color w:val="auto"/>
                <w:sz w:val="24"/>
              </w:rPr>
              <w:t>经进一步核查，</w:t>
            </w:r>
            <w:r>
              <w:rPr>
                <w:rFonts w:hint="default" w:ascii="Times New Roman" w:hAnsi="Times New Roman" w:eastAsia="宋体" w:cs="Times New Roman"/>
                <w:b w:val="0"/>
                <w:bCs/>
                <w:color w:val="auto"/>
                <w:sz w:val="24"/>
                <w:lang w:val="en-US" w:eastAsia="zh-CN"/>
              </w:rPr>
              <w:t>输电</w:t>
            </w:r>
            <w:r>
              <w:rPr>
                <w:rFonts w:hint="eastAsia" w:ascii="Times New Roman" w:hAnsi="Times New Roman" w:eastAsia="宋体" w:cs="Times New Roman"/>
                <w:b w:val="0"/>
                <w:bCs/>
                <w:color w:val="auto"/>
                <w:sz w:val="24"/>
                <w:lang w:val="en-US" w:eastAsia="zh-CN"/>
              </w:rPr>
              <w:t>线路</w:t>
            </w:r>
            <w:r>
              <w:rPr>
                <w:rFonts w:hint="default" w:ascii="Times New Roman" w:hAnsi="Times New Roman" w:eastAsia="宋体" w:cs="Times New Roman"/>
                <w:b w:val="0"/>
                <w:bCs/>
                <w:color w:val="auto"/>
                <w:sz w:val="24"/>
                <w:lang w:val="en-US" w:eastAsia="zh-CN"/>
              </w:rPr>
              <w:t>塔基N</w:t>
            </w:r>
            <w:r>
              <w:rPr>
                <w:rFonts w:hint="eastAsia" w:ascii="Times New Roman" w:hAnsi="Times New Roman" w:eastAsia="宋体" w:cs="Times New Roman"/>
                <w:b w:val="0"/>
                <w:bCs/>
                <w:color w:val="auto"/>
                <w:sz w:val="24"/>
                <w:lang w:val="en-US" w:eastAsia="zh-CN"/>
              </w:rPr>
              <w:t>7-</w:t>
            </w:r>
            <w:r>
              <w:rPr>
                <w:rFonts w:hint="default" w:ascii="Times New Roman" w:hAnsi="Times New Roman" w:eastAsia="宋体" w:cs="Times New Roman"/>
                <w:b w:val="0"/>
                <w:bCs/>
                <w:color w:val="auto"/>
                <w:sz w:val="24"/>
                <w:lang w:val="en-US" w:eastAsia="zh-CN"/>
              </w:rPr>
              <w:t>N</w:t>
            </w:r>
            <w:r>
              <w:rPr>
                <w:rFonts w:hint="eastAsia" w:ascii="Times New Roman" w:hAnsi="Times New Roman" w:eastAsia="宋体" w:cs="Times New Roman"/>
                <w:b w:val="0"/>
                <w:bCs/>
                <w:color w:val="auto"/>
                <w:sz w:val="24"/>
                <w:lang w:val="en-US" w:eastAsia="zh-CN"/>
              </w:rPr>
              <w:t>8</w:t>
            </w:r>
            <w:r>
              <w:rPr>
                <w:rFonts w:hint="default" w:ascii="Times New Roman" w:hAnsi="Times New Roman" w:eastAsia="宋体" w:cs="Times New Roman"/>
                <w:b w:val="0"/>
                <w:bCs/>
                <w:color w:val="auto"/>
                <w:sz w:val="24"/>
                <w:lang w:val="en-US" w:eastAsia="zh-CN"/>
              </w:rPr>
              <w:t>之间约</w:t>
            </w:r>
            <w:r>
              <w:rPr>
                <w:rFonts w:hint="eastAsia" w:ascii="Times New Roman" w:hAnsi="Times New Roman" w:eastAsia="宋体" w:cs="Times New Roman"/>
                <w:b w:val="0"/>
                <w:bCs/>
                <w:color w:val="auto"/>
                <w:sz w:val="24"/>
                <w:lang w:val="en-US" w:eastAsia="zh-CN"/>
              </w:rPr>
              <w:t>89.2米</w:t>
            </w:r>
            <w:r>
              <w:rPr>
                <w:rFonts w:hint="default" w:ascii="Times New Roman" w:hAnsi="Times New Roman" w:eastAsia="宋体" w:cs="Times New Roman"/>
                <w:b w:val="0"/>
                <w:bCs/>
                <w:color w:val="auto"/>
                <w:sz w:val="24"/>
                <w:lang w:val="en-US" w:eastAsia="zh-CN"/>
              </w:rPr>
              <w:t>跨越金沙江下游—小江流域水土流失控制生态保护红线，不在生态保护红线内立塔。</w:t>
            </w:r>
          </w:p>
          <w:p w14:paraId="061BEC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b/>
                <w:bCs/>
                <w:color w:val="auto"/>
                <w:spacing w:val="-2"/>
                <w:sz w:val="24"/>
                <w:szCs w:val="24"/>
                <w:lang w:val="en-US" w:eastAsia="zh-CN"/>
              </w:rPr>
              <w:t xml:space="preserve">表3-10  </w:t>
            </w:r>
            <w:r>
              <w:rPr>
                <w:rFonts w:hint="default" w:ascii="Times New Roman" w:hAnsi="Times New Roman" w:eastAsia="宋体" w:cs="Times New Roman"/>
                <w:b/>
                <w:bCs/>
                <w:color w:val="auto"/>
                <w:spacing w:val="-2"/>
                <w:sz w:val="24"/>
                <w:szCs w:val="24"/>
              </w:rPr>
              <w:t>工程涉及云南省生态保护红线一览表</w:t>
            </w:r>
          </w:p>
          <w:tbl>
            <w:tblPr>
              <w:tblStyle w:val="91"/>
              <w:tblW w:w="4994"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931"/>
              <w:gridCol w:w="838"/>
              <w:gridCol w:w="609"/>
              <w:gridCol w:w="994"/>
              <w:gridCol w:w="2274"/>
              <w:gridCol w:w="658"/>
              <w:gridCol w:w="893"/>
              <w:gridCol w:w="1078"/>
            </w:tblGrid>
            <w:tr w14:paraId="239239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562" w:type="pct"/>
                  <w:tcBorders>
                    <w:tl2br w:val="nil"/>
                    <w:tr2bl w:val="nil"/>
                  </w:tcBorders>
                  <w:noWrap w:val="0"/>
                  <w:vAlign w:val="center"/>
                </w:tcPr>
                <w:p w14:paraId="54965F6A">
                  <w:pPr>
                    <w:pStyle w:val="126"/>
                    <w:keepNext w:val="0"/>
                    <w:keepLines w:val="0"/>
                    <w:pageBreakBefore w:val="0"/>
                    <w:widowControl w:val="0"/>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宋体" w:cs="Times New Roman"/>
                      <w:b/>
                      <w:bCs/>
                      <w:color w:val="auto"/>
                      <w:spacing w:val="-5"/>
                      <w:sz w:val="21"/>
                      <w:szCs w:val="21"/>
                    </w:rPr>
                  </w:pPr>
                  <w:r>
                    <w:rPr>
                      <w:rFonts w:hint="default" w:ascii="Times New Roman" w:hAnsi="Times New Roman" w:eastAsia="宋体" w:cs="Times New Roman"/>
                      <w:b/>
                      <w:bCs/>
                      <w:color w:val="auto"/>
                      <w:spacing w:val="-5"/>
                      <w:sz w:val="21"/>
                      <w:szCs w:val="21"/>
                    </w:rPr>
                    <w:t>名称</w:t>
                  </w:r>
                </w:p>
              </w:tc>
              <w:tc>
                <w:tcPr>
                  <w:tcW w:w="506" w:type="pct"/>
                  <w:tcBorders>
                    <w:tl2br w:val="nil"/>
                    <w:tr2bl w:val="nil"/>
                  </w:tcBorders>
                  <w:noWrap w:val="0"/>
                  <w:vAlign w:val="center"/>
                </w:tcPr>
                <w:p w14:paraId="470C658C">
                  <w:pPr>
                    <w:pStyle w:val="126"/>
                    <w:keepNext w:val="0"/>
                    <w:keepLines w:val="0"/>
                    <w:pageBreakBefore w:val="0"/>
                    <w:widowControl w:val="0"/>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宋体" w:cs="Times New Roman"/>
                      <w:b/>
                      <w:bCs/>
                      <w:color w:val="auto"/>
                      <w:spacing w:val="-5"/>
                      <w:sz w:val="21"/>
                      <w:szCs w:val="21"/>
                    </w:rPr>
                  </w:pPr>
                  <w:r>
                    <w:rPr>
                      <w:rFonts w:hint="default" w:ascii="Times New Roman" w:hAnsi="Times New Roman" w:eastAsia="宋体" w:cs="Times New Roman"/>
                      <w:b/>
                      <w:bCs/>
                      <w:color w:val="auto"/>
                      <w:spacing w:val="-5"/>
                      <w:sz w:val="21"/>
                      <w:szCs w:val="21"/>
                    </w:rPr>
                    <w:t>审批情况</w:t>
                  </w:r>
                </w:p>
              </w:tc>
              <w:tc>
                <w:tcPr>
                  <w:tcW w:w="367" w:type="pct"/>
                  <w:tcBorders>
                    <w:tl2br w:val="nil"/>
                    <w:tr2bl w:val="nil"/>
                  </w:tcBorders>
                  <w:noWrap w:val="0"/>
                  <w:vAlign w:val="center"/>
                </w:tcPr>
                <w:p w14:paraId="1E4D11C9">
                  <w:pPr>
                    <w:pStyle w:val="126"/>
                    <w:keepNext w:val="0"/>
                    <w:keepLines w:val="0"/>
                    <w:pageBreakBefore w:val="0"/>
                    <w:widowControl w:val="0"/>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宋体" w:cs="Times New Roman"/>
                      <w:b/>
                      <w:bCs/>
                      <w:color w:val="auto"/>
                      <w:spacing w:val="-5"/>
                      <w:sz w:val="21"/>
                      <w:szCs w:val="21"/>
                      <w:lang w:val="en-US" w:eastAsia="zh-CN"/>
                    </w:rPr>
                  </w:pPr>
                  <w:r>
                    <w:rPr>
                      <w:rFonts w:hint="eastAsia" w:ascii="Times New Roman" w:hAnsi="Times New Roman" w:eastAsia="宋体" w:cs="Times New Roman"/>
                      <w:b/>
                      <w:bCs/>
                      <w:color w:val="auto"/>
                      <w:spacing w:val="-5"/>
                      <w:sz w:val="21"/>
                      <w:szCs w:val="21"/>
                      <w:lang w:val="en-US" w:eastAsia="zh-CN"/>
                    </w:rPr>
                    <w:t>分布</w:t>
                  </w:r>
                </w:p>
              </w:tc>
              <w:tc>
                <w:tcPr>
                  <w:tcW w:w="600" w:type="pct"/>
                  <w:tcBorders>
                    <w:tl2br w:val="nil"/>
                    <w:tr2bl w:val="nil"/>
                  </w:tcBorders>
                  <w:noWrap w:val="0"/>
                  <w:vAlign w:val="center"/>
                </w:tcPr>
                <w:p w14:paraId="0466928B">
                  <w:pPr>
                    <w:pStyle w:val="126"/>
                    <w:keepNext w:val="0"/>
                    <w:keepLines w:val="0"/>
                    <w:pageBreakBefore w:val="0"/>
                    <w:widowControl w:val="0"/>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宋体" w:cs="Times New Roman"/>
                      <w:b/>
                      <w:bCs/>
                      <w:color w:val="auto"/>
                      <w:spacing w:val="-5"/>
                      <w:sz w:val="21"/>
                      <w:szCs w:val="21"/>
                      <w:lang w:val="en-US" w:eastAsia="zh-CN"/>
                    </w:rPr>
                  </w:pPr>
                  <w:r>
                    <w:rPr>
                      <w:rFonts w:hint="default" w:ascii="Times New Roman" w:hAnsi="Times New Roman" w:eastAsia="宋体" w:cs="Times New Roman"/>
                      <w:b/>
                      <w:bCs/>
                      <w:color w:val="auto"/>
                      <w:spacing w:val="-5"/>
                      <w:sz w:val="21"/>
                      <w:szCs w:val="21"/>
                    </w:rPr>
                    <w:t>规模及保护范围</w:t>
                  </w:r>
                </w:p>
              </w:tc>
              <w:tc>
                <w:tcPr>
                  <w:tcW w:w="1374" w:type="pct"/>
                  <w:tcBorders>
                    <w:tl2br w:val="nil"/>
                    <w:tr2bl w:val="nil"/>
                  </w:tcBorders>
                  <w:noWrap w:val="0"/>
                  <w:vAlign w:val="center"/>
                </w:tcPr>
                <w:p w14:paraId="304BC526">
                  <w:pPr>
                    <w:pStyle w:val="126"/>
                    <w:keepNext w:val="0"/>
                    <w:keepLines w:val="0"/>
                    <w:pageBreakBefore w:val="0"/>
                    <w:widowControl w:val="0"/>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宋体" w:cs="Times New Roman"/>
                      <w:b/>
                      <w:bCs/>
                      <w:color w:val="auto"/>
                      <w:spacing w:val="-5"/>
                      <w:sz w:val="21"/>
                      <w:szCs w:val="21"/>
                      <w:lang w:val="en-US" w:eastAsia="zh-CN"/>
                    </w:rPr>
                  </w:pPr>
                  <w:r>
                    <w:rPr>
                      <w:rFonts w:hint="default" w:ascii="Times New Roman" w:hAnsi="Times New Roman" w:eastAsia="宋体" w:cs="Times New Roman"/>
                      <w:b/>
                      <w:bCs/>
                      <w:color w:val="auto"/>
                      <w:spacing w:val="-5"/>
                      <w:sz w:val="21"/>
                      <w:szCs w:val="21"/>
                    </w:rPr>
                    <w:t>主要保护对象</w:t>
                  </w:r>
                </w:p>
              </w:tc>
              <w:tc>
                <w:tcPr>
                  <w:tcW w:w="397" w:type="pct"/>
                  <w:tcBorders>
                    <w:tl2br w:val="nil"/>
                    <w:tr2bl w:val="nil"/>
                  </w:tcBorders>
                  <w:noWrap w:val="0"/>
                  <w:vAlign w:val="center"/>
                </w:tcPr>
                <w:p w14:paraId="00B0E210">
                  <w:pPr>
                    <w:pStyle w:val="126"/>
                    <w:keepNext w:val="0"/>
                    <w:keepLines w:val="0"/>
                    <w:pageBreakBefore w:val="0"/>
                    <w:widowControl w:val="0"/>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宋体" w:cs="Times New Roman"/>
                      <w:b/>
                      <w:bCs/>
                      <w:color w:val="auto"/>
                      <w:spacing w:val="-5"/>
                      <w:sz w:val="21"/>
                      <w:szCs w:val="21"/>
                      <w:lang w:val="en-US" w:eastAsia="zh-CN"/>
                    </w:rPr>
                  </w:pPr>
                  <w:r>
                    <w:rPr>
                      <w:rFonts w:hint="eastAsia" w:ascii="Times New Roman" w:hAnsi="Times New Roman" w:eastAsia="宋体" w:cs="Times New Roman"/>
                      <w:b/>
                      <w:bCs/>
                      <w:color w:val="auto"/>
                      <w:spacing w:val="-5"/>
                      <w:sz w:val="21"/>
                      <w:szCs w:val="21"/>
                      <w:lang w:val="en-US" w:eastAsia="zh-CN"/>
                    </w:rPr>
                    <w:t>主要功能</w:t>
                  </w:r>
                </w:p>
              </w:tc>
              <w:tc>
                <w:tcPr>
                  <w:tcW w:w="539" w:type="pct"/>
                  <w:tcBorders>
                    <w:tl2br w:val="nil"/>
                    <w:tr2bl w:val="nil"/>
                  </w:tcBorders>
                  <w:noWrap w:val="0"/>
                  <w:vAlign w:val="center"/>
                </w:tcPr>
                <w:p w14:paraId="02C3FE35">
                  <w:pPr>
                    <w:pStyle w:val="126"/>
                    <w:keepNext w:val="0"/>
                    <w:keepLines w:val="0"/>
                    <w:pageBreakBefore w:val="0"/>
                    <w:widowControl w:val="0"/>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宋体" w:cs="Times New Roman"/>
                      <w:b/>
                      <w:bCs/>
                      <w:color w:val="auto"/>
                      <w:spacing w:val="-5"/>
                      <w:sz w:val="21"/>
                      <w:szCs w:val="21"/>
                    </w:rPr>
                  </w:pPr>
                  <w:r>
                    <w:rPr>
                      <w:rFonts w:hint="default" w:ascii="Times New Roman" w:hAnsi="Times New Roman" w:eastAsia="宋体" w:cs="Times New Roman"/>
                      <w:b/>
                      <w:bCs/>
                      <w:color w:val="auto"/>
                      <w:spacing w:val="-5"/>
                      <w:sz w:val="21"/>
                      <w:szCs w:val="21"/>
                    </w:rPr>
                    <w:t>工程涉及行政区</w:t>
                  </w:r>
                </w:p>
              </w:tc>
              <w:tc>
                <w:tcPr>
                  <w:tcW w:w="651" w:type="pct"/>
                  <w:tcBorders>
                    <w:tl2br w:val="nil"/>
                    <w:tr2bl w:val="nil"/>
                  </w:tcBorders>
                  <w:noWrap w:val="0"/>
                  <w:vAlign w:val="center"/>
                </w:tcPr>
                <w:p w14:paraId="47470A9B">
                  <w:pPr>
                    <w:pStyle w:val="126"/>
                    <w:keepNext w:val="0"/>
                    <w:keepLines w:val="0"/>
                    <w:pageBreakBefore w:val="0"/>
                    <w:widowControl w:val="0"/>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宋体" w:cs="Times New Roman"/>
                      <w:b/>
                      <w:bCs/>
                      <w:color w:val="auto"/>
                      <w:spacing w:val="-5"/>
                      <w:sz w:val="21"/>
                      <w:szCs w:val="21"/>
                    </w:rPr>
                  </w:pPr>
                  <w:r>
                    <w:rPr>
                      <w:rFonts w:hint="default" w:ascii="Times New Roman" w:hAnsi="Times New Roman" w:eastAsia="宋体" w:cs="Times New Roman"/>
                      <w:b/>
                      <w:bCs/>
                      <w:color w:val="auto"/>
                      <w:spacing w:val="-5"/>
                      <w:sz w:val="21"/>
                      <w:szCs w:val="21"/>
                    </w:rPr>
                    <w:t>与工程相对位置关系</w:t>
                  </w:r>
                </w:p>
              </w:tc>
            </w:tr>
            <w:tr w14:paraId="3461A5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562" w:type="pct"/>
                  <w:tcBorders>
                    <w:tl2br w:val="nil"/>
                    <w:tr2bl w:val="nil"/>
                  </w:tcBorders>
                  <w:noWrap w:val="0"/>
                  <w:vAlign w:val="center"/>
                </w:tcPr>
                <w:p w14:paraId="29FF9CFA">
                  <w:pPr>
                    <w:pStyle w:val="126"/>
                    <w:keepNext w:val="0"/>
                    <w:keepLines w:val="0"/>
                    <w:pageBreakBefore w:val="0"/>
                    <w:widowControl w:val="0"/>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宋体" w:cs="Times New Roman"/>
                      <w:color w:val="auto"/>
                      <w:spacing w:val="-1"/>
                      <w:sz w:val="21"/>
                      <w:szCs w:val="21"/>
                      <w:lang w:val="en-US" w:eastAsia="en-US"/>
                    </w:rPr>
                  </w:pPr>
                  <w:r>
                    <w:rPr>
                      <w:rFonts w:hint="default" w:ascii="Times New Roman" w:hAnsi="Times New Roman" w:eastAsia="宋体" w:cs="Times New Roman"/>
                      <w:color w:val="auto"/>
                      <w:spacing w:val="-1"/>
                      <w:sz w:val="21"/>
                      <w:szCs w:val="21"/>
                      <w:lang w:val="en-US" w:eastAsia="zh-CN"/>
                    </w:rPr>
                    <w:t>金沙江下游—小江流域水土流失控制生态保护红线</w:t>
                  </w:r>
                </w:p>
              </w:tc>
              <w:tc>
                <w:tcPr>
                  <w:tcW w:w="506" w:type="pct"/>
                  <w:tcBorders>
                    <w:tl2br w:val="nil"/>
                    <w:tr2bl w:val="nil"/>
                  </w:tcBorders>
                  <w:noWrap w:val="0"/>
                  <w:vAlign w:val="center"/>
                </w:tcPr>
                <w:p w14:paraId="3D28709F">
                  <w:pPr>
                    <w:pStyle w:val="126"/>
                    <w:keepNext w:val="0"/>
                    <w:keepLines w:val="0"/>
                    <w:pageBreakBefore w:val="0"/>
                    <w:widowControl w:val="0"/>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宋体" w:cs="Times New Roman"/>
                      <w:color w:val="auto"/>
                      <w:spacing w:val="-1"/>
                      <w:sz w:val="21"/>
                      <w:szCs w:val="21"/>
                      <w:lang w:val="en-US" w:eastAsia="en-US"/>
                    </w:rPr>
                  </w:pPr>
                  <w:r>
                    <w:rPr>
                      <w:rFonts w:hint="default" w:ascii="Times New Roman" w:hAnsi="Times New Roman" w:eastAsia="宋体" w:cs="Times New Roman"/>
                      <w:color w:val="auto"/>
                      <w:spacing w:val="-1"/>
                      <w:sz w:val="21"/>
                      <w:szCs w:val="21"/>
                      <w:lang w:val="en-US" w:eastAsia="en-US"/>
                    </w:rPr>
                    <w:t>云南省人民政府</w:t>
                  </w:r>
                  <w:r>
                    <w:rPr>
                      <w:rFonts w:hint="eastAsia" w:ascii="Times New Roman" w:hAnsi="Times New Roman" w:eastAsia="宋体" w:cs="Times New Roman"/>
                      <w:color w:val="auto"/>
                      <w:spacing w:val="-1"/>
                      <w:sz w:val="21"/>
                      <w:szCs w:val="21"/>
                      <w:lang w:val="en-US" w:eastAsia="zh-CN"/>
                    </w:rPr>
                    <w:t>（</w:t>
                  </w:r>
                  <w:r>
                    <w:rPr>
                      <w:rFonts w:hint="default" w:ascii="Times New Roman" w:hAnsi="Times New Roman" w:eastAsia="宋体" w:cs="Times New Roman"/>
                      <w:color w:val="auto"/>
                      <w:spacing w:val="-1"/>
                      <w:sz w:val="21"/>
                      <w:szCs w:val="21"/>
                      <w:lang w:val="en-US" w:eastAsia="en-US"/>
                    </w:rPr>
                    <w:t>云政发〔2018〕32号</w:t>
                  </w:r>
                  <w:r>
                    <w:rPr>
                      <w:rFonts w:hint="eastAsia" w:ascii="Times New Roman" w:hAnsi="Times New Roman" w:eastAsia="宋体" w:cs="Times New Roman"/>
                      <w:color w:val="auto"/>
                      <w:spacing w:val="-1"/>
                      <w:sz w:val="21"/>
                      <w:szCs w:val="21"/>
                      <w:lang w:val="en-US" w:eastAsia="zh-CN"/>
                    </w:rPr>
                    <w:t>）</w:t>
                  </w:r>
                </w:p>
              </w:tc>
              <w:tc>
                <w:tcPr>
                  <w:tcW w:w="367" w:type="pct"/>
                  <w:tcBorders>
                    <w:tl2br w:val="nil"/>
                    <w:tr2bl w:val="nil"/>
                  </w:tcBorders>
                  <w:noWrap w:val="0"/>
                  <w:vAlign w:val="center"/>
                </w:tcPr>
                <w:p w14:paraId="2B73D873">
                  <w:pPr>
                    <w:pStyle w:val="126"/>
                    <w:keepNext w:val="0"/>
                    <w:keepLines w:val="0"/>
                    <w:pageBreakBefore w:val="0"/>
                    <w:widowControl w:val="0"/>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宋体" w:cs="Times New Roman"/>
                      <w:color w:val="auto"/>
                      <w:spacing w:val="-1"/>
                      <w:sz w:val="21"/>
                      <w:szCs w:val="21"/>
                      <w:lang w:val="en-US" w:eastAsia="en-US"/>
                    </w:rPr>
                  </w:pPr>
                  <w:r>
                    <w:rPr>
                      <w:rFonts w:hint="default" w:ascii="Times New Roman" w:hAnsi="Times New Roman" w:eastAsia="宋体" w:cs="Times New Roman"/>
                      <w:color w:val="auto"/>
                      <w:spacing w:val="-1"/>
                      <w:sz w:val="21"/>
                      <w:szCs w:val="21"/>
                      <w:lang w:val="en-US" w:eastAsia="en-US"/>
                    </w:rPr>
                    <w:t>昆明、曲靖、昭通等3个市</w:t>
                  </w:r>
                </w:p>
              </w:tc>
              <w:tc>
                <w:tcPr>
                  <w:tcW w:w="600" w:type="pct"/>
                  <w:tcBorders>
                    <w:tl2br w:val="nil"/>
                    <w:tr2bl w:val="nil"/>
                  </w:tcBorders>
                  <w:noWrap w:val="0"/>
                  <w:vAlign w:val="center"/>
                </w:tcPr>
                <w:p w14:paraId="0D698D55">
                  <w:pPr>
                    <w:pStyle w:val="126"/>
                    <w:keepNext w:val="0"/>
                    <w:keepLines w:val="0"/>
                    <w:pageBreakBefore w:val="0"/>
                    <w:widowControl w:val="0"/>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宋体" w:cs="Times New Roman"/>
                      <w:color w:val="auto"/>
                      <w:spacing w:val="-1"/>
                      <w:sz w:val="21"/>
                      <w:szCs w:val="21"/>
                      <w:lang w:val="en-US" w:eastAsia="en-US"/>
                    </w:rPr>
                  </w:pPr>
                  <w:r>
                    <w:rPr>
                      <w:rFonts w:hint="eastAsia" w:ascii="Times New Roman" w:hAnsi="Times New Roman" w:eastAsia="宋体" w:cs="Times New Roman"/>
                      <w:color w:val="auto"/>
                      <w:sz w:val="21"/>
                      <w:szCs w:val="21"/>
                    </w:rPr>
                    <w:t>面积0.73万平方千米，占全省生态保护红线面积的6.17%</w:t>
                  </w:r>
                </w:p>
              </w:tc>
              <w:tc>
                <w:tcPr>
                  <w:tcW w:w="1374" w:type="pct"/>
                  <w:tcBorders>
                    <w:tl2br w:val="nil"/>
                    <w:tr2bl w:val="nil"/>
                  </w:tcBorders>
                  <w:noWrap w:val="0"/>
                  <w:vAlign w:val="center"/>
                </w:tcPr>
                <w:p w14:paraId="724CEBC1">
                  <w:pPr>
                    <w:pStyle w:val="126"/>
                    <w:keepNext w:val="0"/>
                    <w:keepLines w:val="0"/>
                    <w:pageBreakBefore w:val="0"/>
                    <w:widowControl w:val="0"/>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宋体" w:cs="Times New Roman"/>
                      <w:color w:val="auto"/>
                      <w:spacing w:val="-1"/>
                      <w:sz w:val="21"/>
                      <w:szCs w:val="21"/>
                      <w:lang w:val="en-US" w:eastAsia="en-US"/>
                    </w:rPr>
                  </w:pPr>
                  <w:r>
                    <w:rPr>
                      <w:rFonts w:hint="eastAsia" w:ascii="Times New Roman" w:hAnsi="Times New Roman" w:eastAsia="宋体" w:cs="Times New Roman"/>
                      <w:color w:val="auto"/>
                      <w:sz w:val="21"/>
                      <w:szCs w:val="21"/>
                    </w:rPr>
                    <w:t>以半湿润常绿阔叶林、落叶阔叶林、暖温性针叶林、亚高山草甸等为代表。重点保护物种有金钱豹、云豹、小熊猫、大灵猫、大鲵、南方红豆杉、珙桐、连香树、异颖草等珍稀动植物</w:t>
                  </w:r>
                  <w:r>
                    <w:rPr>
                      <w:rFonts w:hint="default" w:ascii="Times New Roman" w:hAnsi="Times New Roman" w:eastAsia="宋体" w:cs="Times New Roman"/>
                      <w:color w:val="auto"/>
                      <w:spacing w:val="-1"/>
                      <w:sz w:val="21"/>
                      <w:szCs w:val="21"/>
                      <w:lang w:val="en-US" w:eastAsia="en-US"/>
                    </w:rPr>
                    <w:t>。</w:t>
                  </w:r>
                </w:p>
              </w:tc>
              <w:tc>
                <w:tcPr>
                  <w:tcW w:w="397" w:type="pct"/>
                  <w:tcBorders>
                    <w:tl2br w:val="nil"/>
                    <w:tr2bl w:val="nil"/>
                  </w:tcBorders>
                  <w:noWrap w:val="0"/>
                  <w:vAlign w:val="center"/>
                </w:tcPr>
                <w:p w14:paraId="6B980569">
                  <w:pPr>
                    <w:pStyle w:val="126"/>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宋体" w:cs="Times New Roman"/>
                      <w:color w:val="auto"/>
                      <w:spacing w:val="-1"/>
                      <w:kern w:val="2"/>
                      <w:sz w:val="21"/>
                      <w:szCs w:val="21"/>
                      <w:lang w:val="en-US" w:eastAsia="zh-CN" w:bidi="ar-SA"/>
                    </w:rPr>
                  </w:pPr>
                  <w:r>
                    <w:rPr>
                      <w:rFonts w:hint="eastAsia" w:ascii="Times New Roman" w:hAnsi="Times New Roman" w:eastAsia="宋体" w:cs="Times New Roman"/>
                      <w:color w:val="auto"/>
                      <w:spacing w:val="-1"/>
                      <w:sz w:val="21"/>
                      <w:szCs w:val="21"/>
                      <w:lang w:val="en-US" w:eastAsia="zh-CN"/>
                    </w:rPr>
                    <w:t>水土保持</w:t>
                  </w:r>
                </w:p>
              </w:tc>
              <w:tc>
                <w:tcPr>
                  <w:tcW w:w="539" w:type="pct"/>
                  <w:tcBorders>
                    <w:tl2br w:val="nil"/>
                    <w:tr2bl w:val="nil"/>
                  </w:tcBorders>
                  <w:noWrap w:val="0"/>
                  <w:vAlign w:val="center"/>
                </w:tcPr>
                <w:p w14:paraId="74B6AD3C">
                  <w:pPr>
                    <w:pStyle w:val="126"/>
                    <w:keepNext w:val="0"/>
                    <w:keepLines w:val="0"/>
                    <w:pageBreakBefore w:val="0"/>
                    <w:widowControl w:val="0"/>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宋体" w:cs="Times New Roman"/>
                      <w:color w:val="auto"/>
                      <w:spacing w:val="-1"/>
                      <w:sz w:val="21"/>
                      <w:szCs w:val="21"/>
                      <w:lang w:val="en-US" w:eastAsia="zh-CN"/>
                    </w:rPr>
                  </w:pPr>
                  <w:r>
                    <w:rPr>
                      <w:rFonts w:hint="eastAsia" w:ascii="Times New Roman" w:hAnsi="Times New Roman" w:eastAsia="宋体" w:cs="Times New Roman"/>
                      <w:color w:val="auto"/>
                      <w:spacing w:val="-1"/>
                      <w:sz w:val="21"/>
                      <w:szCs w:val="21"/>
                      <w:lang w:val="en-US" w:eastAsia="zh-CN"/>
                    </w:rPr>
                    <w:t>会泽县</w:t>
                  </w:r>
                </w:p>
              </w:tc>
              <w:tc>
                <w:tcPr>
                  <w:tcW w:w="651" w:type="pct"/>
                  <w:tcBorders>
                    <w:tl2br w:val="nil"/>
                    <w:tr2bl w:val="nil"/>
                  </w:tcBorders>
                  <w:noWrap w:val="0"/>
                  <w:vAlign w:val="center"/>
                </w:tcPr>
                <w:p w14:paraId="2337B88E">
                  <w:pPr>
                    <w:pStyle w:val="126"/>
                    <w:keepNext w:val="0"/>
                    <w:keepLines w:val="0"/>
                    <w:pageBreakBefore w:val="0"/>
                    <w:widowControl w:val="0"/>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宋体" w:cs="Times New Roman"/>
                      <w:color w:val="auto"/>
                      <w:spacing w:val="-1"/>
                      <w:sz w:val="21"/>
                      <w:szCs w:val="21"/>
                      <w:lang w:val="en-US" w:eastAsia="zh-CN"/>
                    </w:rPr>
                  </w:pPr>
                  <w:r>
                    <w:rPr>
                      <w:rFonts w:hint="eastAsia" w:ascii="Times New Roman" w:hAnsi="Times New Roman" w:eastAsia="宋体" w:cs="Times New Roman"/>
                      <w:color w:val="auto"/>
                      <w:spacing w:val="-1"/>
                      <w:sz w:val="21"/>
                      <w:szCs w:val="21"/>
                      <w:lang w:val="en-US" w:eastAsia="zh-CN"/>
                    </w:rPr>
                    <w:t>线路</w:t>
                  </w:r>
                  <w:r>
                    <w:rPr>
                      <w:rFonts w:hint="eastAsia" w:ascii="Times New Roman" w:hAnsi="Times New Roman" w:cs="Times New Roman"/>
                      <w:color w:val="auto"/>
                      <w:spacing w:val="-1"/>
                      <w:sz w:val="21"/>
                      <w:szCs w:val="21"/>
                      <w:lang w:val="en-US" w:eastAsia="zh-CN"/>
                    </w:rPr>
                    <w:t>跨越</w:t>
                  </w:r>
                  <w:r>
                    <w:rPr>
                      <w:rFonts w:hint="eastAsia" w:ascii="Times New Roman" w:hAnsi="Times New Roman" w:eastAsia="宋体" w:cs="Times New Roman"/>
                      <w:color w:val="auto"/>
                      <w:spacing w:val="-1"/>
                      <w:sz w:val="21"/>
                      <w:szCs w:val="21"/>
                      <w:lang w:val="en-US" w:eastAsia="zh-CN"/>
                    </w:rPr>
                    <w:t>生态保护红线约</w:t>
                  </w:r>
                  <w:r>
                    <w:rPr>
                      <w:rFonts w:hint="eastAsia" w:ascii="Times New Roman" w:hAnsi="Times New Roman" w:cs="Times New Roman"/>
                      <w:color w:val="auto"/>
                      <w:spacing w:val="-1"/>
                      <w:sz w:val="21"/>
                      <w:szCs w:val="21"/>
                      <w:lang w:val="en-US" w:eastAsia="zh-CN"/>
                    </w:rPr>
                    <w:t>89.2米</w:t>
                  </w:r>
                  <w:r>
                    <w:rPr>
                      <w:rFonts w:hint="eastAsia" w:ascii="Times New Roman" w:hAnsi="Times New Roman" w:eastAsia="宋体" w:cs="Times New Roman"/>
                      <w:color w:val="auto"/>
                      <w:spacing w:val="-1"/>
                      <w:sz w:val="21"/>
                      <w:szCs w:val="21"/>
                      <w:lang w:val="en-US" w:eastAsia="zh-CN"/>
                    </w:rPr>
                    <w:t>，</w:t>
                  </w:r>
                  <w:r>
                    <w:rPr>
                      <w:rFonts w:hint="eastAsia" w:ascii="Times New Roman" w:hAnsi="Times New Roman" w:cs="Times New Roman"/>
                      <w:color w:val="auto"/>
                      <w:spacing w:val="-1"/>
                      <w:sz w:val="21"/>
                      <w:szCs w:val="21"/>
                      <w:lang w:val="en-US" w:eastAsia="zh-CN"/>
                    </w:rPr>
                    <w:t>无</w:t>
                  </w:r>
                  <w:r>
                    <w:rPr>
                      <w:rFonts w:hint="eastAsia" w:ascii="Times New Roman" w:hAnsi="Times New Roman" w:eastAsia="宋体" w:cs="Times New Roman"/>
                      <w:color w:val="auto"/>
                      <w:spacing w:val="-1"/>
                      <w:sz w:val="21"/>
                      <w:szCs w:val="21"/>
                      <w:lang w:val="en-US" w:eastAsia="zh-CN"/>
                    </w:rPr>
                    <w:t>立塔；距离塔基N7为6m，距离塔基N8为8m</w:t>
                  </w:r>
                </w:p>
              </w:tc>
            </w:tr>
          </w:tbl>
          <w:p w14:paraId="00244E2D">
            <w:pPr>
              <w:pStyle w:val="73"/>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jc w:val="both"/>
              <w:textAlignment w:val="auto"/>
              <w:outlineLvl w:val="9"/>
              <w:rPr>
                <w:rFonts w:hint="eastAsia" w:ascii="Times New Roman" w:hAnsi="Times New Roman" w:eastAsia="宋体" w:cs="Times New Roman"/>
                <w:b w:val="0"/>
                <w:bCs w:val="0"/>
                <w:color w:val="auto"/>
                <w:sz w:val="24"/>
                <w:lang w:val="en-US" w:eastAsia="zh-CN"/>
              </w:rPr>
            </w:pPr>
            <w:r>
              <w:rPr>
                <w:color w:val="auto"/>
                <w:sz w:val="21"/>
              </w:rPr>
              <mc:AlternateContent>
                <mc:Choice Requires="wps">
                  <w:drawing>
                    <wp:anchor distT="0" distB="0" distL="114300" distR="114300" simplePos="0" relativeHeight="251665408" behindDoc="0" locked="0" layoutInCell="1" allowOverlap="1">
                      <wp:simplePos x="0" y="0"/>
                      <wp:positionH relativeFrom="column">
                        <wp:posOffset>4623435</wp:posOffset>
                      </wp:positionH>
                      <wp:positionV relativeFrom="paragraph">
                        <wp:posOffset>192405</wp:posOffset>
                      </wp:positionV>
                      <wp:extent cx="708025" cy="851535"/>
                      <wp:effectExtent l="0" t="0" r="0" b="0"/>
                      <wp:wrapNone/>
                      <wp:docPr id="98" name="文本框 27"/>
                      <wp:cNvGraphicFramePr/>
                      <a:graphic xmlns:a="http://schemas.openxmlformats.org/drawingml/2006/main">
                        <a:graphicData uri="http://schemas.microsoft.com/office/word/2010/wordprocessingShape">
                          <wps:wsp>
                            <wps:cNvSpPr txBox="1"/>
                            <wps:spPr>
                              <a:xfrm>
                                <a:off x="5867400" y="3574415"/>
                                <a:ext cx="708025" cy="851535"/>
                              </a:xfrm>
                              <a:prstGeom prst="rect">
                                <a:avLst/>
                              </a:prstGeom>
                              <a:noFill/>
                              <a:ln w="6350">
                                <a:noFill/>
                              </a:ln>
                              <a:effectLst/>
                            </wps:spPr>
                            <wps:txbx>
                              <w:txbxContent>
                                <w:p w14:paraId="60B0BCC4">
                                  <w:pPr>
                                    <w:rPr>
                                      <w:rFonts w:hint="eastAsia" w:eastAsia="宋体"/>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7" o:spid="_x0000_s1026" o:spt="202" type="#_x0000_t202" style="position:absolute;left:0pt;margin-left:364.05pt;margin-top:15.15pt;height:67.05pt;width:55.75pt;z-index:251665408;mso-width-relative:page;mso-height-relative:page;" filled="f" stroked="f" coordsize="21600,21600" o:gfxdata="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g6FB+2wAAAAoB&#10;AAAPAAAAAAAAAAEAIAAAACIAAABkcnMvZG93bnJldi54bWxQSwECFAAUAAAACACHTuJAb0r2OFEC&#10;AACBBAAADgAAAAAAAAABACAAAAAqAQAAZHJzL2Uyb0RvYy54bWxQSwUGAAAAAAYABgBZAQAA7QUA&#10;AAAA&#10;">
                      <v:fill on="f" focussize="0,0"/>
                      <v:stroke on="f" weight="0.5pt"/>
                      <v:imagedata o:title=""/>
                      <o:lock v:ext="edit" aspectratio="f"/>
                      <v:textbox>
                        <w:txbxContent>
                          <w:p w14:paraId="60B0BCC4">
                            <w:pPr>
                              <w:rPr>
                                <w:rFonts w:hint="eastAsia" w:eastAsia="宋体"/>
                                <w:lang w:eastAsia="zh-CN"/>
                              </w:rPr>
                            </w:pPr>
                          </w:p>
                        </w:txbxContent>
                      </v:textbox>
                    </v:shape>
                  </w:pict>
                </mc:Fallback>
              </mc:AlternateContent>
            </w:r>
            <w:r>
              <w:rPr>
                <w:rFonts w:hint="eastAsia" w:ascii="Times New Roman" w:hAnsi="Times New Roman" w:eastAsia="宋体" w:cs="Times New Roman"/>
                <w:b w:val="0"/>
                <w:bCs w:val="0"/>
                <w:color w:val="auto"/>
                <w:sz w:val="24"/>
                <w:lang w:val="en-US" w:eastAsia="zh-CN"/>
              </w:rPr>
              <w:t>位置关系图如下：</w:t>
            </w:r>
          </w:p>
          <w:p w14:paraId="3220BF07">
            <w:pPr>
              <w:pStyle w:val="1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drawing>
                <wp:anchor distT="0" distB="0" distL="114300" distR="114300" simplePos="0" relativeHeight="251673600" behindDoc="0" locked="0" layoutInCell="1" allowOverlap="1">
                  <wp:simplePos x="0" y="0"/>
                  <wp:positionH relativeFrom="column">
                    <wp:posOffset>398145</wp:posOffset>
                  </wp:positionH>
                  <wp:positionV relativeFrom="paragraph">
                    <wp:posOffset>3533775</wp:posOffset>
                  </wp:positionV>
                  <wp:extent cx="2563495" cy="846455"/>
                  <wp:effectExtent l="0" t="0" r="8255" b="10795"/>
                  <wp:wrapNone/>
                  <wp:docPr id="10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
                          <pic:cNvPicPr>
                            <a:picLocks noChangeAspect="1"/>
                          </pic:cNvPicPr>
                        </pic:nvPicPr>
                        <pic:blipFill>
                          <a:blip r:embed="rId33"/>
                          <a:stretch>
                            <a:fillRect/>
                          </a:stretch>
                        </pic:blipFill>
                        <pic:spPr>
                          <a:xfrm>
                            <a:off x="0" y="0"/>
                            <a:ext cx="2563495" cy="846455"/>
                          </a:xfrm>
                          <a:prstGeom prst="rect">
                            <a:avLst/>
                          </a:prstGeom>
                          <a:noFill/>
                          <a:ln>
                            <a:noFill/>
                          </a:ln>
                        </pic:spPr>
                      </pic:pic>
                    </a:graphicData>
                  </a:graphic>
                </wp:anchor>
              </w:drawing>
            </w:r>
            <w:r>
              <w:rPr>
                <w:rFonts w:hint="default" w:ascii="Times New Roman" w:hAnsi="Times New Roman" w:cs="Times New Roman"/>
                <w:color w:val="auto"/>
                <w:sz w:val="24"/>
                <w:szCs w:val="24"/>
              </w:rPr>
              <w:drawing>
                <wp:anchor distT="0" distB="0" distL="114300" distR="114300" simplePos="0" relativeHeight="251672576" behindDoc="0" locked="0" layoutInCell="1" allowOverlap="1">
                  <wp:simplePos x="0" y="0"/>
                  <wp:positionH relativeFrom="column">
                    <wp:posOffset>4191000</wp:posOffset>
                  </wp:positionH>
                  <wp:positionV relativeFrom="paragraph">
                    <wp:posOffset>139065</wp:posOffset>
                  </wp:positionV>
                  <wp:extent cx="619760" cy="659130"/>
                  <wp:effectExtent l="0" t="0" r="8890" b="7620"/>
                  <wp:wrapNone/>
                  <wp:docPr id="105" name="图片 14" descr="风玫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4" descr="风玫瑰"/>
                          <pic:cNvPicPr>
                            <a:picLocks noChangeAspect="1"/>
                          </pic:cNvPicPr>
                        </pic:nvPicPr>
                        <pic:blipFill>
                          <a:blip r:embed="rId34"/>
                          <a:stretch>
                            <a:fillRect/>
                          </a:stretch>
                        </pic:blipFill>
                        <pic:spPr>
                          <a:xfrm>
                            <a:off x="0" y="0"/>
                            <a:ext cx="619760" cy="659130"/>
                          </a:xfrm>
                          <a:prstGeom prst="rect">
                            <a:avLst/>
                          </a:prstGeom>
                          <a:noFill/>
                          <a:ln>
                            <a:noFill/>
                          </a:ln>
                        </pic:spPr>
                      </pic:pic>
                    </a:graphicData>
                  </a:graphic>
                </wp:anchor>
              </w:drawing>
            </w:r>
            <w:r>
              <w:rPr>
                <w:rFonts w:hint="default" w:ascii="Times New Roman" w:hAnsi="Times New Roman" w:cs="Times New Roman"/>
                <w:color w:val="auto"/>
                <w:sz w:val="24"/>
                <w:szCs w:val="24"/>
              </w:rPr>
              <w:drawing>
                <wp:inline distT="0" distB="0" distL="114300" distR="114300">
                  <wp:extent cx="5382895" cy="4683125"/>
                  <wp:effectExtent l="0" t="0" r="8255" b="3175"/>
                  <wp:docPr id="1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3"/>
                          <pic:cNvPicPr>
                            <a:picLocks noChangeAspect="1"/>
                          </pic:cNvPicPr>
                        </pic:nvPicPr>
                        <pic:blipFill>
                          <a:blip r:embed="rId35"/>
                          <a:stretch>
                            <a:fillRect/>
                          </a:stretch>
                        </pic:blipFill>
                        <pic:spPr>
                          <a:xfrm>
                            <a:off x="0" y="0"/>
                            <a:ext cx="5382895" cy="4683125"/>
                          </a:xfrm>
                          <a:prstGeom prst="rect">
                            <a:avLst/>
                          </a:prstGeom>
                          <a:noFill/>
                          <a:ln>
                            <a:noFill/>
                          </a:ln>
                        </pic:spPr>
                      </pic:pic>
                    </a:graphicData>
                  </a:graphic>
                </wp:inline>
              </w:drawing>
            </w:r>
          </w:p>
          <w:p w14:paraId="7511937D">
            <w:pPr>
              <w:pStyle w:val="73"/>
              <w:snapToGrid w:val="0"/>
              <w:spacing w:line="240" w:lineRule="auto"/>
              <w:ind w:firstLine="482" w:firstLineChars="200"/>
              <w:jc w:val="center"/>
              <w:outlineLvl w:val="9"/>
              <w:rPr>
                <w:rFonts w:hint="default" w:ascii="Times New Roman" w:hAnsi="Times New Roman" w:eastAsia="宋体" w:cs="Times New Roman"/>
                <w:b/>
                <w:color w:val="auto"/>
                <w:sz w:val="24"/>
                <w:lang w:val="en-US" w:eastAsia="zh-CN"/>
              </w:rPr>
            </w:pPr>
            <w:r>
              <w:rPr>
                <w:rFonts w:hint="eastAsia" w:ascii="Times New Roman" w:hAnsi="Times New Roman" w:eastAsia="宋体" w:cs="Times New Roman"/>
                <w:b/>
                <w:color w:val="auto"/>
                <w:sz w:val="24"/>
                <w:lang w:val="en-US" w:eastAsia="zh-CN"/>
              </w:rPr>
              <w:t>图3-4  项目与跨越生态保护红线位置关系图</w:t>
            </w:r>
          </w:p>
          <w:p w14:paraId="130CB16E">
            <w:pPr>
              <w:pStyle w:val="73"/>
              <w:snapToGrid w:val="0"/>
              <w:spacing w:line="440" w:lineRule="exact"/>
              <w:ind w:firstLine="482" w:firstLineChars="200"/>
              <w:jc w:val="both"/>
              <w:outlineLvl w:val="9"/>
              <w:rPr>
                <w:rFonts w:hint="eastAsia"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③</w:t>
            </w:r>
            <w:r>
              <w:rPr>
                <w:rFonts w:hint="eastAsia" w:ascii="Times New Roman" w:hAnsi="Times New Roman" w:eastAsia="宋体" w:cs="Times New Roman"/>
                <w:b/>
                <w:color w:val="auto"/>
                <w:sz w:val="24"/>
                <w:lang w:val="en-US" w:eastAsia="zh-CN"/>
              </w:rPr>
              <w:t>公益林</w:t>
            </w:r>
          </w:p>
          <w:p w14:paraId="359F3F1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根据管理部门意见及林业调查数据结果，</w:t>
            </w:r>
            <w:r>
              <w:rPr>
                <w:rFonts w:ascii="Times New Roman" w:hAnsi="Times New Roman"/>
                <w:color w:val="auto"/>
                <w:sz w:val="24"/>
                <w:szCs w:val="24"/>
              </w:rPr>
              <w:t>项目不涉及占用国家一级公益林和国家二级公益林。项目占用省级公益林</w:t>
            </w:r>
            <w:r>
              <w:rPr>
                <w:rFonts w:hint="eastAsia" w:ascii="Times New Roman" w:hAnsi="Times New Roman"/>
                <w:color w:val="auto"/>
                <w:sz w:val="24"/>
                <w:szCs w:val="24"/>
                <w:lang w:val="en-US" w:eastAsia="zh-CN"/>
              </w:rPr>
              <w:t>0.0607</w:t>
            </w:r>
            <w:r>
              <w:rPr>
                <w:rFonts w:ascii="Times New Roman" w:hAnsi="Times New Roman"/>
                <w:color w:val="auto"/>
                <w:sz w:val="24"/>
                <w:szCs w:val="24"/>
              </w:rPr>
              <w:t>公顷，其中塔基永久占地</w:t>
            </w:r>
            <w:r>
              <w:rPr>
                <w:rFonts w:hint="eastAsia" w:ascii="Times New Roman" w:hAnsi="Times New Roman"/>
                <w:color w:val="auto"/>
                <w:sz w:val="24"/>
                <w:szCs w:val="24"/>
                <w:lang w:val="en-US" w:eastAsia="zh-CN"/>
              </w:rPr>
              <w:t>0.01413</w:t>
            </w:r>
            <w:r>
              <w:rPr>
                <w:rFonts w:ascii="Times New Roman" w:hAnsi="Times New Roman"/>
                <w:color w:val="auto"/>
                <w:sz w:val="24"/>
                <w:szCs w:val="24"/>
              </w:rPr>
              <w:t>公顷，临时占地</w:t>
            </w:r>
            <w:r>
              <w:rPr>
                <w:rFonts w:hint="eastAsia" w:ascii="Times New Roman" w:hAnsi="Times New Roman"/>
                <w:color w:val="auto"/>
                <w:sz w:val="24"/>
                <w:szCs w:val="24"/>
                <w:lang w:val="en-US" w:eastAsia="zh-CN"/>
              </w:rPr>
              <w:t>0.04657</w:t>
            </w:r>
            <w:r>
              <w:rPr>
                <w:rFonts w:ascii="Times New Roman" w:hAnsi="Times New Roman"/>
                <w:color w:val="auto"/>
                <w:sz w:val="24"/>
                <w:szCs w:val="24"/>
              </w:rPr>
              <w:t>公顷。其中塔基N</w:t>
            </w:r>
            <w:r>
              <w:rPr>
                <w:rFonts w:hint="eastAsia" w:ascii="Times New Roman" w:hAnsi="Times New Roman"/>
                <w:color w:val="auto"/>
                <w:sz w:val="24"/>
                <w:szCs w:val="24"/>
                <w:lang w:val="en-US" w:eastAsia="zh-CN"/>
              </w:rPr>
              <w:t>1</w:t>
            </w:r>
            <w:r>
              <w:rPr>
                <w:rFonts w:ascii="Times New Roman" w:hAnsi="Times New Roman"/>
                <w:color w:val="auto"/>
                <w:sz w:val="24"/>
                <w:szCs w:val="24"/>
              </w:rPr>
              <w:t>3、N</w:t>
            </w:r>
            <w:r>
              <w:rPr>
                <w:rFonts w:hint="eastAsia" w:ascii="Times New Roman" w:hAnsi="Times New Roman"/>
                <w:color w:val="auto"/>
                <w:sz w:val="24"/>
                <w:szCs w:val="24"/>
                <w:lang w:val="en-US" w:eastAsia="zh-CN"/>
              </w:rPr>
              <w:t>1</w:t>
            </w:r>
            <w:r>
              <w:rPr>
                <w:rFonts w:ascii="Times New Roman" w:hAnsi="Times New Roman"/>
                <w:color w:val="auto"/>
                <w:sz w:val="24"/>
                <w:szCs w:val="24"/>
              </w:rPr>
              <w:t>4共</w:t>
            </w:r>
            <w:r>
              <w:rPr>
                <w:rFonts w:hint="eastAsia" w:ascii="Times New Roman" w:hAnsi="Times New Roman"/>
                <w:color w:val="auto"/>
                <w:sz w:val="24"/>
                <w:szCs w:val="24"/>
                <w:lang w:val="en-US" w:eastAsia="zh-CN"/>
              </w:rPr>
              <w:t>2</w:t>
            </w:r>
            <w:r>
              <w:rPr>
                <w:rFonts w:ascii="Times New Roman" w:hAnsi="Times New Roman"/>
                <w:color w:val="auto"/>
                <w:sz w:val="24"/>
                <w:szCs w:val="24"/>
              </w:rPr>
              <w:t>个塔基占用省级公益林，面积约为</w:t>
            </w:r>
            <w:r>
              <w:rPr>
                <w:rFonts w:hint="eastAsia" w:ascii="Times New Roman" w:hAnsi="Times New Roman"/>
                <w:color w:val="auto"/>
                <w:sz w:val="24"/>
                <w:szCs w:val="24"/>
                <w:lang w:val="en-US" w:eastAsia="zh-CN"/>
              </w:rPr>
              <w:t>0.01413</w:t>
            </w:r>
            <w:r>
              <w:rPr>
                <w:rFonts w:ascii="Times New Roman" w:hAnsi="Times New Roman"/>
                <w:color w:val="auto"/>
                <w:sz w:val="24"/>
                <w:szCs w:val="24"/>
              </w:rPr>
              <w:t>公顷，主要功能为水土保持。临时占地主要为施工便道、人抬道路等。</w:t>
            </w:r>
          </w:p>
          <w:p w14:paraId="3C2D0D73">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auto"/>
              <w:rPr>
                <w:rFonts w:hint="eastAsia" w:ascii="Times New Roman" w:hAnsi="Times New Roman"/>
                <w:b/>
                <w:bCs/>
                <w:color w:val="auto"/>
                <w:sz w:val="24"/>
                <w:szCs w:val="24"/>
              </w:rPr>
            </w:pPr>
            <w:r>
              <w:rPr>
                <w:rFonts w:hint="eastAsia" w:ascii="Times New Roman" w:hAnsi="Times New Roman"/>
                <w:b/>
                <w:bCs/>
                <w:color w:val="auto"/>
                <w:sz w:val="24"/>
                <w:szCs w:val="24"/>
                <w:lang w:val="en-US" w:eastAsia="zh-CN"/>
              </w:rPr>
              <w:t xml:space="preserve">表3-11  </w:t>
            </w:r>
            <w:r>
              <w:rPr>
                <w:rFonts w:hint="eastAsia" w:ascii="Times New Roman" w:hAnsi="Times New Roman"/>
                <w:b/>
                <w:bCs/>
                <w:color w:val="auto"/>
                <w:sz w:val="24"/>
                <w:szCs w:val="24"/>
              </w:rPr>
              <w:t>生态环境保护目标一览表</w:t>
            </w:r>
          </w:p>
          <w:tbl>
            <w:tblPr>
              <w:tblStyle w:val="3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4313"/>
              <w:gridCol w:w="1710"/>
              <w:gridCol w:w="1095"/>
            </w:tblGrid>
            <w:tr w14:paraId="303FE8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tcBorders>
                    <w:tl2br w:val="nil"/>
                    <w:tr2bl w:val="nil"/>
                  </w:tcBorders>
                  <w:noWrap w:val="0"/>
                  <w:vAlign w:val="center"/>
                </w:tcPr>
                <w:p w14:paraId="5DFA23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保护目标</w:t>
                  </w:r>
                </w:p>
              </w:tc>
              <w:tc>
                <w:tcPr>
                  <w:tcW w:w="2603" w:type="pct"/>
                  <w:tcBorders>
                    <w:tl2br w:val="nil"/>
                    <w:tr2bl w:val="nil"/>
                  </w:tcBorders>
                  <w:noWrap w:val="0"/>
                  <w:vAlign w:val="center"/>
                </w:tcPr>
                <w:p w14:paraId="5916C1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主要保护内容及对象</w:t>
                  </w:r>
                </w:p>
              </w:tc>
              <w:tc>
                <w:tcPr>
                  <w:tcW w:w="1032" w:type="pct"/>
                  <w:tcBorders>
                    <w:tl2br w:val="nil"/>
                    <w:tr2bl w:val="nil"/>
                  </w:tcBorders>
                  <w:noWrap w:val="0"/>
                  <w:vAlign w:val="center"/>
                </w:tcPr>
                <w:p w14:paraId="2A2310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位置关系</w:t>
                  </w:r>
                </w:p>
              </w:tc>
              <w:tc>
                <w:tcPr>
                  <w:tcW w:w="661" w:type="pct"/>
                  <w:tcBorders>
                    <w:tl2br w:val="nil"/>
                    <w:tr2bl w:val="nil"/>
                  </w:tcBorders>
                  <w:noWrap w:val="0"/>
                  <w:vAlign w:val="center"/>
                </w:tcPr>
                <w:p w14:paraId="0ADCEB4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保护要求</w:t>
                  </w:r>
                </w:p>
              </w:tc>
            </w:tr>
            <w:tr w14:paraId="08AD82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tcBorders>
                    <w:tl2br w:val="nil"/>
                    <w:tr2bl w:val="nil"/>
                  </w:tcBorders>
                  <w:noWrap w:val="0"/>
                  <w:vAlign w:val="center"/>
                </w:tcPr>
                <w:p w14:paraId="6D0D17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生态保护红线</w:t>
                  </w:r>
                </w:p>
              </w:tc>
              <w:tc>
                <w:tcPr>
                  <w:tcW w:w="2603" w:type="pct"/>
                  <w:tcBorders>
                    <w:tl2br w:val="nil"/>
                    <w:tr2bl w:val="nil"/>
                  </w:tcBorders>
                  <w:noWrap w:val="0"/>
                  <w:vAlign w:val="center"/>
                </w:tcPr>
                <w:p w14:paraId="6754CCA0">
                  <w:pPr>
                    <w:pStyle w:val="126"/>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pacing w:val="-1"/>
                      <w:sz w:val="21"/>
                      <w:szCs w:val="21"/>
                      <w:lang w:val="en-US" w:eastAsia="zh-CN"/>
                    </w:rPr>
                    <w:t>金沙江下游—小江流域水土流失控制生态保护红线</w:t>
                  </w:r>
                  <w:r>
                    <w:rPr>
                      <w:rFonts w:hint="eastAsia" w:ascii="Times New Roman" w:hAnsi="Times New Roman" w:eastAsia="宋体" w:cs="Times New Roman"/>
                      <w:color w:val="auto"/>
                      <w:spacing w:val="-1"/>
                      <w:sz w:val="21"/>
                      <w:szCs w:val="21"/>
                      <w:lang w:val="en-US" w:eastAsia="zh-CN"/>
                    </w:rPr>
                    <w:t>：</w:t>
                  </w:r>
                  <w:r>
                    <w:rPr>
                      <w:rFonts w:hint="eastAsia" w:ascii="Times New Roman" w:hAnsi="Times New Roman" w:eastAsia="宋体" w:cs="Times New Roman"/>
                      <w:color w:val="auto"/>
                      <w:sz w:val="21"/>
                      <w:szCs w:val="21"/>
                    </w:rPr>
                    <w:t>以半湿润常绿阔叶林、落叶阔叶林、暖温性针叶林、亚高山草甸等为代表。重点保护物种有金钱豹、云豹、小熊猫、大灵猫、大鲵、南方红豆杉、珙桐、连香树、异颖草等珍稀动植物</w:t>
                  </w:r>
                  <w:r>
                    <w:rPr>
                      <w:rFonts w:hint="default" w:ascii="Times New Roman" w:hAnsi="Times New Roman" w:eastAsia="宋体" w:cs="Times New Roman"/>
                      <w:color w:val="auto"/>
                      <w:spacing w:val="-1"/>
                      <w:sz w:val="21"/>
                      <w:szCs w:val="21"/>
                      <w:lang w:val="en-US" w:eastAsia="en-US"/>
                    </w:rPr>
                    <w:t>。</w:t>
                  </w:r>
                </w:p>
              </w:tc>
              <w:tc>
                <w:tcPr>
                  <w:tcW w:w="1032" w:type="pct"/>
                  <w:tcBorders>
                    <w:tl2br w:val="nil"/>
                    <w:tr2bl w:val="nil"/>
                  </w:tcBorders>
                  <w:noWrap w:val="0"/>
                  <w:vAlign w:val="center"/>
                </w:tcPr>
                <w:p w14:paraId="47791B5D">
                  <w:pPr>
                    <w:pStyle w:val="126"/>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spacing w:val="-1"/>
                      <w:kern w:val="2"/>
                      <w:sz w:val="21"/>
                      <w:szCs w:val="21"/>
                      <w:lang w:val="en-US" w:eastAsia="zh-CN" w:bidi="ar-SA"/>
                    </w:rPr>
                  </w:pPr>
                  <w:r>
                    <w:rPr>
                      <w:rFonts w:hint="eastAsia" w:ascii="Times New Roman" w:hAnsi="Times New Roman" w:eastAsia="宋体" w:cs="Times New Roman"/>
                      <w:color w:val="auto"/>
                      <w:spacing w:val="-1"/>
                      <w:sz w:val="21"/>
                      <w:szCs w:val="21"/>
                      <w:lang w:val="en-US" w:eastAsia="zh-CN"/>
                    </w:rPr>
                    <w:t>线路</w:t>
                  </w:r>
                  <w:r>
                    <w:rPr>
                      <w:rFonts w:hint="eastAsia" w:ascii="Times New Roman" w:hAnsi="Times New Roman" w:cs="Times New Roman"/>
                      <w:color w:val="auto"/>
                      <w:spacing w:val="-1"/>
                      <w:sz w:val="21"/>
                      <w:szCs w:val="21"/>
                      <w:lang w:val="en-US" w:eastAsia="zh-CN"/>
                    </w:rPr>
                    <w:t>跨越</w:t>
                  </w:r>
                  <w:r>
                    <w:rPr>
                      <w:rFonts w:hint="eastAsia" w:ascii="Times New Roman" w:hAnsi="Times New Roman" w:eastAsia="宋体" w:cs="Times New Roman"/>
                      <w:color w:val="auto"/>
                      <w:spacing w:val="-1"/>
                      <w:sz w:val="21"/>
                      <w:szCs w:val="21"/>
                      <w:lang w:val="en-US" w:eastAsia="zh-CN"/>
                    </w:rPr>
                    <w:t>生态保护红线约</w:t>
                  </w:r>
                  <w:r>
                    <w:rPr>
                      <w:rFonts w:hint="eastAsia" w:ascii="Times New Roman" w:hAnsi="Times New Roman" w:cs="Times New Roman"/>
                      <w:color w:val="auto"/>
                      <w:spacing w:val="-1"/>
                      <w:sz w:val="21"/>
                      <w:szCs w:val="21"/>
                      <w:lang w:val="en-US" w:eastAsia="zh-CN"/>
                    </w:rPr>
                    <w:t>89.2米，无立塔，距离塔基N7为6m，距离塔基N8为8m</w:t>
                  </w:r>
                </w:p>
              </w:tc>
              <w:tc>
                <w:tcPr>
                  <w:tcW w:w="661" w:type="pct"/>
                  <w:vMerge w:val="restart"/>
                  <w:tcBorders>
                    <w:tl2br w:val="nil"/>
                    <w:tr2bl w:val="nil"/>
                  </w:tcBorders>
                  <w:noWrap w:val="0"/>
                  <w:vAlign w:val="center"/>
                </w:tcPr>
                <w:p w14:paraId="6365C0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保持生态系统稳定性和完整性，保护评价区内植物资源、生物多样性</w:t>
                  </w:r>
                </w:p>
              </w:tc>
            </w:tr>
            <w:tr w14:paraId="7661E6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tcBorders>
                    <w:tl2br w:val="nil"/>
                    <w:tr2bl w:val="nil"/>
                  </w:tcBorders>
                  <w:noWrap w:val="0"/>
                  <w:vAlign w:val="center"/>
                </w:tcPr>
                <w:p w14:paraId="7379BA4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自然植被</w:t>
                  </w:r>
                </w:p>
              </w:tc>
              <w:tc>
                <w:tcPr>
                  <w:tcW w:w="2603" w:type="pct"/>
                  <w:tcBorders>
                    <w:tl2br w:val="nil"/>
                    <w:tr2bl w:val="nil"/>
                  </w:tcBorders>
                  <w:noWrap w:val="0"/>
                  <w:vAlign w:val="center"/>
                </w:tcPr>
                <w:p w14:paraId="23EF7283">
                  <w:pPr>
                    <w:adjustRightInd w:val="0"/>
                    <w:snapToGrid w:val="0"/>
                    <w:spacing w:after="0"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 w:val="21"/>
                      <w:szCs w:val="21"/>
                      <w:highlight w:val="none"/>
                    </w:rPr>
                    <w:t>自然植被：</w:t>
                  </w:r>
                  <w:r>
                    <w:rPr>
                      <w:rFonts w:hint="default" w:ascii="Times New Roman" w:hAnsi="Times New Roman" w:eastAsia="宋体" w:cs="Times New Roman"/>
                      <w:color w:val="auto"/>
                      <w:sz w:val="21"/>
                      <w:szCs w:val="21"/>
                      <w:highlight w:val="none"/>
                    </w:rPr>
                    <w:t>暖温性针叶林、暖温性稀树灌草丛</w:t>
                  </w:r>
                  <w:r>
                    <w:rPr>
                      <w:rFonts w:hint="default" w:ascii="Times New Roman" w:hAnsi="Times New Roman" w:eastAsia="宋体" w:cs="Times New Roman"/>
                      <w:color w:val="auto"/>
                      <w:sz w:val="21"/>
                      <w:szCs w:val="21"/>
                      <w:highlight w:val="none"/>
                      <w:lang w:val="en-US" w:eastAsia="zh-CN"/>
                    </w:rPr>
                    <w:t>和暖性石灰岩灌丛</w:t>
                  </w:r>
                  <w:r>
                    <w:rPr>
                      <w:rFonts w:hint="default" w:ascii="Times New Roman" w:hAnsi="Times New Roman" w:eastAsia="宋体" w:cs="Times New Roman"/>
                      <w:color w:val="auto"/>
                      <w:sz w:val="21"/>
                      <w:szCs w:val="21"/>
                      <w:highlight w:val="none"/>
                    </w:rPr>
                    <w:t>、人工植被等</w:t>
                  </w:r>
                </w:p>
              </w:tc>
              <w:tc>
                <w:tcPr>
                  <w:tcW w:w="1032" w:type="pct"/>
                  <w:vMerge w:val="restart"/>
                  <w:tcBorders>
                    <w:tl2br w:val="nil"/>
                    <w:tr2bl w:val="nil"/>
                  </w:tcBorders>
                  <w:noWrap w:val="0"/>
                  <w:vAlign w:val="center"/>
                </w:tcPr>
                <w:p w14:paraId="4C8F89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全线，线路涉及</w:t>
                  </w:r>
                  <w:r>
                    <w:rPr>
                      <w:rFonts w:hint="eastAsia" w:ascii="Times New Roman" w:hAnsi="Times New Roman" w:cs="Times New Roman"/>
                      <w:color w:val="auto"/>
                      <w:sz w:val="21"/>
                      <w:szCs w:val="21"/>
                      <w:lang w:val="en-US" w:eastAsia="zh-CN"/>
                    </w:rPr>
                    <w:t>跨越</w:t>
                  </w:r>
                  <w:r>
                    <w:rPr>
                      <w:rFonts w:hint="default" w:ascii="Times New Roman" w:hAnsi="Times New Roman" w:eastAsia="宋体" w:cs="Times New Roman"/>
                      <w:color w:val="auto"/>
                      <w:sz w:val="21"/>
                      <w:szCs w:val="21"/>
                    </w:rPr>
                    <w:t>生态</w:t>
                  </w:r>
                  <w:r>
                    <w:rPr>
                      <w:rFonts w:hint="eastAsia" w:ascii="Times New Roman" w:hAnsi="Times New Roman" w:eastAsia="宋体" w:cs="Times New Roman"/>
                      <w:color w:val="auto"/>
                      <w:sz w:val="21"/>
                      <w:szCs w:val="21"/>
                      <w:lang w:val="en-US" w:eastAsia="zh-CN"/>
                    </w:rPr>
                    <w:t>保护红线段边导线地面投影外两侧</w:t>
                  </w:r>
                  <w:r>
                    <w:rPr>
                      <w:rFonts w:hint="eastAsia" w:ascii="Times New Roman" w:hAnsi="Times New Roman" w:cs="Times New Roman"/>
                      <w:color w:val="auto"/>
                      <w:sz w:val="21"/>
                      <w:szCs w:val="21"/>
                      <w:lang w:val="en-US" w:eastAsia="zh-CN"/>
                    </w:rPr>
                    <w:t>及两端</w:t>
                  </w:r>
                  <w:r>
                    <w:rPr>
                      <w:rFonts w:hint="default" w:ascii="Times New Roman" w:hAnsi="Times New Roman" w:eastAsia="宋体" w:cs="Times New Roman"/>
                      <w:color w:val="auto"/>
                      <w:sz w:val="21"/>
                      <w:szCs w:val="21"/>
                    </w:rPr>
                    <w:t>各1000m的范围；其他路段两侧各300m内的范围</w:t>
                  </w:r>
                </w:p>
              </w:tc>
              <w:tc>
                <w:tcPr>
                  <w:tcW w:w="661" w:type="pct"/>
                  <w:vMerge w:val="continue"/>
                  <w:tcBorders>
                    <w:tl2br w:val="nil"/>
                    <w:tr2bl w:val="nil"/>
                  </w:tcBorders>
                  <w:noWrap w:val="0"/>
                  <w:vAlign w:val="center"/>
                </w:tcPr>
                <w:p w14:paraId="0E69B9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r>
            <w:tr w14:paraId="561F34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tcBorders>
                    <w:tl2br w:val="nil"/>
                    <w:tr2bl w:val="nil"/>
                  </w:tcBorders>
                  <w:noWrap w:val="0"/>
                  <w:vAlign w:val="center"/>
                </w:tcPr>
                <w:p w14:paraId="624849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维管束植物</w:t>
                  </w:r>
                </w:p>
              </w:tc>
              <w:tc>
                <w:tcPr>
                  <w:tcW w:w="2603" w:type="pct"/>
                  <w:tcBorders>
                    <w:tl2br w:val="nil"/>
                    <w:tr2bl w:val="nil"/>
                  </w:tcBorders>
                  <w:noWrap w:val="0"/>
                  <w:vAlign w:val="center"/>
                </w:tcPr>
                <w:p w14:paraId="5F274E65">
                  <w:pPr>
                    <w:autoSpaceDE w:val="0"/>
                    <w:autoSpaceDN w:val="0"/>
                    <w:adjustRightInd w:val="0"/>
                    <w:snapToGrid w:val="0"/>
                    <w:spacing w:after="0"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野生维管植物资源</w:t>
                  </w:r>
                  <w:r>
                    <w:rPr>
                      <w:rFonts w:hint="default" w:ascii="Times New Roman" w:hAnsi="Times New Roman" w:eastAsia="宋体" w:cs="Times New Roman"/>
                      <w:color w:val="auto"/>
                      <w:sz w:val="21"/>
                      <w:szCs w:val="21"/>
                    </w:rPr>
                    <w:t>（47</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种），</w:t>
                  </w:r>
                  <w:r>
                    <w:rPr>
                      <w:rFonts w:hint="default" w:ascii="Times New Roman" w:hAnsi="Times New Roman" w:eastAsia="宋体" w:cs="Times New Roman"/>
                      <w:color w:val="auto"/>
                      <w:sz w:val="21"/>
                      <w:szCs w:val="21"/>
                      <w:lang w:val="zh-CN"/>
                    </w:rPr>
                    <w:t>隶属于</w:t>
                  </w:r>
                  <w:r>
                    <w:rPr>
                      <w:rFonts w:hint="default" w:ascii="Times New Roman" w:hAnsi="Times New Roman" w:eastAsia="宋体" w:cs="Times New Roman"/>
                      <w:color w:val="auto"/>
                      <w:sz w:val="21"/>
                      <w:szCs w:val="21"/>
                    </w:rPr>
                    <w:t>98</w:t>
                  </w:r>
                  <w:r>
                    <w:rPr>
                      <w:rFonts w:hint="default" w:ascii="Times New Roman" w:hAnsi="Times New Roman" w:eastAsia="宋体" w:cs="Times New Roman"/>
                      <w:color w:val="auto"/>
                      <w:sz w:val="21"/>
                      <w:szCs w:val="21"/>
                      <w:lang w:val="zh-CN"/>
                    </w:rPr>
                    <w:t>科、</w:t>
                  </w:r>
                  <w:r>
                    <w:rPr>
                      <w:rFonts w:hint="default" w:ascii="Times New Roman" w:hAnsi="Times New Roman" w:eastAsia="宋体" w:cs="Times New Roman"/>
                      <w:color w:val="auto"/>
                      <w:sz w:val="21"/>
                      <w:szCs w:val="21"/>
                    </w:rPr>
                    <w:t>327</w:t>
                  </w:r>
                  <w:r>
                    <w:rPr>
                      <w:rFonts w:hint="default" w:ascii="Times New Roman" w:hAnsi="Times New Roman" w:eastAsia="宋体" w:cs="Times New Roman"/>
                      <w:color w:val="auto"/>
                      <w:sz w:val="21"/>
                      <w:szCs w:val="21"/>
                      <w:lang w:val="zh-CN"/>
                    </w:rPr>
                    <w:t>属。其中蕨类植物有</w:t>
                  </w:r>
                  <w:r>
                    <w:rPr>
                      <w:rFonts w:hint="default" w:ascii="Times New Roman" w:hAnsi="Times New Roman" w:eastAsia="宋体" w:cs="Times New Roman"/>
                      <w:color w:val="auto"/>
                      <w:sz w:val="21"/>
                      <w:szCs w:val="21"/>
                    </w:rPr>
                    <w:t>11</w:t>
                  </w:r>
                  <w:r>
                    <w:rPr>
                      <w:rFonts w:hint="default" w:ascii="Times New Roman" w:hAnsi="Times New Roman" w:eastAsia="宋体" w:cs="Times New Roman"/>
                      <w:color w:val="auto"/>
                      <w:sz w:val="21"/>
                      <w:szCs w:val="21"/>
                      <w:lang w:val="zh-CN"/>
                    </w:rPr>
                    <w:t>科、</w:t>
                  </w:r>
                  <w:r>
                    <w:rPr>
                      <w:rFonts w:hint="default" w:ascii="Times New Roman" w:hAnsi="Times New Roman" w:eastAsia="宋体" w:cs="Times New Roman"/>
                      <w:color w:val="auto"/>
                      <w:sz w:val="21"/>
                      <w:szCs w:val="21"/>
                    </w:rPr>
                    <w:t>15</w:t>
                  </w:r>
                  <w:r>
                    <w:rPr>
                      <w:rFonts w:hint="default" w:ascii="Times New Roman" w:hAnsi="Times New Roman" w:eastAsia="宋体" w:cs="Times New Roman"/>
                      <w:color w:val="auto"/>
                      <w:sz w:val="21"/>
                      <w:szCs w:val="21"/>
                      <w:lang w:val="zh-CN"/>
                    </w:rPr>
                    <w:t>属、</w:t>
                  </w:r>
                  <w:r>
                    <w:rPr>
                      <w:rFonts w:hint="default" w:ascii="Times New Roman" w:hAnsi="Times New Roman" w:eastAsia="宋体" w:cs="Times New Roman"/>
                      <w:color w:val="auto"/>
                      <w:sz w:val="21"/>
                      <w:szCs w:val="21"/>
                    </w:rPr>
                    <w:t>20</w:t>
                  </w:r>
                  <w:r>
                    <w:rPr>
                      <w:rFonts w:hint="default" w:ascii="Times New Roman" w:hAnsi="Times New Roman" w:eastAsia="宋体" w:cs="Times New Roman"/>
                      <w:color w:val="auto"/>
                      <w:sz w:val="21"/>
                      <w:szCs w:val="21"/>
                      <w:lang w:val="zh-CN"/>
                    </w:rPr>
                    <w:t>种；裸子植物有3科、4属、5种；被子植物有84科、308属、450种。无国家级、云南省级野生保护植物，无珍稀濒危植物，无极小种群物种，无狭域特有物种，无名木古树分布。</w:t>
                  </w:r>
                </w:p>
              </w:tc>
              <w:tc>
                <w:tcPr>
                  <w:tcW w:w="1032" w:type="pct"/>
                  <w:vMerge w:val="continue"/>
                  <w:tcBorders>
                    <w:tl2br w:val="nil"/>
                    <w:tr2bl w:val="nil"/>
                  </w:tcBorders>
                  <w:noWrap w:val="0"/>
                  <w:vAlign w:val="center"/>
                </w:tcPr>
                <w:p w14:paraId="45D78C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p>
              </w:tc>
              <w:tc>
                <w:tcPr>
                  <w:tcW w:w="661" w:type="pct"/>
                  <w:vMerge w:val="continue"/>
                  <w:tcBorders>
                    <w:tl2br w:val="nil"/>
                    <w:tr2bl w:val="nil"/>
                  </w:tcBorders>
                  <w:noWrap w:val="0"/>
                  <w:vAlign w:val="center"/>
                </w:tcPr>
                <w:p w14:paraId="45D5F7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r>
            <w:tr w14:paraId="3A334A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tcBorders>
                    <w:tl2br w:val="nil"/>
                    <w:tr2bl w:val="nil"/>
                  </w:tcBorders>
                  <w:noWrap w:val="0"/>
                  <w:vAlign w:val="center"/>
                </w:tcPr>
                <w:p w14:paraId="6266DD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陆生脊椎动物</w:t>
                  </w:r>
                </w:p>
              </w:tc>
              <w:tc>
                <w:tcPr>
                  <w:tcW w:w="2603" w:type="pct"/>
                  <w:tcBorders>
                    <w:tl2br w:val="nil"/>
                    <w:tr2bl w:val="nil"/>
                  </w:tcBorders>
                  <w:noWrap w:val="0"/>
                  <w:vAlign w:val="center"/>
                </w:tcPr>
                <w:p w14:paraId="45F94710">
                  <w:pPr>
                    <w:widowControl/>
                    <w:adjustRightInd w:val="0"/>
                    <w:snapToGrid w:val="0"/>
                    <w:spacing w:line="240" w:lineRule="auto"/>
                    <w:ind w:firstLine="0" w:firstLineChars="0"/>
                    <w:jc w:val="center"/>
                    <w:rPr>
                      <w:rFonts w:hint="default" w:ascii="Times New Roman" w:hAnsi="Times New Roman" w:eastAsia="宋体" w:cs="Times New Roman"/>
                      <w:bCs/>
                      <w:color w:val="auto"/>
                      <w:kern w:val="0"/>
                      <w:sz w:val="21"/>
                      <w:szCs w:val="21"/>
                      <w:lang w:val="zh-CN" w:eastAsia="zh-CN"/>
                    </w:rPr>
                  </w:pPr>
                  <w:r>
                    <w:rPr>
                      <w:rFonts w:hint="default" w:ascii="Times New Roman" w:hAnsi="Times New Roman" w:eastAsia="宋体" w:cs="Times New Roman"/>
                      <w:bCs/>
                      <w:color w:val="auto"/>
                      <w:kern w:val="0"/>
                      <w:sz w:val="21"/>
                      <w:szCs w:val="21"/>
                      <w:lang w:val="zh-CN"/>
                    </w:rPr>
                    <w:t>野生动物</w:t>
                  </w:r>
                  <w:r>
                    <w:rPr>
                      <w:rFonts w:hint="default" w:ascii="Times New Roman" w:hAnsi="Times New Roman" w:eastAsia="宋体" w:cs="Times New Roman"/>
                      <w:bCs/>
                      <w:color w:val="auto"/>
                      <w:kern w:val="0"/>
                      <w:sz w:val="21"/>
                      <w:szCs w:val="21"/>
                    </w:rPr>
                    <w:t>7</w:t>
                  </w:r>
                  <w:r>
                    <w:rPr>
                      <w:rFonts w:hint="eastAsia" w:ascii="Times New Roman" w:hAnsi="Times New Roman" w:eastAsia="宋体" w:cs="Times New Roman"/>
                      <w:bCs/>
                      <w:color w:val="auto"/>
                      <w:kern w:val="0"/>
                      <w:sz w:val="21"/>
                      <w:szCs w:val="21"/>
                      <w:lang w:val="en-US" w:eastAsia="zh-CN"/>
                    </w:rPr>
                    <w:t>3</w:t>
                  </w:r>
                  <w:r>
                    <w:rPr>
                      <w:rFonts w:hint="default" w:ascii="Times New Roman" w:hAnsi="Times New Roman" w:eastAsia="宋体" w:cs="Times New Roman"/>
                      <w:bCs/>
                      <w:color w:val="auto"/>
                      <w:kern w:val="0"/>
                      <w:sz w:val="21"/>
                      <w:szCs w:val="21"/>
                      <w:lang w:val="zh-CN"/>
                    </w:rPr>
                    <w:t>种，其中两栖类</w:t>
                  </w:r>
                  <w:r>
                    <w:rPr>
                      <w:rFonts w:hint="default" w:ascii="Times New Roman" w:hAnsi="Times New Roman" w:eastAsia="宋体" w:cs="Times New Roman"/>
                      <w:bCs/>
                      <w:color w:val="auto"/>
                      <w:kern w:val="0"/>
                      <w:sz w:val="21"/>
                      <w:szCs w:val="21"/>
                    </w:rPr>
                    <w:t>6</w:t>
                  </w:r>
                  <w:r>
                    <w:rPr>
                      <w:rFonts w:hint="default" w:ascii="Times New Roman" w:hAnsi="Times New Roman" w:eastAsia="宋体" w:cs="Times New Roman"/>
                      <w:bCs/>
                      <w:color w:val="auto"/>
                      <w:kern w:val="0"/>
                      <w:sz w:val="21"/>
                      <w:szCs w:val="21"/>
                      <w:lang w:val="zh-CN"/>
                    </w:rPr>
                    <w:t>种，爬行动物</w:t>
                  </w:r>
                  <w:r>
                    <w:rPr>
                      <w:rFonts w:hint="eastAsia" w:ascii="Times New Roman" w:hAnsi="Times New Roman" w:eastAsia="宋体" w:cs="Times New Roman"/>
                      <w:bCs/>
                      <w:color w:val="auto"/>
                      <w:kern w:val="0"/>
                      <w:sz w:val="21"/>
                      <w:szCs w:val="21"/>
                      <w:lang w:val="en-US" w:eastAsia="zh-CN"/>
                    </w:rPr>
                    <w:t>6</w:t>
                  </w:r>
                  <w:r>
                    <w:rPr>
                      <w:rFonts w:hint="default" w:ascii="Times New Roman" w:hAnsi="Times New Roman" w:eastAsia="宋体" w:cs="Times New Roman"/>
                      <w:bCs/>
                      <w:color w:val="auto"/>
                      <w:kern w:val="0"/>
                      <w:sz w:val="21"/>
                      <w:szCs w:val="21"/>
                      <w:lang w:val="zh-CN"/>
                    </w:rPr>
                    <w:t>种，鸟类</w:t>
                  </w:r>
                  <w:r>
                    <w:rPr>
                      <w:rFonts w:hint="default" w:ascii="Times New Roman" w:hAnsi="Times New Roman" w:eastAsia="宋体" w:cs="Times New Roman"/>
                      <w:bCs/>
                      <w:color w:val="auto"/>
                      <w:kern w:val="0"/>
                      <w:sz w:val="21"/>
                      <w:szCs w:val="21"/>
                    </w:rPr>
                    <w:t>51</w:t>
                  </w:r>
                  <w:r>
                    <w:rPr>
                      <w:rFonts w:hint="default" w:ascii="Times New Roman" w:hAnsi="Times New Roman" w:eastAsia="宋体" w:cs="Times New Roman"/>
                      <w:bCs/>
                      <w:color w:val="auto"/>
                      <w:kern w:val="0"/>
                      <w:sz w:val="21"/>
                      <w:szCs w:val="21"/>
                      <w:lang w:val="zh-CN"/>
                    </w:rPr>
                    <w:t>种，哺乳类</w:t>
                  </w:r>
                  <w:r>
                    <w:rPr>
                      <w:rFonts w:hint="eastAsia" w:ascii="Times New Roman" w:hAnsi="Times New Roman" w:eastAsia="宋体" w:cs="Times New Roman"/>
                      <w:bCs/>
                      <w:color w:val="auto"/>
                      <w:kern w:val="0"/>
                      <w:sz w:val="21"/>
                      <w:szCs w:val="21"/>
                      <w:lang w:val="en-US" w:eastAsia="zh-CN"/>
                    </w:rPr>
                    <w:t>10</w:t>
                  </w:r>
                  <w:r>
                    <w:rPr>
                      <w:rFonts w:hint="default" w:ascii="Times New Roman" w:hAnsi="Times New Roman" w:cs="Times New Roman"/>
                      <w:bCs/>
                      <w:color w:val="auto"/>
                      <w:kern w:val="0"/>
                      <w:sz w:val="21"/>
                      <w:szCs w:val="21"/>
                    </w:rPr>
                    <w:t>种</w:t>
                  </w:r>
                  <w:r>
                    <w:rPr>
                      <w:rFonts w:hint="default" w:ascii="Times New Roman" w:hAnsi="Times New Roman" w:eastAsia="宋体" w:cs="Times New Roman"/>
                      <w:bCs/>
                      <w:color w:val="auto"/>
                      <w:kern w:val="0"/>
                      <w:sz w:val="21"/>
                      <w:szCs w:val="21"/>
                      <w:lang w:val="zh-CN"/>
                    </w:rPr>
                    <w:t>。有国家重点保护野生动物</w:t>
                  </w:r>
                  <w:r>
                    <w:rPr>
                      <w:rFonts w:hint="default" w:ascii="Times New Roman" w:hAnsi="Times New Roman" w:eastAsia="宋体" w:cs="Times New Roman"/>
                      <w:bCs/>
                      <w:color w:val="auto"/>
                      <w:kern w:val="0"/>
                      <w:sz w:val="21"/>
                      <w:szCs w:val="21"/>
                      <w:lang w:val="zh-CN" w:eastAsia="zh-CN"/>
                    </w:rPr>
                    <w:t>5</w:t>
                  </w:r>
                  <w:r>
                    <w:rPr>
                      <w:rFonts w:hint="default" w:ascii="Times New Roman" w:hAnsi="Times New Roman" w:eastAsia="宋体" w:cs="Times New Roman"/>
                      <w:bCs/>
                      <w:color w:val="auto"/>
                      <w:kern w:val="0"/>
                      <w:sz w:val="21"/>
                      <w:szCs w:val="21"/>
                      <w:lang w:val="zh-CN"/>
                    </w:rPr>
                    <w:t>种</w:t>
                  </w:r>
                  <w:r>
                    <w:rPr>
                      <w:rFonts w:hint="default" w:ascii="Times New Roman" w:hAnsi="Times New Roman" w:eastAsia="宋体" w:cs="Times New Roman"/>
                      <w:bCs/>
                      <w:color w:val="auto"/>
                      <w:kern w:val="0"/>
                      <w:sz w:val="21"/>
                      <w:szCs w:val="21"/>
                      <w:lang w:val="zh-CN" w:eastAsia="zh-CN"/>
                    </w:rPr>
                    <w:t>，其中</w:t>
                  </w:r>
                  <w:r>
                    <w:rPr>
                      <w:rFonts w:hint="default" w:ascii="Times New Roman" w:hAnsi="Times New Roman" w:eastAsia="宋体" w:cs="Times New Roman"/>
                      <w:bCs/>
                      <w:color w:val="auto"/>
                      <w:kern w:val="0"/>
                      <w:sz w:val="21"/>
                      <w:szCs w:val="21"/>
                      <w:lang w:val="zh-CN"/>
                    </w:rPr>
                    <w:t>国家二级重点保护野生鸟类</w:t>
                  </w:r>
                  <w:r>
                    <w:rPr>
                      <w:rFonts w:hint="default" w:ascii="Times New Roman" w:hAnsi="Times New Roman" w:eastAsia="宋体" w:cs="Times New Roman"/>
                      <w:bCs/>
                      <w:color w:val="auto"/>
                      <w:kern w:val="0"/>
                      <w:sz w:val="21"/>
                      <w:szCs w:val="21"/>
                      <w:lang w:val="zh-CN" w:eastAsia="zh-CN"/>
                    </w:rPr>
                    <w:t>4种</w:t>
                  </w:r>
                  <w:r>
                    <w:rPr>
                      <w:rFonts w:hint="default" w:ascii="Times New Roman" w:hAnsi="Times New Roman" w:eastAsia="宋体" w:cs="Times New Roman"/>
                      <w:bCs/>
                      <w:color w:val="auto"/>
                      <w:kern w:val="0"/>
                      <w:sz w:val="21"/>
                      <w:szCs w:val="21"/>
                      <w:lang w:val="zh-CN"/>
                    </w:rPr>
                    <w:t>：松雀鹰、普通鵟、红隼</w:t>
                  </w:r>
                  <w:r>
                    <w:rPr>
                      <w:rFonts w:hint="default" w:ascii="Times New Roman" w:hAnsi="Times New Roman" w:eastAsia="宋体" w:cs="Times New Roman"/>
                      <w:bCs/>
                      <w:color w:val="auto"/>
                      <w:kern w:val="0"/>
                      <w:sz w:val="21"/>
                      <w:szCs w:val="21"/>
                      <w:lang w:val="zh-CN" w:eastAsia="zh-CN"/>
                    </w:rPr>
                    <w:t>、</w:t>
                  </w:r>
                  <w:r>
                    <w:rPr>
                      <w:rFonts w:hint="default" w:ascii="Times New Roman" w:hAnsi="Times New Roman" w:eastAsia="宋体" w:cs="Times New Roman"/>
                      <w:bCs/>
                      <w:color w:val="auto"/>
                      <w:kern w:val="0"/>
                      <w:sz w:val="21"/>
                      <w:szCs w:val="21"/>
                      <w:lang w:val="zh-CN"/>
                    </w:rPr>
                    <w:t>画眉</w:t>
                  </w:r>
                  <w:r>
                    <w:rPr>
                      <w:rFonts w:hint="default" w:ascii="Times New Roman" w:hAnsi="Times New Roman" w:eastAsia="宋体" w:cs="Times New Roman"/>
                      <w:bCs/>
                      <w:color w:val="auto"/>
                      <w:kern w:val="0"/>
                      <w:sz w:val="21"/>
                      <w:szCs w:val="21"/>
                      <w:lang w:val="zh-CN" w:eastAsia="zh-CN"/>
                    </w:rPr>
                    <w:t>；</w:t>
                  </w:r>
                  <w:r>
                    <w:rPr>
                      <w:rFonts w:hint="default" w:ascii="Times New Roman" w:hAnsi="Times New Roman" w:eastAsia="宋体" w:cs="Times New Roman"/>
                      <w:bCs/>
                      <w:color w:val="auto"/>
                      <w:kern w:val="0"/>
                      <w:sz w:val="21"/>
                      <w:szCs w:val="21"/>
                      <w:lang w:val="zh-CN"/>
                    </w:rPr>
                    <w:t>国家二级重点保护野生</w:t>
                  </w:r>
                  <w:r>
                    <w:rPr>
                      <w:rFonts w:hint="default" w:ascii="Times New Roman" w:hAnsi="Times New Roman" w:eastAsia="宋体" w:cs="Times New Roman"/>
                      <w:bCs/>
                      <w:color w:val="auto"/>
                      <w:kern w:val="0"/>
                      <w:sz w:val="21"/>
                      <w:szCs w:val="21"/>
                      <w:lang w:val="zh-CN" w:eastAsia="zh-CN"/>
                    </w:rPr>
                    <w:t>种哺乳类1种：</w:t>
                  </w:r>
                  <w:r>
                    <w:rPr>
                      <w:rFonts w:hint="default" w:ascii="Times New Roman" w:hAnsi="Times New Roman" w:eastAsia="宋体" w:cs="Times New Roman"/>
                      <w:bCs/>
                      <w:color w:val="auto"/>
                      <w:kern w:val="0"/>
                      <w:sz w:val="21"/>
                      <w:szCs w:val="21"/>
                      <w:lang w:val="zh-CN"/>
                    </w:rPr>
                    <w:t>豹猫</w:t>
                  </w:r>
                  <w:r>
                    <w:rPr>
                      <w:rFonts w:hint="default" w:ascii="Times New Roman" w:hAnsi="Times New Roman" w:eastAsia="宋体" w:cs="Times New Roman"/>
                      <w:bCs/>
                      <w:color w:val="auto"/>
                      <w:kern w:val="0"/>
                      <w:sz w:val="21"/>
                      <w:szCs w:val="21"/>
                      <w:lang w:val="zh-CN" w:eastAsia="zh-CN"/>
                    </w:rPr>
                    <w:t>。</w:t>
                  </w:r>
                </w:p>
                <w:p w14:paraId="241EA2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Cs/>
                      <w:color w:val="auto"/>
                      <w:kern w:val="0"/>
                      <w:sz w:val="21"/>
                      <w:szCs w:val="21"/>
                      <w:lang w:val="zh-CN" w:eastAsia="zh-CN"/>
                    </w:rPr>
                    <w:t>有</w:t>
                  </w:r>
                  <w:r>
                    <w:rPr>
                      <w:rFonts w:hint="default" w:ascii="Times New Roman" w:hAnsi="Times New Roman" w:eastAsia="宋体" w:cs="Times New Roman"/>
                      <w:bCs/>
                      <w:color w:val="auto"/>
                      <w:kern w:val="0"/>
                      <w:sz w:val="21"/>
                      <w:szCs w:val="21"/>
                      <w:lang w:val="zh-CN"/>
                    </w:rPr>
                    <w:t>《中国生物多样性红色名录—脊椎动物卷（2020）》中收录的易危（VU）</w:t>
                  </w:r>
                  <w:r>
                    <w:rPr>
                      <w:rFonts w:hint="default" w:ascii="Times New Roman" w:hAnsi="Times New Roman" w:eastAsia="宋体" w:cs="Times New Roman"/>
                      <w:bCs/>
                      <w:color w:val="auto"/>
                      <w:kern w:val="0"/>
                      <w:sz w:val="21"/>
                      <w:szCs w:val="21"/>
                      <w:lang w:val="zh-CN" w:eastAsia="zh-CN"/>
                    </w:rPr>
                    <w:t>物种1种，为豹猫</w:t>
                  </w:r>
                  <w:r>
                    <w:rPr>
                      <w:rFonts w:hint="default" w:ascii="Times New Roman" w:hAnsi="Times New Roman" w:eastAsia="宋体" w:cs="Times New Roman"/>
                      <w:bCs/>
                      <w:color w:val="auto"/>
                      <w:kern w:val="0"/>
                      <w:sz w:val="21"/>
                      <w:szCs w:val="21"/>
                      <w:lang w:val="zh-CN"/>
                    </w:rPr>
                    <w:t>。无局限分布于该区域的特有种类。</w:t>
                  </w:r>
                </w:p>
              </w:tc>
              <w:tc>
                <w:tcPr>
                  <w:tcW w:w="1032" w:type="pct"/>
                  <w:vMerge w:val="continue"/>
                  <w:tcBorders>
                    <w:tl2br w:val="nil"/>
                    <w:tr2bl w:val="nil"/>
                  </w:tcBorders>
                  <w:noWrap w:val="0"/>
                  <w:vAlign w:val="center"/>
                </w:tcPr>
                <w:p w14:paraId="55AFD4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p>
              </w:tc>
              <w:tc>
                <w:tcPr>
                  <w:tcW w:w="661" w:type="pct"/>
                  <w:vMerge w:val="continue"/>
                  <w:tcBorders>
                    <w:tl2br w:val="nil"/>
                    <w:tr2bl w:val="nil"/>
                  </w:tcBorders>
                  <w:noWrap w:val="0"/>
                  <w:vAlign w:val="center"/>
                </w:tcPr>
                <w:p w14:paraId="6B19AD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r>
            <w:tr w14:paraId="610554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noWrap w:val="0"/>
                  <w:vAlign w:val="center"/>
                </w:tcPr>
                <w:p w14:paraId="35934A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公益林</w:t>
                  </w:r>
                </w:p>
              </w:tc>
              <w:tc>
                <w:tcPr>
                  <w:tcW w:w="2603" w:type="pct"/>
                  <w:noWrap w:val="0"/>
                  <w:vAlign w:val="center"/>
                </w:tcPr>
                <w:p w14:paraId="63E9B8D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不占用国家一级公益林，</w:t>
                  </w:r>
                  <w:r>
                    <w:rPr>
                      <w:rFonts w:hint="eastAsia" w:ascii="Times New Roman" w:hAnsi="Times New Roman" w:eastAsia="宋体" w:cs="Times New Roman"/>
                      <w:color w:val="auto"/>
                      <w:sz w:val="21"/>
                      <w:szCs w:val="21"/>
                      <w:lang w:val="en-US" w:eastAsia="zh-CN"/>
                    </w:rPr>
                    <w:t>不</w:t>
                  </w:r>
                  <w:r>
                    <w:rPr>
                      <w:rFonts w:hint="default" w:ascii="Times New Roman" w:hAnsi="Times New Roman" w:eastAsia="宋体" w:cs="Times New Roman"/>
                      <w:color w:val="auto"/>
                      <w:sz w:val="21"/>
                      <w:szCs w:val="21"/>
                      <w:lang w:val="en-US" w:eastAsia="zh-CN"/>
                    </w:rPr>
                    <w:t>占用国家二级公益林。项目占用省级公益林0.0607公顷，其中塔基永久占地0.01413公顷，临时占地0.04657公顷。</w:t>
                  </w:r>
                  <w:r>
                    <w:rPr>
                      <w:rFonts w:hint="default" w:ascii="Times New Roman" w:hAnsi="Times New Roman" w:eastAsia="宋体" w:cs="Times New Roman"/>
                      <w:color w:val="auto"/>
                      <w:sz w:val="21"/>
                      <w:szCs w:val="21"/>
                    </w:rPr>
                    <w:t>公益林</w:t>
                  </w:r>
                  <w:r>
                    <w:rPr>
                      <w:rFonts w:hint="default" w:ascii="Times New Roman" w:hAnsi="Times New Roman" w:eastAsia="宋体" w:cs="Times New Roman"/>
                      <w:color w:val="auto"/>
                      <w:sz w:val="21"/>
                      <w:szCs w:val="21"/>
                      <w:lang w:val="en-US" w:eastAsia="zh-CN"/>
                    </w:rPr>
                    <w:t>主要功能为水土保持</w:t>
                  </w:r>
                  <w:r>
                    <w:rPr>
                      <w:rFonts w:hint="eastAsia" w:ascii="Times New Roman" w:hAnsi="Times New Roman" w:eastAsia="宋体" w:cs="Times New Roman"/>
                      <w:color w:val="auto"/>
                      <w:sz w:val="21"/>
                      <w:szCs w:val="21"/>
                      <w:lang w:val="en-US" w:eastAsia="zh-CN"/>
                    </w:rPr>
                    <w:t>，植被类型</w:t>
                  </w:r>
                  <w:r>
                    <w:rPr>
                      <w:rFonts w:hint="default" w:ascii="Times New Roman" w:hAnsi="Times New Roman" w:eastAsia="宋体" w:cs="Times New Roman"/>
                      <w:color w:val="auto"/>
                      <w:sz w:val="21"/>
                      <w:szCs w:val="21"/>
                    </w:rPr>
                    <w:t>主要以云南松为优势树种的乔木林地</w:t>
                  </w:r>
                </w:p>
              </w:tc>
              <w:tc>
                <w:tcPr>
                  <w:tcW w:w="1032" w:type="pct"/>
                  <w:noWrap w:val="0"/>
                  <w:vAlign w:val="center"/>
                </w:tcPr>
                <w:p w14:paraId="3FC3DF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线路沿线</w:t>
                  </w:r>
                  <w:r>
                    <w:rPr>
                      <w:rFonts w:hint="eastAsia" w:ascii="Times New Roman" w:hAnsi="Times New Roman" w:eastAsia="宋体" w:cs="Times New Roman"/>
                      <w:color w:val="auto"/>
                      <w:sz w:val="21"/>
                      <w:szCs w:val="21"/>
                      <w:lang w:val="en-US" w:eastAsia="zh-CN"/>
                    </w:rPr>
                    <w:t>跨越、</w:t>
                  </w:r>
                  <w:r>
                    <w:rPr>
                      <w:rFonts w:hint="default" w:ascii="Times New Roman" w:hAnsi="Times New Roman" w:eastAsia="宋体" w:cs="Times New Roman"/>
                      <w:color w:val="auto"/>
                      <w:sz w:val="21"/>
                      <w:szCs w:val="21"/>
                    </w:rPr>
                    <w:t>占用生态公益林区域</w:t>
                  </w:r>
                </w:p>
              </w:tc>
              <w:tc>
                <w:tcPr>
                  <w:tcW w:w="661" w:type="pct"/>
                  <w:vMerge w:val="continue"/>
                  <w:noWrap w:val="0"/>
                  <w:vAlign w:val="center"/>
                </w:tcPr>
                <w:p w14:paraId="50CFCA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r>
          </w:tbl>
          <w:p w14:paraId="4B4F35E0">
            <w:pPr>
              <w:adjustRightInd w:val="0"/>
              <w:snapToGrid w:val="0"/>
              <w:spacing w:line="440" w:lineRule="exact"/>
              <w:ind w:firstLine="241"/>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3.</w:t>
            </w:r>
            <w:r>
              <w:rPr>
                <w:rFonts w:hint="eastAsia" w:ascii="Times New Roman" w:hAnsi="Times New Roman" w:cs="Times New Roman"/>
                <w:b/>
                <w:color w:val="auto"/>
                <w:sz w:val="24"/>
                <w:szCs w:val="24"/>
                <w:lang w:val="en-US" w:eastAsia="zh-CN"/>
              </w:rPr>
              <w:t>7</w:t>
            </w:r>
            <w:r>
              <w:rPr>
                <w:rFonts w:hint="default" w:ascii="Times New Roman" w:hAnsi="Times New Roman" w:cs="Times New Roman"/>
                <w:b/>
                <w:color w:val="auto"/>
                <w:sz w:val="24"/>
                <w:szCs w:val="24"/>
              </w:rPr>
              <w:t>.</w:t>
            </w:r>
            <w:r>
              <w:rPr>
                <w:rFonts w:hint="eastAsia" w:ascii="Times New Roman" w:hAnsi="Times New Roman" w:cs="Times New Roman"/>
                <w:b/>
                <w:color w:val="auto"/>
                <w:sz w:val="24"/>
                <w:szCs w:val="24"/>
                <w:lang w:val="en-US" w:eastAsia="zh-CN"/>
              </w:rPr>
              <w:t>2.2</w:t>
            </w:r>
            <w:r>
              <w:rPr>
                <w:rFonts w:hint="default" w:ascii="Times New Roman" w:hAnsi="Times New Roman" w:cs="Times New Roman"/>
                <w:b/>
                <w:color w:val="auto"/>
                <w:sz w:val="24"/>
                <w:szCs w:val="24"/>
              </w:rPr>
              <w:t>水环境保护目标</w:t>
            </w:r>
          </w:p>
          <w:p w14:paraId="7E15275B">
            <w:pPr>
              <w:keepNext w:val="0"/>
              <w:keepLines w:val="0"/>
              <w:pageBreakBefore w:val="0"/>
              <w:widowControl w:val="0"/>
              <w:kinsoku/>
              <w:wordWrap/>
              <w:overflowPunct/>
              <w:topLinePunct w:val="0"/>
              <w:autoSpaceDE/>
              <w:autoSpaceDN/>
              <w:bidi w:val="0"/>
              <w:adjustRightInd w:val="0"/>
              <w:snapToGrid w:val="0"/>
              <w:spacing w:line="440" w:lineRule="exact"/>
              <w:ind w:firstLine="476" w:firstLineChars="200"/>
              <w:jc w:val="both"/>
              <w:textAlignment w:val="auto"/>
              <w:rPr>
                <w:rFonts w:hint="default" w:ascii="Times New Roman" w:hAnsi="Times New Roman" w:cs="Times New Roman"/>
                <w:color w:val="auto"/>
                <w:spacing w:val="-1"/>
                <w:sz w:val="24"/>
              </w:rPr>
            </w:pPr>
            <w:r>
              <w:rPr>
                <w:rFonts w:hint="eastAsia" w:ascii="Times New Roman" w:hAnsi="Times New Roman" w:cs="Times New Roman"/>
                <w:color w:val="auto"/>
                <w:spacing w:val="-1"/>
                <w:sz w:val="24"/>
                <w:lang w:val="en-US" w:eastAsia="zh-CN"/>
              </w:rPr>
              <w:t>根据2026年6月23日曲靖市生态环境局会泽分局关于大草房至六合一110kV送出线路工程项目（饮用水源地部分）查询情况说明，与会泽县集中式饮用水水源保护区矢量数据套叠，该项目所选址区域均不在会泽县集中式饮用水水源保护区范围内。根据调查，</w:t>
            </w:r>
            <w:r>
              <w:rPr>
                <w:rFonts w:hint="default" w:ascii="Times New Roman" w:hAnsi="Times New Roman" w:eastAsia="宋体" w:cs="Times New Roman"/>
                <w:color w:val="auto"/>
                <w:spacing w:val="-1"/>
                <w:sz w:val="24"/>
              </w:rPr>
              <w:t>线路沿线500米范围内无地下水集中式饮用水水源和热水、矿泉水、温泉等特殊地下水资源。</w:t>
            </w:r>
            <w:r>
              <w:rPr>
                <w:rFonts w:hint="default" w:ascii="Times New Roman" w:hAnsi="Times New Roman" w:cs="Times New Roman"/>
                <w:color w:val="auto"/>
                <w:spacing w:val="-1"/>
                <w:sz w:val="24"/>
              </w:rPr>
              <w:t>110</w:t>
            </w:r>
            <w:r>
              <w:rPr>
                <w:rFonts w:hint="eastAsia" w:ascii="Times New Roman" w:hAnsi="Times New Roman" w:cs="Times New Roman"/>
                <w:color w:val="auto"/>
                <w:spacing w:val="-1"/>
                <w:sz w:val="24"/>
                <w:lang w:eastAsia="zh-CN"/>
              </w:rPr>
              <w:t>kV</w:t>
            </w:r>
            <w:r>
              <w:rPr>
                <w:rFonts w:hint="default" w:ascii="Times New Roman" w:hAnsi="Times New Roman" w:cs="Times New Roman"/>
                <w:color w:val="auto"/>
                <w:spacing w:val="-1"/>
                <w:sz w:val="24"/>
              </w:rPr>
              <w:t>输电线路沿线主要环境保护目标见下表。</w:t>
            </w:r>
          </w:p>
          <w:p w14:paraId="5DA31A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bCs/>
                <w:color w:val="auto"/>
                <w:sz w:val="24"/>
                <w:lang w:val="en-US" w:eastAsia="zh-CN"/>
              </w:rPr>
            </w:pPr>
          </w:p>
          <w:p w14:paraId="34046B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表3-12  工程涉及地表水体一览表</w:t>
            </w:r>
          </w:p>
          <w:tbl>
            <w:tblPr>
              <w:tblStyle w:val="91"/>
              <w:tblW w:w="4995"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313"/>
              <w:gridCol w:w="763"/>
              <w:gridCol w:w="613"/>
              <w:gridCol w:w="1551"/>
              <w:gridCol w:w="1613"/>
              <w:gridCol w:w="654"/>
              <w:gridCol w:w="1015"/>
              <w:gridCol w:w="747"/>
              <w:gridCol w:w="1007"/>
            </w:tblGrid>
            <w:tr w14:paraId="4ED93F8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89" w:type="pct"/>
                  <w:tcBorders>
                    <w:tl2br w:val="nil"/>
                    <w:tr2bl w:val="nil"/>
                  </w:tcBorders>
                  <w:noWrap w:val="0"/>
                  <w:textDirection w:val="tbRlV"/>
                  <w:vAlign w:val="center"/>
                </w:tcPr>
                <w:p w14:paraId="618A63B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序号</w:t>
                  </w:r>
                </w:p>
              </w:tc>
              <w:tc>
                <w:tcPr>
                  <w:tcW w:w="460" w:type="pct"/>
                  <w:tcBorders>
                    <w:tl2br w:val="nil"/>
                    <w:tr2bl w:val="nil"/>
                  </w:tcBorders>
                  <w:noWrap w:val="0"/>
                  <w:vAlign w:val="center"/>
                </w:tcPr>
                <w:p w14:paraId="40C197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sz w:val="21"/>
                      <w:szCs w:val="21"/>
                      <w:lang w:eastAsia="zh-CN"/>
                    </w:rPr>
                  </w:pPr>
                  <w:r>
                    <w:rPr>
                      <w:rFonts w:hint="eastAsia" w:ascii="Times New Roman" w:hAnsi="Times New Roman" w:cs="Times New Roman"/>
                      <w:b/>
                      <w:bCs/>
                      <w:color w:val="auto"/>
                      <w:sz w:val="21"/>
                      <w:szCs w:val="21"/>
                      <w:lang w:val="en-US" w:eastAsia="zh-CN"/>
                    </w:rPr>
                    <w:t>名称</w:t>
                  </w:r>
                </w:p>
              </w:tc>
              <w:tc>
                <w:tcPr>
                  <w:tcW w:w="370" w:type="pct"/>
                  <w:tcBorders>
                    <w:tl2br w:val="nil"/>
                    <w:tr2bl w:val="nil"/>
                  </w:tcBorders>
                  <w:noWrap w:val="0"/>
                  <w:vAlign w:val="center"/>
                </w:tcPr>
                <w:p w14:paraId="186E6A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sz w:val="21"/>
                      <w:szCs w:val="21"/>
                      <w:lang w:eastAsia="zh-CN"/>
                    </w:rPr>
                  </w:pPr>
                  <w:r>
                    <w:rPr>
                      <w:rFonts w:hint="eastAsia" w:ascii="Times New Roman" w:hAnsi="Times New Roman" w:cs="Times New Roman"/>
                      <w:b/>
                      <w:bCs/>
                      <w:color w:val="auto"/>
                      <w:sz w:val="21"/>
                      <w:szCs w:val="21"/>
                      <w:lang w:val="en-US" w:eastAsia="zh-CN"/>
                    </w:rPr>
                    <w:t>类型</w:t>
                  </w:r>
                </w:p>
              </w:tc>
              <w:tc>
                <w:tcPr>
                  <w:tcW w:w="937" w:type="pct"/>
                  <w:tcBorders>
                    <w:tl2br w:val="nil"/>
                    <w:tr2bl w:val="nil"/>
                  </w:tcBorders>
                  <w:noWrap w:val="0"/>
                  <w:vAlign w:val="center"/>
                </w:tcPr>
                <w:p w14:paraId="0DB4ED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位置关系</w:t>
                  </w:r>
                </w:p>
              </w:tc>
              <w:tc>
                <w:tcPr>
                  <w:tcW w:w="974" w:type="pct"/>
                  <w:tcBorders>
                    <w:tl2br w:val="nil"/>
                    <w:tr2bl w:val="nil"/>
                  </w:tcBorders>
                  <w:noWrap w:val="0"/>
                  <w:vAlign w:val="center"/>
                </w:tcPr>
                <w:p w14:paraId="406DFF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跨越方式</w:t>
                  </w:r>
                </w:p>
              </w:tc>
              <w:tc>
                <w:tcPr>
                  <w:tcW w:w="395" w:type="pct"/>
                  <w:tcBorders>
                    <w:tl2br w:val="nil"/>
                    <w:tr2bl w:val="nil"/>
                  </w:tcBorders>
                  <w:noWrap w:val="0"/>
                  <w:vAlign w:val="center"/>
                </w:tcPr>
                <w:p w14:paraId="3E0892E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是否通航</w:t>
                  </w:r>
                </w:p>
              </w:tc>
              <w:tc>
                <w:tcPr>
                  <w:tcW w:w="613" w:type="pct"/>
                  <w:tcBorders>
                    <w:tl2br w:val="nil"/>
                    <w:tr2bl w:val="nil"/>
                  </w:tcBorders>
                  <w:noWrap w:val="0"/>
                  <w:vAlign w:val="center"/>
                </w:tcPr>
                <w:p w14:paraId="2D824E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水环境功能区名称</w:t>
                  </w:r>
                </w:p>
              </w:tc>
              <w:tc>
                <w:tcPr>
                  <w:tcW w:w="451" w:type="pct"/>
                  <w:tcBorders>
                    <w:tl2br w:val="nil"/>
                    <w:tr2bl w:val="nil"/>
                  </w:tcBorders>
                  <w:noWrap w:val="0"/>
                  <w:vAlign w:val="center"/>
                </w:tcPr>
                <w:p w14:paraId="4DA02A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sz w:val="21"/>
                      <w:szCs w:val="21"/>
                      <w:lang w:eastAsia="zh-CN"/>
                    </w:rPr>
                  </w:pPr>
                  <w:r>
                    <w:rPr>
                      <w:rFonts w:hint="eastAsia" w:ascii="Times New Roman" w:hAnsi="Times New Roman" w:cs="Times New Roman"/>
                      <w:b/>
                      <w:bCs/>
                      <w:color w:val="auto"/>
                      <w:sz w:val="21"/>
                      <w:szCs w:val="21"/>
                      <w:lang w:val="en-US" w:eastAsia="zh-CN"/>
                    </w:rPr>
                    <w:t>保护级别</w:t>
                  </w:r>
                </w:p>
              </w:tc>
              <w:tc>
                <w:tcPr>
                  <w:tcW w:w="608" w:type="pct"/>
                  <w:tcBorders>
                    <w:tl2br w:val="nil"/>
                    <w:tr2bl w:val="nil"/>
                  </w:tcBorders>
                  <w:noWrap w:val="0"/>
                  <w:vAlign w:val="center"/>
                </w:tcPr>
                <w:p w14:paraId="5F505F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是否为饮用水水源保护区</w:t>
                  </w:r>
                </w:p>
              </w:tc>
            </w:tr>
            <w:tr w14:paraId="50A3071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89" w:type="pct"/>
                  <w:tcBorders>
                    <w:tl2br w:val="nil"/>
                    <w:tr2bl w:val="nil"/>
                  </w:tcBorders>
                  <w:noWrap w:val="0"/>
                  <w:vAlign w:val="center"/>
                </w:tcPr>
                <w:p w14:paraId="49DEA4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460" w:type="pct"/>
                  <w:tcBorders>
                    <w:tl2br w:val="nil"/>
                    <w:tr2bl w:val="nil"/>
                  </w:tcBorders>
                  <w:noWrap w:val="0"/>
                  <w:vAlign w:val="center"/>
                </w:tcPr>
                <w:p w14:paraId="01D768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鲁珠</w:t>
                  </w:r>
                  <w:r>
                    <w:rPr>
                      <w:rFonts w:hint="default" w:ascii="Times New Roman" w:hAnsi="Times New Roman" w:eastAsia="宋体" w:cs="Times New Roman"/>
                      <w:color w:val="auto"/>
                      <w:sz w:val="21"/>
                      <w:szCs w:val="21"/>
                      <w:lang w:val="en-US" w:eastAsia="zh-CN"/>
                    </w:rPr>
                    <w:t>河</w:t>
                  </w:r>
                </w:p>
              </w:tc>
              <w:tc>
                <w:tcPr>
                  <w:tcW w:w="370" w:type="pct"/>
                  <w:tcBorders>
                    <w:tl2br w:val="nil"/>
                    <w:tr2bl w:val="nil"/>
                  </w:tcBorders>
                  <w:noWrap w:val="0"/>
                  <w:vAlign w:val="center"/>
                </w:tcPr>
                <w:p w14:paraId="290F69F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河流</w:t>
                  </w:r>
                </w:p>
              </w:tc>
              <w:tc>
                <w:tcPr>
                  <w:tcW w:w="937" w:type="pct"/>
                  <w:tcBorders>
                    <w:tl2br w:val="nil"/>
                    <w:tr2bl w:val="nil"/>
                  </w:tcBorders>
                  <w:noWrap w:val="0"/>
                  <w:vAlign w:val="center"/>
                </w:tcPr>
                <w:p w14:paraId="225EC0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线路塔基N</w:t>
                  </w:r>
                  <w:r>
                    <w:rPr>
                      <w:rFonts w:hint="eastAsia" w:ascii="Times New Roman" w:hAnsi="Times New Roman" w:cs="Times New Roman"/>
                      <w:color w:val="auto"/>
                      <w:sz w:val="21"/>
                      <w:szCs w:val="21"/>
                      <w:lang w:val="en-US" w:eastAsia="zh-CN"/>
                    </w:rPr>
                    <w:t>5</w:t>
                  </w:r>
                  <w:r>
                    <w:rPr>
                      <w:rFonts w:hint="default" w:ascii="Times New Roman" w:hAnsi="Times New Roman" w:cs="Times New Roman"/>
                      <w:color w:val="auto"/>
                      <w:sz w:val="21"/>
                      <w:szCs w:val="21"/>
                      <w:lang w:val="en-US" w:eastAsia="zh-CN"/>
                    </w:rPr>
                    <w:t>~N</w:t>
                  </w:r>
                  <w:r>
                    <w:rPr>
                      <w:rFonts w:hint="eastAsia" w:ascii="Times New Roman" w:hAnsi="Times New Roman" w:cs="Times New Roman"/>
                      <w:color w:val="auto"/>
                      <w:sz w:val="21"/>
                      <w:szCs w:val="21"/>
                      <w:lang w:val="en-US" w:eastAsia="zh-CN"/>
                    </w:rPr>
                    <w:t>6</w:t>
                  </w:r>
                  <w:r>
                    <w:rPr>
                      <w:rFonts w:hint="default" w:ascii="Times New Roman" w:hAnsi="Times New Roman" w:cs="Times New Roman"/>
                      <w:color w:val="auto"/>
                      <w:sz w:val="21"/>
                      <w:szCs w:val="21"/>
                      <w:lang w:val="en-US" w:eastAsia="zh-CN"/>
                    </w:rPr>
                    <w:t>之间跨越</w:t>
                  </w:r>
                </w:p>
              </w:tc>
              <w:tc>
                <w:tcPr>
                  <w:tcW w:w="974" w:type="pct"/>
                  <w:tcBorders>
                    <w:tl2br w:val="nil"/>
                    <w:tr2bl w:val="nil"/>
                  </w:tcBorders>
                  <w:noWrap w:val="0"/>
                  <w:vAlign w:val="center"/>
                </w:tcPr>
                <w:p w14:paraId="4D96E6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空中一</w:t>
                  </w:r>
                  <w:r>
                    <w:rPr>
                      <w:rFonts w:hint="eastAsia" w:ascii="Times New Roman" w:hAnsi="Times New Roman" w:cs="Times New Roman"/>
                      <w:color w:val="auto"/>
                      <w:sz w:val="21"/>
                      <w:szCs w:val="21"/>
                      <w:lang w:val="en-US" w:eastAsia="zh-CN"/>
                    </w:rPr>
                    <w:t>档</w:t>
                  </w:r>
                  <w:r>
                    <w:rPr>
                      <w:rFonts w:hint="default" w:ascii="Times New Roman" w:hAnsi="Times New Roman" w:cs="Times New Roman"/>
                      <w:color w:val="auto"/>
                      <w:sz w:val="21"/>
                      <w:szCs w:val="21"/>
                    </w:rPr>
                    <w:t>跨越，不在水域范围内立塔</w:t>
                  </w:r>
                </w:p>
              </w:tc>
              <w:tc>
                <w:tcPr>
                  <w:tcW w:w="395" w:type="pct"/>
                  <w:tcBorders>
                    <w:tl2br w:val="nil"/>
                    <w:tr2bl w:val="nil"/>
                  </w:tcBorders>
                  <w:noWrap w:val="0"/>
                  <w:vAlign w:val="center"/>
                </w:tcPr>
                <w:p w14:paraId="1EAC19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否</w:t>
                  </w:r>
                </w:p>
              </w:tc>
              <w:tc>
                <w:tcPr>
                  <w:tcW w:w="613" w:type="pct"/>
                  <w:tcBorders>
                    <w:tl2br w:val="nil"/>
                    <w:tr2bl w:val="nil"/>
                  </w:tcBorders>
                  <w:noWrap w:val="0"/>
                  <w:vAlign w:val="center"/>
                </w:tcPr>
                <w:p w14:paraId="6EB627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以礼河会泽-巧家保留区</w:t>
                  </w:r>
                </w:p>
              </w:tc>
              <w:tc>
                <w:tcPr>
                  <w:tcW w:w="451" w:type="pct"/>
                  <w:tcBorders>
                    <w:tl2br w:val="nil"/>
                    <w:tr2bl w:val="nil"/>
                  </w:tcBorders>
                  <w:noWrap w:val="0"/>
                  <w:vAlign w:val="center"/>
                </w:tcPr>
                <w:p w14:paraId="10EFF1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Ⅲ类</w:t>
                  </w:r>
                </w:p>
              </w:tc>
              <w:tc>
                <w:tcPr>
                  <w:tcW w:w="608" w:type="pct"/>
                  <w:tcBorders>
                    <w:tl2br w:val="nil"/>
                    <w:tr2bl w:val="nil"/>
                  </w:tcBorders>
                  <w:noWrap w:val="0"/>
                  <w:vAlign w:val="center"/>
                </w:tcPr>
                <w:p w14:paraId="4AD6E4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否</w:t>
                  </w:r>
                </w:p>
              </w:tc>
            </w:tr>
            <w:tr w14:paraId="0E1468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89" w:type="pct"/>
                  <w:tcBorders>
                    <w:tl2br w:val="nil"/>
                    <w:tr2bl w:val="nil"/>
                  </w:tcBorders>
                  <w:noWrap w:val="0"/>
                  <w:vAlign w:val="center"/>
                </w:tcPr>
                <w:p w14:paraId="608BE0C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2</w:t>
                  </w:r>
                </w:p>
              </w:tc>
              <w:tc>
                <w:tcPr>
                  <w:tcW w:w="460" w:type="pct"/>
                  <w:tcBorders>
                    <w:tl2br w:val="nil"/>
                    <w:tr2bl w:val="nil"/>
                  </w:tcBorders>
                  <w:noWrap w:val="0"/>
                  <w:vAlign w:val="center"/>
                </w:tcPr>
                <w:p w14:paraId="527CAE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大麦冲小</w:t>
                  </w:r>
                  <w:r>
                    <w:rPr>
                      <w:rFonts w:hint="default" w:ascii="Times New Roman" w:hAnsi="Times New Roman" w:eastAsia="宋体" w:cs="Times New Roman"/>
                      <w:color w:val="auto"/>
                      <w:sz w:val="21"/>
                      <w:szCs w:val="21"/>
                      <w:lang w:val="en-US" w:eastAsia="zh-CN"/>
                    </w:rPr>
                    <w:t>河</w:t>
                  </w:r>
                </w:p>
              </w:tc>
              <w:tc>
                <w:tcPr>
                  <w:tcW w:w="370" w:type="pct"/>
                  <w:tcBorders>
                    <w:tl2br w:val="nil"/>
                    <w:tr2bl w:val="nil"/>
                  </w:tcBorders>
                  <w:noWrap w:val="0"/>
                  <w:vAlign w:val="center"/>
                </w:tcPr>
                <w:p w14:paraId="23EDE6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河流</w:t>
                  </w:r>
                </w:p>
              </w:tc>
              <w:tc>
                <w:tcPr>
                  <w:tcW w:w="937" w:type="pct"/>
                  <w:tcBorders>
                    <w:tl2br w:val="nil"/>
                    <w:tr2bl w:val="nil"/>
                  </w:tcBorders>
                  <w:noWrap w:val="0"/>
                  <w:vAlign w:val="center"/>
                </w:tcPr>
                <w:p w14:paraId="1DDE6B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塔基N</w:t>
                  </w:r>
                  <w:r>
                    <w:rPr>
                      <w:rFonts w:hint="eastAsia" w:ascii="Times New Roman" w:hAnsi="Times New Roman" w:cs="Times New Roman"/>
                      <w:color w:val="auto"/>
                      <w:sz w:val="21"/>
                      <w:szCs w:val="21"/>
                      <w:lang w:val="en-US" w:eastAsia="zh-CN"/>
                    </w:rPr>
                    <w:t>29</w:t>
                  </w:r>
                  <w:r>
                    <w:rPr>
                      <w:rFonts w:hint="default" w:ascii="Times New Roman" w:hAnsi="Times New Roman" w:cs="Times New Roman"/>
                      <w:color w:val="auto"/>
                      <w:sz w:val="21"/>
                      <w:szCs w:val="21"/>
                    </w:rPr>
                    <w:t>~N</w:t>
                  </w:r>
                  <w:r>
                    <w:rPr>
                      <w:rFonts w:hint="eastAsia" w:ascii="Times New Roman" w:hAnsi="Times New Roman" w:cs="Times New Roman"/>
                      <w:color w:val="auto"/>
                      <w:sz w:val="21"/>
                      <w:szCs w:val="21"/>
                      <w:lang w:val="en-US" w:eastAsia="zh-CN"/>
                    </w:rPr>
                    <w:t>30</w:t>
                  </w:r>
                  <w:r>
                    <w:rPr>
                      <w:rFonts w:hint="default" w:ascii="Times New Roman" w:hAnsi="Times New Roman" w:cs="Times New Roman"/>
                      <w:color w:val="auto"/>
                      <w:sz w:val="21"/>
                      <w:szCs w:val="21"/>
                    </w:rPr>
                    <w:t>之间跨越</w:t>
                  </w:r>
                </w:p>
              </w:tc>
              <w:tc>
                <w:tcPr>
                  <w:tcW w:w="974" w:type="pct"/>
                  <w:tcBorders>
                    <w:tl2br w:val="nil"/>
                    <w:tr2bl w:val="nil"/>
                  </w:tcBorders>
                  <w:noWrap w:val="0"/>
                  <w:vAlign w:val="center"/>
                </w:tcPr>
                <w:p w14:paraId="2C27BB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空中一档跨越，不在水域范围内立塔</w:t>
                  </w:r>
                </w:p>
              </w:tc>
              <w:tc>
                <w:tcPr>
                  <w:tcW w:w="395" w:type="pct"/>
                  <w:tcBorders>
                    <w:tl2br w:val="nil"/>
                    <w:tr2bl w:val="nil"/>
                  </w:tcBorders>
                  <w:noWrap w:val="0"/>
                  <w:vAlign w:val="center"/>
                </w:tcPr>
                <w:p w14:paraId="6FA4E2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否</w:t>
                  </w:r>
                </w:p>
              </w:tc>
              <w:tc>
                <w:tcPr>
                  <w:tcW w:w="613" w:type="pct"/>
                  <w:tcBorders>
                    <w:tl2br w:val="nil"/>
                    <w:tr2bl w:val="nil"/>
                  </w:tcBorders>
                  <w:noWrap w:val="0"/>
                  <w:vAlign w:val="center"/>
                </w:tcPr>
                <w:p w14:paraId="77F471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牛栏江滇黔缓冲区</w:t>
                  </w:r>
                </w:p>
              </w:tc>
              <w:tc>
                <w:tcPr>
                  <w:tcW w:w="451" w:type="pct"/>
                  <w:tcBorders>
                    <w:tl2br w:val="nil"/>
                    <w:tr2bl w:val="nil"/>
                  </w:tcBorders>
                  <w:noWrap w:val="0"/>
                  <w:vAlign w:val="center"/>
                </w:tcPr>
                <w:p w14:paraId="46EA9B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Ⅲ类</w:t>
                  </w:r>
                </w:p>
              </w:tc>
              <w:tc>
                <w:tcPr>
                  <w:tcW w:w="608" w:type="pct"/>
                  <w:tcBorders>
                    <w:tl2br w:val="nil"/>
                    <w:tr2bl w:val="nil"/>
                  </w:tcBorders>
                  <w:noWrap w:val="0"/>
                  <w:vAlign w:val="center"/>
                </w:tcPr>
                <w:p w14:paraId="6A475C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否</w:t>
                  </w:r>
                </w:p>
              </w:tc>
            </w:tr>
            <w:tr w14:paraId="3D9059C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89" w:type="pct"/>
                  <w:tcBorders>
                    <w:tl2br w:val="nil"/>
                    <w:tr2bl w:val="nil"/>
                  </w:tcBorders>
                  <w:noWrap w:val="0"/>
                  <w:vAlign w:val="center"/>
                </w:tcPr>
                <w:p w14:paraId="19961D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w:t>
                  </w:r>
                </w:p>
              </w:tc>
              <w:tc>
                <w:tcPr>
                  <w:tcW w:w="460" w:type="pct"/>
                  <w:tcBorders>
                    <w:tl2br w:val="nil"/>
                    <w:tr2bl w:val="nil"/>
                  </w:tcBorders>
                  <w:noWrap w:val="0"/>
                  <w:vAlign w:val="center"/>
                </w:tcPr>
                <w:p w14:paraId="1532C68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bCs/>
                      <w:color w:val="auto"/>
                      <w:kern w:val="0"/>
                      <w:szCs w:val="21"/>
                      <w:lang w:val="en-US" w:eastAsia="zh-CN"/>
                    </w:rPr>
                    <w:t>天然沟箐（铜沟、冷水沟）等</w:t>
                  </w:r>
                </w:p>
              </w:tc>
              <w:tc>
                <w:tcPr>
                  <w:tcW w:w="370" w:type="pct"/>
                  <w:tcBorders>
                    <w:tl2br w:val="nil"/>
                    <w:tr2bl w:val="nil"/>
                  </w:tcBorders>
                  <w:noWrap w:val="0"/>
                  <w:vAlign w:val="center"/>
                </w:tcPr>
                <w:p w14:paraId="6B515B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河流</w:t>
                  </w:r>
                </w:p>
              </w:tc>
              <w:tc>
                <w:tcPr>
                  <w:tcW w:w="937" w:type="pct"/>
                  <w:tcBorders>
                    <w:tl2br w:val="nil"/>
                    <w:tr2bl w:val="nil"/>
                  </w:tcBorders>
                  <w:noWrap w:val="0"/>
                  <w:vAlign w:val="center"/>
                </w:tcPr>
                <w:p w14:paraId="509C3A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线路塔基N10~N11之间跨越铜沟、线路塔基N36~N37之间跨越冷水沟</w:t>
                  </w:r>
                </w:p>
              </w:tc>
              <w:tc>
                <w:tcPr>
                  <w:tcW w:w="974" w:type="pct"/>
                  <w:tcBorders>
                    <w:tl2br w:val="nil"/>
                    <w:tr2bl w:val="nil"/>
                  </w:tcBorders>
                  <w:noWrap w:val="0"/>
                  <w:vAlign w:val="center"/>
                </w:tcPr>
                <w:p w14:paraId="2BD9D4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空中一档跨越，不在水域范围内立塔</w:t>
                  </w:r>
                </w:p>
              </w:tc>
              <w:tc>
                <w:tcPr>
                  <w:tcW w:w="395" w:type="pct"/>
                  <w:tcBorders>
                    <w:tl2br w:val="nil"/>
                    <w:tr2bl w:val="nil"/>
                  </w:tcBorders>
                  <w:noWrap w:val="0"/>
                  <w:vAlign w:val="center"/>
                </w:tcPr>
                <w:p w14:paraId="33C688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color w:val="auto"/>
                      <w:sz w:val="21"/>
                      <w:szCs w:val="21"/>
                    </w:rPr>
                    <w:t>否</w:t>
                  </w:r>
                </w:p>
              </w:tc>
              <w:tc>
                <w:tcPr>
                  <w:tcW w:w="613" w:type="pct"/>
                  <w:tcBorders>
                    <w:tl2br w:val="nil"/>
                    <w:tr2bl w:val="nil"/>
                  </w:tcBorders>
                  <w:noWrap w:val="0"/>
                  <w:vAlign w:val="center"/>
                </w:tcPr>
                <w:p w14:paraId="58325C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金沙江为一级功能区“金沙江滇川4号缓冲区</w:t>
                  </w:r>
                </w:p>
              </w:tc>
              <w:tc>
                <w:tcPr>
                  <w:tcW w:w="451" w:type="pct"/>
                  <w:tcBorders>
                    <w:tl2br w:val="nil"/>
                    <w:tr2bl w:val="nil"/>
                  </w:tcBorders>
                  <w:noWrap w:val="0"/>
                  <w:vAlign w:val="center"/>
                </w:tcPr>
                <w:p w14:paraId="5D17EB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Ⅲ类</w:t>
                  </w:r>
                </w:p>
              </w:tc>
              <w:tc>
                <w:tcPr>
                  <w:tcW w:w="608" w:type="pct"/>
                  <w:tcBorders>
                    <w:tl2br w:val="nil"/>
                    <w:tr2bl w:val="nil"/>
                  </w:tcBorders>
                  <w:noWrap w:val="0"/>
                  <w:vAlign w:val="center"/>
                </w:tcPr>
                <w:p w14:paraId="51160A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否</w:t>
                  </w:r>
                </w:p>
              </w:tc>
            </w:tr>
          </w:tbl>
          <w:p w14:paraId="4349F0C8">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lang w:val="en-US" w:eastAsia="zh-CN"/>
              </w:rPr>
              <w:t>3.7.2.3</w:t>
            </w:r>
            <w:r>
              <w:rPr>
                <w:rFonts w:hint="default" w:ascii="Times New Roman" w:hAnsi="Times New Roman" w:eastAsia="宋体" w:cs="Times New Roman"/>
                <w:b/>
                <w:color w:val="auto"/>
                <w:sz w:val="24"/>
                <w:szCs w:val="24"/>
              </w:rPr>
              <w:t>电磁和噪声环境保护目标</w:t>
            </w:r>
          </w:p>
          <w:p w14:paraId="79BA687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根据现场调查，架空线路两侧</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0m范围内</w:t>
            </w:r>
            <w:r>
              <w:rPr>
                <w:rFonts w:hint="eastAsia" w:ascii="Times New Roman" w:hAnsi="Times New Roman" w:cs="Times New Roman"/>
                <w:color w:val="auto"/>
                <w:sz w:val="24"/>
                <w:szCs w:val="24"/>
                <w:lang w:val="en-US" w:eastAsia="zh-CN"/>
              </w:rPr>
              <w:t>分布2处</w:t>
            </w:r>
            <w:r>
              <w:rPr>
                <w:rFonts w:hint="default" w:ascii="Times New Roman" w:hAnsi="Times New Roman" w:eastAsia="宋体" w:cs="Times New Roman"/>
                <w:color w:val="auto"/>
                <w:sz w:val="24"/>
                <w:szCs w:val="24"/>
              </w:rPr>
              <w:t>电磁环境保护目标</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架空线路走廊两侧</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0m范围内</w:t>
            </w:r>
            <w:r>
              <w:rPr>
                <w:rFonts w:hint="eastAsia" w:ascii="Times New Roman" w:hAnsi="Times New Roman" w:cs="Times New Roman"/>
                <w:color w:val="auto"/>
                <w:sz w:val="24"/>
                <w:szCs w:val="24"/>
                <w:lang w:val="en-US" w:eastAsia="zh-CN"/>
              </w:rPr>
              <w:t>分布2处</w:t>
            </w:r>
            <w:r>
              <w:rPr>
                <w:rFonts w:hint="default" w:ascii="Times New Roman" w:hAnsi="Times New Roman" w:eastAsia="宋体" w:cs="Times New Roman"/>
                <w:color w:val="auto"/>
                <w:sz w:val="24"/>
                <w:szCs w:val="24"/>
              </w:rPr>
              <w:t>声环境保护目标。</w:t>
            </w:r>
            <w:r>
              <w:rPr>
                <w:rFonts w:hint="default" w:ascii="Times New Roman" w:hAnsi="Times New Roman" w:eastAsia="宋体" w:cs="Times New Roman"/>
                <w:color w:val="auto"/>
                <w:spacing w:val="-1"/>
                <w:sz w:val="24"/>
              </w:rPr>
              <w:t>保护目标</w:t>
            </w:r>
            <w:r>
              <w:rPr>
                <w:rFonts w:hint="eastAsia" w:ascii="Times New Roman" w:hAnsi="Times New Roman" w:cs="Times New Roman"/>
                <w:color w:val="auto"/>
                <w:spacing w:val="-1"/>
                <w:sz w:val="24"/>
                <w:lang w:val="en-US" w:eastAsia="zh-CN"/>
              </w:rPr>
              <w:t>情况</w:t>
            </w:r>
            <w:r>
              <w:rPr>
                <w:rFonts w:hint="default" w:ascii="Times New Roman" w:hAnsi="Times New Roman" w:eastAsia="宋体" w:cs="Times New Roman"/>
                <w:color w:val="auto"/>
                <w:spacing w:val="-1"/>
                <w:sz w:val="24"/>
              </w:rPr>
              <w:t>见下表。</w:t>
            </w:r>
          </w:p>
          <w:p w14:paraId="45620983">
            <w:pPr>
              <w:adjustRightInd w:val="0"/>
              <w:snapToGrid w:val="0"/>
              <w:spacing w:line="240" w:lineRule="auto"/>
              <w:jc w:val="center"/>
              <w:rPr>
                <w:rFonts w:hint="eastAsia" w:ascii="Times New Roman" w:hAnsi="Times New Roman" w:cs="Times New Roman"/>
                <w:b/>
                <w:color w:val="auto"/>
                <w:sz w:val="24"/>
                <w:szCs w:val="24"/>
              </w:rPr>
            </w:pPr>
            <w:r>
              <w:rPr>
                <w:rFonts w:ascii="Times New Roman" w:hAnsi="Times New Roman" w:cs="Times New Roman"/>
                <w:b/>
                <w:color w:val="auto"/>
                <w:sz w:val="24"/>
                <w:szCs w:val="24"/>
              </w:rPr>
              <w:t>表</w:t>
            </w:r>
            <w:r>
              <w:rPr>
                <w:rFonts w:hint="eastAsia" w:ascii="Times New Roman" w:hAnsi="Times New Roman" w:cs="Times New Roman"/>
                <w:b/>
                <w:color w:val="auto"/>
                <w:sz w:val="24"/>
                <w:szCs w:val="24"/>
                <w:lang w:val="en-US" w:eastAsia="zh-CN"/>
              </w:rPr>
              <w:t>3-13</w:t>
            </w:r>
            <w:r>
              <w:rPr>
                <w:rFonts w:ascii="Times New Roman" w:hAnsi="Times New Roman" w:cs="Times New Roman"/>
                <w:b/>
                <w:color w:val="auto"/>
                <w:sz w:val="24"/>
                <w:szCs w:val="24"/>
              </w:rPr>
              <w:t xml:space="preserve">  项目环境保护目标一览表</w:t>
            </w:r>
          </w:p>
          <w:tbl>
            <w:tblPr>
              <w:tblStyle w:val="30"/>
              <w:tblW w:w="818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26"/>
              <w:gridCol w:w="418"/>
              <w:gridCol w:w="653"/>
              <w:gridCol w:w="666"/>
              <w:gridCol w:w="1332"/>
              <w:gridCol w:w="902"/>
              <w:gridCol w:w="720"/>
              <w:gridCol w:w="723"/>
              <w:gridCol w:w="507"/>
              <w:gridCol w:w="383"/>
              <w:gridCol w:w="1554"/>
            </w:tblGrid>
            <w:tr w14:paraId="5FE52D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6" w:type="dxa"/>
                  <w:noWrap/>
                  <w:vAlign w:val="center"/>
                </w:tcPr>
                <w:p w14:paraId="7EED72E2">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
                      <w:bCs/>
                      <w:color w:val="auto"/>
                      <w:kern w:val="0"/>
                      <w:sz w:val="21"/>
                      <w:szCs w:val="21"/>
                      <w:lang w:val="en-US" w:eastAsia="zh-CN"/>
                    </w:rPr>
                  </w:pPr>
                  <w:r>
                    <w:rPr>
                      <w:rFonts w:hint="default" w:ascii="Times New Roman" w:hAnsi="Times New Roman" w:cs="Times New Roman"/>
                      <w:b/>
                      <w:bCs/>
                      <w:color w:val="auto"/>
                      <w:kern w:val="0"/>
                      <w:sz w:val="21"/>
                      <w:szCs w:val="21"/>
                      <w:lang w:val="en-US" w:eastAsia="zh-CN"/>
                    </w:rPr>
                    <w:t>序号</w:t>
                  </w:r>
                </w:p>
              </w:tc>
              <w:tc>
                <w:tcPr>
                  <w:tcW w:w="418" w:type="dxa"/>
                  <w:noWrap/>
                  <w:vAlign w:val="center"/>
                </w:tcPr>
                <w:p w14:paraId="5E6921F6">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类别</w:t>
                  </w:r>
                </w:p>
              </w:tc>
              <w:tc>
                <w:tcPr>
                  <w:tcW w:w="653" w:type="dxa"/>
                  <w:noWrap/>
                  <w:vAlign w:val="center"/>
                </w:tcPr>
                <w:p w14:paraId="42F1BB03">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区域</w:t>
                  </w:r>
                </w:p>
              </w:tc>
              <w:tc>
                <w:tcPr>
                  <w:tcW w:w="666" w:type="dxa"/>
                  <w:noWrap/>
                  <w:vAlign w:val="center"/>
                </w:tcPr>
                <w:p w14:paraId="745E90C8">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名称</w:t>
                  </w:r>
                </w:p>
              </w:tc>
              <w:tc>
                <w:tcPr>
                  <w:tcW w:w="1332" w:type="dxa"/>
                  <w:noWrap/>
                  <w:vAlign w:val="center"/>
                </w:tcPr>
                <w:p w14:paraId="76E10272">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
                      <w:bCs/>
                      <w:color w:val="auto"/>
                      <w:kern w:val="0"/>
                      <w:sz w:val="21"/>
                      <w:szCs w:val="21"/>
                      <w:lang w:val="en-US" w:eastAsia="zh-CN"/>
                    </w:rPr>
                  </w:pPr>
                  <w:r>
                    <w:rPr>
                      <w:rFonts w:hint="default" w:ascii="Times New Roman" w:hAnsi="Times New Roman" w:cs="Times New Roman"/>
                      <w:b/>
                      <w:bCs/>
                      <w:color w:val="auto"/>
                      <w:kern w:val="0"/>
                      <w:sz w:val="21"/>
                      <w:szCs w:val="21"/>
                    </w:rPr>
                    <w:t>最近</w:t>
                  </w:r>
                  <w:r>
                    <w:rPr>
                      <w:rFonts w:hint="default" w:ascii="Times New Roman" w:hAnsi="Times New Roman" w:cs="Times New Roman"/>
                      <w:b/>
                      <w:bCs/>
                      <w:color w:val="auto"/>
                      <w:kern w:val="0"/>
                      <w:sz w:val="21"/>
                      <w:szCs w:val="21"/>
                      <w:lang w:val="en-US" w:eastAsia="zh-CN"/>
                    </w:rPr>
                    <w:t>保护</w:t>
                  </w:r>
                  <w:r>
                    <w:rPr>
                      <w:rFonts w:hint="default" w:ascii="Times New Roman" w:hAnsi="Times New Roman" w:cs="Times New Roman"/>
                      <w:b/>
                      <w:bCs/>
                      <w:color w:val="auto"/>
                      <w:kern w:val="0"/>
                      <w:sz w:val="21"/>
                      <w:szCs w:val="21"/>
                    </w:rPr>
                    <w:t>目标相对方位</w:t>
                  </w:r>
                  <w:r>
                    <w:rPr>
                      <w:rFonts w:hint="default" w:ascii="Times New Roman" w:hAnsi="Times New Roman" w:cs="Times New Roman"/>
                      <w:b/>
                      <w:bCs/>
                      <w:color w:val="auto"/>
                      <w:kern w:val="0"/>
                      <w:sz w:val="21"/>
                      <w:szCs w:val="21"/>
                      <w:lang w:val="en-US" w:eastAsia="zh-CN"/>
                    </w:rPr>
                    <w:t>及距离</w:t>
                  </w:r>
                  <w:r>
                    <w:rPr>
                      <w:rFonts w:hint="eastAsia" w:ascii="Times New Roman" w:hAnsi="Times New Roman" w:cs="Times New Roman"/>
                      <w:b/>
                      <w:bCs/>
                      <w:color w:val="auto"/>
                      <w:kern w:val="0"/>
                      <w:sz w:val="21"/>
                      <w:szCs w:val="21"/>
                      <w:lang w:val="en-US" w:eastAsia="zh-CN"/>
                    </w:rPr>
                    <w:t>（</w:t>
                  </w:r>
                  <w:r>
                    <w:rPr>
                      <w:rFonts w:hint="default" w:ascii="Times New Roman" w:hAnsi="Times New Roman" w:cs="Times New Roman"/>
                      <w:b/>
                      <w:bCs/>
                      <w:color w:val="auto"/>
                      <w:kern w:val="0"/>
                      <w:sz w:val="21"/>
                      <w:szCs w:val="21"/>
                    </w:rPr>
                    <w:t>m</w:t>
                  </w:r>
                  <w:r>
                    <w:rPr>
                      <w:rFonts w:hint="eastAsia" w:ascii="Times New Roman" w:hAnsi="Times New Roman" w:cs="Times New Roman"/>
                      <w:b/>
                      <w:bCs/>
                      <w:color w:val="auto"/>
                      <w:kern w:val="0"/>
                      <w:sz w:val="21"/>
                      <w:szCs w:val="21"/>
                      <w:lang w:eastAsia="zh-CN"/>
                    </w:rPr>
                    <w:t>）</w:t>
                  </w:r>
                </w:p>
              </w:tc>
              <w:tc>
                <w:tcPr>
                  <w:tcW w:w="902" w:type="dxa"/>
                  <w:noWrap/>
                  <w:vAlign w:val="center"/>
                </w:tcPr>
                <w:p w14:paraId="7A9EE19D">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
                      <w:bCs/>
                      <w:color w:val="auto"/>
                      <w:kern w:val="0"/>
                      <w:sz w:val="21"/>
                      <w:szCs w:val="21"/>
                      <w:lang w:val="en-US" w:eastAsia="zh-CN"/>
                    </w:rPr>
                  </w:pPr>
                  <w:r>
                    <w:rPr>
                      <w:rFonts w:hint="default" w:ascii="Times New Roman" w:hAnsi="Times New Roman" w:cs="Times New Roman"/>
                      <w:b/>
                      <w:bCs/>
                      <w:color w:val="auto"/>
                      <w:kern w:val="0"/>
                      <w:sz w:val="21"/>
                      <w:szCs w:val="21"/>
                      <w:highlight w:val="none"/>
                      <w:lang w:val="en-US" w:eastAsia="zh-CN"/>
                    </w:rPr>
                    <w:t>保护</w:t>
                  </w:r>
                  <w:r>
                    <w:rPr>
                      <w:rFonts w:hint="default" w:ascii="Times New Roman" w:hAnsi="Times New Roman" w:cs="Times New Roman"/>
                      <w:b/>
                      <w:bCs/>
                      <w:color w:val="auto"/>
                      <w:kern w:val="0"/>
                      <w:sz w:val="21"/>
                      <w:szCs w:val="21"/>
                      <w:highlight w:val="none"/>
                    </w:rPr>
                    <w:t>目标</w:t>
                  </w:r>
                  <w:r>
                    <w:rPr>
                      <w:rFonts w:hint="eastAsia" w:ascii="Times New Roman" w:hAnsi="Times New Roman" w:cs="Times New Roman"/>
                      <w:b/>
                      <w:bCs/>
                      <w:color w:val="auto"/>
                      <w:kern w:val="0"/>
                      <w:sz w:val="21"/>
                      <w:szCs w:val="21"/>
                      <w:highlight w:val="none"/>
                      <w:lang w:val="en-US" w:eastAsia="zh-CN"/>
                    </w:rPr>
                    <w:t>处导线</w:t>
                  </w:r>
                  <w:r>
                    <w:rPr>
                      <w:rFonts w:hint="default" w:ascii="Times New Roman" w:hAnsi="Times New Roman" w:cs="Times New Roman"/>
                      <w:b/>
                      <w:bCs/>
                      <w:color w:val="auto"/>
                      <w:kern w:val="0"/>
                      <w:sz w:val="21"/>
                      <w:szCs w:val="21"/>
                      <w:highlight w:val="none"/>
                      <w:lang w:val="en-US" w:eastAsia="zh-CN"/>
                    </w:rPr>
                    <w:t>对地高度（m）</w:t>
                  </w:r>
                </w:p>
              </w:tc>
              <w:tc>
                <w:tcPr>
                  <w:tcW w:w="720" w:type="dxa"/>
                  <w:noWrap/>
                  <w:vAlign w:val="center"/>
                </w:tcPr>
                <w:p w14:paraId="6179DC5A">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房屋层数及结构</w:t>
                  </w:r>
                </w:p>
              </w:tc>
              <w:tc>
                <w:tcPr>
                  <w:tcW w:w="723" w:type="dxa"/>
                  <w:noWrap/>
                  <w:vAlign w:val="center"/>
                </w:tcPr>
                <w:p w14:paraId="1032E6A7">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房屋高度</w:t>
                  </w:r>
                  <w:r>
                    <w:rPr>
                      <w:rFonts w:hint="eastAsia" w:ascii="Times New Roman" w:hAnsi="Times New Roman" w:cs="Times New Roman"/>
                      <w:b/>
                      <w:bCs/>
                      <w:color w:val="auto"/>
                      <w:kern w:val="0"/>
                      <w:sz w:val="21"/>
                      <w:szCs w:val="21"/>
                      <w:lang w:eastAsia="zh-CN"/>
                    </w:rPr>
                    <w:t>（</w:t>
                  </w:r>
                  <w:r>
                    <w:rPr>
                      <w:rFonts w:hint="default" w:ascii="Times New Roman" w:hAnsi="Times New Roman" w:cs="Times New Roman"/>
                      <w:b/>
                      <w:bCs/>
                      <w:color w:val="auto"/>
                      <w:kern w:val="0"/>
                      <w:sz w:val="21"/>
                      <w:szCs w:val="21"/>
                    </w:rPr>
                    <w:t>m</w:t>
                  </w:r>
                  <w:r>
                    <w:rPr>
                      <w:rFonts w:hint="eastAsia" w:ascii="Times New Roman" w:hAnsi="Times New Roman" w:cs="Times New Roman"/>
                      <w:b/>
                      <w:bCs/>
                      <w:color w:val="auto"/>
                      <w:kern w:val="0"/>
                      <w:sz w:val="21"/>
                      <w:szCs w:val="21"/>
                      <w:lang w:eastAsia="zh-CN"/>
                    </w:rPr>
                    <w:t>）</w:t>
                  </w:r>
                </w:p>
              </w:tc>
              <w:tc>
                <w:tcPr>
                  <w:tcW w:w="507" w:type="dxa"/>
                  <w:noWrap/>
                  <w:vAlign w:val="center"/>
                </w:tcPr>
                <w:p w14:paraId="5DC32448">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影响规模</w:t>
                  </w:r>
                </w:p>
              </w:tc>
              <w:tc>
                <w:tcPr>
                  <w:tcW w:w="383" w:type="dxa"/>
                  <w:noWrap/>
                  <w:vAlign w:val="center"/>
                </w:tcPr>
                <w:p w14:paraId="743E7746">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功能</w:t>
                  </w:r>
                </w:p>
              </w:tc>
              <w:tc>
                <w:tcPr>
                  <w:tcW w:w="1554" w:type="dxa"/>
                  <w:noWrap/>
                  <w:vAlign w:val="center"/>
                </w:tcPr>
                <w:p w14:paraId="4F6565A4">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保护级别</w:t>
                  </w:r>
                </w:p>
              </w:tc>
            </w:tr>
            <w:tr w14:paraId="43D657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184" w:type="dxa"/>
                  <w:gridSpan w:val="11"/>
                  <w:noWrap/>
                  <w:vAlign w:val="center"/>
                </w:tcPr>
                <w:p w14:paraId="1961CEAC">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架空线路</w:t>
                  </w:r>
                </w:p>
              </w:tc>
            </w:tr>
            <w:tr w14:paraId="15F52A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6" w:type="dxa"/>
                  <w:noWrap/>
                  <w:vAlign w:val="center"/>
                </w:tcPr>
                <w:p w14:paraId="7BA7B274">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1</w:t>
                  </w:r>
                </w:p>
              </w:tc>
              <w:tc>
                <w:tcPr>
                  <w:tcW w:w="418" w:type="dxa"/>
                  <w:vMerge w:val="restart"/>
                  <w:noWrap/>
                  <w:vAlign w:val="center"/>
                </w:tcPr>
                <w:p w14:paraId="009A1D72">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rPr>
                    <w:t>电磁</w:t>
                  </w:r>
                  <w:r>
                    <w:rPr>
                      <w:rFonts w:hint="eastAsia" w:ascii="Times New Roman" w:hAnsi="Times New Roman" w:cs="Times New Roman"/>
                      <w:color w:val="auto"/>
                      <w:kern w:val="0"/>
                      <w:sz w:val="21"/>
                      <w:szCs w:val="21"/>
                      <w:lang w:eastAsia="zh-CN"/>
                    </w:rPr>
                    <w:t>、</w:t>
                  </w:r>
                  <w:r>
                    <w:rPr>
                      <w:rFonts w:hint="eastAsia" w:ascii="Times New Roman" w:hAnsi="Times New Roman" w:cs="Times New Roman"/>
                      <w:color w:val="auto"/>
                      <w:kern w:val="0"/>
                      <w:sz w:val="21"/>
                      <w:szCs w:val="21"/>
                      <w:lang w:val="en-US" w:eastAsia="zh-CN"/>
                    </w:rPr>
                    <w:t>噪声</w:t>
                  </w:r>
                </w:p>
              </w:tc>
              <w:tc>
                <w:tcPr>
                  <w:tcW w:w="653" w:type="dxa"/>
                  <w:noWrap/>
                  <w:vAlign w:val="center"/>
                </w:tcPr>
                <w:p w14:paraId="46AB82A5">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color w:val="auto"/>
                      <w:kern w:val="0"/>
                      <w:sz w:val="21"/>
                      <w:szCs w:val="21"/>
                    </w:rPr>
                  </w:pPr>
                  <w:r>
                    <w:rPr>
                      <w:rFonts w:hint="eastAsia" w:ascii="Times New Roman" w:hAnsi="Times New Roman" w:cs="Times New Roman"/>
                      <w:color w:val="auto"/>
                      <w:kern w:val="0"/>
                      <w:sz w:val="21"/>
                      <w:szCs w:val="21"/>
                      <w:lang w:eastAsia="zh-CN"/>
                    </w:rPr>
                    <w:t>会泽县</w:t>
                  </w:r>
                  <w:r>
                    <w:rPr>
                      <w:rFonts w:hint="eastAsia" w:ascii="Times New Roman" w:hAnsi="Times New Roman" w:cs="Times New Roman"/>
                      <w:color w:val="auto"/>
                      <w:kern w:val="0"/>
                      <w:sz w:val="21"/>
                      <w:szCs w:val="21"/>
                      <w:lang w:val="en-US" w:eastAsia="zh-CN"/>
                    </w:rPr>
                    <w:t>乐业镇</w:t>
                  </w:r>
                </w:p>
              </w:tc>
              <w:tc>
                <w:tcPr>
                  <w:tcW w:w="666" w:type="dxa"/>
                  <w:noWrap/>
                  <w:vAlign w:val="center"/>
                </w:tcPr>
                <w:p w14:paraId="65AF457C">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color w:val="auto"/>
                      <w:kern w:val="0"/>
                      <w:sz w:val="21"/>
                      <w:szCs w:val="21"/>
                    </w:rPr>
                  </w:pPr>
                  <w:r>
                    <w:rPr>
                      <w:rFonts w:hint="eastAsia" w:ascii="Times New Roman" w:hAnsi="Times New Roman" w:eastAsia="宋体" w:cs="Times New Roman"/>
                      <w:bCs/>
                      <w:color w:val="auto"/>
                      <w:kern w:val="0"/>
                      <w:szCs w:val="21"/>
                      <w:lang w:val="en-US" w:eastAsia="zh-CN"/>
                    </w:rPr>
                    <w:t>红地丫口散户</w:t>
                  </w:r>
                </w:p>
              </w:tc>
              <w:tc>
                <w:tcPr>
                  <w:tcW w:w="1332" w:type="dxa"/>
                  <w:noWrap/>
                  <w:vAlign w:val="center"/>
                </w:tcPr>
                <w:p w14:paraId="76E2F910">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线路塔基N21-N22之间右侧23m处，2F居民房</w:t>
                  </w:r>
                </w:p>
              </w:tc>
              <w:tc>
                <w:tcPr>
                  <w:tcW w:w="902" w:type="dxa"/>
                  <w:noWrap/>
                  <w:vAlign w:val="center"/>
                </w:tcPr>
                <w:p w14:paraId="7D64B036">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cs="Times New Roman"/>
                      <w:bCs/>
                      <w:color w:val="auto"/>
                      <w:kern w:val="0"/>
                      <w:sz w:val="21"/>
                      <w:szCs w:val="21"/>
                      <w:highlight w:val="none"/>
                      <w:lang w:val="en-US" w:eastAsia="zh-CN"/>
                    </w:rPr>
                    <w:t>12m</w:t>
                  </w:r>
                </w:p>
              </w:tc>
              <w:tc>
                <w:tcPr>
                  <w:tcW w:w="720" w:type="dxa"/>
                  <w:noWrap/>
                  <w:vAlign w:val="center"/>
                </w:tcPr>
                <w:p w14:paraId="1F684D91">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2</w:t>
                  </w:r>
                  <w:r>
                    <w:rPr>
                      <w:rFonts w:hint="default" w:ascii="Times New Roman" w:hAnsi="Times New Roman" w:cs="Times New Roman"/>
                      <w:color w:val="auto"/>
                      <w:kern w:val="0"/>
                      <w:sz w:val="21"/>
                      <w:szCs w:val="21"/>
                    </w:rPr>
                    <w:t>F，</w:t>
                  </w:r>
                  <w:r>
                    <w:rPr>
                      <w:rFonts w:hint="eastAsia" w:ascii="Times New Roman" w:hAnsi="Times New Roman" w:cs="Times New Roman"/>
                      <w:color w:val="auto"/>
                      <w:kern w:val="0"/>
                      <w:sz w:val="21"/>
                      <w:szCs w:val="21"/>
                      <w:lang w:val="en-US" w:eastAsia="zh-CN"/>
                    </w:rPr>
                    <w:t>尖顶</w:t>
                  </w:r>
                  <w:r>
                    <w:rPr>
                      <w:rFonts w:hint="eastAsia" w:ascii="Times New Roman" w:hAnsi="Times New Roman" w:eastAsia="宋体" w:cs="Times New Roman"/>
                      <w:color w:val="auto"/>
                      <w:kern w:val="0"/>
                      <w:sz w:val="21"/>
                      <w:szCs w:val="21"/>
                      <w:highlight w:val="none"/>
                      <w:lang w:val="en-US" w:eastAsia="zh-CN"/>
                    </w:rPr>
                    <w:t>瓦房</w:t>
                  </w:r>
                </w:p>
              </w:tc>
              <w:tc>
                <w:tcPr>
                  <w:tcW w:w="723" w:type="dxa"/>
                  <w:noWrap/>
                  <w:vAlign w:val="center"/>
                </w:tcPr>
                <w:p w14:paraId="34CD85DF">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6</w:t>
                  </w:r>
                </w:p>
              </w:tc>
              <w:tc>
                <w:tcPr>
                  <w:tcW w:w="507" w:type="dxa"/>
                  <w:noWrap/>
                  <w:vAlign w:val="center"/>
                </w:tcPr>
                <w:p w14:paraId="69850AB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 w:val="21"/>
                      <w:szCs w:val="21"/>
                    </w:rPr>
                  </w:pPr>
                  <w:r>
                    <w:rPr>
                      <w:rFonts w:hint="default" w:ascii="Times New Roman" w:hAnsi="Times New Roman" w:cs="Times New Roman"/>
                      <w:color w:val="auto"/>
                      <w:kern w:val="0"/>
                      <w:szCs w:val="21"/>
                    </w:rPr>
                    <w:t>2户约8人</w:t>
                  </w:r>
                </w:p>
              </w:tc>
              <w:tc>
                <w:tcPr>
                  <w:tcW w:w="383" w:type="dxa"/>
                  <w:noWrap/>
                  <w:vAlign w:val="center"/>
                </w:tcPr>
                <w:p w14:paraId="4AB095FD">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居住</w:t>
                  </w:r>
                </w:p>
              </w:tc>
              <w:tc>
                <w:tcPr>
                  <w:tcW w:w="1554" w:type="dxa"/>
                  <w:vMerge w:val="restart"/>
                  <w:noWrap/>
                  <w:vAlign w:val="center"/>
                </w:tcPr>
                <w:p w14:paraId="58B5F094">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《电磁环境控制限值》（GB8702-2014）工频电场强度4000V/m和工频磁感应强度限值100μT；</w:t>
                  </w:r>
                  <w:r>
                    <w:rPr>
                      <w:rFonts w:hint="default" w:ascii="Times New Roman" w:hAnsi="Times New Roman" w:cs="Times New Roman"/>
                      <w:color w:val="auto"/>
                      <w:kern w:val="0"/>
                      <w:sz w:val="21"/>
                      <w:szCs w:val="21"/>
                      <w:lang w:val="en-US" w:eastAsia="zh-CN"/>
                    </w:rPr>
                    <w:t>《声环境质量标准》（GB3096-2008）中1类标准</w:t>
                  </w:r>
                </w:p>
              </w:tc>
            </w:tr>
            <w:tr w14:paraId="1A3EDA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6" w:type="dxa"/>
                  <w:noWrap/>
                  <w:vAlign w:val="center"/>
                </w:tcPr>
                <w:p w14:paraId="6D20D837">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2</w:t>
                  </w:r>
                </w:p>
              </w:tc>
              <w:tc>
                <w:tcPr>
                  <w:tcW w:w="418" w:type="dxa"/>
                  <w:vMerge w:val="continue"/>
                  <w:noWrap/>
                  <w:vAlign w:val="center"/>
                </w:tcPr>
                <w:p w14:paraId="164F7B5F">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color w:val="auto"/>
                      <w:kern w:val="0"/>
                      <w:sz w:val="21"/>
                      <w:szCs w:val="21"/>
                    </w:rPr>
                  </w:pPr>
                </w:p>
              </w:tc>
              <w:tc>
                <w:tcPr>
                  <w:tcW w:w="653" w:type="dxa"/>
                  <w:noWrap/>
                  <w:vAlign w:val="center"/>
                </w:tcPr>
                <w:p w14:paraId="409B2BC4">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eastAsia="zh-CN"/>
                    </w:rPr>
                    <w:t>会泽县</w:t>
                  </w:r>
                  <w:r>
                    <w:rPr>
                      <w:rFonts w:hint="eastAsia" w:ascii="Times New Roman" w:hAnsi="Times New Roman" w:cs="Times New Roman"/>
                      <w:color w:val="auto"/>
                      <w:kern w:val="0"/>
                      <w:sz w:val="21"/>
                      <w:szCs w:val="21"/>
                      <w:lang w:val="en-US" w:eastAsia="zh-CN"/>
                    </w:rPr>
                    <w:t>五星乡</w:t>
                  </w:r>
                </w:p>
              </w:tc>
              <w:tc>
                <w:tcPr>
                  <w:tcW w:w="666" w:type="dxa"/>
                  <w:noWrap/>
                  <w:vAlign w:val="center"/>
                </w:tcPr>
                <w:p w14:paraId="5975D928">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bidi="ar"/>
                    </w:rPr>
                    <w:t>石碓窝居民</w:t>
                  </w:r>
                </w:p>
              </w:tc>
              <w:tc>
                <w:tcPr>
                  <w:tcW w:w="1332" w:type="dxa"/>
                  <w:noWrap/>
                  <w:vAlign w:val="center"/>
                </w:tcPr>
                <w:p w14:paraId="780EF03A">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Cs/>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线路</w:t>
                  </w:r>
                  <w:r>
                    <w:rPr>
                      <w:rFonts w:hint="default" w:ascii="Times New Roman" w:hAnsi="Times New Roman" w:eastAsia="宋体" w:cs="Times New Roman"/>
                      <w:color w:val="auto"/>
                      <w:kern w:val="0"/>
                      <w:sz w:val="21"/>
                      <w:szCs w:val="21"/>
                      <w:highlight w:val="none"/>
                      <w:lang w:val="en-US" w:eastAsia="zh-CN"/>
                    </w:rPr>
                    <w:t>塔基</w:t>
                  </w:r>
                  <w:r>
                    <w:rPr>
                      <w:rFonts w:hint="default" w:ascii="Times New Roman" w:hAnsi="Times New Roman" w:eastAsia="宋体" w:cs="Times New Roman"/>
                      <w:color w:val="auto"/>
                      <w:kern w:val="0"/>
                      <w:sz w:val="21"/>
                      <w:szCs w:val="21"/>
                      <w:lang w:val="en-US" w:eastAsia="zh-CN" w:bidi="ar"/>
                    </w:rPr>
                    <w:t>N</w:t>
                  </w:r>
                  <w:r>
                    <w:rPr>
                      <w:rFonts w:hint="eastAsia" w:ascii="Times New Roman" w:hAnsi="Times New Roman" w:cs="Times New Roman"/>
                      <w:color w:val="auto"/>
                      <w:kern w:val="0"/>
                      <w:sz w:val="21"/>
                      <w:szCs w:val="21"/>
                      <w:lang w:val="en-US" w:eastAsia="zh-CN" w:bidi="ar"/>
                    </w:rPr>
                    <w:t>10</w:t>
                  </w:r>
                  <w:r>
                    <w:rPr>
                      <w:rFonts w:hint="default" w:ascii="Times New Roman" w:hAnsi="Times New Roman" w:eastAsia="宋体" w:cs="Times New Roman"/>
                      <w:color w:val="auto"/>
                      <w:kern w:val="0"/>
                      <w:sz w:val="21"/>
                      <w:szCs w:val="21"/>
                      <w:lang w:val="en-US" w:eastAsia="zh-CN" w:bidi="ar"/>
                    </w:rPr>
                    <w:t>~N</w:t>
                  </w:r>
                  <w:r>
                    <w:rPr>
                      <w:rFonts w:hint="eastAsia" w:ascii="Times New Roman" w:hAnsi="Times New Roman" w:cs="Times New Roman"/>
                      <w:color w:val="auto"/>
                      <w:kern w:val="0"/>
                      <w:sz w:val="21"/>
                      <w:szCs w:val="21"/>
                      <w:lang w:val="en-US" w:eastAsia="zh-CN" w:bidi="ar"/>
                    </w:rPr>
                    <w:t>11间左侧29m处，</w:t>
                  </w:r>
                  <w:r>
                    <w:rPr>
                      <w:rFonts w:hint="default" w:ascii="Times New Roman" w:hAnsi="Times New Roman" w:eastAsia="宋体" w:cs="Times New Roman"/>
                      <w:color w:val="auto"/>
                      <w:kern w:val="0"/>
                      <w:sz w:val="21"/>
                      <w:szCs w:val="21"/>
                      <w:highlight w:val="none"/>
                      <w:lang w:val="en-US" w:eastAsia="zh-CN"/>
                    </w:rPr>
                    <w:t>2F</w:t>
                  </w:r>
                  <w:r>
                    <w:rPr>
                      <w:rFonts w:hint="eastAsia" w:ascii="Times New Roman" w:hAnsi="Times New Roman" w:cs="Times New Roman"/>
                      <w:color w:val="auto"/>
                      <w:kern w:val="0"/>
                      <w:sz w:val="21"/>
                      <w:szCs w:val="21"/>
                      <w:highlight w:val="none"/>
                      <w:lang w:val="en-US" w:eastAsia="zh-CN"/>
                    </w:rPr>
                    <w:t>居民房</w:t>
                  </w:r>
                </w:p>
              </w:tc>
              <w:tc>
                <w:tcPr>
                  <w:tcW w:w="902" w:type="dxa"/>
                  <w:noWrap/>
                  <w:vAlign w:val="center"/>
                </w:tcPr>
                <w:p w14:paraId="47DECBD8">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Cs/>
                      <w:color w:val="auto"/>
                      <w:kern w:val="0"/>
                      <w:sz w:val="21"/>
                      <w:szCs w:val="21"/>
                      <w:highlight w:val="none"/>
                      <w:lang w:val="en-US" w:eastAsia="zh-CN"/>
                    </w:rPr>
                  </w:pPr>
                  <w:r>
                    <w:rPr>
                      <w:rFonts w:hint="eastAsia" w:ascii="Times New Roman" w:hAnsi="Times New Roman" w:cs="Times New Roman"/>
                      <w:bCs/>
                      <w:color w:val="auto"/>
                      <w:kern w:val="0"/>
                      <w:sz w:val="21"/>
                      <w:szCs w:val="21"/>
                      <w:highlight w:val="none"/>
                      <w:lang w:val="en-US" w:eastAsia="zh-CN"/>
                    </w:rPr>
                    <w:t>14m</w:t>
                  </w:r>
                </w:p>
              </w:tc>
              <w:tc>
                <w:tcPr>
                  <w:tcW w:w="720" w:type="dxa"/>
                  <w:noWrap/>
                  <w:vAlign w:val="center"/>
                </w:tcPr>
                <w:p w14:paraId="084D4ABA">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2</w:t>
                  </w:r>
                  <w:r>
                    <w:rPr>
                      <w:rFonts w:hint="default" w:ascii="Times New Roman" w:hAnsi="Times New Roman" w:cs="Times New Roman"/>
                      <w:color w:val="auto"/>
                      <w:kern w:val="0"/>
                      <w:sz w:val="21"/>
                      <w:szCs w:val="21"/>
                    </w:rPr>
                    <w:t>F，</w:t>
                  </w:r>
                  <w:r>
                    <w:rPr>
                      <w:rFonts w:hint="eastAsia" w:ascii="Times New Roman" w:hAnsi="Times New Roman" w:cs="Times New Roman"/>
                      <w:color w:val="auto"/>
                      <w:kern w:val="0"/>
                      <w:sz w:val="21"/>
                      <w:szCs w:val="21"/>
                      <w:lang w:val="en-US" w:eastAsia="zh-CN"/>
                    </w:rPr>
                    <w:t>尖顶瓦房</w:t>
                  </w:r>
                </w:p>
              </w:tc>
              <w:tc>
                <w:tcPr>
                  <w:tcW w:w="723" w:type="dxa"/>
                  <w:noWrap/>
                  <w:vAlign w:val="center"/>
                </w:tcPr>
                <w:p w14:paraId="09553CF9">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6</w:t>
                  </w:r>
                </w:p>
              </w:tc>
              <w:tc>
                <w:tcPr>
                  <w:tcW w:w="507" w:type="dxa"/>
                  <w:noWrap/>
                  <w:vAlign w:val="center"/>
                </w:tcPr>
                <w:p w14:paraId="742B84B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kern w:val="0"/>
                      <w:sz w:val="21"/>
                      <w:szCs w:val="21"/>
                    </w:rPr>
                  </w:pPr>
                  <w:r>
                    <w:rPr>
                      <w:rFonts w:hint="eastAsia" w:ascii="Times New Roman" w:hAnsi="Times New Roman" w:cs="Times New Roman"/>
                      <w:color w:val="auto"/>
                      <w:kern w:val="0"/>
                      <w:szCs w:val="21"/>
                      <w:lang w:val="en-US" w:eastAsia="zh-CN"/>
                    </w:rPr>
                    <w:t>1户，约4人</w:t>
                  </w:r>
                </w:p>
              </w:tc>
              <w:tc>
                <w:tcPr>
                  <w:tcW w:w="383" w:type="dxa"/>
                  <w:noWrap/>
                  <w:vAlign w:val="center"/>
                </w:tcPr>
                <w:p w14:paraId="6D23E159">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居住</w:t>
                  </w:r>
                </w:p>
              </w:tc>
              <w:tc>
                <w:tcPr>
                  <w:tcW w:w="1554" w:type="dxa"/>
                  <w:vMerge w:val="continue"/>
                  <w:noWrap/>
                  <w:vAlign w:val="center"/>
                </w:tcPr>
                <w:p w14:paraId="0B216B82">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color w:val="auto"/>
                      <w:kern w:val="0"/>
                      <w:sz w:val="21"/>
                      <w:szCs w:val="21"/>
                    </w:rPr>
                  </w:pPr>
                </w:p>
              </w:tc>
            </w:tr>
            <w:tr w14:paraId="4B8035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8184" w:type="dxa"/>
                  <w:gridSpan w:val="11"/>
                  <w:noWrap/>
                  <w:vAlign w:val="center"/>
                </w:tcPr>
                <w:p w14:paraId="1B269CA6">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default" w:ascii="Times New Roman" w:hAnsi="Times New Roman" w:cs="Times New Roman"/>
                      <w:color w:val="auto"/>
                      <w:sz w:val="21"/>
                      <w:szCs w:val="21"/>
                    </w:rPr>
                  </w:pPr>
                  <w:r>
                    <w:rPr>
                      <w:rFonts w:hint="default" w:ascii="Times New Roman" w:hAnsi="Times New Roman" w:cs="Times New Roman"/>
                      <w:b/>
                      <w:bCs/>
                      <w:color w:val="auto"/>
                      <w:sz w:val="21"/>
                      <w:szCs w:val="21"/>
                    </w:rPr>
                    <w:t>注：表中建筑物与线路的距离为：输电线路边导线地面投影距环境敏感目标的最近距离</w:t>
                  </w:r>
                  <w:r>
                    <w:rPr>
                      <w:rFonts w:hint="default" w:ascii="Times New Roman" w:hAnsi="Times New Roman" w:cs="Times New Roman"/>
                      <w:b/>
                      <w:bCs/>
                      <w:color w:val="auto"/>
                      <w:sz w:val="21"/>
                      <w:szCs w:val="21"/>
                      <w:lang w:eastAsia="zh-CN"/>
                    </w:rPr>
                    <w:t>。</w:t>
                  </w:r>
                </w:p>
              </w:tc>
            </w:tr>
          </w:tbl>
          <w:p w14:paraId="3F070910">
            <w:pPr>
              <w:pStyle w:val="2"/>
              <w:rPr>
                <w:rFonts w:hint="default"/>
                <w:color w:val="auto"/>
              </w:rPr>
            </w:pPr>
          </w:p>
        </w:tc>
      </w:tr>
      <w:tr w14:paraId="2941C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2" w:type="dxa"/>
            <w:noWrap w:val="0"/>
            <w:vAlign w:val="top"/>
          </w:tcPr>
          <w:p w14:paraId="478F176E">
            <w:pPr>
              <w:jc w:val="center"/>
              <w:rPr>
                <w:rFonts w:hint="default" w:ascii="Times New Roman" w:hAnsi="Times New Roman" w:cs="Times New Roman"/>
                <w:b/>
                <w:color w:val="auto"/>
                <w:sz w:val="24"/>
                <w:szCs w:val="24"/>
              </w:rPr>
            </w:pPr>
          </w:p>
          <w:p w14:paraId="19FD9286">
            <w:pPr>
              <w:jc w:val="center"/>
              <w:rPr>
                <w:rFonts w:hint="default" w:ascii="Times New Roman" w:hAnsi="Times New Roman" w:cs="Times New Roman"/>
                <w:b/>
                <w:color w:val="auto"/>
                <w:sz w:val="24"/>
                <w:szCs w:val="24"/>
              </w:rPr>
            </w:pPr>
          </w:p>
          <w:p w14:paraId="6EC92436">
            <w:pPr>
              <w:jc w:val="center"/>
              <w:rPr>
                <w:rFonts w:hint="default" w:ascii="Times New Roman" w:hAnsi="Times New Roman" w:cs="Times New Roman"/>
                <w:b/>
                <w:color w:val="auto"/>
                <w:sz w:val="24"/>
                <w:szCs w:val="24"/>
              </w:rPr>
            </w:pPr>
          </w:p>
          <w:p w14:paraId="177CE6F9">
            <w:pPr>
              <w:jc w:val="center"/>
              <w:rPr>
                <w:rFonts w:hint="default" w:ascii="Times New Roman" w:hAnsi="Times New Roman" w:cs="Times New Roman"/>
                <w:b/>
                <w:color w:val="auto"/>
                <w:sz w:val="24"/>
                <w:szCs w:val="24"/>
              </w:rPr>
            </w:pPr>
          </w:p>
          <w:p w14:paraId="269D48F2">
            <w:pPr>
              <w:jc w:val="center"/>
              <w:rPr>
                <w:rFonts w:hint="default" w:ascii="Times New Roman" w:hAnsi="Times New Roman" w:cs="Times New Roman"/>
                <w:b/>
                <w:color w:val="auto"/>
                <w:sz w:val="24"/>
                <w:szCs w:val="24"/>
              </w:rPr>
            </w:pPr>
          </w:p>
          <w:p w14:paraId="1F72F7A0">
            <w:pPr>
              <w:jc w:val="center"/>
              <w:rPr>
                <w:rFonts w:hint="default" w:ascii="Times New Roman" w:hAnsi="Times New Roman" w:cs="Times New Roman"/>
                <w:b/>
                <w:color w:val="auto"/>
                <w:sz w:val="24"/>
                <w:szCs w:val="24"/>
              </w:rPr>
            </w:pPr>
          </w:p>
          <w:p w14:paraId="5476E965">
            <w:pPr>
              <w:jc w:val="center"/>
              <w:rPr>
                <w:rFonts w:hint="default" w:ascii="Times New Roman" w:hAnsi="Times New Roman" w:cs="Times New Roman"/>
                <w:b/>
                <w:color w:val="auto"/>
                <w:sz w:val="24"/>
                <w:szCs w:val="24"/>
              </w:rPr>
            </w:pPr>
          </w:p>
          <w:p w14:paraId="1A4FBEC5">
            <w:pPr>
              <w:jc w:val="center"/>
              <w:rPr>
                <w:rFonts w:hint="default" w:ascii="Times New Roman" w:hAnsi="Times New Roman" w:cs="Times New Roman"/>
                <w:b/>
                <w:color w:val="auto"/>
                <w:sz w:val="24"/>
                <w:szCs w:val="24"/>
              </w:rPr>
            </w:pPr>
          </w:p>
          <w:p w14:paraId="447FE48F">
            <w:pPr>
              <w:jc w:val="center"/>
              <w:rPr>
                <w:rFonts w:hint="default" w:ascii="Times New Roman" w:hAnsi="Times New Roman" w:cs="Times New Roman"/>
                <w:b/>
                <w:color w:val="auto"/>
                <w:sz w:val="24"/>
                <w:szCs w:val="24"/>
              </w:rPr>
            </w:pPr>
          </w:p>
          <w:p w14:paraId="548C68CF">
            <w:pPr>
              <w:jc w:val="center"/>
              <w:rPr>
                <w:rFonts w:hint="default" w:ascii="Times New Roman" w:hAnsi="Times New Roman" w:cs="Times New Roman"/>
                <w:b/>
                <w:color w:val="auto"/>
                <w:sz w:val="24"/>
                <w:szCs w:val="24"/>
              </w:rPr>
            </w:pPr>
          </w:p>
          <w:p w14:paraId="6973D100">
            <w:pPr>
              <w:jc w:val="center"/>
              <w:rPr>
                <w:rFonts w:hint="default" w:ascii="Times New Roman" w:hAnsi="Times New Roman" w:cs="Times New Roman"/>
                <w:b/>
                <w:color w:val="auto"/>
                <w:sz w:val="24"/>
                <w:szCs w:val="24"/>
              </w:rPr>
            </w:pPr>
          </w:p>
          <w:p w14:paraId="1BC15030">
            <w:pPr>
              <w:jc w:val="center"/>
              <w:rPr>
                <w:rFonts w:hint="default" w:ascii="Times New Roman" w:hAnsi="Times New Roman" w:cs="Times New Roman"/>
                <w:b/>
                <w:color w:val="auto"/>
                <w:sz w:val="24"/>
                <w:szCs w:val="24"/>
              </w:rPr>
            </w:pPr>
          </w:p>
          <w:p w14:paraId="4AD893C9">
            <w:pPr>
              <w:jc w:val="center"/>
              <w:rPr>
                <w:rFonts w:hint="default" w:ascii="Times New Roman" w:hAnsi="Times New Roman" w:cs="Times New Roman"/>
                <w:b/>
                <w:color w:val="auto"/>
                <w:sz w:val="24"/>
                <w:szCs w:val="24"/>
              </w:rPr>
            </w:pPr>
          </w:p>
          <w:p w14:paraId="036FFA67">
            <w:pPr>
              <w:jc w:val="center"/>
              <w:rPr>
                <w:rFonts w:hint="default" w:ascii="Times New Roman" w:hAnsi="Times New Roman" w:cs="Times New Roman"/>
                <w:b/>
                <w:color w:val="auto"/>
                <w:sz w:val="24"/>
                <w:szCs w:val="24"/>
              </w:rPr>
            </w:pPr>
          </w:p>
          <w:p w14:paraId="3B5D8124">
            <w:pPr>
              <w:jc w:val="center"/>
              <w:rPr>
                <w:rFonts w:hint="default" w:ascii="Times New Roman" w:hAnsi="Times New Roman" w:cs="Times New Roman"/>
                <w:b/>
                <w:color w:val="auto"/>
                <w:sz w:val="24"/>
                <w:szCs w:val="24"/>
              </w:rPr>
            </w:pPr>
          </w:p>
          <w:p w14:paraId="6C7151E3">
            <w:pPr>
              <w:jc w:val="center"/>
              <w:rPr>
                <w:rFonts w:hint="default" w:ascii="Times New Roman" w:hAnsi="Times New Roman" w:cs="Times New Roman"/>
                <w:b/>
                <w:color w:val="auto"/>
                <w:sz w:val="24"/>
                <w:szCs w:val="24"/>
              </w:rPr>
            </w:pPr>
          </w:p>
          <w:p w14:paraId="1A15BC8F">
            <w:pPr>
              <w:jc w:val="center"/>
              <w:rPr>
                <w:rFonts w:hint="default" w:ascii="Times New Roman" w:hAnsi="Times New Roman" w:cs="Times New Roman"/>
                <w:b/>
                <w:color w:val="auto"/>
                <w:sz w:val="24"/>
                <w:szCs w:val="24"/>
              </w:rPr>
            </w:pPr>
          </w:p>
          <w:p w14:paraId="2CBC4953">
            <w:pPr>
              <w:jc w:val="center"/>
              <w:rPr>
                <w:rFonts w:hint="default" w:ascii="Times New Roman" w:hAnsi="Times New Roman" w:cs="Times New Roman"/>
                <w:b/>
                <w:color w:val="auto"/>
                <w:sz w:val="24"/>
                <w:szCs w:val="24"/>
              </w:rPr>
            </w:pPr>
          </w:p>
          <w:p w14:paraId="47CD3E93">
            <w:pPr>
              <w:jc w:val="center"/>
              <w:rPr>
                <w:rFonts w:hint="default" w:ascii="Times New Roman" w:hAnsi="Times New Roman" w:cs="Times New Roman"/>
                <w:b/>
                <w:color w:val="auto"/>
                <w:sz w:val="24"/>
                <w:szCs w:val="24"/>
              </w:rPr>
            </w:pPr>
          </w:p>
          <w:p w14:paraId="5D38834B">
            <w:pPr>
              <w:jc w:val="center"/>
              <w:rPr>
                <w:rFonts w:hint="default" w:ascii="Times New Roman" w:hAnsi="Times New Roman" w:cs="Times New Roman"/>
                <w:b/>
                <w:color w:val="auto"/>
                <w:sz w:val="24"/>
                <w:szCs w:val="24"/>
              </w:rPr>
            </w:pPr>
          </w:p>
          <w:p w14:paraId="7EAA9389">
            <w:pPr>
              <w:jc w:val="center"/>
              <w:rPr>
                <w:rFonts w:hint="default" w:ascii="Times New Roman" w:hAnsi="Times New Roman" w:cs="Times New Roman"/>
                <w:b/>
                <w:color w:val="auto"/>
                <w:sz w:val="24"/>
                <w:szCs w:val="24"/>
              </w:rPr>
            </w:pPr>
          </w:p>
          <w:p w14:paraId="75F23A90">
            <w:pPr>
              <w:jc w:val="center"/>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评价标准</w:t>
            </w:r>
          </w:p>
        </w:tc>
        <w:tc>
          <w:tcPr>
            <w:tcW w:w="8500" w:type="dxa"/>
            <w:noWrap w:val="0"/>
            <w:vAlign w:val="top"/>
          </w:tcPr>
          <w:p w14:paraId="6F25F24E">
            <w:pPr>
              <w:keepNext w:val="0"/>
              <w:keepLines w:val="0"/>
              <w:pageBreakBefore w:val="0"/>
              <w:widowControl w:val="0"/>
              <w:kinsoku/>
              <w:wordWrap/>
              <w:overflowPunct/>
              <w:topLinePunct w:val="0"/>
              <w:bidi w:val="0"/>
              <w:adjustRightInd w:val="0"/>
              <w:snapToGrid w:val="0"/>
              <w:spacing w:line="440" w:lineRule="exact"/>
              <w:textAlignment w:val="auto"/>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3.</w:t>
            </w:r>
            <w:r>
              <w:rPr>
                <w:rFonts w:hint="eastAsia" w:ascii="Times New Roman" w:hAnsi="Times New Roman" w:cs="Times New Roman"/>
                <w:b/>
                <w:color w:val="auto"/>
                <w:sz w:val="24"/>
                <w:szCs w:val="24"/>
                <w:lang w:val="en-US" w:eastAsia="zh-CN"/>
              </w:rPr>
              <w:t>8</w:t>
            </w:r>
            <w:r>
              <w:rPr>
                <w:rFonts w:hint="default" w:ascii="Times New Roman" w:hAnsi="Times New Roman" w:cs="Times New Roman"/>
                <w:b/>
                <w:color w:val="auto"/>
                <w:sz w:val="24"/>
                <w:szCs w:val="24"/>
              </w:rPr>
              <w:t>评价标准</w:t>
            </w:r>
          </w:p>
          <w:p w14:paraId="1A707A4A">
            <w:pPr>
              <w:pStyle w:val="92"/>
              <w:keepNext w:val="0"/>
              <w:keepLines w:val="0"/>
              <w:pageBreakBefore w:val="0"/>
              <w:widowControl w:val="0"/>
              <w:kinsoku/>
              <w:wordWrap/>
              <w:overflowPunct/>
              <w:topLinePunct w:val="0"/>
              <w:bidi w:val="0"/>
              <w:adjustRightInd w:val="0"/>
              <w:snapToGrid w:val="0"/>
              <w:spacing w:line="440" w:lineRule="exact"/>
              <w:ind w:firstLine="482" w:firstLineChars="200"/>
              <w:jc w:val="both"/>
              <w:textAlignment w:val="auto"/>
              <w:rPr>
                <w:rFonts w:hint="default" w:ascii="Times New Roman" w:hAnsi="Times New Roman" w:cs="Times New Roman"/>
                <w:b/>
                <w:color w:val="auto"/>
                <w:sz w:val="24"/>
              </w:rPr>
            </w:pPr>
            <w:r>
              <w:rPr>
                <w:rFonts w:hint="default" w:ascii="Times New Roman" w:hAnsi="Times New Roman" w:cs="Times New Roman"/>
                <w:b/>
                <w:color w:val="auto"/>
                <w:sz w:val="24"/>
              </w:rPr>
              <w:t>3.</w:t>
            </w:r>
            <w:r>
              <w:rPr>
                <w:rFonts w:hint="eastAsia" w:ascii="Times New Roman" w:hAnsi="Times New Roman" w:cs="Times New Roman"/>
                <w:b/>
                <w:color w:val="auto"/>
                <w:sz w:val="24"/>
                <w:lang w:val="en-US" w:eastAsia="zh-CN"/>
              </w:rPr>
              <w:t>8</w:t>
            </w:r>
            <w:r>
              <w:rPr>
                <w:rFonts w:hint="default" w:ascii="Times New Roman" w:hAnsi="Times New Roman" w:cs="Times New Roman"/>
                <w:b/>
                <w:color w:val="auto"/>
                <w:sz w:val="24"/>
              </w:rPr>
              <w:t>.1环境质量标准</w:t>
            </w:r>
          </w:p>
          <w:p w14:paraId="11E0FDC9">
            <w:pPr>
              <w:pStyle w:val="92"/>
              <w:keepNext w:val="0"/>
              <w:keepLines w:val="0"/>
              <w:pageBreakBefore w:val="0"/>
              <w:widowControl w:val="0"/>
              <w:kinsoku/>
              <w:wordWrap/>
              <w:overflowPunct/>
              <w:topLinePunct w:val="0"/>
              <w:bidi w:val="0"/>
              <w:adjustRightInd w:val="0"/>
              <w:snapToGrid w:val="0"/>
              <w:spacing w:line="440" w:lineRule="exact"/>
              <w:ind w:firstLine="480" w:firstLineChars="200"/>
              <w:jc w:val="both"/>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（1）环境空气质量标准</w:t>
            </w:r>
          </w:p>
          <w:p w14:paraId="363969CD">
            <w:pPr>
              <w:keepNext w:val="0"/>
              <w:keepLines w:val="0"/>
              <w:pageBreakBefore w:val="0"/>
              <w:widowControl w:val="0"/>
              <w:kinsoku/>
              <w:wordWrap/>
              <w:overflowPunct/>
              <w:topLinePunct w:val="0"/>
              <w:bidi w:val="0"/>
              <w:adjustRightInd w:val="0"/>
              <w:snapToGrid w:val="0"/>
              <w:spacing w:line="440" w:lineRule="exact"/>
              <w:ind w:firstLine="480" w:firstLineChars="200"/>
              <w:textAlignment w:val="auto"/>
              <w:rPr>
                <w:rFonts w:hint="default" w:ascii="Times New Roman" w:hAnsi="Times New Roman" w:eastAsia="宋体" w:cs="Times New Roman"/>
                <w:b/>
                <w:color w:val="auto"/>
                <w:sz w:val="24"/>
                <w:szCs w:val="24"/>
              </w:rPr>
            </w:pPr>
            <w:r>
              <w:rPr>
                <w:rFonts w:hint="default" w:ascii="Times New Roman" w:hAnsi="Times New Roman" w:cs="Times New Roman"/>
                <w:color w:val="auto"/>
                <w:sz w:val="24"/>
              </w:rPr>
              <w:t>项目位于会泽县</w:t>
            </w:r>
            <w:r>
              <w:rPr>
                <w:rFonts w:hint="eastAsia" w:ascii="Times New Roman" w:hAnsi="Times New Roman" w:cs="Times New Roman"/>
                <w:color w:val="auto"/>
                <w:sz w:val="24"/>
                <w:lang w:eastAsia="zh-CN"/>
              </w:rPr>
              <w:t>宝云街道、乐业镇、</w:t>
            </w:r>
            <w:r>
              <w:rPr>
                <w:rFonts w:hint="eastAsia" w:ascii="Times New Roman" w:hAnsi="Times New Roman" w:cs="Times New Roman"/>
                <w:color w:val="auto"/>
                <w:sz w:val="24"/>
                <w:lang w:val="en-US" w:eastAsia="zh-CN"/>
              </w:rPr>
              <w:t>五星乡</w:t>
            </w:r>
            <w:r>
              <w:rPr>
                <w:rFonts w:hint="default" w:ascii="Times New Roman" w:hAnsi="Times New Roman" w:cs="Times New Roman"/>
                <w:color w:val="auto"/>
                <w:sz w:val="24"/>
              </w:rPr>
              <w:t>，所在地为二类环境空气功能区，</w:t>
            </w:r>
            <w:r>
              <w:rPr>
                <w:rFonts w:hint="default" w:ascii="Times New Roman" w:hAnsi="Times New Roman" w:cs="Times New Roman"/>
                <w:color w:val="auto"/>
                <w:spacing w:val="-7"/>
                <w:sz w:val="24"/>
              </w:rPr>
              <w:t>环境空气质量执行《环境空气质量标准》</w:t>
            </w:r>
            <w:r>
              <w:rPr>
                <w:rFonts w:hint="default" w:ascii="Times New Roman" w:hAnsi="Times New Roman" w:cs="Times New Roman"/>
                <w:color w:val="auto"/>
                <w:spacing w:val="-3"/>
                <w:sz w:val="24"/>
              </w:rPr>
              <w:t>（GB3095-20</w:t>
            </w:r>
            <w:r>
              <w:rPr>
                <w:rFonts w:hint="eastAsia" w:ascii="Times New Roman" w:hAnsi="Times New Roman" w:cs="Times New Roman"/>
                <w:color w:val="auto"/>
                <w:spacing w:val="-3"/>
                <w:sz w:val="24"/>
                <w:lang w:val="en-US" w:eastAsia="zh-CN"/>
              </w:rPr>
              <w:t>26</w:t>
            </w:r>
            <w:r>
              <w:rPr>
                <w:rFonts w:hint="default" w:ascii="Times New Roman" w:hAnsi="Times New Roman" w:cs="Times New Roman"/>
                <w:color w:val="auto"/>
                <w:spacing w:val="-3"/>
                <w:sz w:val="24"/>
              </w:rPr>
              <w:t>）</w:t>
            </w:r>
            <w:r>
              <w:rPr>
                <w:rFonts w:hint="eastAsia" w:ascii="Times New Roman" w:hAnsi="Times New Roman" w:cs="Times New Roman"/>
                <w:color w:val="auto"/>
                <w:spacing w:val="-3"/>
                <w:sz w:val="24"/>
                <w:lang w:val="en-US" w:eastAsia="zh-CN"/>
              </w:rPr>
              <w:t>过渡阶段中二级标准浓度限值</w:t>
            </w:r>
            <w:r>
              <w:rPr>
                <w:rFonts w:hint="default" w:ascii="Times New Roman" w:hAnsi="Times New Roman" w:cs="Times New Roman"/>
                <w:color w:val="auto"/>
                <w:spacing w:val="-6"/>
                <w:sz w:val="24"/>
              </w:rPr>
              <w:t>。</w:t>
            </w:r>
            <w:r>
              <w:rPr>
                <w:rFonts w:hint="default" w:ascii="Times New Roman" w:hAnsi="Times New Roman" w:eastAsia="宋体" w:cs="Times New Roman"/>
                <w:color w:val="auto"/>
                <w:spacing w:val="-6"/>
                <w:sz w:val="24"/>
              </w:rPr>
              <w:t>具体指标见表</w:t>
            </w:r>
            <w:r>
              <w:rPr>
                <w:rFonts w:hint="default" w:ascii="Times New Roman" w:hAnsi="Times New Roman" w:eastAsia="宋体" w:cs="Times New Roman"/>
                <w:color w:val="auto"/>
                <w:sz w:val="24"/>
              </w:rPr>
              <w:t>3-</w:t>
            </w:r>
            <w:r>
              <w:rPr>
                <w:rFonts w:hint="eastAsia" w:ascii="Times New Roman" w:hAnsi="Times New Roman" w:eastAsia="宋体" w:cs="Times New Roman"/>
                <w:color w:val="auto"/>
                <w:sz w:val="24"/>
                <w:lang w:val="en-US" w:eastAsia="zh-CN"/>
              </w:rPr>
              <w:t>14</w:t>
            </w:r>
            <w:r>
              <w:rPr>
                <w:rFonts w:hint="default" w:ascii="Times New Roman" w:hAnsi="Times New Roman" w:eastAsia="宋体" w:cs="Times New Roman"/>
                <w:color w:val="auto"/>
                <w:sz w:val="24"/>
              </w:rPr>
              <w:t>。</w:t>
            </w:r>
          </w:p>
          <w:p w14:paraId="6D0A5F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auto"/>
                <w:sz w:val="24"/>
                <w:vertAlign w:val="superscript"/>
              </w:rPr>
            </w:pPr>
            <w:r>
              <w:rPr>
                <w:rFonts w:hint="default" w:ascii="Times New Roman" w:hAnsi="Times New Roman" w:eastAsia="宋体" w:cs="Times New Roman"/>
                <w:b/>
                <w:color w:val="auto"/>
                <w:sz w:val="24"/>
              </w:rPr>
              <w:t>表3-</w:t>
            </w:r>
            <w:r>
              <w:rPr>
                <w:rFonts w:hint="eastAsia" w:ascii="Times New Roman" w:hAnsi="Times New Roman" w:eastAsia="宋体" w:cs="Times New Roman"/>
                <w:b/>
                <w:color w:val="auto"/>
                <w:sz w:val="24"/>
                <w:lang w:val="en-US" w:eastAsia="zh-CN"/>
              </w:rPr>
              <w:t>14</w:t>
            </w:r>
            <w:r>
              <w:rPr>
                <w:rFonts w:hint="default" w:ascii="Times New Roman" w:hAnsi="Times New Roman" w:eastAsia="宋体" w:cs="Times New Roman"/>
                <w:b/>
                <w:color w:val="auto"/>
                <w:sz w:val="24"/>
              </w:rPr>
              <w:t xml:space="preserve">  环境空气质量标准</w:t>
            </w:r>
          </w:p>
          <w:tbl>
            <w:tblPr>
              <w:tblStyle w:val="30"/>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1" w:type="dxa"/>
                <w:bottom w:w="0" w:type="dxa"/>
                <w:right w:w="51" w:type="dxa"/>
              </w:tblCellMar>
            </w:tblPr>
            <w:tblGrid>
              <w:gridCol w:w="1554"/>
              <w:gridCol w:w="2813"/>
              <w:gridCol w:w="2569"/>
              <w:gridCol w:w="1343"/>
            </w:tblGrid>
            <w:tr w14:paraId="366CC1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938" w:type="pct"/>
                  <w:vMerge w:val="restart"/>
                  <w:tcBorders>
                    <w:tl2br w:val="nil"/>
                    <w:tr2bl w:val="nil"/>
                  </w:tcBorders>
                  <w:noWrap w:val="0"/>
                  <w:vAlign w:val="center"/>
                </w:tcPr>
                <w:p w14:paraId="486DE486">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污染物</w:t>
                  </w:r>
                </w:p>
              </w:tc>
              <w:tc>
                <w:tcPr>
                  <w:tcW w:w="1698" w:type="pct"/>
                  <w:vMerge w:val="restart"/>
                  <w:tcBorders>
                    <w:tl2br w:val="nil"/>
                    <w:tr2bl w:val="nil"/>
                  </w:tcBorders>
                  <w:noWrap w:val="0"/>
                  <w:vAlign w:val="center"/>
                </w:tcPr>
                <w:p w14:paraId="6DB7334C">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平均时间</w:t>
                  </w:r>
                </w:p>
              </w:tc>
              <w:tc>
                <w:tcPr>
                  <w:tcW w:w="2362" w:type="pct"/>
                  <w:gridSpan w:val="2"/>
                  <w:tcBorders>
                    <w:tl2br w:val="nil"/>
                    <w:tr2bl w:val="nil"/>
                  </w:tcBorders>
                  <w:noWrap w:val="0"/>
                  <w:vAlign w:val="center"/>
                </w:tcPr>
                <w:p w14:paraId="5754963D">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《环境空气质量标准》（</w:t>
                  </w:r>
                  <w:r>
                    <w:rPr>
                      <w:rFonts w:hint="default" w:ascii="Times New Roman" w:hAnsi="Times New Roman" w:eastAsia="宋体" w:cs="Times New Roman"/>
                      <w:b/>
                      <w:bCs w:val="0"/>
                      <w:color w:val="auto"/>
                      <w:sz w:val="21"/>
                      <w:szCs w:val="21"/>
                      <w:lang w:eastAsia="zh-CN"/>
                    </w:rPr>
                    <w:t>GB3095-2026</w:t>
                  </w:r>
                  <w:r>
                    <w:rPr>
                      <w:rFonts w:hint="default" w:ascii="Times New Roman" w:hAnsi="Times New Roman" w:eastAsia="宋体" w:cs="Times New Roman"/>
                      <w:b/>
                      <w:bCs w:val="0"/>
                      <w:color w:val="auto"/>
                      <w:sz w:val="21"/>
                      <w:szCs w:val="21"/>
                    </w:rPr>
                    <w:t>）</w:t>
                  </w:r>
                  <w:r>
                    <w:rPr>
                      <w:rFonts w:hint="default" w:ascii="Times New Roman" w:hAnsi="Times New Roman" w:eastAsia="宋体" w:cs="Times New Roman"/>
                      <w:b/>
                      <w:bCs w:val="0"/>
                      <w:color w:val="auto"/>
                      <w:sz w:val="21"/>
                      <w:szCs w:val="21"/>
                      <w:lang w:val="en-US" w:eastAsia="zh-CN"/>
                    </w:rPr>
                    <w:t>（过渡阶段浓度限值）</w:t>
                  </w:r>
                </w:p>
              </w:tc>
            </w:tr>
            <w:tr w14:paraId="25F920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938" w:type="pct"/>
                  <w:vMerge w:val="continue"/>
                  <w:tcBorders>
                    <w:tl2br w:val="nil"/>
                    <w:tr2bl w:val="nil"/>
                  </w:tcBorders>
                  <w:noWrap w:val="0"/>
                  <w:vAlign w:val="center"/>
                </w:tcPr>
                <w:p w14:paraId="77705A51">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rPr>
                  </w:pPr>
                </w:p>
              </w:tc>
              <w:tc>
                <w:tcPr>
                  <w:tcW w:w="1698" w:type="pct"/>
                  <w:vMerge w:val="continue"/>
                  <w:tcBorders>
                    <w:tl2br w:val="nil"/>
                    <w:tr2bl w:val="nil"/>
                  </w:tcBorders>
                  <w:noWrap w:val="0"/>
                  <w:vAlign w:val="center"/>
                </w:tcPr>
                <w:p w14:paraId="542AD916">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rPr>
                  </w:pPr>
                </w:p>
              </w:tc>
              <w:tc>
                <w:tcPr>
                  <w:tcW w:w="1551" w:type="pct"/>
                  <w:tcBorders>
                    <w:tl2br w:val="nil"/>
                    <w:tr2bl w:val="nil"/>
                  </w:tcBorders>
                  <w:noWrap w:val="0"/>
                  <w:vAlign w:val="center"/>
                </w:tcPr>
                <w:p w14:paraId="2D5F201F">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rPr>
                    <w:t>浓度限值（二级）</w:t>
                  </w:r>
                </w:p>
              </w:tc>
              <w:tc>
                <w:tcPr>
                  <w:tcW w:w="811" w:type="pct"/>
                  <w:tcBorders>
                    <w:tl2br w:val="nil"/>
                    <w:tr2bl w:val="nil"/>
                  </w:tcBorders>
                  <w:noWrap w:val="0"/>
                  <w:vAlign w:val="center"/>
                </w:tcPr>
                <w:p w14:paraId="63993FC4">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rPr>
                    <w:t>单位</w:t>
                  </w:r>
                </w:p>
              </w:tc>
            </w:tr>
            <w:tr w14:paraId="6EB7F6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trHeight w:val="0" w:hRule="atLeast"/>
                <w:jc w:val="center"/>
              </w:trPr>
              <w:tc>
                <w:tcPr>
                  <w:tcW w:w="938" w:type="pct"/>
                  <w:vMerge w:val="restart"/>
                  <w:tcBorders>
                    <w:tl2br w:val="nil"/>
                    <w:tr2bl w:val="nil"/>
                  </w:tcBorders>
                  <w:noWrap w:val="0"/>
                  <w:vAlign w:val="center"/>
                </w:tcPr>
                <w:p w14:paraId="020F4C79">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TSP</w:t>
                  </w:r>
                </w:p>
              </w:tc>
              <w:tc>
                <w:tcPr>
                  <w:tcW w:w="1698" w:type="pct"/>
                  <w:tcBorders>
                    <w:tl2br w:val="nil"/>
                    <w:tr2bl w:val="nil"/>
                  </w:tcBorders>
                  <w:noWrap w:val="0"/>
                  <w:vAlign w:val="center"/>
                </w:tcPr>
                <w:p w14:paraId="3E771674">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年平均</w:t>
                  </w:r>
                </w:p>
              </w:tc>
              <w:tc>
                <w:tcPr>
                  <w:tcW w:w="1551" w:type="pct"/>
                  <w:tcBorders>
                    <w:tl2br w:val="nil"/>
                    <w:tr2bl w:val="nil"/>
                  </w:tcBorders>
                  <w:noWrap w:val="0"/>
                  <w:vAlign w:val="center"/>
                </w:tcPr>
                <w:p w14:paraId="0D923444">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200</w:t>
                  </w:r>
                </w:p>
              </w:tc>
              <w:tc>
                <w:tcPr>
                  <w:tcW w:w="811" w:type="pct"/>
                  <w:vMerge w:val="restart"/>
                  <w:tcBorders>
                    <w:tl2br w:val="nil"/>
                    <w:tr2bl w:val="nil"/>
                  </w:tcBorders>
                  <w:noWrap w:val="0"/>
                  <w:vAlign w:val="center"/>
                </w:tcPr>
                <w:p w14:paraId="4A8234B5">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val="0"/>
                      <w:bCs/>
                      <w:color w:val="auto"/>
                      <w:sz w:val="21"/>
                      <w:szCs w:val="21"/>
                    </w:rPr>
                    <w:t>μg/m</w:t>
                  </w:r>
                  <w:r>
                    <w:rPr>
                      <w:rFonts w:hint="default" w:ascii="Times New Roman" w:hAnsi="Times New Roman" w:eastAsia="宋体" w:cs="Times New Roman"/>
                      <w:b w:val="0"/>
                      <w:bCs/>
                      <w:color w:val="auto"/>
                      <w:sz w:val="21"/>
                      <w:szCs w:val="21"/>
                      <w:vertAlign w:val="superscript"/>
                    </w:rPr>
                    <w:t>3</w:t>
                  </w:r>
                </w:p>
              </w:tc>
            </w:tr>
            <w:tr w14:paraId="0E21DE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trHeight w:val="0" w:hRule="atLeast"/>
                <w:jc w:val="center"/>
              </w:trPr>
              <w:tc>
                <w:tcPr>
                  <w:tcW w:w="938" w:type="pct"/>
                  <w:vMerge w:val="continue"/>
                  <w:tcBorders>
                    <w:tl2br w:val="nil"/>
                    <w:tr2bl w:val="nil"/>
                  </w:tcBorders>
                  <w:noWrap w:val="0"/>
                  <w:vAlign w:val="center"/>
                </w:tcPr>
                <w:p w14:paraId="4613736E">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p>
              </w:tc>
              <w:tc>
                <w:tcPr>
                  <w:tcW w:w="1698" w:type="pct"/>
                  <w:tcBorders>
                    <w:tl2br w:val="nil"/>
                    <w:tr2bl w:val="nil"/>
                  </w:tcBorders>
                  <w:noWrap w:val="0"/>
                  <w:vAlign w:val="center"/>
                </w:tcPr>
                <w:p w14:paraId="3169D618">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24小时平均</w:t>
                  </w:r>
                </w:p>
              </w:tc>
              <w:tc>
                <w:tcPr>
                  <w:tcW w:w="1551" w:type="pct"/>
                  <w:tcBorders>
                    <w:tl2br w:val="nil"/>
                    <w:tr2bl w:val="nil"/>
                  </w:tcBorders>
                  <w:noWrap w:val="0"/>
                  <w:vAlign w:val="center"/>
                </w:tcPr>
                <w:p w14:paraId="2981CF67">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300</w:t>
                  </w:r>
                </w:p>
              </w:tc>
              <w:tc>
                <w:tcPr>
                  <w:tcW w:w="811" w:type="pct"/>
                  <w:vMerge w:val="continue"/>
                  <w:tcBorders>
                    <w:tl2br w:val="nil"/>
                    <w:tr2bl w:val="nil"/>
                  </w:tcBorders>
                  <w:noWrap w:val="0"/>
                  <w:vAlign w:val="center"/>
                </w:tcPr>
                <w:p w14:paraId="4F0DD42C">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rPr>
                  </w:pPr>
                </w:p>
              </w:tc>
            </w:tr>
            <w:tr w14:paraId="07A292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trHeight w:val="0" w:hRule="atLeast"/>
                <w:jc w:val="center"/>
              </w:trPr>
              <w:tc>
                <w:tcPr>
                  <w:tcW w:w="938" w:type="pct"/>
                  <w:vMerge w:val="restart"/>
                  <w:tcBorders>
                    <w:tl2br w:val="nil"/>
                    <w:tr2bl w:val="nil"/>
                  </w:tcBorders>
                  <w:noWrap w:val="0"/>
                  <w:vAlign w:val="center"/>
                </w:tcPr>
                <w:p w14:paraId="7311E063">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PM</w:t>
                  </w:r>
                  <w:r>
                    <w:rPr>
                      <w:rFonts w:hint="default" w:ascii="Times New Roman" w:hAnsi="Times New Roman" w:eastAsia="宋体" w:cs="Times New Roman"/>
                      <w:b w:val="0"/>
                      <w:bCs/>
                      <w:color w:val="auto"/>
                      <w:sz w:val="21"/>
                      <w:szCs w:val="21"/>
                      <w:vertAlign w:val="subscript"/>
                    </w:rPr>
                    <w:t>10</w:t>
                  </w:r>
                </w:p>
              </w:tc>
              <w:tc>
                <w:tcPr>
                  <w:tcW w:w="1698" w:type="pct"/>
                  <w:tcBorders>
                    <w:tl2br w:val="nil"/>
                    <w:tr2bl w:val="nil"/>
                  </w:tcBorders>
                  <w:noWrap w:val="0"/>
                  <w:vAlign w:val="center"/>
                </w:tcPr>
                <w:p w14:paraId="3B8FEDF9">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年平均</w:t>
                  </w:r>
                </w:p>
              </w:tc>
              <w:tc>
                <w:tcPr>
                  <w:tcW w:w="1551" w:type="pct"/>
                  <w:tcBorders>
                    <w:tl2br w:val="nil"/>
                    <w:tr2bl w:val="nil"/>
                  </w:tcBorders>
                  <w:noWrap w:val="0"/>
                  <w:vAlign w:val="center"/>
                </w:tcPr>
                <w:p w14:paraId="64C3CA3A">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lang w:val="en-US" w:eastAsia="zh-CN"/>
                    </w:rPr>
                    <w:t>60</w:t>
                  </w:r>
                </w:p>
              </w:tc>
              <w:tc>
                <w:tcPr>
                  <w:tcW w:w="811" w:type="pct"/>
                  <w:vMerge w:val="continue"/>
                  <w:tcBorders>
                    <w:tl2br w:val="nil"/>
                    <w:tr2bl w:val="nil"/>
                  </w:tcBorders>
                  <w:noWrap w:val="0"/>
                  <w:vAlign w:val="center"/>
                </w:tcPr>
                <w:p w14:paraId="48D3F87E">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rPr>
                  </w:pPr>
                </w:p>
              </w:tc>
            </w:tr>
            <w:tr w14:paraId="016077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trHeight w:val="0" w:hRule="atLeast"/>
                <w:jc w:val="center"/>
              </w:trPr>
              <w:tc>
                <w:tcPr>
                  <w:tcW w:w="938" w:type="pct"/>
                  <w:vMerge w:val="continue"/>
                  <w:tcBorders>
                    <w:tl2br w:val="nil"/>
                    <w:tr2bl w:val="nil"/>
                  </w:tcBorders>
                  <w:noWrap w:val="0"/>
                  <w:vAlign w:val="center"/>
                </w:tcPr>
                <w:p w14:paraId="1307B83C">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p>
              </w:tc>
              <w:tc>
                <w:tcPr>
                  <w:tcW w:w="1698" w:type="pct"/>
                  <w:tcBorders>
                    <w:tl2br w:val="nil"/>
                    <w:tr2bl w:val="nil"/>
                  </w:tcBorders>
                  <w:noWrap w:val="0"/>
                  <w:vAlign w:val="center"/>
                </w:tcPr>
                <w:p w14:paraId="0C06FA0A">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24小时平均</w:t>
                  </w:r>
                </w:p>
              </w:tc>
              <w:tc>
                <w:tcPr>
                  <w:tcW w:w="1551" w:type="pct"/>
                  <w:tcBorders>
                    <w:tl2br w:val="nil"/>
                    <w:tr2bl w:val="nil"/>
                  </w:tcBorders>
                  <w:noWrap w:val="0"/>
                  <w:vAlign w:val="center"/>
                </w:tcPr>
                <w:p w14:paraId="1A3C0521">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lang w:val="en-US" w:eastAsia="zh-CN"/>
                    </w:rPr>
                    <w:t>120</w:t>
                  </w:r>
                </w:p>
              </w:tc>
              <w:tc>
                <w:tcPr>
                  <w:tcW w:w="811" w:type="pct"/>
                  <w:vMerge w:val="continue"/>
                  <w:tcBorders>
                    <w:tl2br w:val="nil"/>
                    <w:tr2bl w:val="nil"/>
                  </w:tcBorders>
                  <w:noWrap w:val="0"/>
                  <w:vAlign w:val="center"/>
                </w:tcPr>
                <w:p w14:paraId="342EC0BE">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rPr>
                  </w:pPr>
                </w:p>
              </w:tc>
            </w:tr>
            <w:tr w14:paraId="1792DB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trHeight w:val="0" w:hRule="atLeast"/>
                <w:jc w:val="center"/>
              </w:trPr>
              <w:tc>
                <w:tcPr>
                  <w:tcW w:w="938" w:type="pct"/>
                  <w:vMerge w:val="restart"/>
                  <w:tcBorders>
                    <w:tl2br w:val="nil"/>
                    <w:tr2bl w:val="nil"/>
                  </w:tcBorders>
                  <w:noWrap w:val="0"/>
                  <w:vAlign w:val="center"/>
                </w:tcPr>
                <w:p w14:paraId="696F9BBE">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PM</w:t>
                  </w:r>
                  <w:r>
                    <w:rPr>
                      <w:rFonts w:hint="default" w:ascii="Times New Roman" w:hAnsi="Times New Roman" w:eastAsia="宋体" w:cs="Times New Roman"/>
                      <w:b w:val="0"/>
                      <w:bCs/>
                      <w:color w:val="auto"/>
                      <w:sz w:val="21"/>
                      <w:szCs w:val="21"/>
                      <w:vertAlign w:val="subscript"/>
                    </w:rPr>
                    <w:t>2.5</w:t>
                  </w:r>
                </w:p>
              </w:tc>
              <w:tc>
                <w:tcPr>
                  <w:tcW w:w="1698" w:type="pct"/>
                  <w:tcBorders>
                    <w:tl2br w:val="nil"/>
                    <w:tr2bl w:val="nil"/>
                  </w:tcBorders>
                  <w:noWrap w:val="0"/>
                  <w:vAlign w:val="center"/>
                </w:tcPr>
                <w:p w14:paraId="33645438">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年平均</w:t>
                  </w:r>
                </w:p>
              </w:tc>
              <w:tc>
                <w:tcPr>
                  <w:tcW w:w="1551" w:type="pct"/>
                  <w:tcBorders>
                    <w:tl2br w:val="nil"/>
                    <w:tr2bl w:val="nil"/>
                  </w:tcBorders>
                  <w:noWrap w:val="0"/>
                  <w:vAlign w:val="center"/>
                </w:tcPr>
                <w:p w14:paraId="5D42DCC1">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3</w:t>
                  </w:r>
                  <w:r>
                    <w:rPr>
                      <w:rFonts w:hint="default" w:ascii="Times New Roman" w:hAnsi="Times New Roman" w:eastAsia="宋体" w:cs="Times New Roman"/>
                      <w:b w:val="0"/>
                      <w:bCs/>
                      <w:color w:val="auto"/>
                      <w:sz w:val="21"/>
                      <w:szCs w:val="21"/>
                      <w:lang w:val="en-US" w:eastAsia="zh-CN"/>
                    </w:rPr>
                    <w:t>0</w:t>
                  </w:r>
                </w:p>
              </w:tc>
              <w:tc>
                <w:tcPr>
                  <w:tcW w:w="811" w:type="pct"/>
                  <w:vMerge w:val="continue"/>
                  <w:tcBorders>
                    <w:tl2br w:val="nil"/>
                    <w:tr2bl w:val="nil"/>
                  </w:tcBorders>
                  <w:noWrap w:val="0"/>
                  <w:vAlign w:val="center"/>
                </w:tcPr>
                <w:p w14:paraId="37982BD0">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rPr>
                  </w:pPr>
                </w:p>
              </w:tc>
            </w:tr>
            <w:tr w14:paraId="72189D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trHeight w:val="0" w:hRule="atLeast"/>
                <w:jc w:val="center"/>
              </w:trPr>
              <w:tc>
                <w:tcPr>
                  <w:tcW w:w="938" w:type="pct"/>
                  <w:vMerge w:val="continue"/>
                  <w:tcBorders>
                    <w:tl2br w:val="nil"/>
                    <w:tr2bl w:val="nil"/>
                  </w:tcBorders>
                  <w:noWrap w:val="0"/>
                  <w:vAlign w:val="center"/>
                </w:tcPr>
                <w:p w14:paraId="05D602FD">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p>
              </w:tc>
              <w:tc>
                <w:tcPr>
                  <w:tcW w:w="1698" w:type="pct"/>
                  <w:tcBorders>
                    <w:tl2br w:val="nil"/>
                    <w:tr2bl w:val="nil"/>
                  </w:tcBorders>
                  <w:noWrap w:val="0"/>
                  <w:vAlign w:val="center"/>
                </w:tcPr>
                <w:p w14:paraId="31C98BAB">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24小时平均</w:t>
                  </w:r>
                </w:p>
              </w:tc>
              <w:tc>
                <w:tcPr>
                  <w:tcW w:w="1551" w:type="pct"/>
                  <w:tcBorders>
                    <w:tl2br w:val="nil"/>
                    <w:tr2bl w:val="nil"/>
                  </w:tcBorders>
                  <w:noWrap w:val="0"/>
                  <w:vAlign w:val="center"/>
                </w:tcPr>
                <w:p w14:paraId="6061900C">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lang w:val="en-US" w:eastAsia="zh-CN"/>
                    </w:rPr>
                    <w:t>60</w:t>
                  </w:r>
                </w:p>
              </w:tc>
              <w:tc>
                <w:tcPr>
                  <w:tcW w:w="811" w:type="pct"/>
                  <w:vMerge w:val="continue"/>
                  <w:tcBorders>
                    <w:tl2br w:val="nil"/>
                    <w:tr2bl w:val="nil"/>
                  </w:tcBorders>
                  <w:noWrap w:val="0"/>
                  <w:vAlign w:val="center"/>
                </w:tcPr>
                <w:p w14:paraId="14682FA0">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rPr>
                  </w:pPr>
                </w:p>
              </w:tc>
            </w:tr>
            <w:tr w14:paraId="318812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trHeight w:val="0" w:hRule="atLeast"/>
                <w:jc w:val="center"/>
              </w:trPr>
              <w:tc>
                <w:tcPr>
                  <w:tcW w:w="938" w:type="pct"/>
                  <w:vMerge w:val="restart"/>
                  <w:tcBorders>
                    <w:tl2br w:val="nil"/>
                    <w:tr2bl w:val="nil"/>
                  </w:tcBorders>
                  <w:noWrap w:val="0"/>
                  <w:vAlign w:val="center"/>
                </w:tcPr>
                <w:p w14:paraId="0AFC7BDA">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SO</w:t>
                  </w:r>
                  <w:r>
                    <w:rPr>
                      <w:rFonts w:hint="default" w:ascii="Times New Roman" w:hAnsi="Times New Roman" w:eastAsia="宋体" w:cs="Times New Roman"/>
                      <w:b w:val="0"/>
                      <w:bCs/>
                      <w:color w:val="auto"/>
                      <w:sz w:val="21"/>
                      <w:szCs w:val="21"/>
                      <w:vertAlign w:val="subscript"/>
                    </w:rPr>
                    <w:t>2</w:t>
                  </w:r>
                </w:p>
              </w:tc>
              <w:tc>
                <w:tcPr>
                  <w:tcW w:w="1698" w:type="pct"/>
                  <w:tcBorders>
                    <w:tl2br w:val="nil"/>
                    <w:tr2bl w:val="nil"/>
                  </w:tcBorders>
                  <w:noWrap w:val="0"/>
                  <w:vAlign w:val="center"/>
                </w:tcPr>
                <w:p w14:paraId="00CBF070">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年平均</w:t>
                  </w:r>
                </w:p>
              </w:tc>
              <w:tc>
                <w:tcPr>
                  <w:tcW w:w="1551" w:type="pct"/>
                  <w:tcBorders>
                    <w:tl2br w:val="nil"/>
                    <w:tr2bl w:val="nil"/>
                  </w:tcBorders>
                  <w:noWrap w:val="0"/>
                  <w:vAlign w:val="center"/>
                </w:tcPr>
                <w:p w14:paraId="39F947F3">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60</w:t>
                  </w:r>
                </w:p>
              </w:tc>
              <w:tc>
                <w:tcPr>
                  <w:tcW w:w="811" w:type="pct"/>
                  <w:vMerge w:val="continue"/>
                  <w:tcBorders>
                    <w:tl2br w:val="nil"/>
                    <w:tr2bl w:val="nil"/>
                  </w:tcBorders>
                  <w:noWrap w:val="0"/>
                  <w:vAlign w:val="center"/>
                </w:tcPr>
                <w:p w14:paraId="5BE9177C">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rPr>
                  </w:pPr>
                </w:p>
              </w:tc>
            </w:tr>
            <w:tr w14:paraId="45178D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trHeight w:val="0" w:hRule="atLeast"/>
                <w:jc w:val="center"/>
              </w:trPr>
              <w:tc>
                <w:tcPr>
                  <w:tcW w:w="938" w:type="pct"/>
                  <w:vMerge w:val="continue"/>
                  <w:tcBorders>
                    <w:tl2br w:val="nil"/>
                    <w:tr2bl w:val="nil"/>
                  </w:tcBorders>
                  <w:noWrap w:val="0"/>
                  <w:vAlign w:val="center"/>
                </w:tcPr>
                <w:p w14:paraId="44E44C5B">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p>
              </w:tc>
              <w:tc>
                <w:tcPr>
                  <w:tcW w:w="1698" w:type="pct"/>
                  <w:tcBorders>
                    <w:tl2br w:val="nil"/>
                    <w:tr2bl w:val="nil"/>
                  </w:tcBorders>
                  <w:noWrap w:val="0"/>
                  <w:vAlign w:val="center"/>
                </w:tcPr>
                <w:p w14:paraId="31A03E14">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24小时平均</w:t>
                  </w:r>
                </w:p>
              </w:tc>
              <w:tc>
                <w:tcPr>
                  <w:tcW w:w="1551" w:type="pct"/>
                  <w:tcBorders>
                    <w:tl2br w:val="nil"/>
                    <w:tr2bl w:val="nil"/>
                  </w:tcBorders>
                  <w:noWrap w:val="0"/>
                  <w:vAlign w:val="center"/>
                </w:tcPr>
                <w:p w14:paraId="065B2E60">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150</w:t>
                  </w:r>
                </w:p>
              </w:tc>
              <w:tc>
                <w:tcPr>
                  <w:tcW w:w="811" w:type="pct"/>
                  <w:vMerge w:val="continue"/>
                  <w:tcBorders>
                    <w:tl2br w:val="nil"/>
                    <w:tr2bl w:val="nil"/>
                  </w:tcBorders>
                  <w:noWrap w:val="0"/>
                  <w:vAlign w:val="center"/>
                </w:tcPr>
                <w:p w14:paraId="53BC8388">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rPr>
                  </w:pPr>
                </w:p>
              </w:tc>
            </w:tr>
            <w:tr w14:paraId="19F357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trHeight w:val="0" w:hRule="atLeast"/>
                <w:jc w:val="center"/>
              </w:trPr>
              <w:tc>
                <w:tcPr>
                  <w:tcW w:w="938" w:type="pct"/>
                  <w:vMerge w:val="continue"/>
                  <w:tcBorders>
                    <w:tl2br w:val="nil"/>
                    <w:tr2bl w:val="nil"/>
                  </w:tcBorders>
                  <w:noWrap w:val="0"/>
                  <w:vAlign w:val="center"/>
                </w:tcPr>
                <w:p w14:paraId="48FD3613">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p>
              </w:tc>
              <w:tc>
                <w:tcPr>
                  <w:tcW w:w="1698" w:type="pct"/>
                  <w:tcBorders>
                    <w:tl2br w:val="nil"/>
                    <w:tr2bl w:val="nil"/>
                  </w:tcBorders>
                  <w:noWrap w:val="0"/>
                  <w:vAlign w:val="center"/>
                </w:tcPr>
                <w:p w14:paraId="16E44698">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1小时平均</w:t>
                  </w:r>
                </w:p>
              </w:tc>
              <w:tc>
                <w:tcPr>
                  <w:tcW w:w="1551" w:type="pct"/>
                  <w:tcBorders>
                    <w:tl2br w:val="nil"/>
                    <w:tr2bl w:val="nil"/>
                  </w:tcBorders>
                  <w:noWrap w:val="0"/>
                  <w:vAlign w:val="center"/>
                </w:tcPr>
                <w:p w14:paraId="12C950E5">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500</w:t>
                  </w:r>
                </w:p>
              </w:tc>
              <w:tc>
                <w:tcPr>
                  <w:tcW w:w="811" w:type="pct"/>
                  <w:vMerge w:val="continue"/>
                  <w:tcBorders>
                    <w:tl2br w:val="nil"/>
                    <w:tr2bl w:val="nil"/>
                  </w:tcBorders>
                  <w:noWrap w:val="0"/>
                  <w:vAlign w:val="center"/>
                </w:tcPr>
                <w:p w14:paraId="548CEE98">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rPr>
                  </w:pPr>
                </w:p>
              </w:tc>
            </w:tr>
            <w:tr w14:paraId="2349B0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trHeight w:val="0" w:hRule="atLeast"/>
                <w:jc w:val="center"/>
              </w:trPr>
              <w:tc>
                <w:tcPr>
                  <w:tcW w:w="938" w:type="pct"/>
                  <w:vMerge w:val="restart"/>
                  <w:tcBorders>
                    <w:tl2br w:val="nil"/>
                    <w:tr2bl w:val="nil"/>
                  </w:tcBorders>
                  <w:noWrap w:val="0"/>
                  <w:vAlign w:val="center"/>
                </w:tcPr>
                <w:p w14:paraId="072BA847">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NO</w:t>
                  </w:r>
                  <w:r>
                    <w:rPr>
                      <w:rFonts w:hint="default" w:ascii="Times New Roman" w:hAnsi="Times New Roman" w:eastAsia="宋体" w:cs="Times New Roman"/>
                      <w:b w:val="0"/>
                      <w:bCs/>
                      <w:color w:val="auto"/>
                      <w:sz w:val="21"/>
                      <w:szCs w:val="21"/>
                      <w:vertAlign w:val="subscript"/>
                    </w:rPr>
                    <w:t>2</w:t>
                  </w:r>
                </w:p>
              </w:tc>
              <w:tc>
                <w:tcPr>
                  <w:tcW w:w="1698" w:type="pct"/>
                  <w:tcBorders>
                    <w:tl2br w:val="nil"/>
                    <w:tr2bl w:val="nil"/>
                  </w:tcBorders>
                  <w:noWrap w:val="0"/>
                  <w:vAlign w:val="center"/>
                </w:tcPr>
                <w:p w14:paraId="3AAC0FA7">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年平均</w:t>
                  </w:r>
                </w:p>
              </w:tc>
              <w:tc>
                <w:tcPr>
                  <w:tcW w:w="1551" w:type="pct"/>
                  <w:tcBorders>
                    <w:tl2br w:val="nil"/>
                    <w:tr2bl w:val="nil"/>
                  </w:tcBorders>
                  <w:noWrap w:val="0"/>
                  <w:vAlign w:val="center"/>
                </w:tcPr>
                <w:p w14:paraId="2C07385D">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40</w:t>
                  </w:r>
                </w:p>
              </w:tc>
              <w:tc>
                <w:tcPr>
                  <w:tcW w:w="811" w:type="pct"/>
                  <w:vMerge w:val="continue"/>
                  <w:tcBorders>
                    <w:tl2br w:val="nil"/>
                    <w:tr2bl w:val="nil"/>
                  </w:tcBorders>
                  <w:noWrap w:val="0"/>
                  <w:vAlign w:val="center"/>
                </w:tcPr>
                <w:p w14:paraId="64001505">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rPr>
                  </w:pPr>
                </w:p>
              </w:tc>
            </w:tr>
            <w:tr w14:paraId="1D7169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trHeight w:val="0" w:hRule="atLeast"/>
                <w:jc w:val="center"/>
              </w:trPr>
              <w:tc>
                <w:tcPr>
                  <w:tcW w:w="938" w:type="pct"/>
                  <w:vMerge w:val="continue"/>
                  <w:tcBorders>
                    <w:tl2br w:val="nil"/>
                    <w:tr2bl w:val="nil"/>
                  </w:tcBorders>
                  <w:noWrap w:val="0"/>
                  <w:vAlign w:val="center"/>
                </w:tcPr>
                <w:p w14:paraId="6D2A9909">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p>
              </w:tc>
              <w:tc>
                <w:tcPr>
                  <w:tcW w:w="1698" w:type="pct"/>
                  <w:tcBorders>
                    <w:tl2br w:val="nil"/>
                    <w:tr2bl w:val="nil"/>
                  </w:tcBorders>
                  <w:noWrap w:val="0"/>
                  <w:vAlign w:val="center"/>
                </w:tcPr>
                <w:p w14:paraId="1C4303B4">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24小时平均</w:t>
                  </w:r>
                </w:p>
              </w:tc>
              <w:tc>
                <w:tcPr>
                  <w:tcW w:w="1551" w:type="pct"/>
                  <w:tcBorders>
                    <w:tl2br w:val="nil"/>
                    <w:tr2bl w:val="nil"/>
                  </w:tcBorders>
                  <w:noWrap w:val="0"/>
                  <w:vAlign w:val="center"/>
                </w:tcPr>
                <w:p w14:paraId="36168B1D">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80</w:t>
                  </w:r>
                </w:p>
              </w:tc>
              <w:tc>
                <w:tcPr>
                  <w:tcW w:w="811" w:type="pct"/>
                  <w:vMerge w:val="continue"/>
                  <w:tcBorders>
                    <w:tl2br w:val="nil"/>
                    <w:tr2bl w:val="nil"/>
                  </w:tcBorders>
                  <w:noWrap w:val="0"/>
                  <w:vAlign w:val="center"/>
                </w:tcPr>
                <w:p w14:paraId="44AC5E29">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rPr>
                  </w:pPr>
                </w:p>
              </w:tc>
            </w:tr>
            <w:tr w14:paraId="1140CA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trHeight w:val="0" w:hRule="atLeast"/>
                <w:jc w:val="center"/>
              </w:trPr>
              <w:tc>
                <w:tcPr>
                  <w:tcW w:w="938" w:type="pct"/>
                  <w:vMerge w:val="continue"/>
                  <w:tcBorders>
                    <w:tl2br w:val="nil"/>
                    <w:tr2bl w:val="nil"/>
                  </w:tcBorders>
                  <w:noWrap w:val="0"/>
                  <w:vAlign w:val="center"/>
                </w:tcPr>
                <w:p w14:paraId="5CF2F560">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p>
              </w:tc>
              <w:tc>
                <w:tcPr>
                  <w:tcW w:w="1698" w:type="pct"/>
                  <w:tcBorders>
                    <w:tl2br w:val="nil"/>
                    <w:tr2bl w:val="nil"/>
                  </w:tcBorders>
                  <w:noWrap w:val="0"/>
                  <w:vAlign w:val="center"/>
                </w:tcPr>
                <w:p w14:paraId="25E51FF5">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1小时平均</w:t>
                  </w:r>
                </w:p>
              </w:tc>
              <w:tc>
                <w:tcPr>
                  <w:tcW w:w="1551" w:type="pct"/>
                  <w:tcBorders>
                    <w:tl2br w:val="nil"/>
                    <w:tr2bl w:val="nil"/>
                  </w:tcBorders>
                  <w:noWrap w:val="0"/>
                  <w:vAlign w:val="center"/>
                </w:tcPr>
                <w:p w14:paraId="157FAFFA">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200</w:t>
                  </w:r>
                </w:p>
              </w:tc>
              <w:tc>
                <w:tcPr>
                  <w:tcW w:w="811" w:type="pct"/>
                  <w:vMerge w:val="continue"/>
                  <w:tcBorders>
                    <w:tl2br w:val="nil"/>
                    <w:tr2bl w:val="nil"/>
                  </w:tcBorders>
                  <w:noWrap w:val="0"/>
                  <w:vAlign w:val="center"/>
                </w:tcPr>
                <w:p w14:paraId="4F0475EA">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rPr>
                  </w:pPr>
                </w:p>
              </w:tc>
            </w:tr>
            <w:tr w14:paraId="6E1C0F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trHeight w:val="0" w:hRule="atLeast"/>
                <w:jc w:val="center"/>
              </w:trPr>
              <w:tc>
                <w:tcPr>
                  <w:tcW w:w="938" w:type="pct"/>
                  <w:vMerge w:val="restart"/>
                  <w:tcBorders>
                    <w:tl2br w:val="nil"/>
                    <w:tr2bl w:val="nil"/>
                  </w:tcBorders>
                  <w:noWrap w:val="0"/>
                  <w:vAlign w:val="center"/>
                </w:tcPr>
                <w:p w14:paraId="682A1F3E">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O</w:t>
                  </w:r>
                  <w:r>
                    <w:rPr>
                      <w:rFonts w:hint="default" w:ascii="Times New Roman" w:hAnsi="Times New Roman" w:eastAsia="宋体" w:cs="Times New Roman"/>
                      <w:b w:val="0"/>
                      <w:bCs/>
                      <w:color w:val="auto"/>
                      <w:sz w:val="21"/>
                      <w:szCs w:val="21"/>
                      <w:vertAlign w:val="subscript"/>
                    </w:rPr>
                    <w:t>3</w:t>
                  </w:r>
                </w:p>
              </w:tc>
              <w:tc>
                <w:tcPr>
                  <w:tcW w:w="1698" w:type="pct"/>
                  <w:tcBorders>
                    <w:tl2br w:val="nil"/>
                    <w:tr2bl w:val="nil"/>
                  </w:tcBorders>
                  <w:noWrap w:val="0"/>
                  <w:vAlign w:val="center"/>
                </w:tcPr>
                <w:p w14:paraId="055C23EB">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rPr>
                    <w:t>日最大8小时平均</w:t>
                  </w:r>
                </w:p>
              </w:tc>
              <w:tc>
                <w:tcPr>
                  <w:tcW w:w="1551" w:type="pct"/>
                  <w:tcBorders>
                    <w:tl2br w:val="nil"/>
                    <w:tr2bl w:val="nil"/>
                  </w:tcBorders>
                  <w:noWrap w:val="0"/>
                  <w:vAlign w:val="center"/>
                </w:tcPr>
                <w:p w14:paraId="2C871282">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160</w:t>
                  </w:r>
                </w:p>
              </w:tc>
              <w:tc>
                <w:tcPr>
                  <w:tcW w:w="811" w:type="pct"/>
                  <w:vMerge w:val="continue"/>
                  <w:tcBorders>
                    <w:tl2br w:val="nil"/>
                    <w:tr2bl w:val="nil"/>
                  </w:tcBorders>
                  <w:noWrap w:val="0"/>
                  <w:vAlign w:val="center"/>
                </w:tcPr>
                <w:p w14:paraId="0002E32E">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rPr>
                  </w:pPr>
                </w:p>
              </w:tc>
            </w:tr>
            <w:tr w14:paraId="3F4FF4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trHeight w:val="0" w:hRule="atLeast"/>
                <w:jc w:val="center"/>
              </w:trPr>
              <w:tc>
                <w:tcPr>
                  <w:tcW w:w="938" w:type="pct"/>
                  <w:vMerge w:val="continue"/>
                  <w:tcBorders>
                    <w:tl2br w:val="nil"/>
                    <w:tr2bl w:val="nil"/>
                  </w:tcBorders>
                  <w:noWrap w:val="0"/>
                  <w:vAlign w:val="center"/>
                </w:tcPr>
                <w:p w14:paraId="434B9DBE">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p>
              </w:tc>
              <w:tc>
                <w:tcPr>
                  <w:tcW w:w="1698" w:type="pct"/>
                  <w:tcBorders>
                    <w:tl2br w:val="nil"/>
                    <w:tr2bl w:val="nil"/>
                  </w:tcBorders>
                  <w:noWrap w:val="0"/>
                  <w:vAlign w:val="center"/>
                </w:tcPr>
                <w:p w14:paraId="2FF839B1">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rPr>
                    <w:t>1小时平均</w:t>
                  </w:r>
                </w:p>
              </w:tc>
              <w:tc>
                <w:tcPr>
                  <w:tcW w:w="1551" w:type="pct"/>
                  <w:tcBorders>
                    <w:tl2br w:val="nil"/>
                    <w:tr2bl w:val="nil"/>
                  </w:tcBorders>
                  <w:noWrap w:val="0"/>
                  <w:vAlign w:val="center"/>
                </w:tcPr>
                <w:p w14:paraId="373A0AE9">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200</w:t>
                  </w:r>
                </w:p>
              </w:tc>
              <w:tc>
                <w:tcPr>
                  <w:tcW w:w="811" w:type="pct"/>
                  <w:vMerge w:val="continue"/>
                  <w:tcBorders>
                    <w:tl2br w:val="nil"/>
                    <w:tr2bl w:val="nil"/>
                  </w:tcBorders>
                  <w:noWrap w:val="0"/>
                  <w:vAlign w:val="center"/>
                </w:tcPr>
                <w:p w14:paraId="6317FD16">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rPr>
                  </w:pPr>
                </w:p>
              </w:tc>
            </w:tr>
            <w:tr w14:paraId="552DFA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trHeight w:val="0" w:hRule="atLeast"/>
                <w:jc w:val="center"/>
              </w:trPr>
              <w:tc>
                <w:tcPr>
                  <w:tcW w:w="938" w:type="pct"/>
                  <w:vMerge w:val="restart"/>
                  <w:tcBorders>
                    <w:tl2br w:val="nil"/>
                    <w:tr2bl w:val="nil"/>
                  </w:tcBorders>
                  <w:noWrap w:val="0"/>
                  <w:vAlign w:val="center"/>
                </w:tcPr>
                <w:p w14:paraId="239AC822">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CO</w:t>
                  </w:r>
                </w:p>
              </w:tc>
              <w:tc>
                <w:tcPr>
                  <w:tcW w:w="1698" w:type="pct"/>
                  <w:tcBorders>
                    <w:tl2br w:val="nil"/>
                    <w:tr2bl w:val="nil"/>
                  </w:tcBorders>
                  <w:noWrap w:val="0"/>
                  <w:vAlign w:val="center"/>
                </w:tcPr>
                <w:p w14:paraId="71C500B7">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24小时平均</w:t>
                  </w:r>
                </w:p>
              </w:tc>
              <w:tc>
                <w:tcPr>
                  <w:tcW w:w="1551" w:type="pct"/>
                  <w:tcBorders>
                    <w:tl2br w:val="nil"/>
                    <w:tr2bl w:val="nil"/>
                  </w:tcBorders>
                  <w:noWrap w:val="0"/>
                  <w:vAlign w:val="center"/>
                </w:tcPr>
                <w:p w14:paraId="59C17EDB">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4</w:t>
                  </w:r>
                </w:p>
              </w:tc>
              <w:tc>
                <w:tcPr>
                  <w:tcW w:w="811" w:type="pct"/>
                  <w:vMerge w:val="restart"/>
                  <w:tcBorders>
                    <w:tl2br w:val="nil"/>
                    <w:tr2bl w:val="nil"/>
                  </w:tcBorders>
                  <w:noWrap w:val="0"/>
                  <w:vAlign w:val="center"/>
                </w:tcPr>
                <w:p w14:paraId="4C73F53A">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val="0"/>
                      <w:bCs/>
                      <w:color w:val="auto"/>
                      <w:sz w:val="21"/>
                      <w:szCs w:val="21"/>
                    </w:rPr>
                    <w:t>mg/m</w:t>
                  </w:r>
                  <w:r>
                    <w:rPr>
                      <w:rFonts w:hint="default" w:ascii="Times New Roman" w:hAnsi="Times New Roman" w:eastAsia="宋体" w:cs="Times New Roman"/>
                      <w:b w:val="0"/>
                      <w:bCs/>
                      <w:color w:val="auto"/>
                      <w:sz w:val="21"/>
                      <w:szCs w:val="21"/>
                      <w:vertAlign w:val="superscript"/>
                    </w:rPr>
                    <w:t>3</w:t>
                  </w:r>
                </w:p>
              </w:tc>
            </w:tr>
            <w:tr w14:paraId="025CD0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cantSplit/>
                <w:trHeight w:val="0" w:hRule="atLeast"/>
                <w:jc w:val="center"/>
              </w:trPr>
              <w:tc>
                <w:tcPr>
                  <w:tcW w:w="938" w:type="pct"/>
                  <w:vMerge w:val="continue"/>
                  <w:tcBorders>
                    <w:tl2br w:val="nil"/>
                    <w:tr2bl w:val="nil"/>
                  </w:tcBorders>
                  <w:noWrap w:val="0"/>
                  <w:vAlign w:val="center"/>
                </w:tcPr>
                <w:p w14:paraId="5C767268">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p>
              </w:tc>
              <w:tc>
                <w:tcPr>
                  <w:tcW w:w="1698" w:type="pct"/>
                  <w:tcBorders>
                    <w:tl2br w:val="nil"/>
                    <w:tr2bl w:val="nil"/>
                  </w:tcBorders>
                  <w:noWrap w:val="0"/>
                  <w:vAlign w:val="center"/>
                </w:tcPr>
                <w:p w14:paraId="64D30C16">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1小时平均</w:t>
                  </w:r>
                </w:p>
              </w:tc>
              <w:tc>
                <w:tcPr>
                  <w:tcW w:w="1551" w:type="pct"/>
                  <w:tcBorders>
                    <w:tl2br w:val="nil"/>
                    <w:tr2bl w:val="nil"/>
                  </w:tcBorders>
                  <w:noWrap w:val="0"/>
                  <w:vAlign w:val="center"/>
                </w:tcPr>
                <w:p w14:paraId="3F54CE39">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10</w:t>
                  </w:r>
                </w:p>
              </w:tc>
              <w:tc>
                <w:tcPr>
                  <w:tcW w:w="811" w:type="pct"/>
                  <w:vMerge w:val="continue"/>
                  <w:tcBorders>
                    <w:tl2br w:val="nil"/>
                    <w:tr2bl w:val="nil"/>
                  </w:tcBorders>
                  <w:noWrap w:val="0"/>
                  <w:vAlign w:val="center"/>
                </w:tcPr>
                <w:p w14:paraId="71BD069E">
                  <w:pPr>
                    <w:keepNext w:val="0"/>
                    <w:keepLines w:val="0"/>
                    <w:pageBreakBefore w:val="0"/>
                    <w:widowControl w:val="0"/>
                    <w:kinsoku/>
                    <w:wordWrap/>
                    <w:overflowPunct/>
                    <w:topLinePunct w:val="0"/>
                    <w:autoSpaceDE/>
                    <w:autoSpaceDN/>
                    <w:bidi w:val="0"/>
                    <w:adjustRightInd w:val="0"/>
                    <w:snapToGrid w:val="0"/>
                    <w:spacing w:afterAutospacing="0" w:line="240" w:lineRule="auto"/>
                    <w:jc w:val="center"/>
                    <w:textAlignment w:val="auto"/>
                    <w:rPr>
                      <w:rFonts w:hint="default" w:ascii="Times New Roman" w:hAnsi="Times New Roman" w:eastAsia="宋体" w:cs="Times New Roman"/>
                      <w:b/>
                      <w:bCs w:val="0"/>
                      <w:color w:val="auto"/>
                      <w:sz w:val="21"/>
                      <w:szCs w:val="21"/>
                    </w:rPr>
                  </w:pPr>
                </w:p>
              </w:tc>
            </w:tr>
          </w:tbl>
          <w:p w14:paraId="477235E7">
            <w:pPr>
              <w:pStyle w:val="92"/>
              <w:keepNext w:val="0"/>
              <w:keepLines w:val="0"/>
              <w:pageBreakBefore w:val="0"/>
              <w:widowControl w:val="0"/>
              <w:kinsoku/>
              <w:wordWrap/>
              <w:overflowPunct/>
              <w:topLinePunct w:val="0"/>
              <w:bidi w:val="0"/>
              <w:adjustRightInd w:val="0"/>
              <w:snapToGrid w:val="0"/>
              <w:spacing w:line="440" w:lineRule="exact"/>
              <w:ind w:firstLine="480" w:firstLineChars="200"/>
              <w:jc w:val="both"/>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（2）地表水环境质量标准</w:t>
            </w:r>
          </w:p>
          <w:p w14:paraId="045DD0C7">
            <w:pPr>
              <w:keepNext w:val="0"/>
              <w:keepLines w:val="0"/>
              <w:pageBreakBefore w:val="0"/>
              <w:widowControl w:val="0"/>
              <w:kinsoku/>
              <w:wordWrap/>
              <w:overflowPunct/>
              <w:topLinePunct w:val="0"/>
              <w:bidi w:val="0"/>
              <w:adjustRightInd w:val="0"/>
              <w:snapToGrid w:val="0"/>
              <w:spacing w:line="44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根据调查，项目区域涉及地表水主要为</w:t>
            </w:r>
            <w:r>
              <w:rPr>
                <w:rFonts w:hint="eastAsia" w:ascii="Times New Roman" w:hAnsi="Times New Roman" w:cs="Times New Roman"/>
                <w:color w:val="auto"/>
                <w:sz w:val="24"/>
                <w:lang w:val="en-US" w:eastAsia="zh-CN"/>
              </w:rPr>
              <w:t>鲁珠河</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大麦冲小河等小河、天然沟箐（</w:t>
            </w:r>
            <w:r>
              <w:rPr>
                <w:rFonts w:hint="eastAsia" w:ascii="Times New Roman" w:hAnsi="Times New Roman" w:cs="Times New Roman"/>
                <w:color w:val="auto"/>
                <w:sz w:val="24"/>
                <w:highlight w:val="none"/>
                <w:lang w:val="en-US" w:eastAsia="zh-CN"/>
              </w:rPr>
              <w:t>铜沟</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冷水沟</w:t>
            </w:r>
            <w:r>
              <w:rPr>
                <w:rFonts w:hint="eastAsia" w:ascii="Times New Roman" w:hAnsi="Times New Roman" w:cs="Times New Roman"/>
                <w:color w:val="auto"/>
                <w:sz w:val="24"/>
                <w:lang w:val="en-US" w:eastAsia="zh-CN"/>
              </w:rPr>
              <w:t>）等；本项目所涉及的鲁珠河、大麦冲小河均为牛栏江支流</w:t>
            </w:r>
            <w:r>
              <w:rPr>
                <w:rFonts w:hint="default" w:ascii="Times New Roman" w:hAnsi="Times New Roman" w:cs="Times New Roman"/>
                <w:color w:val="auto"/>
                <w:sz w:val="24"/>
              </w:rPr>
              <w:t>。根据《云南省水功能区划（2014年修订）》。本项目附近边河属于以礼河会泽-巧家保留区，2030年水质目标为《地表水环境质量标准》（GB3838-2002）中Ⅲ类标准。</w:t>
            </w:r>
            <w:r>
              <w:rPr>
                <w:rFonts w:hint="default" w:ascii="Times New Roman" w:hAnsi="Times New Roman" w:cs="Times New Roman"/>
                <w:color w:val="auto"/>
                <w:spacing w:val="-6"/>
                <w:sz w:val="24"/>
              </w:rPr>
              <w:t>具体</w:t>
            </w:r>
            <w:r>
              <w:rPr>
                <w:rFonts w:hint="default" w:ascii="Times New Roman" w:hAnsi="Times New Roman" w:cs="Times New Roman"/>
                <w:color w:val="auto"/>
                <w:spacing w:val="-11"/>
                <w:sz w:val="24"/>
              </w:rPr>
              <w:t>标准值见表</w:t>
            </w:r>
            <w:r>
              <w:rPr>
                <w:rFonts w:hint="default" w:ascii="Times New Roman" w:hAnsi="Times New Roman" w:cs="Times New Roman"/>
                <w:color w:val="auto"/>
                <w:sz w:val="24"/>
              </w:rPr>
              <w:t>3-</w:t>
            </w:r>
            <w:r>
              <w:rPr>
                <w:rFonts w:hint="eastAsia" w:ascii="Times New Roman" w:hAnsi="Times New Roman" w:cs="Times New Roman"/>
                <w:color w:val="auto"/>
                <w:sz w:val="24"/>
                <w:lang w:val="en-US" w:eastAsia="zh-CN"/>
              </w:rPr>
              <w:t>15</w:t>
            </w:r>
            <w:r>
              <w:rPr>
                <w:rFonts w:hint="default" w:ascii="Times New Roman" w:hAnsi="Times New Roman" w:cs="Times New Roman"/>
                <w:color w:val="auto"/>
                <w:sz w:val="24"/>
              </w:rPr>
              <w:t>。</w:t>
            </w:r>
          </w:p>
          <w:p w14:paraId="117DAA53">
            <w:pPr>
              <w:pStyle w:val="92"/>
              <w:spacing w:line="302" w:lineRule="exact"/>
              <w:ind w:left="113"/>
              <w:jc w:val="center"/>
              <w:rPr>
                <w:rFonts w:hint="default" w:ascii="Times New Roman" w:hAnsi="Times New Roman" w:cs="Times New Roman"/>
                <w:b/>
                <w:color w:val="auto"/>
                <w:sz w:val="24"/>
              </w:rPr>
            </w:pPr>
            <w:r>
              <w:rPr>
                <w:rFonts w:hint="default" w:ascii="Times New Roman" w:hAnsi="Times New Roman" w:cs="Times New Roman"/>
                <w:b/>
                <w:color w:val="auto"/>
                <w:sz w:val="24"/>
              </w:rPr>
              <w:t>表3-</w:t>
            </w:r>
            <w:r>
              <w:rPr>
                <w:rFonts w:hint="eastAsia" w:ascii="Times New Roman" w:hAnsi="Times New Roman" w:cs="Times New Roman"/>
                <w:b/>
                <w:color w:val="auto"/>
                <w:sz w:val="24"/>
                <w:lang w:val="en-US" w:eastAsia="zh-CN"/>
              </w:rPr>
              <w:t>15</w:t>
            </w:r>
            <w:r>
              <w:rPr>
                <w:rFonts w:hint="default" w:ascii="Times New Roman" w:hAnsi="Times New Roman" w:cs="Times New Roman"/>
                <w:b/>
                <w:color w:val="auto"/>
                <w:spacing w:val="56"/>
                <w:sz w:val="24"/>
              </w:rPr>
              <w:t xml:space="preserve"> </w:t>
            </w:r>
            <w:r>
              <w:rPr>
                <w:rFonts w:hint="default" w:ascii="Times New Roman" w:hAnsi="Times New Roman" w:cs="Times New Roman"/>
                <w:b/>
                <w:color w:val="auto"/>
                <w:spacing w:val="4"/>
                <w:sz w:val="24"/>
              </w:rPr>
              <w:t>地表水环境质量部分项目标准限值 单位：</w:t>
            </w:r>
            <w:r>
              <w:rPr>
                <w:rFonts w:hint="default" w:ascii="Times New Roman" w:hAnsi="Times New Roman" w:cs="Times New Roman"/>
                <w:b/>
                <w:color w:val="auto"/>
                <w:sz w:val="24"/>
              </w:rPr>
              <w:t>mg/L（pH无量纲）</w:t>
            </w:r>
          </w:p>
          <w:tbl>
            <w:tblPr>
              <w:tblStyle w:val="30"/>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722"/>
              <w:gridCol w:w="676"/>
              <w:gridCol w:w="1043"/>
              <w:gridCol w:w="1172"/>
              <w:gridCol w:w="1172"/>
              <w:gridCol w:w="1178"/>
              <w:gridCol w:w="1146"/>
              <w:gridCol w:w="1172"/>
            </w:tblGrid>
            <w:tr w14:paraId="71FAD2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436" w:type="pct"/>
                  <w:tcBorders>
                    <w:tl2br w:val="nil"/>
                    <w:tr2bl w:val="nil"/>
                  </w:tcBorders>
                  <w:noWrap w:val="0"/>
                  <w:vAlign w:val="center"/>
                </w:tcPr>
                <w:p w14:paraId="69ED3A61">
                  <w:pPr>
                    <w:pStyle w:val="92"/>
                    <w:keepNext w:val="0"/>
                    <w:keepLines w:val="0"/>
                    <w:pageBreakBefore w:val="0"/>
                    <w:widowControl w:val="0"/>
                    <w:kinsoku/>
                    <w:wordWrap/>
                    <w:overflowPunct/>
                    <w:topLinePunct w:val="0"/>
                    <w:autoSpaceDE w:val="0"/>
                    <w:autoSpaceDN w:val="0"/>
                    <w:bidi w:val="0"/>
                    <w:adjustRightInd w:val="0"/>
                    <w:snapToGrid w:val="0"/>
                    <w:spacing w:line="240" w:lineRule="auto"/>
                    <w:ind w:left="0" w:right="0"/>
                    <w:jc w:val="center"/>
                    <w:textAlignment w:val="auto"/>
                    <w:rPr>
                      <w:rFonts w:hint="default" w:ascii="Times New Roman" w:hAnsi="Times New Roman" w:cs="Times New Roman"/>
                      <w:b/>
                      <w:color w:val="auto"/>
                      <w:sz w:val="21"/>
                    </w:rPr>
                  </w:pPr>
                  <w:r>
                    <w:rPr>
                      <w:rFonts w:hint="default" w:ascii="Times New Roman" w:hAnsi="Times New Roman" w:cs="Times New Roman"/>
                      <w:b/>
                      <w:color w:val="auto"/>
                      <w:sz w:val="21"/>
                    </w:rPr>
                    <w:t>项目</w:t>
                  </w:r>
                </w:p>
              </w:tc>
              <w:tc>
                <w:tcPr>
                  <w:tcW w:w="408" w:type="pct"/>
                  <w:tcBorders>
                    <w:tl2br w:val="nil"/>
                    <w:tr2bl w:val="nil"/>
                  </w:tcBorders>
                  <w:noWrap w:val="0"/>
                  <w:vAlign w:val="center"/>
                </w:tcPr>
                <w:p w14:paraId="6D754B3E">
                  <w:pPr>
                    <w:pStyle w:val="92"/>
                    <w:keepNext w:val="0"/>
                    <w:keepLines w:val="0"/>
                    <w:pageBreakBefore w:val="0"/>
                    <w:widowControl w:val="0"/>
                    <w:kinsoku/>
                    <w:wordWrap/>
                    <w:overflowPunct/>
                    <w:topLinePunct w:val="0"/>
                    <w:autoSpaceDE w:val="0"/>
                    <w:autoSpaceDN w:val="0"/>
                    <w:bidi w:val="0"/>
                    <w:adjustRightInd w:val="0"/>
                    <w:snapToGrid w:val="0"/>
                    <w:spacing w:line="240" w:lineRule="auto"/>
                    <w:ind w:left="0" w:right="0"/>
                    <w:jc w:val="center"/>
                    <w:textAlignment w:val="auto"/>
                    <w:rPr>
                      <w:rFonts w:hint="default" w:ascii="Times New Roman" w:hAnsi="Times New Roman" w:cs="Times New Roman"/>
                      <w:b/>
                      <w:color w:val="auto"/>
                      <w:sz w:val="21"/>
                    </w:rPr>
                  </w:pPr>
                  <w:r>
                    <w:rPr>
                      <w:rFonts w:hint="default" w:ascii="Times New Roman" w:hAnsi="Times New Roman" w:cs="Times New Roman"/>
                      <w:b/>
                      <w:color w:val="auto"/>
                      <w:sz w:val="21"/>
                    </w:rPr>
                    <w:t>pH</w:t>
                  </w:r>
                </w:p>
              </w:tc>
              <w:tc>
                <w:tcPr>
                  <w:tcW w:w="629" w:type="pct"/>
                  <w:tcBorders>
                    <w:tl2br w:val="nil"/>
                    <w:tr2bl w:val="nil"/>
                  </w:tcBorders>
                  <w:noWrap w:val="0"/>
                  <w:vAlign w:val="center"/>
                </w:tcPr>
                <w:p w14:paraId="34E04EFC">
                  <w:pPr>
                    <w:pStyle w:val="92"/>
                    <w:keepNext w:val="0"/>
                    <w:keepLines w:val="0"/>
                    <w:pageBreakBefore w:val="0"/>
                    <w:widowControl w:val="0"/>
                    <w:kinsoku/>
                    <w:wordWrap/>
                    <w:overflowPunct/>
                    <w:topLinePunct w:val="0"/>
                    <w:autoSpaceDE w:val="0"/>
                    <w:autoSpaceDN w:val="0"/>
                    <w:bidi w:val="0"/>
                    <w:adjustRightInd w:val="0"/>
                    <w:snapToGrid w:val="0"/>
                    <w:spacing w:line="240" w:lineRule="auto"/>
                    <w:ind w:left="0" w:right="0"/>
                    <w:jc w:val="center"/>
                    <w:textAlignment w:val="auto"/>
                    <w:rPr>
                      <w:rFonts w:hint="default" w:ascii="Times New Roman" w:hAnsi="Times New Roman" w:cs="Times New Roman"/>
                      <w:b/>
                      <w:color w:val="auto"/>
                      <w:sz w:val="21"/>
                    </w:rPr>
                  </w:pPr>
                  <w:r>
                    <w:rPr>
                      <w:rFonts w:hint="default" w:ascii="Times New Roman" w:hAnsi="Times New Roman" w:cs="Times New Roman"/>
                      <w:b/>
                      <w:color w:val="auto"/>
                      <w:position w:val="2"/>
                      <w:sz w:val="21"/>
                    </w:rPr>
                    <w:t>COD</w:t>
                  </w:r>
                  <w:r>
                    <w:rPr>
                      <w:rFonts w:hint="default" w:ascii="Times New Roman" w:hAnsi="Times New Roman" w:cs="Times New Roman"/>
                      <w:b/>
                      <w:color w:val="auto"/>
                      <w:position w:val="2"/>
                      <w:sz w:val="21"/>
                      <w:vertAlign w:val="subscript"/>
                    </w:rPr>
                    <w:t>Cr</w:t>
                  </w:r>
                </w:p>
              </w:tc>
              <w:tc>
                <w:tcPr>
                  <w:tcW w:w="707" w:type="pct"/>
                  <w:tcBorders>
                    <w:tl2br w:val="nil"/>
                    <w:tr2bl w:val="nil"/>
                  </w:tcBorders>
                  <w:noWrap w:val="0"/>
                  <w:vAlign w:val="center"/>
                </w:tcPr>
                <w:p w14:paraId="7C043A8F">
                  <w:pPr>
                    <w:pStyle w:val="92"/>
                    <w:keepNext w:val="0"/>
                    <w:keepLines w:val="0"/>
                    <w:pageBreakBefore w:val="0"/>
                    <w:widowControl w:val="0"/>
                    <w:kinsoku/>
                    <w:wordWrap/>
                    <w:overflowPunct/>
                    <w:topLinePunct w:val="0"/>
                    <w:autoSpaceDE w:val="0"/>
                    <w:autoSpaceDN w:val="0"/>
                    <w:bidi w:val="0"/>
                    <w:adjustRightInd w:val="0"/>
                    <w:snapToGrid w:val="0"/>
                    <w:spacing w:line="240" w:lineRule="auto"/>
                    <w:ind w:left="0" w:right="0"/>
                    <w:jc w:val="center"/>
                    <w:textAlignment w:val="auto"/>
                    <w:rPr>
                      <w:rFonts w:hint="default" w:ascii="Times New Roman" w:hAnsi="Times New Roman" w:cs="Times New Roman"/>
                      <w:b/>
                      <w:color w:val="auto"/>
                      <w:sz w:val="21"/>
                    </w:rPr>
                  </w:pPr>
                  <w:r>
                    <w:rPr>
                      <w:rFonts w:hint="default" w:ascii="Times New Roman" w:hAnsi="Times New Roman" w:cs="Times New Roman"/>
                      <w:b/>
                      <w:color w:val="auto"/>
                      <w:position w:val="2"/>
                      <w:sz w:val="21"/>
                    </w:rPr>
                    <w:t>BOD</w:t>
                  </w:r>
                  <w:r>
                    <w:rPr>
                      <w:rFonts w:hint="default" w:ascii="Times New Roman" w:hAnsi="Times New Roman" w:cs="Times New Roman"/>
                      <w:b/>
                      <w:color w:val="auto"/>
                      <w:position w:val="2"/>
                      <w:sz w:val="21"/>
                      <w:vertAlign w:val="subscript"/>
                    </w:rPr>
                    <w:t>5</w:t>
                  </w:r>
                </w:p>
              </w:tc>
              <w:tc>
                <w:tcPr>
                  <w:tcW w:w="707" w:type="pct"/>
                  <w:tcBorders>
                    <w:tl2br w:val="nil"/>
                    <w:tr2bl w:val="nil"/>
                  </w:tcBorders>
                  <w:noWrap w:val="0"/>
                  <w:vAlign w:val="center"/>
                </w:tcPr>
                <w:p w14:paraId="7AD15743">
                  <w:pPr>
                    <w:pStyle w:val="92"/>
                    <w:keepNext w:val="0"/>
                    <w:keepLines w:val="0"/>
                    <w:pageBreakBefore w:val="0"/>
                    <w:widowControl w:val="0"/>
                    <w:kinsoku/>
                    <w:wordWrap/>
                    <w:overflowPunct/>
                    <w:topLinePunct w:val="0"/>
                    <w:autoSpaceDE w:val="0"/>
                    <w:autoSpaceDN w:val="0"/>
                    <w:bidi w:val="0"/>
                    <w:adjustRightInd w:val="0"/>
                    <w:snapToGrid w:val="0"/>
                    <w:spacing w:line="240" w:lineRule="auto"/>
                    <w:ind w:left="0" w:right="0"/>
                    <w:jc w:val="center"/>
                    <w:textAlignment w:val="auto"/>
                    <w:rPr>
                      <w:rFonts w:hint="default" w:ascii="Times New Roman" w:hAnsi="Times New Roman" w:cs="Times New Roman"/>
                      <w:b/>
                      <w:color w:val="auto"/>
                      <w:sz w:val="21"/>
                    </w:rPr>
                  </w:pPr>
                  <w:r>
                    <w:rPr>
                      <w:rFonts w:hint="default" w:ascii="Times New Roman" w:hAnsi="Times New Roman" w:cs="Times New Roman"/>
                      <w:b/>
                      <w:color w:val="auto"/>
                      <w:sz w:val="21"/>
                    </w:rPr>
                    <w:t>总磷</w:t>
                  </w:r>
                </w:p>
              </w:tc>
              <w:tc>
                <w:tcPr>
                  <w:tcW w:w="711" w:type="pct"/>
                  <w:tcBorders>
                    <w:tl2br w:val="nil"/>
                    <w:tr2bl w:val="nil"/>
                  </w:tcBorders>
                  <w:noWrap w:val="0"/>
                  <w:vAlign w:val="center"/>
                </w:tcPr>
                <w:p w14:paraId="6893EBE6">
                  <w:pPr>
                    <w:pStyle w:val="92"/>
                    <w:keepNext w:val="0"/>
                    <w:keepLines w:val="0"/>
                    <w:pageBreakBefore w:val="0"/>
                    <w:widowControl w:val="0"/>
                    <w:kinsoku/>
                    <w:wordWrap/>
                    <w:overflowPunct/>
                    <w:topLinePunct w:val="0"/>
                    <w:autoSpaceDE w:val="0"/>
                    <w:autoSpaceDN w:val="0"/>
                    <w:bidi w:val="0"/>
                    <w:adjustRightInd w:val="0"/>
                    <w:snapToGrid w:val="0"/>
                    <w:spacing w:line="240" w:lineRule="auto"/>
                    <w:ind w:left="0" w:right="0"/>
                    <w:jc w:val="center"/>
                    <w:textAlignment w:val="auto"/>
                    <w:rPr>
                      <w:rFonts w:hint="default" w:ascii="Times New Roman" w:hAnsi="Times New Roman" w:cs="Times New Roman"/>
                      <w:b/>
                      <w:color w:val="auto"/>
                      <w:sz w:val="21"/>
                    </w:rPr>
                  </w:pPr>
                  <w:r>
                    <w:rPr>
                      <w:rFonts w:hint="default" w:ascii="Times New Roman" w:hAnsi="Times New Roman" w:cs="Times New Roman"/>
                      <w:b/>
                      <w:color w:val="auto"/>
                      <w:sz w:val="21"/>
                    </w:rPr>
                    <w:t>NH</w:t>
                  </w:r>
                  <w:r>
                    <w:rPr>
                      <w:rFonts w:hint="default" w:ascii="Times New Roman" w:hAnsi="Times New Roman" w:cs="Times New Roman"/>
                      <w:b/>
                      <w:color w:val="auto"/>
                      <w:sz w:val="21"/>
                      <w:vertAlign w:val="subscript"/>
                    </w:rPr>
                    <w:t>3</w:t>
                  </w:r>
                  <w:r>
                    <w:rPr>
                      <w:rFonts w:hint="default" w:ascii="Times New Roman" w:hAnsi="Times New Roman" w:cs="Times New Roman"/>
                      <w:b/>
                      <w:color w:val="auto"/>
                      <w:sz w:val="21"/>
                    </w:rPr>
                    <w:t>-N</w:t>
                  </w:r>
                </w:p>
              </w:tc>
              <w:tc>
                <w:tcPr>
                  <w:tcW w:w="691" w:type="pct"/>
                  <w:tcBorders>
                    <w:tl2br w:val="nil"/>
                    <w:tr2bl w:val="nil"/>
                  </w:tcBorders>
                  <w:noWrap w:val="0"/>
                  <w:vAlign w:val="center"/>
                </w:tcPr>
                <w:p w14:paraId="5E442CA4">
                  <w:pPr>
                    <w:pStyle w:val="92"/>
                    <w:keepNext w:val="0"/>
                    <w:keepLines w:val="0"/>
                    <w:pageBreakBefore w:val="0"/>
                    <w:widowControl w:val="0"/>
                    <w:kinsoku/>
                    <w:wordWrap/>
                    <w:overflowPunct/>
                    <w:topLinePunct w:val="0"/>
                    <w:autoSpaceDE w:val="0"/>
                    <w:autoSpaceDN w:val="0"/>
                    <w:bidi w:val="0"/>
                    <w:adjustRightInd w:val="0"/>
                    <w:snapToGrid w:val="0"/>
                    <w:spacing w:line="240" w:lineRule="auto"/>
                    <w:ind w:left="0" w:right="0"/>
                    <w:jc w:val="center"/>
                    <w:textAlignment w:val="auto"/>
                    <w:rPr>
                      <w:rFonts w:hint="default" w:ascii="Times New Roman" w:hAnsi="Times New Roman" w:cs="Times New Roman"/>
                      <w:b/>
                      <w:color w:val="auto"/>
                      <w:sz w:val="21"/>
                    </w:rPr>
                  </w:pPr>
                  <w:r>
                    <w:rPr>
                      <w:rFonts w:hint="default" w:ascii="Times New Roman" w:hAnsi="Times New Roman" w:cs="Times New Roman"/>
                      <w:b/>
                      <w:color w:val="auto"/>
                      <w:sz w:val="21"/>
                    </w:rPr>
                    <w:t>总氮</w:t>
                  </w:r>
                </w:p>
              </w:tc>
              <w:tc>
                <w:tcPr>
                  <w:tcW w:w="707" w:type="pct"/>
                  <w:tcBorders>
                    <w:tl2br w:val="nil"/>
                    <w:tr2bl w:val="nil"/>
                  </w:tcBorders>
                  <w:noWrap w:val="0"/>
                  <w:vAlign w:val="center"/>
                </w:tcPr>
                <w:p w14:paraId="3B96F636">
                  <w:pPr>
                    <w:pStyle w:val="92"/>
                    <w:keepNext w:val="0"/>
                    <w:keepLines w:val="0"/>
                    <w:pageBreakBefore w:val="0"/>
                    <w:widowControl w:val="0"/>
                    <w:kinsoku/>
                    <w:wordWrap/>
                    <w:overflowPunct/>
                    <w:topLinePunct w:val="0"/>
                    <w:autoSpaceDE w:val="0"/>
                    <w:autoSpaceDN w:val="0"/>
                    <w:bidi w:val="0"/>
                    <w:adjustRightInd w:val="0"/>
                    <w:snapToGrid w:val="0"/>
                    <w:spacing w:line="240" w:lineRule="auto"/>
                    <w:ind w:left="0" w:right="0"/>
                    <w:jc w:val="center"/>
                    <w:textAlignment w:val="auto"/>
                    <w:rPr>
                      <w:rFonts w:hint="default" w:ascii="Times New Roman" w:hAnsi="Times New Roman" w:cs="Times New Roman"/>
                      <w:b/>
                      <w:color w:val="auto"/>
                      <w:sz w:val="21"/>
                    </w:rPr>
                  </w:pPr>
                  <w:r>
                    <w:rPr>
                      <w:rFonts w:hint="default" w:ascii="Times New Roman" w:hAnsi="Times New Roman" w:cs="Times New Roman"/>
                      <w:b/>
                      <w:color w:val="auto"/>
                      <w:sz w:val="21"/>
                    </w:rPr>
                    <w:t>石油类</w:t>
                  </w:r>
                </w:p>
              </w:tc>
            </w:tr>
            <w:tr w14:paraId="710E717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436" w:type="pct"/>
                  <w:tcBorders>
                    <w:tl2br w:val="nil"/>
                    <w:tr2bl w:val="nil"/>
                  </w:tcBorders>
                  <w:noWrap w:val="0"/>
                  <w:vAlign w:val="center"/>
                </w:tcPr>
                <w:p w14:paraId="7D2E91A8">
                  <w:pPr>
                    <w:pStyle w:val="92"/>
                    <w:keepNext w:val="0"/>
                    <w:keepLines w:val="0"/>
                    <w:pageBreakBefore w:val="0"/>
                    <w:widowControl w:val="0"/>
                    <w:kinsoku/>
                    <w:wordWrap/>
                    <w:overflowPunct/>
                    <w:topLinePunct w:val="0"/>
                    <w:autoSpaceDE w:val="0"/>
                    <w:autoSpaceDN w:val="0"/>
                    <w:bidi w:val="0"/>
                    <w:adjustRightInd w:val="0"/>
                    <w:snapToGrid w:val="0"/>
                    <w:spacing w:line="240" w:lineRule="auto"/>
                    <w:ind w:left="0" w:right="0"/>
                    <w:jc w:val="center"/>
                    <w:textAlignment w:val="auto"/>
                    <w:rPr>
                      <w:rFonts w:hint="default" w:ascii="Times New Roman" w:hAnsi="Times New Roman" w:cs="Times New Roman"/>
                      <w:color w:val="auto"/>
                      <w:sz w:val="21"/>
                    </w:rPr>
                  </w:pPr>
                  <w:r>
                    <w:rPr>
                      <w:rFonts w:hint="default" w:ascii="Times New Roman" w:hAnsi="Times New Roman" w:cs="Times New Roman"/>
                      <w:color w:val="auto"/>
                      <w:sz w:val="21"/>
                    </w:rPr>
                    <w:t>Ⅲ类</w:t>
                  </w:r>
                </w:p>
              </w:tc>
              <w:tc>
                <w:tcPr>
                  <w:tcW w:w="408" w:type="pct"/>
                  <w:tcBorders>
                    <w:tl2br w:val="nil"/>
                    <w:tr2bl w:val="nil"/>
                  </w:tcBorders>
                  <w:noWrap w:val="0"/>
                  <w:vAlign w:val="center"/>
                </w:tcPr>
                <w:p w14:paraId="646A29C2">
                  <w:pPr>
                    <w:pStyle w:val="92"/>
                    <w:keepNext w:val="0"/>
                    <w:keepLines w:val="0"/>
                    <w:pageBreakBefore w:val="0"/>
                    <w:widowControl w:val="0"/>
                    <w:kinsoku/>
                    <w:wordWrap/>
                    <w:overflowPunct/>
                    <w:topLinePunct w:val="0"/>
                    <w:autoSpaceDE w:val="0"/>
                    <w:autoSpaceDN w:val="0"/>
                    <w:bidi w:val="0"/>
                    <w:adjustRightInd w:val="0"/>
                    <w:snapToGrid w:val="0"/>
                    <w:spacing w:line="240" w:lineRule="auto"/>
                    <w:ind w:left="0" w:right="0"/>
                    <w:jc w:val="center"/>
                    <w:textAlignment w:val="auto"/>
                    <w:rPr>
                      <w:rFonts w:hint="default" w:ascii="Times New Roman" w:hAnsi="Times New Roman" w:cs="Times New Roman"/>
                      <w:color w:val="auto"/>
                      <w:sz w:val="21"/>
                    </w:rPr>
                  </w:pPr>
                  <w:r>
                    <w:rPr>
                      <w:rFonts w:hint="default" w:ascii="Times New Roman" w:hAnsi="Times New Roman" w:cs="Times New Roman"/>
                      <w:color w:val="auto"/>
                      <w:sz w:val="21"/>
                    </w:rPr>
                    <w:t>6</w:t>
                  </w:r>
                  <w:r>
                    <w:rPr>
                      <w:rFonts w:hint="eastAsia" w:ascii="Times New Roman" w:hAnsi="Times New Roman" w:cs="Times New Roman"/>
                      <w:color w:val="auto"/>
                      <w:sz w:val="21"/>
                      <w:lang w:eastAsia="zh-CN"/>
                    </w:rPr>
                    <w:t>~</w:t>
                  </w:r>
                  <w:r>
                    <w:rPr>
                      <w:rFonts w:hint="default" w:ascii="Times New Roman" w:hAnsi="Times New Roman" w:cs="Times New Roman"/>
                      <w:color w:val="auto"/>
                      <w:sz w:val="21"/>
                    </w:rPr>
                    <w:t>9</w:t>
                  </w:r>
                </w:p>
              </w:tc>
              <w:tc>
                <w:tcPr>
                  <w:tcW w:w="629" w:type="pct"/>
                  <w:tcBorders>
                    <w:tl2br w:val="nil"/>
                    <w:tr2bl w:val="nil"/>
                  </w:tcBorders>
                  <w:noWrap w:val="0"/>
                  <w:vAlign w:val="center"/>
                </w:tcPr>
                <w:p w14:paraId="6802DAAD">
                  <w:pPr>
                    <w:pStyle w:val="92"/>
                    <w:keepNext w:val="0"/>
                    <w:keepLines w:val="0"/>
                    <w:pageBreakBefore w:val="0"/>
                    <w:widowControl w:val="0"/>
                    <w:kinsoku/>
                    <w:wordWrap/>
                    <w:overflowPunct/>
                    <w:topLinePunct w:val="0"/>
                    <w:autoSpaceDE w:val="0"/>
                    <w:autoSpaceDN w:val="0"/>
                    <w:bidi w:val="0"/>
                    <w:adjustRightInd w:val="0"/>
                    <w:snapToGrid w:val="0"/>
                    <w:spacing w:line="240" w:lineRule="auto"/>
                    <w:ind w:left="0" w:right="0"/>
                    <w:jc w:val="center"/>
                    <w:textAlignment w:val="auto"/>
                    <w:rPr>
                      <w:rFonts w:hint="default" w:ascii="Times New Roman" w:hAnsi="Times New Roman" w:cs="Times New Roman"/>
                      <w:color w:val="auto"/>
                      <w:sz w:val="21"/>
                    </w:rPr>
                  </w:pPr>
                  <w:r>
                    <w:rPr>
                      <w:rFonts w:hint="default" w:ascii="Times New Roman" w:hAnsi="Times New Roman" w:cs="Times New Roman"/>
                      <w:color w:val="auto"/>
                      <w:sz w:val="21"/>
                    </w:rPr>
                    <w:t>20</w:t>
                  </w:r>
                </w:p>
              </w:tc>
              <w:tc>
                <w:tcPr>
                  <w:tcW w:w="707" w:type="pct"/>
                  <w:tcBorders>
                    <w:tl2br w:val="nil"/>
                    <w:tr2bl w:val="nil"/>
                  </w:tcBorders>
                  <w:noWrap w:val="0"/>
                  <w:vAlign w:val="center"/>
                </w:tcPr>
                <w:p w14:paraId="19D803B8">
                  <w:pPr>
                    <w:pStyle w:val="92"/>
                    <w:keepNext w:val="0"/>
                    <w:keepLines w:val="0"/>
                    <w:pageBreakBefore w:val="0"/>
                    <w:widowControl w:val="0"/>
                    <w:kinsoku/>
                    <w:wordWrap/>
                    <w:overflowPunct/>
                    <w:topLinePunct w:val="0"/>
                    <w:autoSpaceDE w:val="0"/>
                    <w:autoSpaceDN w:val="0"/>
                    <w:bidi w:val="0"/>
                    <w:adjustRightInd w:val="0"/>
                    <w:snapToGrid w:val="0"/>
                    <w:spacing w:line="240" w:lineRule="auto"/>
                    <w:ind w:left="0" w:right="0"/>
                    <w:jc w:val="center"/>
                    <w:textAlignment w:val="auto"/>
                    <w:rPr>
                      <w:rFonts w:hint="default" w:ascii="Times New Roman" w:hAnsi="Times New Roman" w:cs="Times New Roman"/>
                      <w:color w:val="auto"/>
                      <w:sz w:val="21"/>
                    </w:rPr>
                  </w:pPr>
                  <w:r>
                    <w:rPr>
                      <w:rFonts w:hint="default" w:ascii="Times New Roman" w:hAnsi="Times New Roman" w:cs="Times New Roman"/>
                      <w:color w:val="auto"/>
                      <w:w w:val="99"/>
                      <w:sz w:val="21"/>
                    </w:rPr>
                    <w:t>4</w:t>
                  </w:r>
                </w:p>
              </w:tc>
              <w:tc>
                <w:tcPr>
                  <w:tcW w:w="707" w:type="pct"/>
                  <w:tcBorders>
                    <w:tl2br w:val="nil"/>
                    <w:tr2bl w:val="nil"/>
                  </w:tcBorders>
                  <w:noWrap w:val="0"/>
                  <w:vAlign w:val="center"/>
                </w:tcPr>
                <w:p w14:paraId="304537AB">
                  <w:pPr>
                    <w:pStyle w:val="92"/>
                    <w:keepNext w:val="0"/>
                    <w:keepLines w:val="0"/>
                    <w:pageBreakBefore w:val="0"/>
                    <w:widowControl w:val="0"/>
                    <w:kinsoku/>
                    <w:wordWrap/>
                    <w:overflowPunct/>
                    <w:topLinePunct w:val="0"/>
                    <w:autoSpaceDE w:val="0"/>
                    <w:autoSpaceDN w:val="0"/>
                    <w:bidi w:val="0"/>
                    <w:adjustRightInd w:val="0"/>
                    <w:snapToGrid w:val="0"/>
                    <w:spacing w:line="240" w:lineRule="auto"/>
                    <w:ind w:left="0" w:right="0"/>
                    <w:jc w:val="center"/>
                    <w:textAlignment w:val="auto"/>
                    <w:rPr>
                      <w:rFonts w:hint="default" w:ascii="Times New Roman" w:hAnsi="Times New Roman" w:cs="Times New Roman"/>
                      <w:color w:val="auto"/>
                      <w:sz w:val="21"/>
                    </w:rPr>
                  </w:pPr>
                  <w:r>
                    <w:rPr>
                      <w:rFonts w:hint="default" w:ascii="Times New Roman" w:hAnsi="Times New Roman" w:cs="Times New Roman"/>
                      <w:color w:val="auto"/>
                      <w:sz w:val="21"/>
                    </w:rPr>
                    <w:t>0.2</w:t>
                  </w:r>
                </w:p>
              </w:tc>
              <w:tc>
                <w:tcPr>
                  <w:tcW w:w="711" w:type="pct"/>
                  <w:tcBorders>
                    <w:tl2br w:val="nil"/>
                    <w:tr2bl w:val="nil"/>
                  </w:tcBorders>
                  <w:noWrap w:val="0"/>
                  <w:vAlign w:val="center"/>
                </w:tcPr>
                <w:p w14:paraId="4D71F129">
                  <w:pPr>
                    <w:pStyle w:val="92"/>
                    <w:keepNext w:val="0"/>
                    <w:keepLines w:val="0"/>
                    <w:pageBreakBefore w:val="0"/>
                    <w:widowControl w:val="0"/>
                    <w:kinsoku/>
                    <w:wordWrap/>
                    <w:overflowPunct/>
                    <w:topLinePunct w:val="0"/>
                    <w:autoSpaceDE w:val="0"/>
                    <w:autoSpaceDN w:val="0"/>
                    <w:bidi w:val="0"/>
                    <w:adjustRightInd w:val="0"/>
                    <w:snapToGrid w:val="0"/>
                    <w:spacing w:line="240" w:lineRule="auto"/>
                    <w:ind w:left="0" w:right="0"/>
                    <w:jc w:val="center"/>
                    <w:textAlignment w:val="auto"/>
                    <w:rPr>
                      <w:rFonts w:hint="default" w:ascii="Times New Roman" w:hAnsi="Times New Roman" w:cs="Times New Roman"/>
                      <w:color w:val="auto"/>
                      <w:sz w:val="21"/>
                    </w:rPr>
                  </w:pPr>
                  <w:r>
                    <w:rPr>
                      <w:rFonts w:hint="default" w:ascii="Times New Roman" w:hAnsi="Times New Roman" w:cs="Times New Roman"/>
                      <w:color w:val="auto"/>
                      <w:sz w:val="21"/>
                    </w:rPr>
                    <w:t>1.0</w:t>
                  </w:r>
                </w:p>
              </w:tc>
              <w:tc>
                <w:tcPr>
                  <w:tcW w:w="691" w:type="pct"/>
                  <w:tcBorders>
                    <w:tl2br w:val="nil"/>
                    <w:tr2bl w:val="nil"/>
                  </w:tcBorders>
                  <w:noWrap w:val="0"/>
                  <w:vAlign w:val="center"/>
                </w:tcPr>
                <w:p w14:paraId="07AE6C65">
                  <w:pPr>
                    <w:pStyle w:val="92"/>
                    <w:keepNext w:val="0"/>
                    <w:keepLines w:val="0"/>
                    <w:pageBreakBefore w:val="0"/>
                    <w:widowControl w:val="0"/>
                    <w:kinsoku/>
                    <w:wordWrap/>
                    <w:overflowPunct/>
                    <w:topLinePunct w:val="0"/>
                    <w:autoSpaceDE w:val="0"/>
                    <w:autoSpaceDN w:val="0"/>
                    <w:bidi w:val="0"/>
                    <w:adjustRightInd w:val="0"/>
                    <w:snapToGrid w:val="0"/>
                    <w:spacing w:line="240" w:lineRule="auto"/>
                    <w:ind w:left="0" w:right="0"/>
                    <w:jc w:val="center"/>
                    <w:textAlignment w:val="auto"/>
                    <w:rPr>
                      <w:rFonts w:hint="default" w:ascii="Times New Roman" w:hAnsi="Times New Roman" w:cs="Times New Roman"/>
                      <w:color w:val="auto"/>
                      <w:sz w:val="21"/>
                    </w:rPr>
                  </w:pPr>
                  <w:r>
                    <w:rPr>
                      <w:rFonts w:hint="default" w:ascii="Times New Roman" w:hAnsi="Times New Roman" w:cs="Times New Roman"/>
                      <w:color w:val="auto"/>
                      <w:sz w:val="21"/>
                    </w:rPr>
                    <w:t>1.0</w:t>
                  </w:r>
                </w:p>
              </w:tc>
              <w:tc>
                <w:tcPr>
                  <w:tcW w:w="707" w:type="pct"/>
                  <w:tcBorders>
                    <w:tl2br w:val="nil"/>
                    <w:tr2bl w:val="nil"/>
                  </w:tcBorders>
                  <w:noWrap w:val="0"/>
                  <w:vAlign w:val="center"/>
                </w:tcPr>
                <w:p w14:paraId="644D9CBB">
                  <w:pPr>
                    <w:pStyle w:val="92"/>
                    <w:keepNext w:val="0"/>
                    <w:keepLines w:val="0"/>
                    <w:pageBreakBefore w:val="0"/>
                    <w:widowControl w:val="0"/>
                    <w:kinsoku/>
                    <w:wordWrap/>
                    <w:overflowPunct/>
                    <w:topLinePunct w:val="0"/>
                    <w:autoSpaceDE w:val="0"/>
                    <w:autoSpaceDN w:val="0"/>
                    <w:bidi w:val="0"/>
                    <w:adjustRightInd w:val="0"/>
                    <w:snapToGrid w:val="0"/>
                    <w:spacing w:line="240" w:lineRule="auto"/>
                    <w:ind w:left="0" w:right="0"/>
                    <w:jc w:val="center"/>
                    <w:textAlignment w:val="auto"/>
                    <w:rPr>
                      <w:rFonts w:hint="default" w:ascii="Times New Roman" w:hAnsi="Times New Roman" w:cs="Times New Roman"/>
                      <w:color w:val="auto"/>
                      <w:sz w:val="21"/>
                    </w:rPr>
                  </w:pPr>
                  <w:r>
                    <w:rPr>
                      <w:rFonts w:hint="default" w:ascii="Times New Roman" w:hAnsi="Times New Roman" w:cs="Times New Roman"/>
                      <w:color w:val="auto"/>
                      <w:sz w:val="21"/>
                    </w:rPr>
                    <w:t>0.05</w:t>
                  </w:r>
                </w:p>
              </w:tc>
            </w:tr>
          </w:tbl>
          <w:p w14:paraId="39AC11C0">
            <w:pPr>
              <w:pStyle w:val="92"/>
              <w:adjustRightInd w:val="0"/>
              <w:snapToGrid w:val="0"/>
              <w:spacing w:line="440" w:lineRule="exact"/>
              <w:ind w:firstLine="480" w:firstLineChars="200"/>
              <w:jc w:val="both"/>
              <w:rPr>
                <w:rFonts w:hint="default" w:ascii="Times New Roman" w:hAnsi="Times New Roman" w:cs="Times New Roman"/>
                <w:bCs/>
                <w:color w:val="auto"/>
                <w:sz w:val="24"/>
              </w:rPr>
            </w:pPr>
            <w:r>
              <w:rPr>
                <w:rFonts w:hint="default" w:ascii="Times New Roman" w:hAnsi="Times New Roman" w:cs="Times New Roman"/>
                <w:bCs/>
                <w:color w:val="auto"/>
                <w:sz w:val="24"/>
              </w:rPr>
              <w:t>（3）声环境质量标准</w:t>
            </w:r>
          </w:p>
          <w:p w14:paraId="13EDE8CD">
            <w:pPr>
              <w:adjustRightInd w:val="0"/>
              <w:snapToGrid w:val="0"/>
              <w:spacing w:line="440" w:lineRule="exact"/>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项目位于会泽县</w:t>
            </w:r>
            <w:r>
              <w:rPr>
                <w:rFonts w:hint="default" w:ascii="Times New Roman" w:hAnsi="Times New Roman" w:cs="Times New Roman"/>
                <w:color w:val="auto"/>
                <w:sz w:val="24"/>
                <w:szCs w:val="24"/>
                <w:lang w:eastAsia="zh-CN"/>
              </w:rPr>
              <w:t>宝云街道、乐业镇、</w:t>
            </w:r>
            <w:r>
              <w:rPr>
                <w:rFonts w:hint="default" w:ascii="Times New Roman" w:hAnsi="Times New Roman" w:cs="Times New Roman"/>
                <w:color w:val="auto"/>
                <w:sz w:val="24"/>
                <w:szCs w:val="24"/>
                <w:lang w:val="en-US" w:eastAsia="zh-CN"/>
              </w:rPr>
              <w:t>五星乡</w:t>
            </w:r>
            <w:r>
              <w:rPr>
                <w:rFonts w:hint="default" w:ascii="Times New Roman" w:hAnsi="Times New Roman" w:cs="Times New Roman"/>
                <w:color w:val="auto"/>
                <w:sz w:val="24"/>
                <w:szCs w:val="24"/>
              </w:rPr>
              <w:t>，属于农村地区。110</w:t>
            </w:r>
            <w:r>
              <w:rPr>
                <w:rFonts w:hint="eastAsia" w:ascii="Times New Roman" w:hAnsi="Times New Roman" w:cs="Times New Roman"/>
                <w:color w:val="auto"/>
                <w:sz w:val="24"/>
                <w:szCs w:val="24"/>
                <w:lang w:eastAsia="zh-CN"/>
              </w:rPr>
              <w:t>kV</w:t>
            </w:r>
            <w:r>
              <w:rPr>
                <w:rFonts w:hint="default" w:ascii="Times New Roman" w:hAnsi="Times New Roman" w:cs="Times New Roman"/>
                <w:color w:val="auto"/>
                <w:sz w:val="24"/>
                <w:szCs w:val="24"/>
              </w:rPr>
              <w:t>线路沿线评价范围内环境敏感点执行《声环境质量标准》（GB3096-2008）中1类标准。</w:t>
            </w:r>
          </w:p>
          <w:p w14:paraId="32E1B991">
            <w:pPr>
              <w:autoSpaceDE w:val="0"/>
              <w:autoSpaceDN w:val="0"/>
              <w:adjustRightInd w:val="0"/>
              <w:snapToGrid w:val="0"/>
              <w:spacing w:line="240" w:lineRule="auto"/>
              <w:ind w:firstLine="482" w:firstLineChars="200"/>
              <w:jc w:val="center"/>
              <w:rPr>
                <w:rFonts w:hint="default" w:ascii="Times New Roman" w:hAnsi="Times New Roman" w:cs="Times New Roman"/>
                <w:b/>
                <w:color w:val="auto"/>
                <w:kern w:val="0"/>
                <w:sz w:val="24"/>
                <w:szCs w:val="24"/>
              </w:rPr>
            </w:pPr>
            <w:r>
              <w:rPr>
                <w:rFonts w:hint="default" w:ascii="Times New Roman" w:hAnsi="Times New Roman" w:cs="Times New Roman"/>
                <w:b/>
                <w:color w:val="auto"/>
                <w:kern w:val="0"/>
                <w:sz w:val="24"/>
                <w:szCs w:val="24"/>
              </w:rPr>
              <w:t>表3-</w:t>
            </w:r>
            <w:r>
              <w:rPr>
                <w:rFonts w:hint="eastAsia" w:ascii="Times New Roman" w:hAnsi="Times New Roman" w:cs="Times New Roman"/>
                <w:b/>
                <w:color w:val="auto"/>
                <w:kern w:val="0"/>
                <w:sz w:val="24"/>
                <w:szCs w:val="24"/>
                <w:lang w:val="en-US" w:eastAsia="zh-CN"/>
              </w:rPr>
              <w:t xml:space="preserve">16 </w:t>
            </w:r>
            <w:r>
              <w:rPr>
                <w:rFonts w:hint="default" w:ascii="Times New Roman" w:hAnsi="Times New Roman" w:cs="Times New Roman"/>
                <w:b/>
                <w:color w:val="auto"/>
                <w:kern w:val="0"/>
                <w:sz w:val="24"/>
                <w:szCs w:val="24"/>
              </w:rPr>
              <w:t xml:space="preserve"> 声环境质量标准  单位：dB（A）</w:t>
            </w:r>
          </w:p>
          <w:tbl>
            <w:tblPr>
              <w:tblStyle w:val="3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798"/>
              <w:gridCol w:w="1098"/>
              <w:gridCol w:w="696"/>
              <w:gridCol w:w="689"/>
            </w:tblGrid>
            <w:tr w14:paraId="7CB736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500" w:type="pct"/>
                  <w:tcBorders>
                    <w:tl2br w:val="nil"/>
                    <w:tr2bl w:val="nil"/>
                  </w:tcBorders>
                  <w:noWrap w:val="0"/>
                  <w:vAlign w:val="center"/>
                </w:tcPr>
                <w:p w14:paraId="3AA08899">
                  <w:pPr>
                    <w:autoSpaceDE w:val="0"/>
                    <w:autoSpaceDN w:val="0"/>
                    <w:adjustRightInd w:val="0"/>
                    <w:snapToGrid w:val="0"/>
                    <w:spacing w:line="240" w:lineRule="auto"/>
                    <w:jc w:val="center"/>
                    <w:rPr>
                      <w:rFonts w:hint="default" w:ascii="Times New Roman" w:hAnsi="Times New Roman" w:cs="Times New Roman"/>
                      <w:b/>
                      <w:color w:val="auto"/>
                      <w:kern w:val="0"/>
                      <w:szCs w:val="21"/>
                    </w:rPr>
                  </w:pPr>
                  <w:r>
                    <w:rPr>
                      <w:rFonts w:hint="default" w:ascii="Times New Roman" w:hAnsi="Times New Roman" w:cs="Times New Roman"/>
                      <w:b/>
                      <w:color w:val="auto"/>
                      <w:kern w:val="0"/>
                      <w:szCs w:val="21"/>
                    </w:rPr>
                    <w:t>适用区域</w:t>
                  </w:r>
                </w:p>
              </w:tc>
              <w:tc>
                <w:tcPr>
                  <w:tcW w:w="663" w:type="pct"/>
                  <w:tcBorders>
                    <w:tl2br w:val="nil"/>
                    <w:tr2bl w:val="nil"/>
                  </w:tcBorders>
                  <w:noWrap w:val="0"/>
                  <w:vAlign w:val="center"/>
                </w:tcPr>
                <w:p w14:paraId="0F7ABEE5">
                  <w:pPr>
                    <w:autoSpaceDE w:val="0"/>
                    <w:autoSpaceDN w:val="0"/>
                    <w:adjustRightInd w:val="0"/>
                    <w:snapToGrid w:val="0"/>
                    <w:spacing w:line="240" w:lineRule="auto"/>
                    <w:jc w:val="center"/>
                    <w:rPr>
                      <w:rFonts w:hint="default" w:ascii="Times New Roman" w:hAnsi="Times New Roman" w:cs="Times New Roman"/>
                      <w:b/>
                      <w:color w:val="auto"/>
                      <w:kern w:val="0"/>
                      <w:szCs w:val="21"/>
                    </w:rPr>
                  </w:pPr>
                  <w:r>
                    <w:rPr>
                      <w:rFonts w:hint="default" w:ascii="Times New Roman" w:hAnsi="Times New Roman" w:cs="Times New Roman"/>
                      <w:b/>
                      <w:color w:val="auto"/>
                      <w:kern w:val="0"/>
                      <w:szCs w:val="21"/>
                    </w:rPr>
                    <w:t>执行标准</w:t>
                  </w:r>
                </w:p>
              </w:tc>
              <w:tc>
                <w:tcPr>
                  <w:tcW w:w="420" w:type="pct"/>
                  <w:tcBorders>
                    <w:tl2br w:val="nil"/>
                    <w:tr2bl w:val="nil"/>
                  </w:tcBorders>
                  <w:noWrap w:val="0"/>
                  <w:vAlign w:val="center"/>
                </w:tcPr>
                <w:p w14:paraId="6DDA7FA5">
                  <w:pPr>
                    <w:autoSpaceDE w:val="0"/>
                    <w:autoSpaceDN w:val="0"/>
                    <w:adjustRightInd w:val="0"/>
                    <w:snapToGrid w:val="0"/>
                    <w:spacing w:line="240" w:lineRule="auto"/>
                    <w:jc w:val="center"/>
                    <w:rPr>
                      <w:rFonts w:hint="default" w:ascii="Times New Roman" w:hAnsi="Times New Roman" w:cs="Times New Roman"/>
                      <w:b/>
                      <w:color w:val="auto"/>
                      <w:kern w:val="0"/>
                      <w:szCs w:val="21"/>
                    </w:rPr>
                  </w:pPr>
                  <w:r>
                    <w:rPr>
                      <w:rFonts w:hint="default" w:ascii="Times New Roman" w:hAnsi="Times New Roman" w:cs="Times New Roman"/>
                      <w:b/>
                      <w:color w:val="auto"/>
                      <w:kern w:val="0"/>
                      <w:szCs w:val="21"/>
                    </w:rPr>
                    <w:t>昼间</w:t>
                  </w:r>
                </w:p>
              </w:tc>
              <w:tc>
                <w:tcPr>
                  <w:tcW w:w="415" w:type="pct"/>
                  <w:tcBorders>
                    <w:tl2br w:val="nil"/>
                    <w:tr2bl w:val="nil"/>
                  </w:tcBorders>
                  <w:noWrap w:val="0"/>
                  <w:vAlign w:val="center"/>
                </w:tcPr>
                <w:p w14:paraId="3F3615B7">
                  <w:pPr>
                    <w:autoSpaceDE w:val="0"/>
                    <w:autoSpaceDN w:val="0"/>
                    <w:adjustRightInd w:val="0"/>
                    <w:snapToGrid w:val="0"/>
                    <w:spacing w:line="240" w:lineRule="auto"/>
                    <w:jc w:val="center"/>
                    <w:rPr>
                      <w:rFonts w:hint="default" w:ascii="Times New Roman" w:hAnsi="Times New Roman" w:cs="Times New Roman"/>
                      <w:b/>
                      <w:color w:val="auto"/>
                      <w:kern w:val="0"/>
                      <w:szCs w:val="21"/>
                    </w:rPr>
                  </w:pPr>
                  <w:r>
                    <w:rPr>
                      <w:rFonts w:hint="default" w:ascii="Times New Roman" w:hAnsi="Times New Roman" w:cs="Times New Roman"/>
                      <w:b/>
                      <w:color w:val="auto"/>
                      <w:kern w:val="0"/>
                      <w:szCs w:val="21"/>
                    </w:rPr>
                    <w:t>夜间</w:t>
                  </w:r>
                </w:p>
              </w:tc>
            </w:tr>
            <w:tr w14:paraId="5A2B65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500" w:type="pct"/>
                  <w:tcBorders>
                    <w:tl2br w:val="nil"/>
                    <w:tr2bl w:val="nil"/>
                  </w:tcBorders>
                  <w:noWrap w:val="0"/>
                  <w:vAlign w:val="center"/>
                </w:tcPr>
                <w:p w14:paraId="0DAAE3EF">
                  <w:pPr>
                    <w:autoSpaceDE w:val="0"/>
                    <w:autoSpaceDN w:val="0"/>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cs="Times New Roman"/>
                      <w:color w:val="auto"/>
                      <w:szCs w:val="21"/>
                    </w:rPr>
                    <w:t>线路沿线评价范围内环境敏感点</w:t>
                  </w:r>
                </w:p>
              </w:tc>
              <w:tc>
                <w:tcPr>
                  <w:tcW w:w="663" w:type="pct"/>
                  <w:tcBorders>
                    <w:tl2br w:val="nil"/>
                    <w:tr2bl w:val="nil"/>
                  </w:tcBorders>
                  <w:noWrap w:val="0"/>
                  <w:vAlign w:val="center"/>
                </w:tcPr>
                <w:p w14:paraId="769F9120">
                  <w:pPr>
                    <w:autoSpaceDE w:val="0"/>
                    <w:autoSpaceDN w:val="0"/>
                    <w:adjustRightInd w:val="0"/>
                    <w:snapToGrid w:val="0"/>
                    <w:spacing w:line="240"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1类</w:t>
                  </w:r>
                </w:p>
              </w:tc>
              <w:tc>
                <w:tcPr>
                  <w:tcW w:w="420" w:type="pct"/>
                  <w:tcBorders>
                    <w:tl2br w:val="nil"/>
                    <w:tr2bl w:val="nil"/>
                  </w:tcBorders>
                  <w:noWrap w:val="0"/>
                  <w:vAlign w:val="center"/>
                </w:tcPr>
                <w:p w14:paraId="0E768185">
                  <w:pPr>
                    <w:autoSpaceDE w:val="0"/>
                    <w:autoSpaceDN w:val="0"/>
                    <w:adjustRightInd w:val="0"/>
                    <w:snapToGrid w:val="0"/>
                    <w:spacing w:line="240"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55</w:t>
                  </w:r>
                </w:p>
              </w:tc>
              <w:tc>
                <w:tcPr>
                  <w:tcW w:w="415" w:type="pct"/>
                  <w:tcBorders>
                    <w:tl2br w:val="nil"/>
                    <w:tr2bl w:val="nil"/>
                  </w:tcBorders>
                  <w:noWrap w:val="0"/>
                  <w:vAlign w:val="center"/>
                </w:tcPr>
                <w:p w14:paraId="143D33A4">
                  <w:pPr>
                    <w:autoSpaceDE w:val="0"/>
                    <w:autoSpaceDN w:val="0"/>
                    <w:adjustRightInd w:val="0"/>
                    <w:snapToGrid w:val="0"/>
                    <w:spacing w:line="240"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45</w:t>
                  </w:r>
                </w:p>
              </w:tc>
            </w:tr>
          </w:tbl>
          <w:p w14:paraId="0AAFFFD5">
            <w:pPr>
              <w:pStyle w:val="92"/>
              <w:keepNext w:val="0"/>
              <w:keepLines w:val="0"/>
              <w:pageBreakBefore w:val="0"/>
              <w:widowControl w:val="0"/>
              <w:kinsoku/>
              <w:wordWrap/>
              <w:overflowPunct/>
              <w:topLinePunct w:val="0"/>
              <w:bidi w:val="0"/>
              <w:adjustRightInd w:val="0"/>
              <w:snapToGrid w:val="0"/>
              <w:spacing w:line="440" w:lineRule="exact"/>
              <w:ind w:firstLine="480" w:firstLineChars="200"/>
              <w:jc w:val="both"/>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（4）电磁环境质量标准</w:t>
            </w:r>
          </w:p>
          <w:p w14:paraId="2CCD946D">
            <w:pPr>
              <w:keepNext w:val="0"/>
              <w:keepLines w:val="0"/>
              <w:pageBreakBefore w:val="0"/>
              <w:widowControl w:val="0"/>
              <w:kinsoku/>
              <w:wordWrap/>
              <w:overflowPunct/>
              <w:topLinePunct w:val="0"/>
              <w:bidi w:val="0"/>
              <w:adjustRightInd w:val="0"/>
              <w:snapToGrid w:val="0"/>
              <w:spacing w:line="440" w:lineRule="exact"/>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根据《电磁环境控制限值》（GB8702-2014）有关规定，以4000V/m作为工频电场强度公众曝露控制限值，以100μT（按照频率f为50Hz计算）作为工频磁感应强度公众曝露控制限值；架空输电线路线下的农田、园地、牧草地、畜禽饲养地、养殖水面、道路等场所，工频电场强度控制限值为10</w:t>
            </w:r>
            <w:r>
              <w:rPr>
                <w:rFonts w:hint="eastAsia" w:ascii="Times New Roman" w:hAnsi="Times New Roman" w:cs="Times New Roman"/>
                <w:color w:val="auto"/>
                <w:sz w:val="24"/>
                <w:szCs w:val="24"/>
                <w:lang w:eastAsia="zh-CN"/>
              </w:rPr>
              <w:t>kV</w:t>
            </w:r>
            <w:r>
              <w:rPr>
                <w:rFonts w:hint="default" w:ascii="Times New Roman" w:hAnsi="Times New Roman" w:cs="Times New Roman"/>
                <w:color w:val="auto"/>
                <w:sz w:val="24"/>
                <w:szCs w:val="24"/>
              </w:rPr>
              <w:t>/m，工频磁感应强度控制限值为100μT，且应给出警示和防护指示标志。</w:t>
            </w:r>
          </w:p>
          <w:p w14:paraId="47BC215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color w:val="auto"/>
                <w:kern w:val="24"/>
                <w:sz w:val="24"/>
                <w:szCs w:val="24"/>
              </w:rPr>
            </w:pPr>
            <w:r>
              <w:rPr>
                <w:rFonts w:hint="default" w:ascii="Times New Roman" w:hAnsi="Times New Roman" w:cs="Times New Roman"/>
                <w:b/>
                <w:color w:val="auto"/>
                <w:kern w:val="24"/>
                <w:sz w:val="24"/>
                <w:szCs w:val="24"/>
              </w:rPr>
              <w:t>表3-</w:t>
            </w:r>
            <w:r>
              <w:rPr>
                <w:rFonts w:hint="eastAsia" w:ascii="Times New Roman" w:hAnsi="Times New Roman" w:cs="Times New Roman"/>
                <w:b/>
                <w:color w:val="auto"/>
                <w:kern w:val="24"/>
                <w:sz w:val="24"/>
                <w:szCs w:val="24"/>
                <w:lang w:val="en-US" w:eastAsia="zh-CN"/>
              </w:rPr>
              <w:t>17</w:t>
            </w:r>
            <w:r>
              <w:rPr>
                <w:rFonts w:hint="default" w:ascii="Times New Roman" w:hAnsi="Times New Roman" w:cs="Times New Roman"/>
                <w:b/>
                <w:color w:val="auto"/>
                <w:kern w:val="24"/>
                <w:sz w:val="24"/>
                <w:szCs w:val="24"/>
              </w:rPr>
              <w:t xml:space="preserve">  电磁环境标准</w:t>
            </w:r>
          </w:p>
          <w:tbl>
            <w:tblPr>
              <w:tblStyle w:val="30"/>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021"/>
              <w:gridCol w:w="4296"/>
              <w:gridCol w:w="1365"/>
              <w:gridCol w:w="1599"/>
            </w:tblGrid>
            <w:tr w14:paraId="1073964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617" w:type="pct"/>
                  <w:tcBorders>
                    <w:tl2br w:val="nil"/>
                    <w:tr2bl w:val="nil"/>
                  </w:tcBorders>
                  <w:noWrap w:val="0"/>
                  <w:vAlign w:val="center"/>
                </w:tcPr>
                <w:p w14:paraId="7EAFBA09">
                  <w:pPr>
                    <w:pStyle w:val="92"/>
                    <w:autoSpaceDE/>
                    <w:autoSpaceDN/>
                    <w:adjustRightInd w:val="0"/>
                    <w:snapToGrid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评价因子</w:t>
                  </w:r>
                </w:p>
              </w:tc>
              <w:tc>
                <w:tcPr>
                  <w:tcW w:w="2592" w:type="pct"/>
                  <w:tcBorders>
                    <w:tl2br w:val="nil"/>
                    <w:tr2bl w:val="nil"/>
                  </w:tcBorders>
                  <w:noWrap w:val="0"/>
                  <w:vAlign w:val="center"/>
                </w:tcPr>
                <w:p w14:paraId="7D7B5E99">
                  <w:pPr>
                    <w:pStyle w:val="92"/>
                    <w:autoSpaceDE/>
                    <w:autoSpaceDN/>
                    <w:adjustRightInd w:val="0"/>
                    <w:snapToGrid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评价对象</w:t>
                  </w:r>
                </w:p>
              </w:tc>
              <w:tc>
                <w:tcPr>
                  <w:tcW w:w="824" w:type="pct"/>
                  <w:tcBorders>
                    <w:tl2br w:val="nil"/>
                    <w:tr2bl w:val="nil"/>
                  </w:tcBorders>
                  <w:noWrap w:val="0"/>
                  <w:vAlign w:val="center"/>
                </w:tcPr>
                <w:p w14:paraId="07477D7B">
                  <w:pPr>
                    <w:pStyle w:val="92"/>
                    <w:autoSpaceDE/>
                    <w:autoSpaceDN/>
                    <w:adjustRightInd w:val="0"/>
                    <w:snapToGrid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评价标准</w:t>
                  </w:r>
                </w:p>
              </w:tc>
              <w:tc>
                <w:tcPr>
                  <w:tcW w:w="965" w:type="pct"/>
                  <w:tcBorders>
                    <w:tl2br w:val="nil"/>
                    <w:tr2bl w:val="nil"/>
                  </w:tcBorders>
                  <w:noWrap w:val="0"/>
                  <w:vAlign w:val="center"/>
                </w:tcPr>
                <w:p w14:paraId="443CAEB4">
                  <w:pPr>
                    <w:pStyle w:val="92"/>
                    <w:autoSpaceDE/>
                    <w:autoSpaceDN/>
                    <w:adjustRightInd w:val="0"/>
                    <w:snapToGrid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标准来源</w:t>
                  </w:r>
                </w:p>
              </w:tc>
            </w:tr>
            <w:tr w14:paraId="5EAE9D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617" w:type="pct"/>
                  <w:vMerge w:val="restart"/>
                  <w:tcBorders>
                    <w:tl2br w:val="nil"/>
                    <w:tr2bl w:val="nil"/>
                  </w:tcBorders>
                  <w:noWrap w:val="0"/>
                  <w:vAlign w:val="center"/>
                </w:tcPr>
                <w:p w14:paraId="0CBADAFC">
                  <w:pPr>
                    <w:pStyle w:val="92"/>
                    <w:autoSpaceDE/>
                    <w:autoSpaceDN/>
                    <w:adjustRightInd w:val="0"/>
                    <w:snapToGrid w:val="0"/>
                    <w:spacing w:line="240" w:lineRule="auto"/>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工频电场</w:t>
                  </w:r>
                </w:p>
              </w:tc>
              <w:tc>
                <w:tcPr>
                  <w:tcW w:w="2592" w:type="pct"/>
                  <w:tcBorders>
                    <w:tl2br w:val="nil"/>
                    <w:tr2bl w:val="nil"/>
                  </w:tcBorders>
                  <w:noWrap w:val="0"/>
                  <w:vAlign w:val="center"/>
                </w:tcPr>
                <w:p w14:paraId="7535E2BE">
                  <w:pPr>
                    <w:pStyle w:val="92"/>
                    <w:autoSpaceDE/>
                    <w:autoSpaceDN/>
                    <w:adjustRightInd w:val="0"/>
                    <w:snapToGrid w:val="0"/>
                    <w:spacing w:line="240" w:lineRule="auto"/>
                    <w:jc w:val="center"/>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eastAsia="zh-CN"/>
                    </w:rPr>
                    <w:t>升压站</w:t>
                  </w:r>
                  <w:r>
                    <w:rPr>
                      <w:rFonts w:hint="default" w:ascii="Times New Roman" w:hAnsi="Times New Roman" w:eastAsia="宋体" w:cs="Times New Roman"/>
                      <w:b w:val="0"/>
                      <w:bCs w:val="0"/>
                      <w:color w:val="auto"/>
                      <w:sz w:val="21"/>
                      <w:szCs w:val="21"/>
                    </w:rPr>
                    <w:t>厂界</w:t>
                  </w:r>
                  <w:r>
                    <w:rPr>
                      <w:rFonts w:hint="eastAsia" w:ascii="Times New Roman" w:hAnsi="Times New Roman" w:eastAsia="宋体" w:cs="Times New Roman"/>
                      <w:b w:val="0"/>
                      <w:bCs w:val="0"/>
                      <w:color w:val="auto"/>
                      <w:sz w:val="21"/>
                      <w:szCs w:val="21"/>
                      <w:lang w:eastAsia="zh-CN"/>
                    </w:rPr>
                    <w:t>、</w:t>
                  </w:r>
                  <w:r>
                    <w:rPr>
                      <w:rFonts w:hint="eastAsia" w:ascii="Times New Roman" w:hAnsi="Times New Roman" w:eastAsia="宋体" w:cs="Times New Roman"/>
                      <w:b w:val="0"/>
                      <w:bCs w:val="0"/>
                      <w:color w:val="auto"/>
                      <w:sz w:val="21"/>
                      <w:szCs w:val="21"/>
                      <w:lang w:val="en-US" w:eastAsia="zh-CN"/>
                    </w:rPr>
                    <w:t>线路</w:t>
                  </w:r>
                </w:p>
              </w:tc>
              <w:tc>
                <w:tcPr>
                  <w:tcW w:w="824" w:type="pct"/>
                  <w:tcBorders>
                    <w:tl2br w:val="nil"/>
                    <w:tr2bl w:val="nil"/>
                  </w:tcBorders>
                  <w:noWrap w:val="0"/>
                  <w:vAlign w:val="center"/>
                </w:tcPr>
                <w:p w14:paraId="23192CAB">
                  <w:pPr>
                    <w:pStyle w:val="92"/>
                    <w:autoSpaceDE/>
                    <w:autoSpaceDN/>
                    <w:adjustRightInd w:val="0"/>
                    <w:snapToGrid w:val="0"/>
                    <w:spacing w:line="240" w:lineRule="auto"/>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4000V/m</w:t>
                  </w:r>
                </w:p>
              </w:tc>
              <w:tc>
                <w:tcPr>
                  <w:tcW w:w="965" w:type="pct"/>
                  <w:vMerge w:val="restart"/>
                  <w:tcBorders>
                    <w:tl2br w:val="nil"/>
                    <w:tr2bl w:val="nil"/>
                  </w:tcBorders>
                  <w:noWrap w:val="0"/>
                  <w:vAlign w:val="center"/>
                </w:tcPr>
                <w:p w14:paraId="79336BAE">
                  <w:pPr>
                    <w:pStyle w:val="92"/>
                    <w:autoSpaceDE/>
                    <w:autoSpaceDN/>
                    <w:adjustRightInd w:val="0"/>
                    <w:snapToGrid w:val="0"/>
                    <w:spacing w:line="240" w:lineRule="auto"/>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《电磁环境控制限值》（GB8702-2014）</w:t>
                  </w:r>
                </w:p>
              </w:tc>
            </w:tr>
            <w:tr w14:paraId="4E51E3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617" w:type="pct"/>
                  <w:vMerge w:val="continue"/>
                  <w:tcBorders>
                    <w:tl2br w:val="nil"/>
                    <w:tr2bl w:val="nil"/>
                  </w:tcBorders>
                  <w:noWrap w:val="0"/>
                  <w:vAlign w:val="center"/>
                </w:tcPr>
                <w:p w14:paraId="5A8057E6">
                  <w:pPr>
                    <w:pStyle w:val="92"/>
                    <w:autoSpaceDE/>
                    <w:autoSpaceDN/>
                    <w:adjustRightInd w:val="0"/>
                    <w:snapToGrid w:val="0"/>
                    <w:spacing w:line="240" w:lineRule="auto"/>
                    <w:jc w:val="center"/>
                    <w:rPr>
                      <w:rFonts w:hint="default" w:ascii="Times New Roman" w:hAnsi="Times New Roman" w:eastAsia="宋体" w:cs="Times New Roman"/>
                      <w:b w:val="0"/>
                      <w:bCs w:val="0"/>
                      <w:color w:val="auto"/>
                      <w:sz w:val="21"/>
                      <w:szCs w:val="21"/>
                    </w:rPr>
                  </w:pPr>
                </w:p>
              </w:tc>
              <w:tc>
                <w:tcPr>
                  <w:tcW w:w="2592" w:type="pct"/>
                  <w:tcBorders>
                    <w:tl2br w:val="nil"/>
                    <w:tr2bl w:val="nil"/>
                  </w:tcBorders>
                  <w:noWrap w:val="0"/>
                  <w:vAlign w:val="center"/>
                </w:tcPr>
                <w:p w14:paraId="48788833">
                  <w:pPr>
                    <w:pStyle w:val="92"/>
                    <w:autoSpaceDE/>
                    <w:autoSpaceDN/>
                    <w:adjustRightInd w:val="0"/>
                    <w:snapToGrid w:val="0"/>
                    <w:spacing w:line="240" w:lineRule="auto"/>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架空输电线路线下的农田、园地、牧草地、畜禽饲养地、养殖水面、道路等场所</w:t>
                  </w:r>
                </w:p>
              </w:tc>
              <w:tc>
                <w:tcPr>
                  <w:tcW w:w="824" w:type="pct"/>
                  <w:tcBorders>
                    <w:tl2br w:val="nil"/>
                    <w:tr2bl w:val="nil"/>
                  </w:tcBorders>
                  <w:noWrap w:val="0"/>
                  <w:vAlign w:val="center"/>
                </w:tcPr>
                <w:p w14:paraId="09E020BC">
                  <w:pPr>
                    <w:pStyle w:val="92"/>
                    <w:autoSpaceDE/>
                    <w:autoSpaceDN/>
                    <w:adjustRightInd w:val="0"/>
                    <w:snapToGrid w:val="0"/>
                    <w:spacing w:line="240" w:lineRule="auto"/>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10</w:t>
                  </w:r>
                  <w:r>
                    <w:rPr>
                      <w:rFonts w:hint="eastAsia" w:ascii="Times New Roman" w:hAnsi="Times New Roman" w:eastAsia="宋体" w:cs="Times New Roman"/>
                      <w:b w:val="0"/>
                      <w:bCs w:val="0"/>
                      <w:color w:val="auto"/>
                      <w:sz w:val="21"/>
                      <w:szCs w:val="21"/>
                      <w:lang w:eastAsia="zh-CN"/>
                    </w:rPr>
                    <w:t>kV</w:t>
                  </w:r>
                  <w:r>
                    <w:rPr>
                      <w:rFonts w:hint="default" w:ascii="Times New Roman" w:hAnsi="Times New Roman" w:eastAsia="宋体" w:cs="Times New Roman"/>
                      <w:b w:val="0"/>
                      <w:bCs w:val="0"/>
                      <w:color w:val="auto"/>
                      <w:sz w:val="21"/>
                      <w:szCs w:val="21"/>
                    </w:rPr>
                    <w:t>/m</w:t>
                  </w:r>
                </w:p>
              </w:tc>
              <w:tc>
                <w:tcPr>
                  <w:tcW w:w="965" w:type="pct"/>
                  <w:vMerge w:val="continue"/>
                  <w:tcBorders>
                    <w:tl2br w:val="nil"/>
                    <w:tr2bl w:val="nil"/>
                  </w:tcBorders>
                  <w:noWrap w:val="0"/>
                  <w:vAlign w:val="center"/>
                </w:tcPr>
                <w:p w14:paraId="62F941C7">
                  <w:pPr>
                    <w:pStyle w:val="92"/>
                    <w:autoSpaceDE/>
                    <w:autoSpaceDN/>
                    <w:adjustRightInd w:val="0"/>
                    <w:snapToGrid w:val="0"/>
                    <w:spacing w:line="240" w:lineRule="auto"/>
                    <w:jc w:val="center"/>
                    <w:rPr>
                      <w:rFonts w:hint="default" w:ascii="Times New Roman" w:hAnsi="Times New Roman" w:eastAsia="宋体" w:cs="Times New Roman"/>
                      <w:b w:val="0"/>
                      <w:bCs w:val="0"/>
                      <w:color w:val="auto"/>
                      <w:sz w:val="21"/>
                      <w:szCs w:val="21"/>
                    </w:rPr>
                  </w:pPr>
                </w:p>
              </w:tc>
            </w:tr>
            <w:tr w14:paraId="64962F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617" w:type="pct"/>
                  <w:tcBorders>
                    <w:tl2br w:val="nil"/>
                    <w:tr2bl w:val="nil"/>
                  </w:tcBorders>
                  <w:noWrap w:val="0"/>
                  <w:vAlign w:val="center"/>
                </w:tcPr>
                <w:p w14:paraId="52B51A44">
                  <w:pPr>
                    <w:pStyle w:val="92"/>
                    <w:autoSpaceDE/>
                    <w:autoSpaceDN/>
                    <w:adjustRightInd w:val="0"/>
                    <w:snapToGrid w:val="0"/>
                    <w:spacing w:line="240" w:lineRule="auto"/>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工频磁场</w:t>
                  </w:r>
                </w:p>
              </w:tc>
              <w:tc>
                <w:tcPr>
                  <w:tcW w:w="2592" w:type="pct"/>
                  <w:tcBorders>
                    <w:tl2br w:val="nil"/>
                    <w:tr2bl w:val="nil"/>
                  </w:tcBorders>
                  <w:noWrap w:val="0"/>
                  <w:vAlign w:val="center"/>
                </w:tcPr>
                <w:p w14:paraId="4E4242D9">
                  <w:pPr>
                    <w:pStyle w:val="92"/>
                    <w:autoSpaceDE/>
                    <w:autoSpaceDN/>
                    <w:adjustRightInd w:val="0"/>
                    <w:snapToGrid w:val="0"/>
                    <w:spacing w:line="240" w:lineRule="auto"/>
                    <w:jc w:val="center"/>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eastAsia="zh-CN"/>
                    </w:rPr>
                    <w:t>升压站</w:t>
                  </w:r>
                  <w:r>
                    <w:rPr>
                      <w:rFonts w:hint="default" w:ascii="Times New Roman" w:hAnsi="Times New Roman" w:eastAsia="宋体" w:cs="Times New Roman"/>
                      <w:b w:val="0"/>
                      <w:bCs w:val="0"/>
                      <w:color w:val="auto"/>
                      <w:sz w:val="21"/>
                      <w:szCs w:val="21"/>
                    </w:rPr>
                    <w:t>厂界</w:t>
                  </w:r>
                  <w:r>
                    <w:rPr>
                      <w:rFonts w:hint="default" w:ascii="Times New Roman" w:hAnsi="Times New Roman" w:eastAsia="宋体" w:cs="Times New Roman"/>
                      <w:b w:val="0"/>
                      <w:bCs w:val="0"/>
                      <w:color w:val="auto"/>
                      <w:sz w:val="21"/>
                      <w:szCs w:val="21"/>
                      <w:lang w:val="en-US" w:eastAsia="zh-CN"/>
                    </w:rPr>
                    <w:t>及</w:t>
                  </w:r>
                  <w:r>
                    <w:rPr>
                      <w:rFonts w:hint="default" w:ascii="Times New Roman" w:hAnsi="Times New Roman" w:eastAsia="宋体" w:cs="Times New Roman"/>
                      <w:b w:val="0"/>
                      <w:bCs w:val="0"/>
                      <w:color w:val="auto"/>
                      <w:sz w:val="21"/>
                      <w:szCs w:val="21"/>
                    </w:rPr>
                    <w:t>架空输电线路</w:t>
                  </w:r>
                </w:p>
              </w:tc>
              <w:tc>
                <w:tcPr>
                  <w:tcW w:w="824" w:type="pct"/>
                  <w:tcBorders>
                    <w:tl2br w:val="nil"/>
                    <w:tr2bl w:val="nil"/>
                  </w:tcBorders>
                  <w:noWrap w:val="0"/>
                  <w:vAlign w:val="center"/>
                </w:tcPr>
                <w:p w14:paraId="453798A5">
                  <w:pPr>
                    <w:pStyle w:val="92"/>
                    <w:autoSpaceDE/>
                    <w:autoSpaceDN/>
                    <w:adjustRightInd w:val="0"/>
                    <w:snapToGrid w:val="0"/>
                    <w:spacing w:line="240" w:lineRule="auto"/>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100μT</w:t>
                  </w:r>
                </w:p>
              </w:tc>
              <w:tc>
                <w:tcPr>
                  <w:tcW w:w="965" w:type="pct"/>
                  <w:vMerge w:val="continue"/>
                  <w:tcBorders>
                    <w:tl2br w:val="nil"/>
                    <w:tr2bl w:val="nil"/>
                  </w:tcBorders>
                  <w:noWrap w:val="0"/>
                  <w:vAlign w:val="center"/>
                </w:tcPr>
                <w:p w14:paraId="36B892BC">
                  <w:pPr>
                    <w:pStyle w:val="92"/>
                    <w:autoSpaceDE/>
                    <w:autoSpaceDN/>
                    <w:adjustRightInd w:val="0"/>
                    <w:snapToGrid w:val="0"/>
                    <w:spacing w:line="240" w:lineRule="auto"/>
                    <w:jc w:val="center"/>
                    <w:rPr>
                      <w:rFonts w:hint="default" w:ascii="Times New Roman" w:hAnsi="Times New Roman" w:eastAsia="宋体" w:cs="Times New Roman"/>
                      <w:b w:val="0"/>
                      <w:bCs w:val="0"/>
                      <w:color w:val="auto"/>
                      <w:sz w:val="21"/>
                      <w:szCs w:val="21"/>
                    </w:rPr>
                  </w:pPr>
                </w:p>
              </w:tc>
            </w:tr>
          </w:tbl>
          <w:p w14:paraId="3B075625">
            <w:pPr>
              <w:adjustRightInd w:val="0"/>
              <w:snapToGrid w:val="0"/>
              <w:spacing w:line="440" w:lineRule="exact"/>
              <w:ind w:firstLine="482" w:firstLineChars="200"/>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3.</w:t>
            </w:r>
            <w:r>
              <w:rPr>
                <w:rFonts w:hint="eastAsia" w:ascii="Times New Roman" w:hAnsi="Times New Roman" w:cs="Times New Roman"/>
                <w:b/>
                <w:color w:val="auto"/>
                <w:sz w:val="24"/>
                <w:szCs w:val="24"/>
                <w:lang w:val="en-US" w:eastAsia="zh-CN"/>
              </w:rPr>
              <w:t>8</w:t>
            </w:r>
            <w:r>
              <w:rPr>
                <w:rFonts w:hint="default" w:ascii="Times New Roman" w:hAnsi="Times New Roman" w:cs="Times New Roman"/>
                <w:b/>
                <w:color w:val="auto"/>
                <w:sz w:val="24"/>
                <w:szCs w:val="24"/>
              </w:rPr>
              <w:t>.2污染物排放标准</w:t>
            </w:r>
          </w:p>
          <w:p w14:paraId="41366278">
            <w:pPr>
              <w:adjustRightInd w:val="0"/>
              <w:snapToGrid w:val="0"/>
              <w:spacing w:line="440" w:lineRule="exact"/>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（1）工频电场强度、工频磁感应强度</w:t>
            </w:r>
          </w:p>
          <w:p w14:paraId="121B633F">
            <w:pPr>
              <w:adjustRightInd w:val="0"/>
              <w:snapToGrid w:val="0"/>
              <w:spacing w:line="440" w:lineRule="exact"/>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根据《电磁环境控制限值》（GB 8702-2014）的规定，为控制本工程工频电场、磁场所致公众曝露，环境中电场、磁场满足以下限值：</w:t>
            </w:r>
          </w:p>
          <w:p w14:paraId="31CF4FE5">
            <w:pPr>
              <w:adjustRightInd w:val="0"/>
              <w:snapToGrid w:val="0"/>
              <w:spacing w:line="440" w:lineRule="exact"/>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①电场强度控制限值为200/f，即频率f=50Hz时电场强度E=4000V/m。</w:t>
            </w:r>
          </w:p>
          <w:p w14:paraId="2C419B4D">
            <w:pPr>
              <w:adjustRightInd w:val="0"/>
              <w:snapToGrid w:val="0"/>
              <w:spacing w:line="440" w:lineRule="exact"/>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②磁感应强度控制限值为5/f，即频率f=50Hz时磁感应强度B=100μT。另外，《电磁环境控制限值》（GB8702-2014）中规定：“架空输电线路线下的耕地、园地、牧灌草地、畜禽饲养地、养殖水面、道路等场所，其频率50Hz的电场强度控制限值为10</w:t>
            </w:r>
            <w:r>
              <w:rPr>
                <w:rFonts w:hint="eastAsia" w:ascii="Times New Roman" w:hAnsi="Times New Roman" w:cs="Times New Roman"/>
                <w:color w:val="auto"/>
                <w:sz w:val="24"/>
                <w:szCs w:val="24"/>
                <w:lang w:eastAsia="zh-CN"/>
              </w:rPr>
              <w:t>kV</w:t>
            </w:r>
            <w:r>
              <w:rPr>
                <w:rFonts w:hint="default" w:ascii="Times New Roman" w:hAnsi="Times New Roman" w:cs="Times New Roman"/>
                <w:color w:val="auto"/>
                <w:sz w:val="24"/>
                <w:szCs w:val="24"/>
              </w:rPr>
              <w:t>/m。”</w:t>
            </w:r>
          </w:p>
          <w:p w14:paraId="3122EF07">
            <w:pPr>
              <w:pStyle w:val="101"/>
              <w:adjustRightInd w:val="0"/>
              <w:snapToGrid w:val="0"/>
              <w:spacing w:line="240" w:lineRule="auto"/>
              <w:ind w:firstLine="482" w:firstLineChars="200"/>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表3-</w:t>
            </w:r>
            <w:r>
              <w:rPr>
                <w:rFonts w:hint="eastAsia" w:ascii="Times New Roman" w:hAnsi="Times New Roman" w:cs="Times New Roman"/>
                <w:b/>
                <w:bCs/>
                <w:color w:val="auto"/>
                <w:sz w:val="24"/>
                <w:szCs w:val="24"/>
                <w:lang w:val="en-US" w:eastAsia="zh-CN"/>
              </w:rPr>
              <w:t>18</w:t>
            </w:r>
            <w:r>
              <w:rPr>
                <w:rFonts w:hint="default" w:ascii="Times New Roman" w:hAnsi="Times New Roman" w:cs="Times New Roman"/>
                <w:b/>
                <w:bCs/>
                <w:color w:val="auto"/>
                <w:sz w:val="24"/>
                <w:szCs w:val="24"/>
              </w:rPr>
              <w:t xml:space="preserve">  电磁环境公众</w:t>
            </w:r>
            <w:r>
              <w:rPr>
                <w:rFonts w:hint="eastAsia" w:ascii="Times New Roman" w:hAnsi="Times New Roman" w:cs="Times New Roman"/>
                <w:b/>
                <w:bCs/>
                <w:color w:val="auto"/>
                <w:sz w:val="24"/>
                <w:szCs w:val="24"/>
                <w:lang w:eastAsia="zh-CN"/>
              </w:rPr>
              <w:t>曝露</w:t>
            </w:r>
            <w:r>
              <w:rPr>
                <w:rFonts w:hint="default" w:ascii="Times New Roman" w:hAnsi="Times New Roman" w:cs="Times New Roman"/>
                <w:b/>
                <w:bCs/>
                <w:color w:val="auto"/>
                <w:sz w:val="24"/>
                <w:szCs w:val="24"/>
              </w:rPr>
              <w:t>控制限值</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422"/>
              <w:gridCol w:w="2086"/>
              <w:gridCol w:w="2762"/>
            </w:tblGrid>
            <w:tr w14:paraId="7D796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3" w:hRule="atLeast"/>
              </w:trPr>
              <w:tc>
                <w:tcPr>
                  <w:tcW w:w="2069" w:type="pct"/>
                  <w:noWrap w:val="0"/>
                  <w:vAlign w:val="top"/>
                </w:tcPr>
                <w:p w14:paraId="4881D5AA">
                  <w:pPr>
                    <w:pStyle w:val="92"/>
                    <w:autoSpaceDE/>
                    <w:autoSpaceDN/>
                    <w:adjustRightInd w:val="0"/>
                    <w:snapToGrid w:val="0"/>
                    <w:spacing w:line="240" w:lineRule="auto"/>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频率范围</w:t>
                  </w:r>
                </w:p>
              </w:tc>
              <w:tc>
                <w:tcPr>
                  <w:tcW w:w="1261" w:type="pct"/>
                  <w:noWrap w:val="0"/>
                  <w:vAlign w:val="top"/>
                </w:tcPr>
                <w:p w14:paraId="3F987D29">
                  <w:pPr>
                    <w:pStyle w:val="92"/>
                    <w:autoSpaceDE/>
                    <w:autoSpaceDN/>
                    <w:adjustRightInd w:val="0"/>
                    <w:snapToGrid w:val="0"/>
                    <w:spacing w:line="240" w:lineRule="auto"/>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电场强度E（V/m）</w:t>
                  </w:r>
                </w:p>
              </w:tc>
              <w:tc>
                <w:tcPr>
                  <w:tcW w:w="1669" w:type="pct"/>
                  <w:noWrap w:val="0"/>
                  <w:vAlign w:val="top"/>
                </w:tcPr>
                <w:p w14:paraId="02235D6C">
                  <w:pPr>
                    <w:pStyle w:val="92"/>
                    <w:autoSpaceDE/>
                    <w:autoSpaceDN/>
                    <w:adjustRightInd w:val="0"/>
                    <w:snapToGrid w:val="0"/>
                    <w:spacing w:line="240" w:lineRule="auto"/>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磁感应强度B（μT）</w:t>
                  </w:r>
                </w:p>
              </w:tc>
            </w:tr>
            <w:tr w14:paraId="5925E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trPr>
              <w:tc>
                <w:tcPr>
                  <w:tcW w:w="2069" w:type="pct"/>
                  <w:noWrap w:val="0"/>
                  <w:vAlign w:val="top"/>
                </w:tcPr>
                <w:p w14:paraId="03EBA2B5">
                  <w:pPr>
                    <w:pStyle w:val="92"/>
                    <w:autoSpaceDE/>
                    <w:autoSpaceDN/>
                    <w:adjustRightInd w:val="0"/>
                    <w:snapToGrid w:val="0"/>
                    <w:spacing w:line="240" w:lineRule="auto"/>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0.025kHz~1.2kHz</w:t>
                  </w:r>
                </w:p>
              </w:tc>
              <w:tc>
                <w:tcPr>
                  <w:tcW w:w="1261" w:type="pct"/>
                  <w:noWrap w:val="0"/>
                  <w:vAlign w:val="top"/>
                </w:tcPr>
                <w:p w14:paraId="6F8B53BC">
                  <w:pPr>
                    <w:pStyle w:val="92"/>
                    <w:autoSpaceDE/>
                    <w:autoSpaceDN/>
                    <w:adjustRightInd w:val="0"/>
                    <w:snapToGrid w:val="0"/>
                    <w:spacing w:line="240" w:lineRule="auto"/>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200/f</w:t>
                  </w:r>
                </w:p>
              </w:tc>
              <w:tc>
                <w:tcPr>
                  <w:tcW w:w="1669" w:type="pct"/>
                  <w:noWrap w:val="0"/>
                  <w:vAlign w:val="top"/>
                </w:tcPr>
                <w:p w14:paraId="2479422E">
                  <w:pPr>
                    <w:pStyle w:val="92"/>
                    <w:autoSpaceDE/>
                    <w:autoSpaceDN/>
                    <w:adjustRightInd w:val="0"/>
                    <w:snapToGrid w:val="0"/>
                    <w:spacing w:line="240" w:lineRule="auto"/>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5/f</w:t>
                  </w:r>
                </w:p>
              </w:tc>
            </w:tr>
            <w:tr w14:paraId="799BA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atLeast"/>
              </w:trPr>
              <w:tc>
                <w:tcPr>
                  <w:tcW w:w="2069" w:type="pct"/>
                  <w:noWrap w:val="0"/>
                  <w:vAlign w:val="top"/>
                </w:tcPr>
                <w:p w14:paraId="0366A298">
                  <w:pPr>
                    <w:pStyle w:val="92"/>
                    <w:autoSpaceDE/>
                    <w:autoSpaceDN/>
                    <w:adjustRightInd w:val="0"/>
                    <w:snapToGrid w:val="0"/>
                    <w:spacing w:line="240" w:lineRule="auto"/>
                    <w:jc w:val="center"/>
                    <w:rPr>
                      <w:rFonts w:hint="default" w:ascii="Times New Roman" w:hAnsi="Times New Roman" w:eastAsia="宋体" w:cs="Times New Roman"/>
                      <w:b w:val="0"/>
                      <w:bCs w:val="0"/>
                      <w:color w:val="auto"/>
                      <w:sz w:val="21"/>
                      <w:szCs w:val="21"/>
                    </w:rPr>
                  </w:pPr>
                  <w:r>
                    <w:rPr>
                      <w:rFonts w:hint="eastAsia" w:ascii="Times New Roman" w:hAnsi="Times New Roman" w:eastAsia="宋体" w:cs="Times New Roman"/>
                      <w:b w:val="0"/>
                      <w:bCs w:val="0"/>
                      <w:color w:val="auto"/>
                      <w:sz w:val="21"/>
                      <w:szCs w:val="21"/>
                      <w:lang w:val="en-US" w:eastAsia="zh-CN"/>
                    </w:rPr>
                    <w:t>升压站、</w:t>
                  </w:r>
                  <w:r>
                    <w:rPr>
                      <w:rFonts w:hint="default" w:ascii="Times New Roman" w:hAnsi="Times New Roman" w:eastAsia="宋体" w:cs="Times New Roman"/>
                      <w:b w:val="0"/>
                      <w:bCs w:val="0"/>
                      <w:color w:val="auto"/>
                      <w:sz w:val="21"/>
                      <w:szCs w:val="21"/>
                    </w:rPr>
                    <w:t>输电线路工作频率（0.05kHz）</w:t>
                  </w:r>
                </w:p>
              </w:tc>
              <w:tc>
                <w:tcPr>
                  <w:tcW w:w="1261" w:type="pct"/>
                  <w:noWrap w:val="0"/>
                  <w:vAlign w:val="top"/>
                </w:tcPr>
                <w:p w14:paraId="7069F954">
                  <w:pPr>
                    <w:pStyle w:val="92"/>
                    <w:autoSpaceDE/>
                    <w:autoSpaceDN/>
                    <w:adjustRightInd w:val="0"/>
                    <w:snapToGrid w:val="0"/>
                    <w:spacing w:line="240" w:lineRule="auto"/>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4000V/m</w:t>
                  </w:r>
                  <w:r>
                    <w:rPr>
                      <w:rFonts w:hint="eastAsia"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rPr>
                    <w:t>4</w:t>
                  </w:r>
                  <w:r>
                    <w:rPr>
                      <w:rFonts w:hint="eastAsia" w:ascii="Times New Roman" w:hAnsi="Times New Roman" w:eastAsia="宋体" w:cs="Times New Roman"/>
                      <w:b w:val="0"/>
                      <w:bCs w:val="0"/>
                      <w:color w:val="auto"/>
                      <w:sz w:val="21"/>
                      <w:szCs w:val="21"/>
                    </w:rPr>
                    <w:t>kV</w:t>
                  </w:r>
                  <w:r>
                    <w:rPr>
                      <w:rFonts w:hint="default" w:ascii="Times New Roman" w:hAnsi="Times New Roman" w:eastAsia="宋体" w:cs="Times New Roman"/>
                      <w:b w:val="0"/>
                      <w:bCs w:val="0"/>
                      <w:color w:val="auto"/>
                      <w:sz w:val="21"/>
                      <w:szCs w:val="21"/>
                    </w:rPr>
                    <w:t>/m</w:t>
                  </w:r>
                  <w:r>
                    <w:rPr>
                      <w:rFonts w:hint="eastAsia" w:ascii="Times New Roman" w:hAnsi="Times New Roman" w:eastAsia="宋体" w:cs="Times New Roman"/>
                      <w:b w:val="0"/>
                      <w:bCs w:val="0"/>
                      <w:color w:val="auto"/>
                      <w:sz w:val="21"/>
                      <w:szCs w:val="21"/>
                      <w:lang w:eastAsia="zh-CN"/>
                    </w:rPr>
                    <w:t>)</w:t>
                  </w:r>
                </w:p>
              </w:tc>
              <w:tc>
                <w:tcPr>
                  <w:tcW w:w="1669" w:type="pct"/>
                  <w:noWrap w:val="0"/>
                  <w:vAlign w:val="top"/>
                </w:tcPr>
                <w:p w14:paraId="24658465">
                  <w:pPr>
                    <w:pStyle w:val="92"/>
                    <w:autoSpaceDE/>
                    <w:autoSpaceDN/>
                    <w:adjustRightInd w:val="0"/>
                    <w:snapToGrid w:val="0"/>
                    <w:spacing w:line="240" w:lineRule="auto"/>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100μT</w:t>
                  </w:r>
                  <w:r>
                    <w:rPr>
                      <w:rFonts w:hint="eastAsia"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rPr>
                    <w:t>0.1mT</w:t>
                  </w:r>
                  <w:r>
                    <w:rPr>
                      <w:rFonts w:hint="eastAsia" w:ascii="Times New Roman" w:hAnsi="Times New Roman" w:eastAsia="宋体" w:cs="Times New Roman"/>
                      <w:b w:val="0"/>
                      <w:bCs w:val="0"/>
                      <w:color w:val="auto"/>
                      <w:sz w:val="21"/>
                      <w:szCs w:val="21"/>
                      <w:lang w:eastAsia="zh-CN"/>
                    </w:rPr>
                    <w:t>)</w:t>
                  </w:r>
                </w:p>
              </w:tc>
            </w:tr>
            <w:tr w14:paraId="0F13E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 w:hRule="atLeast"/>
              </w:trPr>
              <w:tc>
                <w:tcPr>
                  <w:tcW w:w="5000" w:type="pct"/>
                  <w:gridSpan w:val="3"/>
                  <w:noWrap w:val="0"/>
                  <w:vAlign w:val="top"/>
                </w:tcPr>
                <w:p w14:paraId="6610DEDF">
                  <w:pPr>
                    <w:pStyle w:val="92"/>
                    <w:autoSpaceDE/>
                    <w:autoSpaceDN/>
                    <w:adjustRightInd w:val="0"/>
                    <w:snapToGrid w:val="0"/>
                    <w:spacing w:line="240" w:lineRule="auto"/>
                    <w:jc w:val="left"/>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注：1、频率f的取值为0.05kHz。2、架空输电线路线下的耕地、园地、牧草地、畜禽饲养地、养殖水面、道路等场所，其频率50Hz的电场强度控制限值为10</w:t>
                  </w:r>
                  <w:r>
                    <w:rPr>
                      <w:rFonts w:hint="eastAsia" w:ascii="Times New Roman" w:hAnsi="Times New Roman" w:eastAsia="宋体" w:cs="Times New Roman"/>
                      <w:b w:val="0"/>
                      <w:bCs w:val="0"/>
                      <w:color w:val="auto"/>
                      <w:sz w:val="21"/>
                      <w:szCs w:val="21"/>
                    </w:rPr>
                    <w:t>kV</w:t>
                  </w:r>
                  <w:r>
                    <w:rPr>
                      <w:rFonts w:hint="default" w:ascii="Times New Roman" w:hAnsi="Times New Roman" w:eastAsia="宋体" w:cs="Times New Roman"/>
                      <w:b w:val="0"/>
                      <w:bCs w:val="0"/>
                      <w:color w:val="auto"/>
                      <w:sz w:val="21"/>
                      <w:szCs w:val="21"/>
                    </w:rPr>
                    <w:t>/m，且应给出警示和防护指示标志。</w:t>
                  </w:r>
                </w:p>
              </w:tc>
            </w:tr>
          </w:tbl>
          <w:p w14:paraId="3BE2E3B7">
            <w:pPr>
              <w:adjustRightInd w:val="0"/>
              <w:snapToGrid w:val="0"/>
              <w:spacing w:line="440" w:lineRule="exact"/>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（2）噪声</w:t>
            </w:r>
          </w:p>
          <w:p w14:paraId="3FFAF785">
            <w:pPr>
              <w:adjustRightInd w:val="0"/>
              <w:snapToGrid w:val="0"/>
              <w:spacing w:line="440" w:lineRule="exact"/>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施工期噪声执行</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建筑施工噪声排放标准</w:t>
            </w:r>
            <w:r>
              <w:rPr>
                <w:rFonts w:hint="default" w:ascii="Times New Roman" w:hAnsi="Times New Roman" w:cs="Times New Roman"/>
                <w:color w:val="auto"/>
                <w:sz w:val="24"/>
                <w:szCs w:val="24"/>
                <w:highlight w:val="none"/>
              </w:rPr>
              <w:t>》（GB12523-20</w:t>
            </w:r>
            <w:r>
              <w:rPr>
                <w:rFonts w:hint="default" w:ascii="Times New Roman" w:hAnsi="Times New Roman" w:cs="Times New Roman"/>
                <w:color w:val="auto"/>
                <w:sz w:val="24"/>
                <w:szCs w:val="24"/>
                <w:highlight w:val="none"/>
                <w:lang w:val="en-US" w:eastAsia="zh-CN"/>
              </w:rPr>
              <w:t>25</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rPr>
              <w:t>，标准值见表3-</w:t>
            </w:r>
            <w:r>
              <w:rPr>
                <w:rFonts w:hint="eastAsia" w:ascii="Times New Roman" w:hAnsi="Times New Roman" w:cs="Times New Roman"/>
                <w:color w:val="auto"/>
                <w:sz w:val="24"/>
                <w:szCs w:val="24"/>
                <w:lang w:val="en-US" w:eastAsia="zh-CN"/>
              </w:rPr>
              <w:t>19</w:t>
            </w:r>
            <w:r>
              <w:rPr>
                <w:rFonts w:hint="default" w:ascii="Times New Roman" w:hAnsi="Times New Roman" w:cs="Times New Roman"/>
                <w:color w:val="auto"/>
                <w:sz w:val="24"/>
                <w:szCs w:val="24"/>
              </w:rPr>
              <w:t>。</w:t>
            </w:r>
          </w:p>
          <w:p w14:paraId="1DF1085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表3-</w:t>
            </w:r>
            <w:r>
              <w:rPr>
                <w:rFonts w:hint="eastAsia" w:ascii="Times New Roman" w:hAnsi="Times New Roman" w:cs="Times New Roman"/>
                <w:b/>
                <w:bCs/>
                <w:color w:val="auto"/>
                <w:sz w:val="24"/>
                <w:szCs w:val="24"/>
                <w:lang w:val="en-US" w:eastAsia="zh-CN"/>
              </w:rPr>
              <w:t>19</w:t>
            </w:r>
            <w:r>
              <w:rPr>
                <w:rFonts w:hint="default" w:ascii="Times New Roman" w:hAnsi="Times New Roman" w:cs="Times New Roman"/>
                <w:b/>
                <w:bCs/>
                <w:color w:val="auto"/>
                <w:sz w:val="24"/>
                <w:szCs w:val="24"/>
              </w:rPr>
              <w:t xml:space="preserve">  建筑施工场界环境噪声排放限值  单位：dB（A）</w:t>
            </w:r>
          </w:p>
          <w:tbl>
            <w:tblPr>
              <w:tblStyle w:val="30"/>
              <w:tblW w:w="4999"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4051"/>
              <w:gridCol w:w="4231"/>
            </w:tblGrid>
            <w:tr w14:paraId="0A71700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2445" w:type="pct"/>
                  <w:tcBorders>
                    <w:tl2br w:val="nil"/>
                    <w:tr2bl w:val="nil"/>
                  </w:tcBorders>
                  <w:noWrap w:val="0"/>
                  <w:vAlign w:val="center"/>
                </w:tcPr>
                <w:p w14:paraId="2F3EB1DC">
                  <w:pPr>
                    <w:adjustRightInd w:val="0"/>
                    <w:snapToGrid w:val="0"/>
                    <w:spacing w:line="240" w:lineRule="auto"/>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昼间</w:t>
                  </w:r>
                </w:p>
              </w:tc>
              <w:tc>
                <w:tcPr>
                  <w:tcW w:w="2554" w:type="pct"/>
                  <w:tcBorders>
                    <w:tl2br w:val="nil"/>
                    <w:tr2bl w:val="nil"/>
                  </w:tcBorders>
                  <w:noWrap w:val="0"/>
                  <w:vAlign w:val="center"/>
                </w:tcPr>
                <w:p w14:paraId="5E5BA95B">
                  <w:pPr>
                    <w:adjustRightInd w:val="0"/>
                    <w:snapToGrid w:val="0"/>
                    <w:spacing w:line="240" w:lineRule="auto"/>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夜间</w:t>
                  </w:r>
                </w:p>
              </w:tc>
            </w:tr>
            <w:tr w14:paraId="05F4157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2445" w:type="pct"/>
                  <w:tcBorders>
                    <w:tl2br w:val="nil"/>
                    <w:tr2bl w:val="nil"/>
                  </w:tcBorders>
                  <w:noWrap w:val="0"/>
                  <w:vAlign w:val="center"/>
                </w:tcPr>
                <w:p w14:paraId="2EE3B7A5">
                  <w:pPr>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cs="Times New Roman"/>
                      <w:color w:val="auto"/>
                      <w:szCs w:val="21"/>
                    </w:rPr>
                    <w:t>70</w:t>
                  </w:r>
                </w:p>
              </w:tc>
              <w:tc>
                <w:tcPr>
                  <w:tcW w:w="2554" w:type="pct"/>
                  <w:tcBorders>
                    <w:tl2br w:val="nil"/>
                    <w:tr2bl w:val="nil"/>
                  </w:tcBorders>
                  <w:noWrap w:val="0"/>
                  <w:vAlign w:val="center"/>
                </w:tcPr>
                <w:p w14:paraId="7185AEDA">
                  <w:pPr>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cs="Times New Roman"/>
                      <w:color w:val="auto"/>
                      <w:szCs w:val="21"/>
                    </w:rPr>
                    <w:t>55</w:t>
                  </w:r>
                </w:p>
              </w:tc>
            </w:tr>
          </w:tbl>
          <w:p w14:paraId="3D3634B7">
            <w:pPr>
              <w:adjustRightInd w:val="0"/>
              <w:snapToGrid w:val="0"/>
              <w:spacing w:line="440" w:lineRule="exact"/>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（3）废污水</w:t>
            </w:r>
          </w:p>
          <w:p w14:paraId="063F6ADE">
            <w:pPr>
              <w:adjustRightInd w:val="0"/>
              <w:snapToGrid w:val="0"/>
              <w:spacing w:line="440" w:lineRule="exact"/>
              <w:ind w:firstLine="482" w:firstLineChars="200"/>
              <w:rPr>
                <w:rFonts w:hint="default" w:ascii="Times New Roman" w:hAnsi="Times New Roman" w:cs="Times New Roman"/>
                <w:color w:val="auto"/>
                <w:sz w:val="24"/>
                <w:szCs w:val="24"/>
              </w:rPr>
            </w:pPr>
            <w:r>
              <w:rPr>
                <w:rFonts w:hint="default" w:ascii="Times New Roman" w:hAnsi="Times New Roman" w:cs="Times New Roman"/>
                <w:b/>
                <w:bCs/>
                <w:color w:val="auto"/>
                <w:sz w:val="24"/>
                <w:szCs w:val="24"/>
              </w:rPr>
              <w:t>施工期：</w:t>
            </w:r>
            <w:r>
              <w:rPr>
                <w:rFonts w:hint="default" w:ascii="Times New Roman" w:hAnsi="Times New Roman" w:cs="Times New Roman"/>
                <w:color w:val="auto"/>
                <w:sz w:val="24"/>
                <w:szCs w:val="24"/>
              </w:rPr>
              <w:t>施工期废水经处理后回用于区域洒水抑尘或车辆冲洗，不外排。</w:t>
            </w:r>
          </w:p>
          <w:p w14:paraId="1EFE5EFF">
            <w:pPr>
              <w:adjustRightInd w:val="0"/>
              <w:snapToGrid w:val="0"/>
              <w:spacing w:line="440" w:lineRule="exact"/>
              <w:ind w:firstLine="482" w:firstLineChars="200"/>
              <w:rPr>
                <w:rFonts w:hint="default" w:ascii="Times New Roman" w:hAnsi="Times New Roman" w:eastAsia="宋体" w:cs="Times New Roman"/>
                <w:color w:val="auto"/>
                <w:sz w:val="24"/>
                <w:szCs w:val="24"/>
                <w:lang w:eastAsia="zh-CN"/>
              </w:rPr>
            </w:pPr>
            <w:r>
              <w:rPr>
                <w:rFonts w:hint="default" w:ascii="Times New Roman" w:hAnsi="Times New Roman" w:cs="Times New Roman"/>
                <w:b/>
                <w:bCs/>
                <w:color w:val="auto"/>
                <w:sz w:val="24"/>
                <w:szCs w:val="24"/>
              </w:rPr>
              <w:t>运营期：</w:t>
            </w:r>
            <w:r>
              <w:rPr>
                <w:rFonts w:hint="default" w:ascii="Times New Roman" w:hAnsi="Times New Roman" w:eastAsia="宋体" w:cs="Times New Roman"/>
                <w:color w:val="auto"/>
                <w:sz w:val="24"/>
                <w:szCs w:val="24"/>
              </w:rPr>
              <w:t>无废水产生</w:t>
            </w:r>
            <w:r>
              <w:rPr>
                <w:rFonts w:hint="default" w:ascii="Times New Roman" w:hAnsi="Times New Roman" w:eastAsia="宋体" w:cs="Times New Roman"/>
                <w:color w:val="auto"/>
                <w:sz w:val="24"/>
                <w:szCs w:val="24"/>
                <w:lang w:eastAsia="zh-CN"/>
              </w:rPr>
              <w:t>，本次不设排放标准。</w:t>
            </w:r>
          </w:p>
          <w:p w14:paraId="75A51FF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（4）大气污染物</w:t>
            </w:r>
          </w:p>
          <w:p w14:paraId="40B28A3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施工期大气污染物排放执行《大气污染物综合排放标准》（GB16297-1996）中表2无组织排放限值要求；运行期工程无大气污染物排放，不设废气排放标准。</w:t>
            </w:r>
          </w:p>
          <w:p w14:paraId="6ED9375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color w:val="auto"/>
                <w:sz w:val="24"/>
                <w:szCs w:val="24"/>
              </w:rPr>
            </w:pPr>
            <w:bookmarkStart w:id="56" w:name="_Toc32484_WPSOffice_Level3"/>
            <w:r>
              <w:rPr>
                <w:rFonts w:hint="default" w:ascii="Times New Roman" w:hAnsi="Times New Roman" w:cs="Times New Roman"/>
                <w:color w:val="auto"/>
                <w:sz w:val="24"/>
                <w:szCs w:val="24"/>
              </w:rPr>
              <w:t>（5）固体废物</w:t>
            </w:r>
            <w:bookmarkEnd w:id="56"/>
          </w:p>
          <w:p w14:paraId="3701082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b/>
                <w:color w:val="auto"/>
              </w:rPr>
            </w:pPr>
            <w:r>
              <w:rPr>
                <w:rFonts w:hint="default" w:ascii="Times New Roman" w:hAnsi="Times New Roman" w:cs="Times New Roman"/>
                <w:color w:val="auto"/>
                <w:sz w:val="24"/>
                <w:szCs w:val="24"/>
              </w:rPr>
              <w:t>项目一般固废执行《一般工业固体废物贮存和填埋污染控制标准》（GB18599-2020）要求</w:t>
            </w:r>
            <w:r>
              <w:rPr>
                <w:rFonts w:hint="eastAsia" w:ascii="Times New Roman" w:hAnsi="Times New Roman" w:cs="Times New Roman"/>
                <w:color w:val="auto"/>
                <w:sz w:val="24"/>
                <w:szCs w:val="24"/>
                <w:lang w:eastAsia="zh-CN"/>
              </w:rPr>
              <w:t>。</w:t>
            </w:r>
            <w:r>
              <w:rPr>
                <w:rFonts w:hint="default" w:ascii="Times New Roman" w:hAnsi="Times New Roman" w:cs="Times New Roman"/>
                <w:color w:val="auto"/>
                <w:sz w:val="24"/>
                <w:szCs w:val="24"/>
              </w:rPr>
              <w:t>无危废产生，不设危废标准。</w:t>
            </w:r>
          </w:p>
        </w:tc>
      </w:tr>
      <w:tr w14:paraId="5E250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2" w:type="dxa"/>
            <w:noWrap w:val="0"/>
            <w:vAlign w:val="top"/>
          </w:tcPr>
          <w:p w14:paraId="22CAF0A1">
            <w:pPr>
              <w:jc w:val="center"/>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其他</w:t>
            </w:r>
          </w:p>
        </w:tc>
        <w:tc>
          <w:tcPr>
            <w:tcW w:w="8500" w:type="dxa"/>
            <w:noWrap w:val="0"/>
            <w:vAlign w:val="top"/>
          </w:tcPr>
          <w:p w14:paraId="04211410">
            <w:pPr>
              <w:adjustRightInd w:val="0"/>
              <w:snapToGrid w:val="0"/>
              <w:spacing w:line="440" w:lineRule="exact"/>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本项目110</w:t>
            </w:r>
            <w:r>
              <w:rPr>
                <w:rFonts w:hint="eastAsia" w:ascii="Times New Roman" w:hAnsi="Times New Roman" w:cs="Times New Roman"/>
                <w:color w:val="auto"/>
                <w:sz w:val="24"/>
                <w:szCs w:val="24"/>
                <w:lang w:eastAsia="zh-CN"/>
              </w:rPr>
              <w:t>kV</w:t>
            </w:r>
            <w:r>
              <w:rPr>
                <w:rFonts w:hint="default" w:ascii="Times New Roman" w:hAnsi="Times New Roman" w:cs="Times New Roman"/>
                <w:color w:val="auto"/>
                <w:sz w:val="24"/>
                <w:szCs w:val="24"/>
              </w:rPr>
              <w:t>输电线路新建工程，项目运行期间主要环境影响因子为工频电磁场和噪声，均不属于国家相关环境保护法律法规规定纳入总量控制计划管理的污染物。</w:t>
            </w:r>
          </w:p>
          <w:p w14:paraId="6F0E0B16">
            <w:pPr>
              <w:pStyle w:val="2"/>
              <w:rPr>
                <w:rFonts w:hint="default" w:ascii="Times New Roman" w:hAnsi="Times New Roman" w:cs="Times New Roman"/>
                <w:color w:val="auto"/>
                <w:sz w:val="24"/>
                <w:szCs w:val="24"/>
              </w:rPr>
            </w:pPr>
          </w:p>
          <w:p w14:paraId="64615C66">
            <w:pPr>
              <w:pStyle w:val="2"/>
              <w:rPr>
                <w:rFonts w:hint="default" w:ascii="Times New Roman" w:hAnsi="Times New Roman" w:cs="Times New Roman"/>
                <w:color w:val="auto"/>
                <w:sz w:val="24"/>
                <w:szCs w:val="24"/>
              </w:rPr>
            </w:pPr>
          </w:p>
          <w:p w14:paraId="30079AD5">
            <w:pPr>
              <w:pStyle w:val="2"/>
              <w:rPr>
                <w:rFonts w:hint="default" w:ascii="Times New Roman" w:hAnsi="Times New Roman" w:cs="Times New Roman"/>
                <w:color w:val="auto"/>
                <w:sz w:val="24"/>
                <w:szCs w:val="24"/>
              </w:rPr>
            </w:pPr>
          </w:p>
          <w:p w14:paraId="6B69F585">
            <w:pPr>
              <w:pStyle w:val="2"/>
              <w:rPr>
                <w:rFonts w:hint="default" w:ascii="Times New Roman" w:hAnsi="Times New Roman" w:cs="Times New Roman"/>
                <w:color w:val="auto"/>
                <w:sz w:val="24"/>
                <w:szCs w:val="24"/>
              </w:rPr>
            </w:pPr>
          </w:p>
          <w:p w14:paraId="29107FFE">
            <w:pPr>
              <w:pStyle w:val="2"/>
              <w:rPr>
                <w:rFonts w:hint="default" w:ascii="Times New Roman" w:hAnsi="Times New Roman" w:cs="Times New Roman"/>
                <w:color w:val="auto"/>
                <w:sz w:val="24"/>
                <w:szCs w:val="24"/>
              </w:rPr>
            </w:pPr>
          </w:p>
          <w:p w14:paraId="363EBF21">
            <w:pPr>
              <w:pStyle w:val="2"/>
              <w:rPr>
                <w:rFonts w:hint="default" w:ascii="Times New Roman" w:hAnsi="Times New Roman" w:cs="Times New Roman"/>
                <w:color w:val="auto"/>
                <w:sz w:val="24"/>
                <w:szCs w:val="24"/>
              </w:rPr>
            </w:pPr>
          </w:p>
          <w:p w14:paraId="06F908F0">
            <w:pPr>
              <w:pStyle w:val="2"/>
              <w:rPr>
                <w:rFonts w:hint="default" w:ascii="Times New Roman" w:hAnsi="Times New Roman" w:cs="Times New Roman"/>
                <w:color w:val="auto"/>
                <w:sz w:val="24"/>
                <w:szCs w:val="24"/>
              </w:rPr>
            </w:pPr>
          </w:p>
          <w:p w14:paraId="6689BFA1">
            <w:pPr>
              <w:pStyle w:val="2"/>
              <w:rPr>
                <w:rFonts w:hint="default" w:ascii="Times New Roman" w:hAnsi="Times New Roman" w:cs="Times New Roman"/>
                <w:color w:val="auto"/>
                <w:sz w:val="24"/>
                <w:szCs w:val="24"/>
              </w:rPr>
            </w:pPr>
          </w:p>
          <w:p w14:paraId="28BE0129">
            <w:pPr>
              <w:pStyle w:val="2"/>
              <w:rPr>
                <w:rFonts w:hint="default" w:ascii="Times New Roman" w:hAnsi="Times New Roman" w:cs="Times New Roman"/>
                <w:color w:val="auto"/>
                <w:sz w:val="24"/>
                <w:szCs w:val="24"/>
              </w:rPr>
            </w:pPr>
          </w:p>
          <w:p w14:paraId="7C80A0E7">
            <w:pPr>
              <w:pStyle w:val="2"/>
              <w:rPr>
                <w:rFonts w:hint="default" w:ascii="Times New Roman" w:hAnsi="Times New Roman" w:cs="Times New Roman"/>
                <w:color w:val="auto"/>
                <w:sz w:val="24"/>
                <w:szCs w:val="24"/>
              </w:rPr>
            </w:pPr>
          </w:p>
          <w:p w14:paraId="70FE49B2">
            <w:pPr>
              <w:pStyle w:val="2"/>
              <w:rPr>
                <w:rFonts w:hint="default" w:ascii="Times New Roman" w:hAnsi="Times New Roman" w:cs="Times New Roman"/>
                <w:color w:val="auto"/>
                <w:sz w:val="24"/>
                <w:szCs w:val="24"/>
              </w:rPr>
            </w:pPr>
          </w:p>
          <w:p w14:paraId="586E319D">
            <w:pPr>
              <w:pStyle w:val="2"/>
              <w:rPr>
                <w:rFonts w:hint="default" w:ascii="Times New Roman" w:hAnsi="Times New Roman" w:cs="Times New Roman"/>
                <w:color w:val="auto"/>
                <w:sz w:val="24"/>
                <w:szCs w:val="24"/>
              </w:rPr>
            </w:pPr>
          </w:p>
          <w:p w14:paraId="2BFD9C30">
            <w:pPr>
              <w:pStyle w:val="2"/>
              <w:rPr>
                <w:rFonts w:hint="default" w:ascii="Times New Roman" w:hAnsi="Times New Roman" w:cs="Times New Roman"/>
                <w:color w:val="auto"/>
                <w:sz w:val="24"/>
                <w:szCs w:val="24"/>
              </w:rPr>
            </w:pPr>
          </w:p>
          <w:p w14:paraId="7940C02A">
            <w:pPr>
              <w:pStyle w:val="2"/>
              <w:rPr>
                <w:rFonts w:hint="default" w:ascii="Times New Roman" w:hAnsi="Times New Roman" w:cs="Times New Roman"/>
                <w:color w:val="auto"/>
                <w:sz w:val="24"/>
                <w:szCs w:val="24"/>
              </w:rPr>
            </w:pPr>
          </w:p>
          <w:p w14:paraId="3E5032D8">
            <w:pPr>
              <w:pStyle w:val="2"/>
              <w:rPr>
                <w:rFonts w:hint="default" w:ascii="Times New Roman" w:hAnsi="Times New Roman" w:cs="Times New Roman"/>
                <w:color w:val="auto"/>
                <w:sz w:val="24"/>
                <w:szCs w:val="24"/>
              </w:rPr>
            </w:pPr>
          </w:p>
          <w:p w14:paraId="059C68F6">
            <w:pPr>
              <w:pStyle w:val="2"/>
              <w:rPr>
                <w:rFonts w:hint="default" w:ascii="Times New Roman" w:hAnsi="Times New Roman" w:cs="Times New Roman"/>
                <w:color w:val="auto"/>
                <w:sz w:val="24"/>
                <w:szCs w:val="24"/>
              </w:rPr>
            </w:pPr>
          </w:p>
          <w:p w14:paraId="7F624A50">
            <w:pPr>
              <w:pStyle w:val="2"/>
              <w:rPr>
                <w:rFonts w:hint="default" w:ascii="Times New Roman" w:hAnsi="Times New Roman" w:cs="Times New Roman"/>
                <w:color w:val="auto"/>
                <w:sz w:val="24"/>
                <w:szCs w:val="24"/>
              </w:rPr>
            </w:pPr>
          </w:p>
          <w:p w14:paraId="4A6FC9D9">
            <w:pPr>
              <w:pStyle w:val="2"/>
              <w:rPr>
                <w:rFonts w:hint="default" w:ascii="Times New Roman" w:hAnsi="Times New Roman" w:cs="Times New Roman"/>
                <w:color w:val="auto"/>
                <w:sz w:val="24"/>
                <w:szCs w:val="24"/>
              </w:rPr>
            </w:pPr>
          </w:p>
          <w:p w14:paraId="31A18BA0">
            <w:pPr>
              <w:pStyle w:val="2"/>
              <w:rPr>
                <w:rFonts w:hint="default" w:ascii="Times New Roman" w:hAnsi="Times New Roman" w:cs="Times New Roman"/>
                <w:color w:val="auto"/>
                <w:sz w:val="24"/>
                <w:szCs w:val="24"/>
              </w:rPr>
            </w:pPr>
          </w:p>
          <w:p w14:paraId="2B73BFC7">
            <w:pPr>
              <w:pStyle w:val="2"/>
              <w:rPr>
                <w:rFonts w:hint="default" w:ascii="Times New Roman" w:hAnsi="Times New Roman" w:cs="Times New Roman"/>
                <w:color w:val="auto"/>
                <w:sz w:val="24"/>
                <w:szCs w:val="24"/>
              </w:rPr>
            </w:pPr>
          </w:p>
          <w:p w14:paraId="18AA94A0">
            <w:pPr>
              <w:pStyle w:val="2"/>
              <w:rPr>
                <w:rFonts w:hint="default" w:ascii="Times New Roman" w:hAnsi="Times New Roman" w:cs="Times New Roman"/>
                <w:color w:val="auto"/>
                <w:sz w:val="24"/>
                <w:szCs w:val="24"/>
              </w:rPr>
            </w:pPr>
          </w:p>
        </w:tc>
      </w:tr>
    </w:tbl>
    <w:p w14:paraId="13D74F80">
      <w:pPr>
        <w:pStyle w:val="25"/>
        <w:spacing w:before="0" w:beforeAutospacing="0" w:after="0" w:afterAutospacing="0" w:line="240" w:lineRule="auto"/>
        <w:jc w:val="center"/>
        <w:outlineLvl w:val="0"/>
        <w:rPr>
          <w:rFonts w:ascii="Times New Roman" w:hAnsi="Times New Roman"/>
          <w:snapToGrid w:val="0"/>
          <w:color w:val="auto"/>
          <w:sz w:val="30"/>
          <w:szCs w:val="30"/>
        </w:rPr>
      </w:pPr>
      <w:r>
        <w:rPr>
          <w:rFonts w:ascii="Times New Roman" w:hAnsi="Times New Roman"/>
          <w:snapToGrid w:val="0"/>
          <w:color w:val="auto"/>
          <w:sz w:val="36"/>
          <w:szCs w:val="36"/>
        </w:rPr>
        <w:br w:type="page"/>
      </w:r>
      <w:bookmarkStart w:id="57" w:name="_Toc22241"/>
      <w:bookmarkStart w:id="58" w:name="_Toc22242"/>
      <w:r>
        <w:rPr>
          <w:rFonts w:ascii="Times New Roman" w:hAnsi="Times New Roman"/>
          <w:b/>
          <w:snapToGrid w:val="0"/>
          <w:color w:val="auto"/>
          <w:sz w:val="30"/>
          <w:szCs w:val="30"/>
        </w:rPr>
        <w:t>四、生态环境影响分析</w:t>
      </w:r>
      <w:bookmarkEnd w:id="57"/>
      <w:bookmarkEnd w:id="58"/>
    </w:p>
    <w:tbl>
      <w:tblPr>
        <w:tblStyle w:val="30"/>
        <w:tblW w:w="50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2"/>
        <w:gridCol w:w="8419"/>
      </w:tblGrid>
      <w:tr w14:paraId="58203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34" w:type="pct"/>
            <w:noWrap w:val="0"/>
            <w:tcMar>
              <w:left w:w="28" w:type="dxa"/>
              <w:right w:w="28" w:type="dxa"/>
            </w:tcMar>
            <w:vAlign w:val="center"/>
          </w:tcPr>
          <w:p w14:paraId="202035C8">
            <w:pPr>
              <w:pStyle w:val="25"/>
              <w:widowControl w:val="0"/>
              <w:spacing w:before="0" w:beforeAutospacing="0" w:after="0" w:afterAutospacing="0"/>
              <w:jc w:val="center"/>
              <w:rPr>
                <w:rFonts w:ascii="Times New Roman" w:hAnsi="Times New Roman"/>
                <w:b/>
                <w:bCs/>
                <w:color w:val="auto"/>
                <w:kern w:val="2"/>
                <w:szCs w:val="24"/>
              </w:rPr>
            </w:pPr>
            <w:r>
              <w:rPr>
                <w:rFonts w:ascii="Times New Roman" w:hAnsi="Times New Roman"/>
                <w:b/>
                <w:bCs/>
                <w:color w:val="auto"/>
                <w:kern w:val="2"/>
                <w:szCs w:val="24"/>
              </w:rPr>
              <w:t>施工</w:t>
            </w:r>
          </w:p>
          <w:p w14:paraId="77C180A3">
            <w:pPr>
              <w:pStyle w:val="25"/>
              <w:widowControl w:val="0"/>
              <w:spacing w:before="0" w:beforeAutospacing="0" w:after="0" w:afterAutospacing="0"/>
              <w:jc w:val="center"/>
              <w:rPr>
                <w:rFonts w:ascii="Times New Roman" w:hAnsi="Times New Roman"/>
                <w:b/>
                <w:bCs/>
                <w:color w:val="auto"/>
                <w:kern w:val="2"/>
                <w:szCs w:val="24"/>
              </w:rPr>
            </w:pPr>
            <w:r>
              <w:rPr>
                <w:rFonts w:ascii="Times New Roman" w:hAnsi="Times New Roman"/>
                <w:b/>
                <w:bCs/>
                <w:color w:val="auto"/>
                <w:kern w:val="2"/>
                <w:szCs w:val="24"/>
              </w:rPr>
              <w:t>期生态环</w:t>
            </w:r>
          </w:p>
          <w:p w14:paraId="4A17D5BB">
            <w:pPr>
              <w:pStyle w:val="25"/>
              <w:widowControl w:val="0"/>
              <w:spacing w:before="0" w:beforeAutospacing="0" w:after="0" w:afterAutospacing="0"/>
              <w:jc w:val="center"/>
              <w:rPr>
                <w:rFonts w:ascii="Times New Roman" w:hAnsi="Times New Roman"/>
                <w:bCs/>
                <w:color w:val="auto"/>
                <w:kern w:val="2"/>
                <w:szCs w:val="24"/>
              </w:rPr>
            </w:pPr>
            <w:r>
              <w:rPr>
                <w:rFonts w:ascii="Times New Roman" w:hAnsi="Times New Roman"/>
                <w:b/>
                <w:bCs/>
                <w:color w:val="auto"/>
                <w:kern w:val="2"/>
                <w:szCs w:val="24"/>
              </w:rPr>
              <w:t>境影响分析</w:t>
            </w:r>
          </w:p>
        </w:tc>
        <w:tc>
          <w:tcPr>
            <w:tcW w:w="4764" w:type="pct"/>
            <w:noWrap w:val="0"/>
            <w:vAlign w:val="center"/>
          </w:tcPr>
          <w:p w14:paraId="6A8966B2">
            <w:pPr>
              <w:adjustRightInd w:val="0"/>
              <w:snapToGrid w:val="0"/>
              <w:spacing w:line="440" w:lineRule="exact"/>
              <w:ind w:firstLine="480" w:firstLineChars="200"/>
              <w:rPr>
                <w:color w:val="auto"/>
                <w:sz w:val="24"/>
              </w:rPr>
            </w:pPr>
            <w:r>
              <w:rPr>
                <w:rFonts w:ascii="Times New Roman" w:hAnsi="Times New Roman"/>
                <w:color w:val="auto"/>
                <w:sz w:val="24"/>
                <w:szCs w:val="24"/>
              </w:rPr>
              <w:t>输变电</w:t>
            </w:r>
            <w:r>
              <w:rPr>
                <w:rFonts w:hint="eastAsia" w:ascii="Times New Roman" w:hAnsi="Times New Roman"/>
                <w:color w:val="auto"/>
                <w:sz w:val="24"/>
                <w:szCs w:val="24"/>
                <w:lang w:eastAsia="zh-CN"/>
              </w:rPr>
              <w:t>工程</w:t>
            </w:r>
            <w:r>
              <w:rPr>
                <w:color w:val="auto"/>
                <w:sz w:val="24"/>
              </w:rPr>
              <w:t>施工期土建施工、设备安装等过程</w:t>
            </w:r>
            <w:r>
              <w:rPr>
                <w:rFonts w:hint="eastAsia"/>
                <w:color w:val="auto"/>
                <w:sz w:val="24"/>
              </w:rPr>
              <w:t>中</w:t>
            </w:r>
            <w:r>
              <w:rPr>
                <w:color w:val="auto"/>
                <w:sz w:val="24"/>
              </w:rPr>
              <w:t>产生生态（包括土地占用、植物、动物）、扬尘、施工噪声、废污水以及固体废物等影响。</w:t>
            </w:r>
          </w:p>
          <w:p w14:paraId="1AA4D7FD">
            <w:pPr>
              <w:adjustRightInd w:val="0"/>
              <w:snapToGrid w:val="0"/>
              <w:spacing w:line="440" w:lineRule="exact"/>
              <w:ind w:firstLine="480" w:firstLineChars="200"/>
              <w:rPr>
                <w:color w:val="auto"/>
                <w:sz w:val="24"/>
              </w:rPr>
            </w:pPr>
            <w:r>
              <w:rPr>
                <w:color w:val="auto"/>
                <w:sz w:val="24"/>
              </w:rPr>
              <w:t>（1）生态环境：工程永久占地及施工场地、牵张场、</w:t>
            </w:r>
            <w:r>
              <w:rPr>
                <w:rFonts w:hint="eastAsia"/>
                <w:color w:val="auto"/>
                <w:sz w:val="24"/>
              </w:rPr>
              <w:t>人抬</w:t>
            </w:r>
            <w:r>
              <w:rPr>
                <w:color w:val="auto"/>
                <w:sz w:val="24"/>
              </w:rPr>
              <w:t>道路等临时占地会损坏原地表植被。同时随着工程的开工，施工机械、施工人员陆续进场，将破坏和改变局部原有野生动物的生存、栖息环境，施工机械噪声会驱赶野生动物，使施工区域的动物被迫暂时迁移到适宜的环境中去栖息和繁衍。</w:t>
            </w:r>
          </w:p>
          <w:p w14:paraId="4F981CBA">
            <w:pPr>
              <w:adjustRightInd w:val="0"/>
              <w:snapToGrid w:val="0"/>
              <w:spacing w:line="440" w:lineRule="exact"/>
              <w:ind w:firstLine="480" w:firstLineChars="200"/>
              <w:rPr>
                <w:color w:val="auto"/>
                <w:sz w:val="24"/>
              </w:rPr>
            </w:pPr>
            <w:r>
              <w:rPr>
                <w:color w:val="auto"/>
                <w:sz w:val="24"/>
              </w:rPr>
              <w:t>（2）施工噪声：施工机械产生。</w:t>
            </w:r>
          </w:p>
          <w:p w14:paraId="79FF6AB9">
            <w:pPr>
              <w:adjustRightInd w:val="0"/>
              <w:snapToGrid w:val="0"/>
              <w:spacing w:line="440" w:lineRule="exact"/>
              <w:ind w:firstLine="480" w:firstLineChars="200"/>
              <w:rPr>
                <w:color w:val="auto"/>
                <w:sz w:val="24"/>
              </w:rPr>
            </w:pPr>
            <w:r>
              <w:rPr>
                <w:color w:val="auto"/>
                <w:sz w:val="24"/>
              </w:rPr>
              <w:t>（3）施工扬尘：线路杆塔基础开挖以及设备运输过程中产生。</w:t>
            </w:r>
          </w:p>
          <w:p w14:paraId="60D48461">
            <w:pPr>
              <w:adjustRightInd w:val="0"/>
              <w:snapToGrid w:val="0"/>
              <w:spacing w:line="440" w:lineRule="exact"/>
              <w:ind w:firstLine="480" w:firstLineChars="200"/>
              <w:rPr>
                <w:color w:val="auto"/>
                <w:sz w:val="24"/>
              </w:rPr>
            </w:pPr>
            <w:r>
              <w:rPr>
                <w:color w:val="auto"/>
                <w:sz w:val="24"/>
              </w:rPr>
              <w:t>（4）施工废污水：施工废水及施工人员的生活污水。</w:t>
            </w:r>
          </w:p>
          <w:p w14:paraId="5B85E157">
            <w:pPr>
              <w:adjustRightInd w:val="0"/>
              <w:snapToGrid w:val="0"/>
              <w:spacing w:line="440" w:lineRule="exact"/>
              <w:ind w:firstLine="480" w:firstLineChars="200"/>
              <w:rPr>
                <w:color w:val="auto"/>
                <w:sz w:val="24"/>
              </w:rPr>
            </w:pPr>
            <w:r>
              <w:rPr>
                <w:color w:val="auto"/>
                <w:sz w:val="24"/>
              </w:rPr>
              <w:t>（5）固体废物：杆塔基础施工可能产生的临时土方和建筑垃圾，施工人员的生活垃圾等。</w:t>
            </w:r>
          </w:p>
          <w:p w14:paraId="19E68B8B">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Times New Roman" w:hAnsi="Times New Roman"/>
                <w:color w:val="auto"/>
                <w:sz w:val="20"/>
                <w:szCs w:val="24"/>
              </w:rPr>
            </w:pPr>
            <w:r>
              <w:rPr>
                <w:rFonts w:ascii="Times New Roman" w:hAnsi="Times New Roman"/>
                <w:color w:val="auto"/>
                <w:sz w:val="24"/>
                <w:szCs w:val="24"/>
              </w:rPr>
              <w:t>本工程为</w:t>
            </w:r>
            <w:r>
              <w:rPr>
                <w:rFonts w:hint="eastAsia" w:ascii="Times New Roman" w:hAnsi="Times New Roman"/>
                <w:color w:val="auto"/>
                <w:sz w:val="24"/>
                <w:szCs w:val="24"/>
                <w:lang w:val="en-US" w:eastAsia="zh-CN"/>
              </w:rPr>
              <w:t>11</w:t>
            </w:r>
            <w:r>
              <w:rPr>
                <w:rFonts w:ascii="Times New Roman" w:hAnsi="Times New Roman"/>
                <w:color w:val="auto"/>
                <w:sz w:val="24"/>
                <w:szCs w:val="24"/>
              </w:rPr>
              <w:t>0</w:t>
            </w:r>
            <w:r>
              <w:rPr>
                <w:rFonts w:hint="eastAsia" w:ascii="Times New Roman" w:hAnsi="Times New Roman"/>
                <w:color w:val="auto"/>
                <w:sz w:val="24"/>
                <w:szCs w:val="24"/>
                <w:lang w:eastAsia="zh-CN"/>
              </w:rPr>
              <w:t>kV</w:t>
            </w:r>
            <w:r>
              <w:rPr>
                <w:rFonts w:ascii="Times New Roman" w:hAnsi="Times New Roman"/>
                <w:color w:val="auto"/>
                <w:sz w:val="24"/>
                <w:szCs w:val="24"/>
              </w:rPr>
              <w:t>输变</w:t>
            </w:r>
            <w:r>
              <w:rPr>
                <w:rFonts w:hint="eastAsia" w:ascii="Times New Roman" w:hAnsi="Times New Roman"/>
                <w:color w:val="auto"/>
                <w:sz w:val="24"/>
                <w:szCs w:val="24"/>
              </w:rPr>
              <w:t>线路</w:t>
            </w:r>
            <w:r>
              <w:rPr>
                <w:rFonts w:ascii="Times New Roman" w:hAnsi="Times New Roman"/>
                <w:color w:val="auto"/>
                <w:sz w:val="24"/>
                <w:szCs w:val="24"/>
              </w:rPr>
              <w:t>工程，施工期可能产生一定的生态环境和声环境、环境空气、水环境、固体废物等影响，但采取相应生态保护和污染防治措施后，施工期的环境影响是短暂的，并可在一定时间内得到恢复。</w:t>
            </w:r>
          </w:p>
          <w:p w14:paraId="18B9B702">
            <w:pPr>
              <w:adjustRightInd w:val="0"/>
              <w:snapToGrid w:val="0"/>
              <w:spacing w:line="440" w:lineRule="exact"/>
              <w:rPr>
                <w:b/>
                <w:color w:val="auto"/>
                <w:sz w:val="28"/>
                <w:szCs w:val="28"/>
              </w:rPr>
            </w:pPr>
            <w:r>
              <w:rPr>
                <w:rFonts w:hint="eastAsia"/>
                <w:b/>
                <w:color w:val="auto"/>
                <w:sz w:val="28"/>
                <w:szCs w:val="28"/>
              </w:rPr>
              <w:t>4.</w:t>
            </w:r>
            <w:r>
              <w:rPr>
                <w:b/>
                <w:color w:val="auto"/>
                <w:sz w:val="28"/>
                <w:szCs w:val="28"/>
              </w:rPr>
              <w:t>1</w:t>
            </w:r>
            <w:r>
              <w:rPr>
                <w:rFonts w:hint="eastAsia"/>
                <w:b/>
                <w:color w:val="auto"/>
                <w:sz w:val="28"/>
                <w:szCs w:val="28"/>
              </w:rPr>
              <w:t>.1</w:t>
            </w:r>
            <w:r>
              <w:rPr>
                <w:b/>
                <w:color w:val="auto"/>
                <w:sz w:val="28"/>
                <w:szCs w:val="28"/>
              </w:rPr>
              <w:t>施工期生态环境影响分析</w:t>
            </w:r>
          </w:p>
          <w:p w14:paraId="184A0212">
            <w:pPr>
              <w:adjustRightInd w:val="0"/>
              <w:snapToGrid w:val="0"/>
              <w:spacing w:line="440" w:lineRule="exact"/>
              <w:ind w:firstLine="480" w:firstLineChars="200"/>
              <w:rPr>
                <w:color w:val="auto"/>
                <w:sz w:val="24"/>
              </w:rPr>
            </w:pPr>
            <w:r>
              <w:rPr>
                <w:color w:val="auto"/>
                <w:sz w:val="24"/>
              </w:rPr>
              <w:t>本项目施工期对周边生态环境的影响主要体现在项目临时占地、永久占地及施工活动带来的影响。</w:t>
            </w:r>
            <w:r>
              <w:rPr>
                <w:rFonts w:hint="eastAsia"/>
                <w:color w:val="auto"/>
                <w:sz w:val="24"/>
              </w:rPr>
              <w:t>施工期，施工人员野外用火可能会引发森林草原火灾，造成</w:t>
            </w:r>
            <w:r>
              <w:rPr>
                <w:bCs/>
                <w:color w:val="auto"/>
                <w:sz w:val="24"/>
              </w:rPr>
              <w:t>植被的破坏、林木损失</w:t>
            </w:r>
            <w:r>
              <w:rPr>
                <w:rFonts w:hint="eastAsia"/>
                <w:color w:val="auto"/>
                <w:sz w:val="24"/>
              </w:rPr>
              <w:t>。</w:t>
            </w:r>
            <w:r>
              <w:rPr>
                <w:color w:val="auto"/>
                <w:sz w:val="24"/>
              </w:rPr>
              <w:t>线路塔基等永久占地处的开挖活动和牵张场地等临时占地将破坏地表植被，干扰野生动物的栖息。</w:t>
            </w:r>
            <w:r>
              <w:rPr>
                <w:rFonts w:hint="eastAsia"/>
                <w:color w:val="auto"/>
                <w:sz w:val="24"/>
                <w:lang w:val="en-US" w:eastAsia="zh-CN"/>
              </w:rPr>
              <w:t>根据</w:t>
            </w:r>
            <w:r>
              <w:rPr>
                <w:color w:val="auto"/>
                <w:sz w:val="24"/>
              </w:rPr>
              <w:t>生态环境影响专题评价</w:t>
            </w:r>
            <w:r>
              <w:rPr>
                <w:rFonts w:hint="eastAsia"/>
                <w:color w:val="auto"/>
                <w:sz w:val="24"/>
                <w:lang w:eastAsia="zh-CN"/>
              </w:rPr>
              <w:t>，</w:t>
            </w:r>
            <w:r>
              <w:rPr>
                <w:color w:val="auto"/>
                <w:sz w:val="24"/>
              </w:rPr>
              <w:t>生态</w:t>
            </w:r>
            <w:r>
              <w:rPr>
                <w:bCs/>
                <w:color w:val="auto"/>
                <w:sz w:val="24"/>
              </w:rPr>
              <w:t>环境</w:t>
            </w:r>
            <w:r>
              <w:rPr>
                <w:color w:val="auto"/>
                <w:sz w:val="24"/>
              </w:rPr>
              <w:t>影响分析</w:t>
            </w:r>
            <w:r>
              <w:rPr>
                <w:rFonts w:hint="eastAsia"/>
                <w:color w:val="auto"/>
                <w:sz w:val="24"/>
                <w:lang w:val="en-US" w:eastAsia="zh-CN"/>
              </w:rPr>
              <w:t>主要</w:t>
            </w:r>
            <w:r>
              <w:rPr>
                <w:color w:val="auto"/>
                <w:sz w:val="24"/>
              </w:rPr>
              <w:t>内容</w:t>
            </w:r>
            <w:r>
              <w:rPr>
                <w:rFonts w:hint="eastAsia"/>
                <w:color w:val="auto"/>
                <w:sz w:val="24"/>
                <w:lang w:val="en-US" w:eastAsia="zh-CN"/>
              </w:rPr>
              <w:t>如下：</w:t>
            </w:r>
          </w:p>
          <w:p w14:paraId="2B642BA3">
            <w:pPr>
              <w:adjustRightInd w:val="0"/>
              <w:snapToGrid w:val="0"/>
              <w:spacing w:line="440" w:lineRule="exact"/>
              <w:ind w:firstLine="482" w:firstLineChars="200"/>
              <w:rPr>
                <w:rFonts w:hint="eastAsia"/>
                <w:b/>
                <w:color w:val="auto"/>
                <w:sz w:val="24"/>
              </w:rPr>
            </w:pPr>
            <w:r>
              <w:rPr>
                <w:rFonts w:hint="eastAsia"/>
                <w:b/>
                <w:color w:val="auto"/>
                <w:sz w:val="24"/>
              </w:rPr>
              <w:t>（1）土地利用影响分析</w:t>
            </w:r>
          </w:p>
          <w:p w14:paraId="1CD1F2B3">
            <w:pPr>
              <w:adjustRightInd w:val="0"/>
              <w:snapToGrid w:val="0"/>
              <w:spacing w:line="440" w:lineRule="exact"/>
              <w:ind w:firstLine="480" w:firstLineChars="200"/>
              <w:rPr>
                <w:bCs/>
                <w:color w:val="auto"/>
                <w:sz w:val="24"/>
              </w:rPr>
            </w:pPr>
            <w:r>
              <w:rPr>
                <w:bCs/>
                <w:color w:val="auto"/>
                <w:sz w:val="24"/>
              </w:rPr>
              <w:t>本工程用地主要包括改变功能和非改变功能的用地两类，前者包括线路塔基占地等；后者主要为工程临时占地，包括施工场地、施工临时道路等。</w:t>
            </w:r>
          </w:p>
          <w:p w14:paraId="7BC76965">
            <w:pPr>
              <w:adjustRightInd w:val="0"/>
              <w:snapToGrid w:val="0"/>
              <w:spacing w:line="440" w:lineRule="exact"/>
              <w:ind w:firstLine="480" w:firstLineChars="200"/>
              <w:rPr>
                <w:bCs/>
                <w:color w:val="auto"/>
                <w:sz w:val="24"/>
              </w:rPr>
            </w:pPr>
            <w:r>
              <w:rPr>
                <w:bCs/>
                <w:color w:val="auto"/>
                <w:sz w:val="24"/>
              </w:rPr>
              <w:t>经现场调查，本工程新建110kV</w:t>
            </w:r>
            <w:r>
              <w:rPr>
                <w:rFonts w:hint="eastAsia"/>
                <w:bCs/>
                <w:color w:val="auto"/>
                <w:sz w:val="24"/>
              </w:rPr>
              <w:t>线路塔基</w:t>
            </w:r>
            <w:r>
              <w:rPr>
                <w:bCs/>
                <w:color w:val="auto"/>
                <w:sz w:val="24"/>
              </w:rPr>
              <w:t>占地现状为</w:t>
            </w:r>
            <w:r>
              <w:rPr>
                <w:rFonts w:hint="eastAsia"/>
                <w:bCs/>
                <w:color w:val="auto"/>
                <w:sz w:val="24"/>
              </w:rPr>
              <w:t>林地、</w:t>
            </w:r>
            <w:r>
              <w:rPr>
                <w:bCs/>
                <w:color w:val="auto"/>
                <w:sz w:val="24"/>
              </w:rPr>
              <w:t>一般耕地</w:t>
            </w:r>
            <w:r>
              <w:rPr>
                <w:rFonts w:hint="eastAsia"/>
                <w:bCs/>
                <w:color w:val="auto"/>
                <w:sz w:val="24"/>
              </w:rPr>
              <w:t>及</w:t>
            </w:r>
            <w:r>
              <w:rPr>
                <w:rFonts w:hint="eastAsia" w:ascii="Times New Roman" w:hAnsi="Times New Roman" w:cs="Times New Roman"/>
                <w:bCs/>
                <w:color w:val="auto"/>
                <w:sz w:val="24"/>
                <w:szCs w:val="24"/>
                <w:lang w:val="en-US" w:eastAsia="zh-CN"/>
              </w:rPr>
              <w:t>草地</w:t>
            </w:r>
            <w:r>
              <w:rPr>
                <w:rFonts w:hint="eastAsia"/>
                <w:bCs/>
                <w:color w:val="auto"/>
                <w:sz w:val="24"/>
              </w:rPr>
              <w:t>等</w:t>
            </w:r>
            <w:r>
              <w:rPr>
                <w:bCs/>
                <w:color w:val="auto"/>
                <w:sz w:val="24"/>
              </w:rPr>
              <w:t>，不涉及永久基本农田。</w:t>
            </w:r>
          </w:p>
          <w:p w14:paraId="68CAB33F">
            <w:pPr>
              <w:adjustRightInd w:val="0"/>
              <w:snapToGrid w:val="0"/>
              <w:spacing w:line="440" w:lineRule="exact"/>
              <w:ind w:firstLine="480" w:firstLineChars="200"/>
              <w:rPr>
                <w:rFonts w:ascii="Times New Roman" w:hAnsi="Times New Roman" w:eastAsia="宋体" w:cs="Times New Roman"/>
                <w:bCs/>
                <w:color w:val="auto"/>
                <w:sz w:val="24"/>
              </w:rPr>
            </w:pPr>
            <w:r>
              <w:rPr>
                <w:bCs/>
                <w:color w:val="auto"/>
                <w:sz w:val="24"/>
              </w:rPr>
              <w:t>据现场调查，塔基主要位于耕地、林地、</w:t>
            </w:r>
            <w:r>
              <w:rPr>
                <w:rFonts w:hint="eastAsia" w:ascii="Times New Roman" w:hAnsi="Times New Roman" w:cs="Times New Roman"/>
                <w:bCs/>
                <w:color w:val="auto"/>
                <w:sz w:val="24"/>
                <w:szCs w:val="24"/>
                <w:lang w:val="en-US" w:eastAsia="zh-CN"/>
              </w:rPr>
              <w:t>草地</w:t>
            </w:r>
            <w:r>
              <w:rPr>
                <w:bCs/>
                <w:color w:val="auto"/>
                <w:sz w:val="24"/>
              </w:rPr>
              <w:t>中，但占地面积相对小和分散，施工期主要采取措施：严格控制施工用地红线范围，施工结束时进行平整恢复，进行就地撒种等，但部分塔基占地未进行植被恢复，存在部分裸露地表，造成水土流失，影响景观。因此，本次评价要求按照水土保持报告表要求，及时进行</w:t>
            </w:r>
            <w:r>
              <w:rPr>
                <w:rFonts w:ascii="Times New Roman" w:hAnsi="Times New Roman" w:eastAsia="宋体" w:cs="Times New Roman"/>
                <w:bCs/>
                <w:color w:val="auto"/>
                <w:sz w:val="24"/>
              </w:rPr>
              <w:t>裸露地表的植被恢复及相关防护措施。在采取以上措施后，施工对占地影响可以接受。</w:t>
            </w:r>
          </w:p>
          <w:p w14:paraId="35CEF78E">
            <w:pPr>
              <w:adjustRightInd w:val="0"/>
              <w:snapToGrid w:val="0"/>
              <w:spacing w:line="440" w:lineRule="exact"/>
              <w:ind w:firstLine="482" w:firstLineChars="200"/>
              <w:rPr>
                <w:rFonts w:hint="eastAsia"/>
                <w:b/>
                <w:color w:val="auto"/>
                <w:sz w:val="24"/>
              </w:rPr>
            </w:pPr>
            <w:r>
              <w:rPr>
                <w:rFonts w:hint="eastAsia"/>
                <w:b/>
                <w:color w:val="auto"/>
                <w:sz w:val="24"/>
              </w:rPr>
              <w:t>（2）对植物及植被影响分析</w:t>
            </w:r>
          </w:p>
          <w:p w14:paraId="5B21BDC9">
            <w:pPr>
              <w:adjustRightInd w:val="0"/>
              <w:snapToGrid w:val="0"/>
              <w:spacing w:line="440" w:lineRule="exact"/>
              <w:ind w:firstLine="480" w:firstLineChars="200"/>
              <w:rPr>
                <w:bCs/>
                <w:color w:val="auto"/>
                <w:sz w:val="24"/>
              </w:rPr>
            </w:pPr>
            <w:r>
              <w:rPr>
                <w:rFonts w:hint="default" w:ascii="Times New Roman" w:hAnsi="Times New Roman" w:eastAsia="宋体" w:cs="Times New Roman"/>
                <w:bCs/>
                <w:color w:val="auto"/>
                <w:sz w:val="24"/>
                <w:szCs w:val="24"/>
              </w:rPr>
              <w:t>本项目建设将对区域生态环境产生一定的影响，但受本工程建设影响的植被类型、植物种类在项目区及周边区域广泛分布，植物种类均为区域常见种，没有保护植物及该区域特有物种分布，工程对其不利影响仅限于局部，占用植被面积有限，影响范围和程度有限，且以人工植被</w:t>
            </w:r>
            <w:r>
              <w:rPr>
                <w:rFonts w:hint="default" w:ascii="Times New Roman" w:hAnsi="Times New Roman" w:eastAsia="宋体" w:cs="Times New Roman"/>
                <w:bCs/>
                <w:color w:val="auto"/>
                <w:sz w:val="24"/>
                <w:szCs w:val="24"/>
                <w:lang w:eastAsia="zh-CN"/>
              </w:rPr>
              <w:t>、暖温性针叶林、</w:t>
            </w:r>
            <w:r>
              <w:rPr>
                <w:rFonts w:hint="default" w:ascii="Times New Roman" w:hAnsi="Times New Roman" w:eastAsia="宋体" w:cs="Times New Roman"/>
                <w:bCs/>
                <w:color w:val="auto"/>
                <w:sz w:val="24"/>
                <w:szCs w:val="24"/>
                <w:lang w:val="en-US" w:eastAsia="zh-CN"/>
              </w:rPr>
              <w:t>植被及</w:t>
            </w:r>
            <w:r>
              <w:rPr>
                <w:rFonts w:hint="default" w:ascii="Times New Roman" w:hAnsi="Times New Roman" w:eastAsia="宋体" w:cs="Times New Roman"/>
                <w:bCs/>
                <w:color w:val="auto"/>
                <w:sz w:val="24"/>
                <w:szCs w:val="24"/>
                <w:lang w:eastAsia="zh-CN"/>
              </w:rPr>
              <w:t>暖</w:t>
            </w:r>
            <w:r>
              <w:rPr>
                <w:rFonts w:hint="eastAsia" w:ascii="Times New Roman" w:hAnsi="Times New Roman" w:cs="Times New Roman"/>
                <w:bCs/>
                <w:color w:val="auto"/>
                <w:sz w:val="24"/>
                <w:szCs w:val="24"/>
                <w:lang w:val="en-US" w:eastAsia="zh-CN"/>
              </w:rPr>
              <w:t>温</w:t>
            </w:r>
            <w:r>
              <w:rPr>
                <w:rFonts w:hint="default" w:ascii="Times New Roman" w:hAnsi="Times New Roman" w:eastAsia="宋体" w:cs="Times New Roman"/>
                <w:bCs/>
                <w:color w:val="auto"/>
                <w:sz w:val="24"/>
                <w:szCs w:val="24"/>
                <w:lang w:eastAsia="zh-CN"/>
              </w:rPr>
              <w:t>性稀树灌草丛</w:t>
            </w:r>
            <w:r>
              <w:rPr>
                <w:rFonts w:hint="default" w:ascii="Times New Roman" w:hAnsi="Times New Roman" w:eastAsia="宋体" w:cs="Times New Roman"/>
                <w:bCs/>
                <w:color w:val="auto"/>
                <w:sz w:val="24"/>
                <w:szCs w:val="24"/>
              </w:rPr>
              <w:t>植被为主，</w:t>
            </w:r>
            <w:r>
              <w:rPr>
                <w:rFonts w:hint="default" w:ascii="Times New Roman" w:hAnsi="Times New Roman" w:eastAsia="宋体" w:cs="Times New Roman"/>
                <w:bCs/>
                <w:color w:val="auto"/>
                <w:sz w:val="24"/>
                <w:szCs w:val="24"/>
                <w:lang w:val="en-US" w:eastAsia="zh-CN"/>
              </w:rPr>
              <w:t>项目线路塔基</w:t>
            </w:r>
            <w:r>
              <w:rPr>
                <w:rFonts w:hint="default" w:ascii="Times New Roman" w:hAnsi="Times New Roman" w:eastAsia="宋体" w:cs="Times New Roman"/>
                <w:bCs/>
                <w:color w:val="auto"/>
                <w:sz w:val="24"/>
                <w:szCs w:val="24"/>
              </w:rPr>
              <w:t>区域植被为</w:t>
            </w:r>
            <w:r>
              <w:rPr>
                <w:rFonts w:hint="default" w:ascii="Times New Roman" w:hAnsi="Times New Roman" w:eastAsia="宋体" w:cs="Times New Roman"/>
                <w:bCs/>
                <w:color w:val="auto"/>
                <w:sz w:val="24"/>
                <w:szCs w:val="24"/>
                <w:lang w:val="en-US" w:eastAsia="zh-CN"/>
              </w:rPr>
              <w:t>林地、</w:t>
            </w:r>
            <w:r>
              <w:rPr>
                <w:rFonts w:hint="default" w:ascii="Times New Roman" w:hAnsi="Times New Roman" w:eastAsia="宋体" w:cs="Times New Roman"/>
                <w:bCs/>
                <w:color w:val="auto"/>
                <w:sz w:val="24"/>
                <w:szCs w:val="24"/>
              </w:rPr>
              <w:t>耕地</w:t>
            </w:r>
            <w:r>
              <w:rPr>
                <w:rFonts w:hint="eastAsia" w:ascii="Times New Roman" w:hAnsi="Times New Roman" w:cs="Times New Roman"/>
                <w:bCs/>
                <w:color w:val="auto"/>
                <w:sz w:val="24"/>
                <w:szCs w:val="24"/>
                <w:lang w:eastAsia="zh-CN"/>
              </w:rPr>
              <w:t>、</w:t>
            </w:r>
            <w:r>
              <w:rPr>
                <w:rFonts w:hint="eastAsia" w:ascii="Times New Roman" w:hAnsi="Times New Roman" w:cs="Times New Roman"/>
                <w:bCs/>
                <w:color w:val="auto"/>
                <w:sz w:val="24"/>
                <w:szCs w:val="24"/>
                <w:lang w:val="en-US" w:eastAsia="zh-CN"/>
              </w:rPr>
              <w:t>草地</w:t>
            </w:r>
            <w:r>
              <w:rPr>
                <w:rFonts w:hint="default" w:ascii="Times New Roman" w:hAnsi="Times New Roman" w:eastAsia="宋体" w:cs="Times New Roman"/>
                <w:bCs/>
                <w:color w:val="auto"/>
                <w:sz w:val="24"/>
                <w:szCs w:val="24"/>
              </w:rPr>
              <w:t>及人工林，工程建设对区域自然植被的影响很小。输电线路永久占地破坏的植被仅限塔基范围之内，占地面积小，对当地常见植被的破坏也较少；临时占地对植被的破坏主要为设备覆压、施工人员、施工机械对植被的践踏，但由于为点状作业，单塔施工时间短，故临时占地对植被的破坏是短暂的，并随施工期的结束而逐步恢复；施工活动产生的扬尘会暂时降低区域内生态环境质量，间接影响</w:t>
            </w:r>
            <w:r>
              <w:rPr>
                <w:rFonts w:hint="eastAsia" w:ascii="Times New Roman" w:hAnsi="Times New Roman" w:eastAsia="宋体" w:cs="Times New Roman"/>
                <w:bCs/>
                <w:color w:val="auto"/>
                <w:sz w:val="24"/>
                <w:szCs w:val="24"/>
                <w:lang w:eastAsia="zh-CN"/>
              </w:rPr>
              <w:t>区域</w:t>
            </w:r>
            <w:r>
              <w:rPr>
                <w:rFonts w:hint="default" w:ascii="Times New Roman" w:hAnsi="Times New Roman" w:eastAsia="宋体" w:cs="Times New Roman"/>
                <w:bCs/>
                <w:color w:val="auto"/>
                <w:sz w:val="24"/>
                <w:szCs w:val="24"/>
              </w:rPr>
              <w:t>内植被生长发育，但影响是短暂的，并随施工结束而逐渐消失。工程建设对植被及植物资源的总体影响较小</w:t>
            </w:r>
            <w:r>
              <w:rPr>
                <w:rFonts w:hint="default" w:ascii="Times New Roman" w:hAnsi="Times New Roman" w:eastAsia="宋体" w:cs="Times New Roman"/>
                <w:bCs/>
                <w:color w:val="auto"/>
                <w:sz w:val="24"/>
                <w:szCs w:val="24"/>
                <w:lang w:eastAsia="zh-CN"/>
              </w:rPr>
              <w:t>。</w:t>
            </w:r>
          </w:p>
          <w:p w14:paraId="6A43FA27">
            <w:pPr>
              <w:adjustRightInd w:val="0"/>
              <w:snapToGrid w:val="0"/>
              <w:spacing w:line="440" w:lineRule="exact"/>
              <w:ind w:firstLine="482" w:firstLineChars="200"/>
              <w:rPr>
                <w:rFonts w:hint="eastAsia"/>
                <w:b/>
                <w:color w:val="auto"/>
                <w:sz w:val="24"/>
              </w:rPr>
            </w:pPr>
            <w:r>
              <w:rPr>
                <w:rFonts w:hint="eastAsia"/>
                <w:b/>
                <w:color w:val="auto"/>
                <w:sz w:val="24"/>
              </w:rPr>
              <w:t>（3）对</w:t>
            </w:r>
            <w:r>
              <w:rPr>
                <w:b/>
                <w:color w:val="auto"/>
                <w:sz w:val="24"/>
              </w:rPr>
              <w:t>动物</w:t>
            </w:r>
            <w:r>
              <w:rPr>
                <w:rFonts w:hint="eastAsia"/>
                <w:b/>
                <w:color w:val="auto"/>
                <w:sz w:val="24"/>
              </w:rPr>
              <w:t>影响分析</w:t>
            </w:r>
          </w:p>
          <w:p w14:paraId="6CD588D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本工程动物资源的调查结果表明，本工程线路沿线人类生产活动频繁，分布在该区域的野生动物较少。根据本工程的特点，对野生动物的影响主要发生在施工期。随着工程的开工，施工机械、施工人员的进场，土、石料堆积场及其它施工场地的布置，施工中产生的噪声可能干扰现有野生动物的生存环境，导致野生动物栖息环境的改变。</w:t>
            </w:r>
          </w:p>
          <w:p w14:paraId="4FEF796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本工程新建线路占地现状为林地、</w:t>
            </w:r>
            <w:r>
              <w:rPr>
                <w:rFonts w:hint="default" w:ascii="Times New Roman" w:hAnsi="Times New Roman" w:eastAsia="宋体" w:cs="Times New Roman"/>
                <w:bCs/>
                <w:color w:val="auto"/>
                <w:sz w:val="24"/>
                <w:szCs w:val="24"/>
              </w:rPr>
              <w:t>耕地</w:t>
            </w:r>
            <w:r>
              <w:rPr>
                <w:rFonts w:hint="eastAsia" w:ascii="Times New Roman" w:hAnsi="Times New Roman" w:cs="Times New Roman"/>
                <w:bCs/>
                <w:color w:val="auto"/>
                <w:sz w:val="24"/>
                <w:szCs w:val="24"/>
                <w:lang w:eastAsia="zh-CN"/>
              </w:rPr>
              <w:t>、</w:t>
            </w:r>
            <w:r>
              <w:rPr>
                <w:rFonts w:hint="eastAsia" w:ascii="Times New Roman" w:hAnsi="Times New Roman" w:cs="Times New Roman"/>
                <w:bCs/>
                <w:color w:val="auto"/>
                <w:sz w:val="24"/>
                <w:szCs w:val="24"/>
                <w:lang w:val="en-US" w:eastAsia="zh-CN"/>
              </w:rPr>
              <w:t>草地</w:t>
            </w:r>
            <w:r>
              <w:rPr>
                <w:rFonts w:hint="default" w:ascii="Times New Roman" w:hAnsi="Times New Roman" w:eastAsia="宋体" w:cs="Times New Roman"/>
                <w:bCs/>
                <w:color w:val="auto"/>
                <w:sz w:val="24"/>
                <w:szCs w:val="24"/>
                <w:lang w:val="en-US" w:eastAsia="zh-CN"/>
              </w:rPr>
              <w:t>，工程所在区域野生动物分布较少。输电线路工程杆塔基础占地为空间线性方式，施工方法为间断性的，施工通道则尽量利用天然的小路、机耕路、田间小道等，土建施工局部工作量较小。且施工人员的生活区一般安置在人类活动相对集中处，如村庄、集镇。</w:t>
            </w:r>
          </w:p>
          <w:p w14:paraId="0526CA7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本工程施工对野生动物的影响为间断性、暂时性的。</w:t>
            </w:r>
            <w:r>
              <w:rPr>
                <w:rFonts w:hint="default" w:ascii="Times New Roman" w:hAnsi="Times New Roman" w:eastAsia="宋体" w:cs="Times New Roman"/>
                <w:bCs/>
                <w:color w:val="auto"/>
                <w:sz w:val="24"/>
                <w:szCs w:val="24"/>
              </w:rPr>
              <w:t>工程占地范围不属于陆栖脊椎动物的主要栖息地，工程占地区外有广泛适宜的生境和栖息地，</w:t>
            </w:r>
            <w:r>
              <w:rPr>
                <w:rFonts w:hint="default" w:ascii="Times New Roman" w:hAnsi="Times New Roman" w:eastAsia="宋体" w:cs="Times New Roman"/>
                <w:bCs/>
                <w:color w:val="auto"/>
                <w:sz w:val="24"/>
                <w:szCs w:val="24"/>
                <w:lang w:val="en-US" w:eastAsia="zh-CN"/>
              </w:rPr>
              <w:t>施工完成后，部分野生动物仍可以到原栖息地附近区域栖息。因此，本工程施工对当地的动物不会产生明显影响。</w:t>
            </w:r>
          </w:p>
          <w:p w14:paraId="740B7943">
            <w:pPr>
              <w:pStyle w:val="92"/>
              <w:snapToGrid w:val="0"/>
              <w:spacing w:line="440" w:lineRule="exact"/>
              <w:ind w:firstLine="482" w:firstLineChars="200"/>
              <w:jc w:val="both"/>
              <w:rPr>
                <w:rFonts w:hint="eastAsia"/>
                <w:b/>
                <w:color w:val="auto"/>
              </w:rPr>
            </w:pPr>
            <w:r>
              <w:rPr>
                <w:rFonts w:hint="eastAsia"/>
                <w:b/>
                <w:color w:val="auto"/>
              </w:rPr>
              <w:t>（4）对公益林的影响分析</w:t>
            </w:r>
          </w:p>
          <w:p w14:paraId="37716ACB">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Times New Roman" w:hAnsi="Times New Roman"/>
                <w:color w:val="auto"/>
                <w:sz w:val="24"/>
                <w:szCs w:val="24"/>
              </w:rPr>
            </w:pPr>
            <w:r>
              <w:rPr>
                <w:rFonts w:hint="default" w:ascii="Times New Roman" w:hAnsi="Times New Roman" w:cs="Times New Roman"/>
                <w:color w:val="auto"/>
                <w:sz w:val="24"/>
                <w:szCs w:val="24"/>
                <w:highlight w:val="none"/>
                <w:lang w:val="en-US" w:eastAsia="zh-CN"/>
              </w:rPr>
              <w:t>根据管理部门意见及林业调查数据结果，</w:t>
            </w:r>
            <w:r>
              <w:rPr>
                <w:rFonts w:ascii="Times New Roman" w:hAnsi="Times New Roman"/>
                <w:color w:val="auto"/>
                <w:sz w:val="24"/>
                <w:szCs w:val="24"/>
              </w:rPr>
              <w:t>项目不涉及占用国家一级公益林和国家二级公益林。项目占用省级公益林</w:t>
            </w:r>
            <w:r>
              <w:rPr>
                <w:rFonts w:hint="eastAsia" w:ascii="Times New Roman" w:hAnsi="Times New Roman"/>
                <w:color w:val="auto"/>
                <w:sz w:val="24"/>
                <w:szCs w:val="24"/>
                <w:lang w:val="en-US" w:eastAsia="zh-CN"/>
              </w:rPr>
              <w:t>0.0607</w:t>
            </w:r>
            <w:r>
              <w:rPr>
                <w:rFonts w:ascii="Times New Roman" w:hAnsi="Times New Roman"/>
                <w:color w:val="auto"/>
                <w:sz w:val="24"/>
                <w:szCs w:val="24"/>
              </w:rPr>
              <w:t>公顷，其中塔基永久占地</w:t>
            </w:r>
            <w:r>
              <w:rPr>
                <w:rFonts w:hint="eastAsia" w:ascii="Times New Roman" w:hAnsi="Times New Roman"/>
                <w:color w:val="auto"/>
                <w:sz w:val="24"/>
                <w:szCs w:val="24"/>
                <w:lang w:val="en-US" w:eastAsia="zh-CN"/>
              </w:rPr>
              <w:t>0.01413</w:t>
            </w:r>
            <w:r>
              <w:rPr>
                <w:rFonts w:ascii="Times New Roman" w:hAnsi="Times New Roman"/>
                <w:color w:val="auto"/>
                <w:sz w:val="24"/>
                <w:szCs w:val="24"/>
              </w:rPr>
              <w:t>公顷，临时占地</w:t>
            </w:r>
            <w:r>
              <w:rPr>
                <w:rFonts w:hint="eastAsia" w:ascii="Times New Roman" w:hAnsi="Times New Roman"/>
                <w:color w:val="auto"/>
                <w:sz w:val="24"/>
                <w:szCs w:val="24"/>
                <w:lang w:val="en-US" w:eastAsia="zh-CN"/>
              </w:rPr>
              <w:t>0.04657</w:t>
            </w:r>
            <w:r>
              <w:rPr>
                <w:rFonts w:ascii="Times New Roman" w:hAnsi="Times New Roman"/>
                <w:color w:val="auto"/>
                <w:sz w:val="24"/>
                <w:szCs w:val="24"/>
              </w:rPr>
              <w:t>公顷。其中塔基N</w:t>
            </w:r>
            <w:r>
              <w:rPr>
                <w:rFonts w:hint="eastAsia" w:ascii="Times New Roman" w:hAnsi="Times New Roman"/>
                <w:color w:val="auto"/>
                <w:sz w:val="24"/>
                <w:szCs w:val="24"/>
                <w:lang w:val="en-US" w:eastAsia="zh-CN"/>
              </w:rPr>
              <w:t>1</w:t>
            </w:r>
            <w:r>
              <w:rPr>
                <w:rFonts w:ascii="Times New Roman" w:hAnsi="Times New Roman"/>
                <w:color w:val="auto"/>
                <w:sz w:val="24"/>
                <w:szCs w:val="24"/>
              </w:rPr>
              <w:t>3、N</w:t>
            </w:r>
            <w:r>
              <w:rPr>
                <w:rFonts w:hint="eastAsia" w:ascii="Times New Roman" w:hAnsi="Times New Roman"/>
                <w:color w:val="auto"/>
                <w:sz w:val="24"/>
                <w:szCs w:val="24"/>
                <w:lang w:val="en-US" w:eastAsia="zh-CN"/>
              </w:rPr>
              <w:t>1</w:t>
            </w:r>
            <w:r>
              <w:rPr>
                <w:rFonts w:ascii="Times New Roman" w:hAnsi="Times New Roman"/>
                <w:color w:val="auto"/>
                <w:sz w:val="24"/>
                <w:szCs w:val="24"/>
              </w:rPr>
              <w:t>4共</w:t>
            </w:r>
            <w:r>
              <w:rPr>
                <w:rFonts w:hint="eastAsia" w:ascii="Times New Roman" w:hAnsi="Times New Roman"/>
                <w:color w:val="auto"/>
                <w:sz w:val="24"/>
                <w:szCs w:val="24"/>
                <w:lang w:val="en-US" w:eastAsia="zh-CN"/>
              </w:rPr>
              <w:t>2</w:t>
            </w:r>
            <w:r>
              <w:rPr>
                <w:rFonts w:ascii="Times New Roman" w:hAnsi="Times New Roman"/>
                <w:color w:val="auto"/>
                <w:sz w:val="24"/>
                <w:szCs w:val="24"/>
              </w:rPr>
              <w:t>个塔基占用省级公益林，面积约为</w:t>
            </w:r>
            <w:r>
              <w:rPr>
                <w:rFonts w:hint="eastAsia" w:ascii="Times New Roman" w:hAnsi="Times New Roman"/>
                <w:color w:val="auto"/>
                <w:sz w:val="24"/>
                <w:szCs w:val="24"/>
                <w:lang w:val="en-US" w:eastAsia="zh-CN"/>
              </w:rPr>
              <w:t>0.01413</w:t>
            </w:r>
            <w:r>
              <w:rPr>
                <w:rFonts w:ascii="Times New Roman" w:hAnsi="Times New Roman"/>
                <w:color w:val="auto"/>
                <w:sz w:val="24"/>
                <w:szCs w:val="24"/>
              </w:rPr>
              <w:t>公顷，主要功能为水土保持。临时占地主要为施工便道、人抬道路等。</w:t>
            </w:r>
          </w:p>
          <w:p w14:paraId="06A299B4">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lang w:val="en-US"/>
              </w:rPr>
              <w:t>公益林内项目临时占地为</w:t>
            </w:r>
            <w:r>
              <w:rPr>
                <w:rFonts w:hint="eastAsia" w:ascii="Times New Roman" w:hAnsi="Times New Roman" w:cs="Times New Roman"/>
                <w:bCs/>
                <w:color w:val="auto"/>
                <w:sz w:val="24"/>
                <w:szCs w:val="24"/>
                <w:lang w:val="en-US" w:eastAsia="zh-CN"/>
              </w:rPr>
              <w:t>塔基施工场地</w:t>
            </w:r>
            <w:r>
              <w:rPr>
                <w:rFonts w:hint="default" w:ascii="Times New Roman" w:hAnsi="Times New Roman" w:eastAsia="宋体" w:cs="Times New Roman"/>
                <w:bCs/>
                <w:color w:val="auto"/>
                <w:sz w:val="24"/>
                <w:szCs w:val="24"/>
                <w:lang w:val="en-US"/>
              </w:rPr>
              <w:t>，不在公益林内</w:t>
            </w:r>
            <w:r>
              <w:rPr>
                <w:rFonts w:hint="eastAsia" w:ascii="Times New Roman" w:hAnsi="Times New Roman" w:cs="Times New Roman"/>
                <w:bCs/>
                <w:color w:val="auto"/>
                <w:sz w:val="24"/>
                <w:szCs w:val="24"/>
                <w:lang w:val="en-US" w:eastAsia="zh-CN"/>
              </w:rPr>
              <w:t>设置</w:t>
            </w:r>
            <w:r>
              <w:rPr>
                <w:rFonts w:hint="default" w:ascii="Times New Roman" w:hAnsi="Times New Roman" w:eastAsia="宋体" w:cs="Times New Roman"/>
                <w:bCs/>
                <w:color w:val="auto"/>
                <w:sz w:val="24"/>
                <w:szCs w:val="24"/>
                <w:lang w:val="en-US"/>
              </w:rPr>
              <w:t>施工营地、取弃土场、材料站、牵张场等</w:t>
            </w:r>
            <w:r>
              <w:rPr>
                <w:rFonts w:hint="eastAsia" w:ascii="Times New Roman" w:hAnsi="Times New Roman" w:eastAsia="宋体" w:cs="Times New Roman"/>
                <w:bCs/>
                <w:color w:val="auto"/>
                <w:sz w:val="24"/>
                <w:szCs w:val="24"/>
                <w:lang w:val="en-US" w:eastAsia="zh-CN"/>
              </w:rPr>
              <w:t>其他</w:t>
            </w:r>
            <w:r>
              <w:rPr>
                <w:rFonts w:hint="default" w:ascii="Times New Roman" w:hAnsi="Times New Roman" w:eastAsia="宋体" w:cs="Times New Roman"/>
                <w:bCs/>
                <w:color w:val="auto"/>
                <w:sz w:val="24"/>
                <w:szCs w:val="24"/>
                <w:lang w:val="en-US"/>
              </w:rPr>
              <w:t>临时设施，占地需清除</w:t>
            </w:r>
            <w:r>
              <w:rPr>
                <w:rFonts w:hint="eastAsia" w:ascii="Times New Roman" w:hAnsi="Times New Roman" w:cs="Times New Roman"/>
                <w:bCs/>
                <w:color w:val="auto"/>
                <w:sz w:val="24"/>
                <w:szCs w:val="24"/>
                <w:lang w:val="en-US" w:eastAsia="zh-CN"/>
              </w:rPr>
              <w:t>塔基施工场地</w:t>
            </w:r>
            <w:r>
              <w:rPr>
                <w:rFonts w:hint="default" w:ascii="Times New Roman" w:hAnsi="Times New Roman" w:eastAsia="宋体" w:cs="Times New Roman"/>
                <w:bCs/>
                <w:color w:val="auto"/>
                <w:sz w:val="24"/>
                <w:szCs w:val="24"/>
                <w:lang w:val="en-US"/>
              </w:rPr>
              <w:t>域地表植被，新建人抬道路一般选择林间空地或林分较差的林地行走运输，线路架设采用无人机展放线，施工临时占地对植被的破坏面积较小，施工结束后及时选择当地植物种类进行植被恢复，基本不影响区公益林内临时占地区的植物种类。因此，虽然项目临时占地会破坏部分植物，可能会对植物数量产生一定的影响，但是一般在施工结束后即可恢复，对</w:t>
            </w:r>
            <w:r>
              <w:rPr>
                <w:rFonts w:hint="default" w:ascii="Times New Roman" w:hAnsi="Times New Roman" w:eastAsia="宋体" w:cs="Times New Roman"/>
                <w:bCs/>
                <w:color w:val="auto"/>
                <w:sz w:val="24"/>
                <w:szCs w:val="24"/>
                <w:lang w:val="en-US" w:eastAsia="zh-CN"/>
              </w:rPr>
              <w:t>公益林</w:t>
            </w:r>
            <w:r>
              <w:rPr>
                <w:rFonts w:hint="default" w:ascii="Times New Roman" w:hAnsi="Times New Roman" w:eastAsia="宋体" w:cs="Times New Roman"/>
                <w:bCs/>
                <w:color w:val="auto"/>
                <w:sz w:val="24"/>
                <w:szCs w:val="24"/>
                <w:lang w:val="en-US"/>
              </w:rPr>
              <w:t>的影响很小。</w:t>
            </w:r>
          </w:p>
          <w:p w14:paraId="71276C9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rPr>
              <w:t>总之，从生态影响的角度看，本工程建设和运行对区域生态环境影响不大，在可以接受的范围内。</w:t>
            </w:r>
          </w:p>
          <w:p w14:paraId="3A567BAB">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cs="Times New Roman"/>
                <w:bCs/>
                <w:color w:val="auto"/>
                <w:sz w:val="24"/>
                <w:szCs w:val="24"/>
                <w:lang w:eastAsia="zh-CN"/>
              </w:rPr>
            </w:pPr>
            <w:r>
              <w:rPr>
                <w:rFonts w:hint="default" w:ascii="Times New Roman" w:hAnsi="Times New Roman" w:eastAsia="宋体" w:cs="Times New Roman"/>
                <w:bCs/>
                <w:color w:val="auto"/>
                <w:sz w:val="24"/>
                <w:szCs w:val="24"/>
                <w:lang w:val="en-US" w:eastAsia="zh-CN"/>
              </w:rPr>
              <w:t>生态环境影响分析内容详见本项目生态环境影响专题评价。</w:t>
            </w:r>
          </w:p>
          <w:p w14:paraId="78C1060F">
            <w:pPr>
              <w:adjustRightInd w:val="0"/>
              <w:snapToGrid w:val="0"/>
              <w:spacing w:line="440" w:lineRule="exact"/>
              <w:ind w:firstLine="482" w:firstLineChars="200"/>
              <w:rPr>
                <w:b/>
                <w:color w:val="auto"/>
                <w:sz w:val="24"/>
              </w:rPr>
            </w:pPr>
            <w:r>
              <w:rPr>
                <w:rFonts w:hint="eastAsia"/>
                <w:b/>
                <w:color w:val="auto"/>
                <w:sz w:val="24"/>
              </w:rPr>
              <w:t>（5）对生态保护红线的影响</w:t>
            </w:r>
          </w:p>
          <w:p w14:paraId="7ABF1494">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Times New Roman" w:hAnsi="Times New Roman" w:cs="Times New Roman"/>
                <w:color w:val="auto"/>
                <w:sz w:val="24"/>
                <w:szCs w:val="24"/>
              </w:rPr>
            </w:pPr>
            <w:r>
              <w:rPr>
                <w:rFonts w:hint="eastAsia" w:ascii="Times New Roman" w:hAnsi="Times New Roman" w:eastAsia="宋体" w:cs="Times New Roman"/>
                <w:b w:val="0"/>
                <w:bCs/>
                <w:color w:val="auto"/>
                <w:sz w:val="24"/>
                <w:lang w:val="en-US" w:eastAsia="zh-CN"/>
              </w:rPr>
              <w:t>根据调查，</w:t>
            </w:r>
            <w:r>
              <w:rPr>
                <w:rFonts w:hint="eastAsia"/>
                <w:color w:val="auto"/>
                <w:kern w:val="0"/>
                <w:sz w:val="24"/>
                <w:lang w:val="en-US" w:eastAsia="zh-CN"/>
              </w:rPr>
              <w:t>结合会泽县自然资源局</w:t>
            </w:r>
            <w:r>
              <w:rPr>
                <w:rFonts w:hint="eastAsia"/>
                <w:color w:val="auto"/>
                <w:kern w:val="0"/>
                <w:sz w:val="24"/>
              </w:rPr>
              <w:t>意见，</w:t>
            </w:r>
            <w:r>
              <w:rPr>
                <w:color w:val="auto"/>
                <w:kern w:val="0"/>
                <w:sz w:val="24"/>
              </w:rPr>
              <w:t>本项目</w:t>
            </w:r>
            <w:r>
              <w:rPr>
                <w:rFonts w:hint="eastAsia"/>
                <w:color w:val="auto"/>
                <w:kern w:val="0"/>
                <w:sz w:val="24"/>
              </w:rPr>
              <w:t>占地</w:t>
            </w:r>
            <w:r>
              <w:rPr>
                <w:rFonts w:hint="eastAsia"/>
                <w:color w:val="auto"/>
                <w:kern w:val="0"/>
                <w:sz w:val="24"/>
                <w:lang w:val="en-US" w:eastAsia="zh-CN"/>
              </w:rPr>
              <w:t>范围</w:t>
            </w:r>
            <w:r>
              <w:rPr>
                <w:color w:val="auto"/>
                <w:kern w:val="0"/>
                <w:sz w:val="24"/>
              </w:rPr>
              <w:t>不涉及</w:t>
            </w:r>
            <w:r>
              <w:rPr>
                <w:rFonts w:hint="eastAsia"/>
                <w:color w:val="auto"/>
                <w:kern w:val="0"/>
                <w:sz w:val="24"/>
                <w:lang w:val="en-US" w:eastAsia="zh-CN"/>
              </w:rPr>
              <w:t>占用</w:t>
            </w:r>
            <w:r>
              <w:rPr>
                <w:rFonts w:hint="eastAsia"/>
                <w:color w:val="auto"/>
                <w:sz w:val="24"/>
              </w:rPr>
              <w:t>生态保护红线</w:t>
            </w:r>
            <w:r>
              <w:rPr>
                <w:rFonts w:hint="eastAsia"/>
                <w:color w:val="auto"/>
                <w:sz w:val="24"/>
                <w:lang w:eastAsia="zh-CN"/>
              </w:rPr>
              <w:t>，</w:t>
            </w:r>
            <w:r>
              <w:rPr>
                <w:rFonts w:hint="eastAsia" w:ascii="Times New Roman" w:hAnsi="Times New Roman" w:eastAsia="宋体" w:cs="Times New Roman"/>
                <w:b w:val="0"/>
                <w:bCs/>
                <w:color w:val="auto"/>
                <w:sz w:val="24"/>
                <w:lang w:val="en-US" w:eastAsia="zh-CN"/>
              </w:rPr>
              <w:t>本工程输变电线路N7-N8之间穿越生态保护红线共计89.2m，</w:t>
            </w:r>
            <w:r>
              <w:rPr>
                <w:rFonts w:ascii="Times New Roman" w:hAnsi="Times New Roman" w:cs="Times New Roman"/>
                <w:color w:val="auto"/>
                <w:sz w:val="24"/>
                <w:szCs w:val="24"/>
              </w:rPr>
              <w:t>项目生态环境影响范围内的</w:t>
            </w:r>
            <w:r>
              <w:rPr>
                <w:rFonts w:ascii="Times New Roman" w:hAnsi="Times New Roman" w:eastAsia="宋体" w:cs="Times New Roman"/>
                <w:color w:val="auto"/>
                <w:sz w:val="24"/>
                <w:szCs w:val="24"/>
              </w:rPr>
              <w:t>生态保护红线</w:t>
            </w:r>
            <w:r>
              <w:rPr>
                <w:rFonts w:ascii="Times New Roman" w:hAnsi="Times New Roman" w:cs="Times New Roman"/>
                <w:color w:val="auto"/>
                <w:sz w:val="24"/>
                <w:szCs w:val="24"/>
              </w:rPr>
              <w:t>区受人类生产活动干扰影响严重</w:t>
            </w:r>
            <w:r>
              <w:rPr>
                <w:rFonts w:hint="eastAsia" w:ascii="Times New Roman" w:hAnsi="Times New Roman" w:cs="Times New Roman"/>
                <w:color w:val="auto"/>
                <w:sz w:val="24"/>
                <w:szCs w:val="24"/>
                <w:lang w:eastAsia="zh-CN"/>
              </w:rPr>
              <w:t>。</w:t>
            </w:r>
            <w:r>
              <w:rPr>
                <w:rFonts w:hint="eastAsia"/>
                <w:color w:val="auto"/>
                <w:sz w:val="24"/>
                <w:szCs w:val="24"/>
              </w:rPr>
              <w:t>项目占用的生态保护红线区域内</w:t>
            </w:r>
            <w:r>
              <w:rPr>
                <w:rFonts w:hint="eastAsia"/>
                <w:color w:val="auto"/>
                <w:sz w:val="24"/>
                <w:szCs w:val="24"/>
                <w:lang w:val="en-US" w:eastAsia="zh-CN"/>
              </w:rPr>
              <w:t>未</w:t>
            </w:r>
            <w:r>
              <w:rPr>
                <w:rFonts w:hint="eastAsia"/>
                <w:color w:val="auto"/>
                <w:sz w:val="24"/>
                <w:szCs w:val="24"/>
              </w:rPr>
              <w:t>发现珍稀植物，塔基的修建占地面积非常小，不会造成野生动植物的生境丧失，也不会对栖息地的联通造成影响；线路占地不会导致该区域的物种消失，也不会对物种种类、数量、植被面积等造成明显影响，也不会导致植被生境破碎化</w:t>
            </w:r>
            <w:r>
              <w:rPr>
                <w:rFonts w:hint="eastAsia"/>
                <w:color w:val="auto"/>
                <w:sz w:val="24"/>
                <w:szCs w:val="24"/>
                <w:lang w:eastAsia="zh-CN"/>
              </w:rPr>
              <w:t>。</w:t>
            </w:r>
            <w:r>
              <w:rPr>
                <w:rFonts w:ascii="Times New Roman" w:hAnsi="Times New Roman" w:cs="Times New Roman"/>
                <w:color w:val="auto"/>
                <w:sz w:val="24"/>
                <w:szCs w:val="24"/>
              </w:rPr>
              <w:t>项目建设不会造成</w:t>
            </w:r>
            <w:r>
              <w:rPr>
                <w:rFonts w:ascii="Times New Roman" w:hAnsi="Times New Roman" w:eastAsia="宋体" w:cs="Times New Roman"/>
                <w:color w:val="auto"/>
                <w:sz w:val="24"/>
                <w:szCs w:val="24"/>
              </w:rPr>
              <w:t>生态保护红线</w:t>
            </w:r>
            <w:r>
              <w:rPr>
                <w:rFonts w:ascii="Times New Roman" w:hAnsi="Times New Roman" w:cs="Times New Roman"/>
                <w:color w:val="auto"/>
                <w:sz w:val="24"/>
                <w:szCs w:val="24"/>
              </w:rPr>
              <w:t>区内植被面积下降，不会导致植物种群数量减少。项目施工期将造成受影响区域内陆栖脊椎动物数量少量减少，施工结束后又会逐渐恢复。</w:t>
            </w:r>
            <w:r>
              <w:rPr>
                <w:rFonts w:hint="eastAsia"/>
                <w:b w:val="0"/>
                <w:bCs/>
                <w:color w:val="auto"/>
                <w:sz w:val="24"/>
                <w:szCs w:val="24"/>
              </w:rPr>
              <w:t>工程不涉及保护动物重要栖息地，</w:t>
            </w:r>
            <w:r>
              <w:rPr>
                <w:rFonts w:ascii="Times New Roman" w:hAnsi="Times New Roman" w:cs="Times New Roman"/>
                <w:color w:val="auto"/>
                <w:sz w:val="24"/>
                <w:szCs w:val="24"/>
              </w:rPr>
              <w:t>项目建设不会造成区域内物种的显著减少，更不会造成任何物种的濒危或灭绝。</w:t>
            </w:r>
          </w:p>
          <w:p w14:paraId="0FE847F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b w:val="0"/>
                <w:bCs/>
                <w:color w:val="auto"/>
                <w:sz w:val="24"/>
                <w:szCs w:val="24"/>
              </w:rPr>
            </w:pPr>
            <w:r>
              <w:rPr>
                <w:rFonts w:hint="eastAsia"/>
                <w:b w:val="0"/>
                <w:bCs/>
                <w:color w:val="auto"/>
                <w:sz w:val="24"/>
                <w:szCs w:val="24"/>
              </w:rPr>
              <w:t>同时，施工中</w:t>
            </w:r>
            <w:r>
              <w:rPr>
                <w:rFonts w:hint="eastAsia"/>
                <w:b w:val="0"/>
                <w:bCs/>
                <w:color w:val="auto"/>
                <w:sz w:val="24"/>
                <w:szCs w:val="24"/>
                <w:lang w:val="en-US" w:eastAsia="zh-CN"/>
              </w:rPr>
              <w:t>严格控制施工范围，</w:t>
            </w:r>
            <w:r>
              <w:rPr>
                <w:rFonts w:hint="eastAsia"/>
                <w:b w:val="0"/>
                <w:bCs/>
                <w:color w:val="auto"/>
                <w:sz w:val="24"/>
                <w:szCs w:val="24"/>
              </w:rPr>
              <w:t>文明施工、做好植被恢复及水土保持设施措施</w:t>
            </w:r>
            <w:r>
              <w:rPr>
                <w:rFonts w:hint="eastAsia"/>
                <w:b w:val="0"/>
                <w:bCs/>
                <w:color w:val="auto"/>
                <w:sz w:val="24"/>
                <w:szCs w:val="24"/>
                <w:lang w:eastAsia="zh-CN"/>
              </w:rPr>
              <w:t>、</w:t>
            </w:r>
            <w:r>
              <w:rPr>
                <w:b w:val="0"/>
                <w:bCs/>
                <w:color w:val="auto"/>
                <w:sz w:val="24"/>
                <w:szCs w:val="24"/>
              </w:rPr>
              <w:t>使用无人机放线</w:t>
            </w:r>
            <w:r>
              <w:rPr>
                <w:rFonts w:hint="eastAsia"/>
                <w:b w:val="0"/>
                <w:bCs/>
                <w:color w:val="auto"/>
                <w:sz w:val="24"/>
                <w:szCs w:val="24"/>
                <w:lang w:val="en-US" w:eastAsia="zh-CN"/>
              </w:rPr>
              <w:t>等，施工结束后已采取植被恢复等措施，</w:t>
            </w:r>
            <w:r>
              <w:rPr>
                <w:rFonts w:hint="eastAsia"/>
                <w:b w:val="0"/>
                <w:bCs/>
                <w:color w:val="auto"/>
                <w:sz w:val="24"/>
                <w:szCs w:val="24"/>
              </w:rPr>
              <w:t>在做好各项</w:t>
            </w:r>
            <w:r>
              <w:rPr>
                <w:rFonts w:hint="eastAsia"/>
                <w:b w:val="0"/>
                <w:bCs/>
                <w:color w:val="auto"/>
                <w:sz w:val="24"/>
                <w:szCs w:val="24"/>
                <w:lang w:val="en-US" w:eastAsia="zh-CN"/>
              </w:rPr>
              <w:t>生态保护措施后</w:t>
            </w:r>
            <w:r>
              <w:rPr>
                <w:rFonts w:hint="eastAsia"/>
                <w:b w:val="0"/>
                <w:bCs/>
                <w:color w:val="auto"/>
                <w:sz w:val="24"/>
                <w:szCs w:val="24"/>
              </w:rPr>
              <w:t>，线路建设不会破坏</w:t>
            </w:r>
            <w:r>
              <w:rPr>
                <w:rFonts w:hint="eastAsia"/>
                <w:b w:val="0"/>
                <w:bCs/>
                <w:color w:val="auto"/>
                <w:sz w:val="24"/>
                <w:szCs w:val="24"/>
                <w:lang w:val="en-US" w:eastAsia="zh-CN"/>
              </w:rPr>
              <w:t>动物</w:t>
            </w:r>
            <w:r>
              <w:rPr>
                <w:rFonts w:hint="eastAsia"/>
                <w:b w:val="0"/>
                <w:bCs/>
                <w:color w:val="auto"/>
                <w:sz w:val="24"/>
                <w:szCs w:val="24"/>
              </w:rPr>
              <w:t>生境</w:t>
            </w:r>
            <w:r>
              <w:rPr>
                <w:rFonts w:hint="eastAsia"/>
                <w:b w:val="0"/>
                <w:bCs/>
                <w:color w:val="auto"/>
                <w:sz w:val="24"/>
                <w:szCs w:val="24"/>
                <w:lang w:eastAsia="zh-CN"/>
              </w:rPr>
              <w:t>、</w:t>
            </w:r>
            <w:r>
              <w:rPr>
                <w:rFonts w:hint="eastAsia"/>
                <w:b w:val="0"/>
                <w:bCs/>
                <w:color w:val="auto"/>
                <w:sz w:val="24"/>
                <w:szCs w:val="24"/>
                <w:lang w:val="en-US" w:eastAsia="zh-CN"/>
              </w:rPr>
              <w:t>栖息地等</w:t>
            </w:r>
            <w:r>
              <w:rPr>
                <w:rFonts w:hint="eastAsia"/>
                <w:b w:val="0"/>
                <w:bCs/>
                <w:color w:val="auto"/>
                <w:sz w:val="24"/>
                <w:szCs w:val="24"/>
              </w:rPr>
              <w:t>。</w:t>
            </w:r>
          </w:p>
          <w:p w14:paraId="11D4A12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eastAsia="宋体"/>
                <w:b w:val="0"/>
                <w:bCs/>
                <w:color w:val="auto"/>
                <w:sz w:val="24"/>
                <w:szCs w:val="24"/>
                <w:lang w:eastAsia="zh-CN"/>
              </w:rPr>
            </w:pPr>
            <w:r>
              <w:rPr>
                <w:rFonts w:hint="eastAsia"/>
                <w:b w:val="0"/>
                <w:bCs/>
                <w:color w:val="auto"/>
                <w:sz w:val="24"/>
                <w:szCs w:val="24"/>
              </w:rPr>
              <w:t>因此，工程建设基本不会对生态保护红线的主导功能造成影响</w:t>
            </w:r>
            <w:r>
              <w:rPr>
                <w:rFonts w:hint="eastAsia"/>
                <w:b w:val="0"/>
                <w:bCs/>
                <w:color w:val="auto"/>
                <w:sz w:val="24"/>
                <w:szCs w:val="24"/>
                <w:lang w:eastAsia="zh-CN"/>
              </w:rPr>
              <w:t>。</w:t>
            </w:r>
          </w:p>
          <w:p w14:paraId="542A1215">
            <w:pPr>
              <w:pStyle w:val="73"/>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auto"/>
              <w:outlineLvl w:val="9"/>
              <w:rPr>
                <w:rFonts w:ascii="Times New Roman" w:hAnsi="Times New Roman" w:cs="Times New Roman"/>
                <w:color w:val="auto"/>
                <w:sz w:val="24"/>
                <w:szCs w:val="24"/>
              </w:rPr>
            </w:pPr>
            <w:r>
              <w:rPr>
                <w:b w:val="0"/>
                <w:bCs w:val="0"/>
                <w:color w:val="auto"/>
                <w:sz w:val="24"/>
                <w:szCs w:val="24"/>
              </w:rPr>
              <w:t>总之，</w:t>
            </w:r>
            <w:r>
              <w:rPr>
                <w:b w:val="0"/>
                <w:bCs/>
                <w:color w:val="auto"/>
                <w:sz w:val="24"/>
                <w:szCs w:val="24"/>
              </w:rPr>
              <w:t>本工程施工工程量小，建设周期短，产生的噪声及粉尘量少，这种影响并不明显。</w:t>
            </w:r>
            <w:r>
              <w:rPr>
                <w:rFonts w:hint="eastAsia"/>
                <w:b w:val="0"/>
                <w:bCs/>
                <w:color w:val="auto"/>
                <w:sz w:val="24"/>
                <w:szCs w:val="24"/>
              </w:rPr>
              <w:t>严格控制</w:t>
            </w:r>
            <w:r>
              <w:rPr>
                <w:rFonts w:hint="eastAsia" w:ascii="Times New Roman" w:hAnsi="Times New Roman" w:eastAsia="宋体" w:cs="Times New Roman"/>
                <w:b w:val="0"/>
                <w:bCs/>
                <w:color w:val="auto"/>
                <w:sz w:val="24"/>
                <w:szCs w:val="24"/>
              </w:rPr>
              <w:t>施工范围，</w:t>
            </w:r>
            <w:r>
              <w:rPr>
                <w:rFonts w:ascii="Times New Roman" w:hAnsi="Times New Roman" w:eastAsia="宋体" w:cs="Times New Roman"/>
                <w:b w:val="0"/>
                <w:bCs/>
                <w:color w:val="auto"/>
                <w:sz w:val="24"/>
                <w:szCs w:val="24"/>
              </w:rPr>
              <w:t>不会造成生态保护红线内植被面积下降，不会导致植物种群数量减少</w:t>
            </w:r>
            <w:r>
              <w:rPr>
                <w:rFonts w:hint="eastAsia" w:ascii="Times New Roman" w:hAnsi="Times New Roman" w:eastAsia="宋体" w:cs="Times New Roman"/>
                <w:b w:val="0"/>
                <w:bCs/>
                <w:color w:val="auto"/>
                <w:sz w:val="24"/>
                <w:szCs w:val="24"/>
                <w:lang w:eastAsia="zh-CN"/>
              </w:rPr>
              <w:t>。</w:t>
            </w:r>
            <w:r>
              <w:rPr>
                <w:rFonts w:ascii="Times New Roman" w:hAnsi="Times New Roman" w:eastAsia="宋体" w:cs="Times New Roman"/>
                <w:b w:val="0"/>
                <w:bCs/>
                <w:color w:val="auto"/>
                <w:sz w:val="24"/>
                <w:szCs w:val="24"/>
              </w:rPr>
              <w:t>从生态影响的角度看，本工程建设对区域生态环境影响不大，项目建设对项目评价范围生态保护红线内的植被多样性和分布格局、功能、生物多样性及景观影响较小，对生态保护红线区的总体影响较小。</w:t>
            </w:r>
          </w:p>
          <w:p w14:paraId="67AD0A5D">
            <w:pPr>
              <w:numPr>
                <w:ilvl w:val="0"/>
                <w:numId w:val="0"/>
              </w:numPr>
              <w:adjustRightInd w:val="0"/>
              <w:snapToGrid w:val="0"/>
              <w:spacing w:line="440" w:lineRule="exact"/>
              <w:ind w:firstLine="482" w:firstLineChars="200"/>
              <w:rPr>
                <w:rFonts w:hint="default" w:ascii="Times New Roman" w:hAnsi="Times New Roman" w:eastAsia="宋体" w:cs="Times New Roman"/>
                <w:b/>
                <w:color w:val="auto"/>
                <w:sz w:val="24"/>
                <w:lang w:val="en-US" w:eastAsia="zh-CN"/>
              </w:rPr>
            </w:pPr>
            <w:r>
              <w:rPr>
                <w:rFonts w:hint="eastAsia" w:ascii="Times New Roman" w:hAnsi="Times New Roman" w:eastAsia="宋体" w:cs="Times New Roman"/>
                <w:b/>
                <w:color w:val="auto"/>
                <w:sz w:val="24"/>
                <w:lang w:val="en-US" w:eastAsia="zh-CN"/>
              </w:rPr>
              <w:t>（6）施工期生态环境影响小结</w:t>
            </w:r>
          </w:p>
          <w:p w14:paraId="1AA37150">
            <w:pPr>
              <w:pStyle w:val="7"/>
              <w:keepNext w:val="0"/>
              <w:keepLines w:val="0"/>
              <w:pageBreakBefore w:val="0"/>
              <w:widowControl w:val="0"/>
              <w:kinsoku/>
              <w:wordWrap/>
              <w:overflowPunct/>
              <w:topLinePunct w:val="0"/>
              <w:autoSpaceDE/>
              <w:autoSpaceDN/>
              <w:bidi w:val="0"/>
              <w:adjustRightInd w:val="0"/>
              <w:snapToGrid w:val="0"/>
              <w:spacing w:beforeLines="0" w:after="0" w:line="440" w:lineRule="exact"/>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根据调查，项目不在自然保护区、风景名胜区范围内，距离较远，施工及占地不涉及敏感区，对敏感区无影响。工程建设影响的植被类型、植物种类在项目区及周边区域广泛分布，植物种类均为区域常见种，没有保护植物及该区域特有物种分布，工程对其不利影响仅限于局部，占用植被面积有限，影响范围和程度有限，且以人工植被和次生植被为主，工程建设对植被及植物资源的总体影响较小；</w:t>
            </w:r>
            <w:r>
              <w:rPr>
                <w:rFonts w:hint="eastAsia" w:ascii="Times New Roman" w:hAnsi="Times New Roman" w:eastAsia="宋体" w:cs="Times New Roman"/>
                <w:color w:val="auto"/>
                <w:szCs w:val="24"/>
              </w:rPr>
              <w:t>生态环境影响分析内容详见本项目生态环境影响专题评价</w:t>
            </w:r>
            <w:r>
              <w:rPr>
                <w:rFonts w:ascii="Times New Roman" w:hAnsi="Times New Roman" w:eastAsia="宋体" w:cs="Times New Roman"/>
                <w:color w:val="auto"/>
                <w:kern w:val="0"/>
              </w:rPr>
              <w:t>。</w:t>
            </w:r>
          </w:p>
          <w:p w14:paraId="6105A67A">
            <w:pPr>
              <w:adjustRightInd w:val="0"/>
              <w:snapToGrid w:val="0"/>
              <w:spacing w:line="440" w:lineRule="exact"/>
              <w:rPr>
                <w:b/>
                <w:color w:val="auto"/>
                <w:sz w:val="28"/>
                <w:szCs w:val="28"/>
              </w:rPr>
            </w:pPr>
            <w:r>
              <w:rPr>
                <w:rFonts w:hint="eastAsia"/>
                <w:b/>
                <w:color w:val="auto"/>
                <w:sz w:val="28"/>
                <w:szCs w:val="28"/>
              </w:rPr>
              <w:t>4.1.</w:t>
            </w:r>
            <w:r>
              <w:rPr>
                <w:b/>
                <w:color w:val="auto"/>
                <w:sz w:val="28"/>
                <w:szCs w:val="28"/>
              </w:rPr>
              <w:t>2施工期大气环境影响分析</w:t>
            </w:r>
          </w:p>
          <w:p w14:paraId="4DC77F75">
            <w:pPr>
              <w:adjustRightInd w:val="0"/>
              <w:snapToGrid w:val="0"/>
              <w:spacing w:line="440" w:lineRule="exact"/>
              <w:ind w:firstLine="480" w:firstLineChars="200"/>
              <w:rPr>
                <w:bCs/>
                <w:color w:val="auto"/>
                <w:sz w:val="24"/>
              </w:rPr>
            </w:pPr>
            <w:r>
              <w:rPr>
                <w:bCs/>
                <w:color w:val="auto"/>
                <w:sz w:val="24"/>
              </w:rPr>
              <w:t>施工期主要污染物是扬尘、粉尘及</w:t>
            </w:r>
            <w:r>
              <w:rPr>
                <w:rFonts w:hint="eastAsia"/>
                <w:bCs/>
                <w:color w:val="auto"/>
                <w:sz w:val="24"/>
              </w:rPr>
              <w:t>施工机械产生的废气</w:t>
            </w:r>
            <w:r>
              <w:rPr>
                <w:bCs/>
                <w:color w:val="auto"/>
                <w:sz w:val="24"/>
              </w:rPr>
              <w:t>等。施工中的施工材料的运输、堆放等工程行为都将对环境空气造成污染，其主要污染物为TSP。</w:t>
            </w:r>
          </w:p>
          <w:p w14:paraId="45260236">
            <w:pPr>
              <w:adjustRightInd w:val="0"/>
              <w:snapToGrid w:val="0"/>
              <w:spacing w:line="440" w:lineRule="exact"/>
              <w:ind w:firstLine="482" w:firstLineChars="200"/>
              <w:rPr>
                <w:b/>
                <w:bCs/>
                <w:color w:val="auto"/>
                <w:sz w:val="24"/>
              </w:rPr>
            </w:pPr>
            <w:r>
              <w:rPr>
                <w:b/>
                <w:bCs/>
                <w:color w:val="auto"/>
                <w:sz w:val="24"/>
              </w:rPr>
              <w:t>（1）施工扬尘</w:t>
            </w:r>
          </w:p>
          <w:p w14:paraId="4FC2E544">
            <w:pPr>
              <w:adjustRightInd w:val="0"/>
              <w:snapToGrid w:val="0"/>
              <w:spacing w:line="440" w:lineRule="exact"/>
              <w:ind w:firstLine="480" w:firstLineChars="200"/>
              <w:rPr>
                <w:color w:val="auto"/>
                <w:sz w:val="24"/>
              </w:rPr>
            </w:pPr>
            <w:r>
              <w:rPr>
                <w:color w:val="auto"/>
                <w:sz w:val="24"/>
              </w:rPr>
              <w:t>施工扬尘主要</w:t>
            </w:r>
            <w:r>
              <w:rPr>
                <w:rFonts w:hint="eastAsia"/>
                <w:color w:val="auto"/>
                <w:sz w:val="24"/>
                <w:lang w:eastAsia="zh-CN"/>
              </w:rPr>
              <w:t>来自</w:t>
            </w:r>
            <w:r>
              <w:rPr>
                <w:color w:val="auto"/>
                <w:sz w:val="24"/>
              </w:rPr>
              <w:t>项目输电线路塔基施工中的土方挖掘、建筑装修材料的运输装卸、施工现场内车辆行驶时道路扬尘、尾气等。扬尘产生量取决于施工强度、地面扬尘量和气象条件等因素，影响区域主要集中在施工区域周围100m范围内，影响程度下风向大于上风向。</w:t>
            </w:r>
          </w:p>
          <w:p w14:paraId="137F27D5">
            <w:pPr>
              <w:pStyle w:val="92"/>
              <w:snapToGrid w:val="0"/>
              <w:spacing w:line="440" w:lineRule="exact"/>
              <w:ind w:firstLine="480" w:firstLineChars="200"/>
              <w:jc w:val="both"/>
              <w:rPr>
                <w:rFonts w:hint="eastAsia"/>
                <w:color w:val="auto"/>
              </w:rPr>
            </w:pPr>
            <w:r>
              <w:rPr>
                <w:color w:val="auto"/>
              </w:rPr>
              <w:t>线路工程材料进场、杆塔基础开挖、土石方运输过程中产生的扬尘对线路周围及途经道路局部空气质量造成影响</w:t>
            </w:r>
            <w:r>
              <w:rPr>
                <w:rFonts w:hint="eastAsia"/>
                <w:color w:val="auto"/>
              </w:rPr>
              <w:t>。</w:t>
            </w:r>
          </w:p>
          <w:p w14:paraId="55E8AF75">
            <w:pPr>
              <w:pStyle w:val="92"/>
              <w:snapToGrid w:val="0"/>
              <w:spacing w:line="440" w:lineRule="exact"/>
              <w:ind w:firstLine="480" w:firstLineChars="200"/>
              <w:jc w:val="both"/>
              <w:rPr>
                <w:color w:val="auto"/>
              </w:rPr>
            </w:pPr>
            <w:r>
              <w:rPr>
                <w:color w:val="auto"/>
              </w:rPr>
              <w:t>经现场调查，项目已</w:t>
            </w:r>
            <w:r>
              <w:rPr>
                <w:rFonts w:hint="eastAsia"/>
                <w:color w:val="auto"/>
              </w:rPr>
              <w:t>基本</w:t>
            </w:r>
            <w:r>
              <w:rPr>
                <w:color w:val="auto"/>
              </w:rPr>
              <w:t>建成通电调试，施工期主要采取措施：塔基施工均采用人工进行开挖，施工强度小，产生的地面扬尘量小；施工扰动面及时洒水抑尘；采用密封运输方式</w:t>
            </w:r>
            <w:r>
              <w:rPr>
                <w:rFonts w:hint="eastAsia"/>
                <w:color w:val="auto"/>
                <w:lang w:eastAsia="zh-CN"/>
              </w:rPr>
              <w:t>，对</w:t>
            </w:r>
            <w:r>
              <w:rPr>
                <w:color w:val="auto"/>
              </w:rPr>
              <w:t>部分易起尘材料进行局部覆盖等。</w:t>
            </w:r>
          </w:p>
          <w:p w14:paraId="1F54DC63">
            <w:pPr>
              <w:pStyle w:val="92"/>
              <w:snapToGrid w:val="0"/>
              <w:spacing w:line="440" w:lineRule="exact"/>
              <w:ind w:firstLine="480" w:firstLineChars="200"/>
              <w:jc w:val="both"/>
              <w:rPr>
                <w:color w:val="auto"/>
              </w:rPr>
            </w:pPr>
            <w:r>
              <w:rPr>
                <w:color w:val="auto"/>
              </w:rPr>
              <w:t>根据现场调查，本工程</w:t>
            </w:r>
            <w:r>
              <w:rPr>
                <w:rFonts w:hint="eastAsia"/>
                <w:color w:val="auto"/>
              </w:rPr>
              <w:t>输电线路</w:t>
            </w:r>
            <w:r>
              <w:rPr>
                <w:color w:val="auto"/>
              </w:rPr>
              <w:t>施工</w:t>
            </w:r>
            <w:r>
              <w:rPr>
                <w:rFonts w:hint="eastAsia"/>
                <w:color w:val="auto"/>
                <w:lang w:val="en-US" w:eastAsia="zh-CN"/>
              </w:rPr>
              <w:t>3</w:t>
            </w:r>
            <w:r>
              <w:rPr>
                <w:color w:val="auto"/>
              </w:rPr>
              <w:t>0m范围内</w:t>
            </w:r>
            <w:r>
              <w:rPr>
                <w:rFonts w:hint="eastAsia"/>
                <w:color w:val="auto"/>
              </w:rPr>
              <w:t>有</w:t>
            </w:r>
            <w:r>
              <w:rPr>
                <w:rFonts w:hint="eastAsia"/>
                <w:color w:val="auto"/>
                <w:lang w:val="en-US" w:eastAsia="zh-CN"/>
              </w:rPr>
              <w:t>红地丫口、石碓窝</w:t>
            </w:r>
            <w:r>
              <w:rPr>
                <w:rFonts w:hint="eastAsia"/>
                <w:color w:val="auto"/>
              </w:rPr>
              <w:t>等</w:t>
            </w:r>
            <w:r>
              <w:rPr>
                <w:rFonts w:hint="eastAsia"/>
                <w:color w:val="auto"/>
                <w:lang w:val="en-US" w:eastAsia="zh-CN"/>
              </w:rPr>
              <w:t>2</w:t>
            </w:r>
            <w:r>
              <w:rPr>
                <w:color w:val="auto"/>
              </w:rPr>
              <w:t>处</w:t>
            </w:r>
            <w:r>
              <w:rPr>
                <w:rFonts w:hint="eastAsia"/>
                <w:color w:val="auto"/>
              </w:rPr>
              <w:t>敏感</w:t>
            </w:r>
            <w:r>
              <w:rPr>
                <w:color w:val="auto"/>
              </w:rPr>
              <w:t>目标，</w:t>
            </w:r>
            <w:r>
              <w:rPr>
                <w:rFonts w:hint="eastAsia"/>
                <w:color w:val="auto"/>
              </w:rPr>
              <w:t>其余跨域施工场地等距离敏感点较远。</w:t>
            </w:r>
            <w:r>
              <w:rPr>
                <w:color w:val="auto"/>
              </w:rPr>
              <w:t>线路塔基施工扬尘影响主要集中在塔基施工区，但由于线路施工时间较短，塔基施工点较为分散且土石方开挖量小，</w:t>
            </w:r>
            <w:r>
              <w:rPr>
                <w:rFonts w:hint="eastAsia"/>
                <w:color w:val="auto"/>
              </w:rPr>
              <w:t>项目采取</w:t>
            </w:r>
            <w:r>
              <w:rPr>
                <w:color w:val="auto"/>
              </w:rPr>
              <w:t>施工场地洒水降尘，用土工布覆盖易产尘材料、</w:t>
            </w:r>
            <w:r>
              <w:rPr>
                <w:color w:val="auto"/>
                <w:lang w:val="zh-CN"/>
              </w:rPr>
              <w:t>土石方及时回填压实</w:t>
            </w:r>
            <w:r>
              <w:rPr>
                <w:color w:val="auto"/>
              </w:rPr>
              <w:t>等措施后，施工扬尘影响对周边环境影响可接受。</w:t>
            </w:r>
          </w:p>
          <w:p w14:paraId="779A35FC">
            <w:pPr>
              <w:adjustRightInd w:val="0"/>
              <w:snapToGrid w:val="0"/>
              <w:spacing w:line="440" w:lineRule="exact"/>
              <w:ind w:firstLine="482" w:firstLineChars="200"/>
              <w:rPr>
                <w:b/>
                <w:bCs/>
                <w:color w:val="auto"/>
                <w:sz w:val="24"/>
              </w:rPr>
            </w:pPr>
            <w:r>
              <w:rPr>
                <w:rFonts w:hint="eastAsia"/>
                <w:b/>
                <w:bCs/>
                <w:color w:val="auto"/>
                <w:sz w:val="24"/>
              </w:rPr>
              <w:t>（2）</w:t>
            </w:r>
            <w:r>
              <w:rPr>
                <w:b/>
                <w:bCs/>
                <w:color w:val="auto"/>
                <w:sz w:val="24"/>
              </w:rPr>
              <w:t>运输车辆、施工机械产生的废气</w:t>
            </w:r>
          </w:p>
          <w:p w14:paraId="6BFE84A0">
            <w:pPr>
              <w:adjustRightInd w:val="0"/>
              <w:snapToGrid w:val="0"/>
              <w:spacing w:line="440" w:lineRule="exact"/>
              <w:ind w:firstLine="480" w:firstLineChars="200"/>
              <w:rPr>
                <w:bCs/>
                <w:color w:val="auto"/>
                <w:sz w:val="24"/>
              </w:rPr>
            </w:pPr>
            <w:r>
              <w:rPr>
                <w:bCs/>
                <w:color w:val="auto"/>
                <w:sz w:val="24"/>
              </w:rPr>
              <w:t>运输车辆、施工机械产生的废气主要来源于运输车辆及其它燃油机械施工时产生的尾气，其中的污染物主要有NO</w:t>
            </w:r>
            <w:r>
              <w:rPr>
                <w:bCs/>
                <w:color w:val="auto"/>
                <w:sz w:val="24"/>
                <w:vertAlign w:val="subscript"/>
              </w:rPr>
              <w:t>x</w:t>
            </w:r>
            <w:r>
              <w:rPr>
                <w:bCs/>
                <w:color w:val="auto"/>
                <w:sz w:val="24"/>
              </w:rPr>
              <w:t>、CO及CH</w:t>
            </w:r>
            <w:r>
              <w:rPr>
                <w:bCs/>
                <w:color w:val="auto"/>
                <w:sz w:val="24"/>
                <w:vertAlign w:val="subscript"/>
              </w:rPr>
              <w:t>x</w:t>
            </w:r>
            <w:r>
              <w:rPr>
                <w:bCs/>
                <w:color w:val="auto"/>
                <w:sz w:val="24"/>
              </w:rPr>
              <w:t>等。施工</w:t>
            </w:r>
            <w:r>
              <w:rPr>
                <w:rFonts w:hint="eastAsia"/>
                <w:bCs/>
                <w:color w:val="auto"/>
                <w:sz w:val="24"/>
                <w:lang w:eastAsia="zh-CN"/>
              </w:rPr>
              <w:t>期间</w:t>
            </w:r>
            <w:r>
              <w:rPr>
                <w:bCs/>
                <w:color w:val="auto"/>
                <w:sz w:val="24"/>
              </w:rPr>
              <w:t>的废气为无组织间断排放，会对环境空气造成一定影响。</w:t>
            </w:r>
          </w:p>
          <w:p w14:paraId="13F4AF40">
            <w:pPr>
              <w:adjustRightInd w:val="0"/>
              <w:snapToGrid w:val="0"/>
              <w:spacing w:line="440" w:lineRule="exact"/>
              <w:ind w:firstLine="480" w:firstLineChars="200"/>
              <w:rPr>
                <w:color w:val="auto"/>
                <w:sz w:val="24"/>
              </w:rPr>
            </w:pPr>
            <w:r>
              <w:rPr>
                <w:color w:val="auto"/>
                <w:sz w:val="24"/>
              </w:rPr>
              <w:t>施工期对空气环境的影响和施工活动紧密相关，施工活动结束后影响就不再延续，属于短期和非连续性的影响，且其影响不具有累积性。</w:t>
            </w:r>
          </w:p>
          <w:p w14:paraId="18B297BB">
            <w:pPr>
              <w:adjustRightInd w:val="0"/>
              <w:snapToGrid w:val="0"/>
              <w:spacing w:line="440" w:lineRule="exact"/>
              <w:rPr>
                <w:rFonts w:hint="eastAsia"/>
                <w:b/>
                <w:color w:val="auto"/>
                <w:sz w:val="28"/>
                <w:szCs w:val="28"/>
              </w:rPr>
            </w:pPr>
            <w:r>
              <w:rPr>
                <w:rFonts w:hint="eastAsia"/>
                <w:b/>
                <w:color w:val="auto"/>
                <w:sz w:val="28"/>
                <w:szCs w:val="28"/>
              </w:rPr>
              <w:t>4.1.3施工期水环境影响分析</w:t>
            </w:r>
          </w:p>
          <w:p w14:paraId="097B215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color w:val="auto"/>
                <w:sz w:val="24"/>
              </w:rPr>
            </w:pPr>
            <w:r>
              <w:rPr>
                <w:color w:val="auto"/>
                <w:sz w:val="24"/>
              </w:rPr>
              <w:t>项目废水主要来源于施工人员日常生活产生的污水及施工废水。施工废水主要为雨水冲刷施工场地形成的高浊度雨水；因施工时间较短，土石方工程量小，施工机械设备不需清洗，无清洗废水</w:t>
            </w:r>
            <w:r>
              <w:rPr>
                <w:rFonts w:hint="eastAsia"/>
                <w:color w:val="auto"/>
                <w:sz w:val="24"/>
              </w:rPr>
              <w:t>产生</w:t>
            </w:r>
            <w:r>
              <w:rPr>
                <w:color w:val="auto"/>
                <w:sz w:val="24"/>
              </w:rPr>
              <w:t>；工程所需混凝土</w:t>
            </w:r>
            <w:r>
              <w:rPr>
                <w:rFonts w:hint="eastAsia"/>
                <w:color w:val="auto"/>
                <w:sz w:val="24"/>
              </w:rPr>
              <w:t>主要</w:t>
            </w:r>
            <w:r>
              <w:rPr>
                <w:color w:val="auto"/>
                <w:sz w:val="24"/>
              </w:rPr>
              <w:t>采用外购商品混凝土和部分塔基现场人工拌和，基本上无生产废水</w:t>
            </w:r>
            <w:r>
              <w:rPr>
                <w:rFonts w:hint="eastAsia"/>
                <w:color w:val="auto"/>
                <w:sz w:val="24"/>
              </w:rPr>
              <w:t>，有少量养护废水</w:t>
            </w:r>
            <w:r>
              <w:rPr>
                <w:color w:val="auto"/>
                <w:sz w:val="24"/>
              </w:rPr>
              <w:t>。</w:t>
            </w:r>
          </w:p>
          <w:p w14:paraId="48E58CC0">
            <w:pPr>
              <w:adjustRightInd w:val="0"/>
              <w:snapToGrid w:val="0"/>
              <w:spacing w:line="440" w:lineRule="exact"/>
              <w:ind w:firstLine="482" w:firstLineChars="200"/>
              <w:rPr>
                <w:b/>
                <w:bCs/>
                <w:color w:val="auto"/>
                <w:sz w:val="24"/>
              </w:rPr>
            </w:pPr>
            <w:r>
              <w:rPr>
                <w:b/>
                <w:bCs/>
                <w:color w:val="auto"/>
                <w:sz w:val="24"/>
              </w:rPr>
              <w:t>（1）施工废水影响分析</w:t>
            </w:r>
          </w:p>
          <w:p w14:paraId="598D2A28">
            <w:pPr>
              <w:adjustRightInd w:val="0"/>
              <w:snapToGrid w:val="0"/>
              <w:spacing w:line="440" w:lineRule="exact"/>
              <w:ind w:firstLine="480" w:firstLineChars="200"/>
              <w:rPr>
                <w:color w:val="auto"/>
              </w:rPr>
            </w:pPr>
            <w:r>
              <w:rPr>
                <w:color w:val="auto"/>
                <w:sz w:val="24"/>
              </w:rPr>
              <w:t>塔基施工前修建临时截排水沟和临时</w:t>
            </w:r>
            <w:r>
              <w:rPr>
                <w:rFonts w:hint="eastAsia"/>
                <w:color w:val="auto"/>
                <w:sz w:val="24"/>
                <w:lang w:eastAsia="zh-CN"/>
              </w:rPr>
              <w:t>沉沙池</w:t>
            </w:r>
            <w:r>
              <w:rPr>
                <w:color w:val="auto"/>
                <w:sz w:val="24"/>
              </w:rPr>
              <w:t>，处理场地平整、雨水冲刷</w:t>
            </w:r>
            <w:r>
              <w:rPr>
                <w:rFonts w:hint="eastAsia"/>
                <w:color w:val="auto"/>
                <w:sz w:val="24"/>
              </w:rPr>
              <w:t>、混凝土养护</w:t>
            </w:r>
            <w:r>
              <w:rPr>
                <w:color w:val="auto"/>
                <w:sz w:val="24"/>
              </w:rPr>
              <w:t>形成的废水。根据现场</w:t>
            </w:r>
            <w:r>
              <w:rPr>
                <w:rFonts w:hint="eastAsia"/>
                <w:color w:val="auto"/>
                <w:sz w:val="24"/>
              </w:rPr>
              <w:t>踏勘</w:t>
            </w:r>
            <w:r>
              <w:rPr>
                <w:color w:val="auto"/>
                <w:sz w:val="24"/>
              </w:rPr>
              <w:t>调查，施工废水直接回用于场内施工过程、场地洒水降尘等施工环节，不外排。另外，输电线路（</w:t>
            </w:r>
            <w:r>
              <w:rPr>
                <w:rFonts w:hint="eastAsia"/>
                <w:color w:val="auto"/>
                <w:sz w:val="24"/>
              </w:rPr>
              <w:t>N</w:t>
            </w:r>
            <w:r>
              <w:rPr>
                <w:rFonts w:hint="eastAsia"/>
                <w:color w:val="auto"/>
                <w:sz w:val="24"/>
                <w:lang w:val="en-US" w:eastAsia="zh-CN"/>
              </w:rPr>
              <w:t>5</w:t>
            </w:r>
            <w:r>
              <w:rPr>
                <w:rFonts w:hint="eastAsia"/>
                <w:color w:val="auto"/>
                <w:sz w:val="24"/>
              </w:rPr>
              <w:t>~N</w:t>
            </w:r>
            <w:r>
              <w:rPr>
                <w:rFonts w:hint="eastAsia"/>
                <w:color w:val="auto"/>
                <w:sz w:val="24"/>
                <w:lang w:val="en-US" w:eastAsia="zh-CN"/>
              </w:rPr>
              <w:t>6</w:t>
            </w:r>
            <w:r>
              <w:rPr>
                <w:color w:val="auto"/>
                <w:sz w:val="24"/>
              </w:rPr>
              <w:t>）间跨越</w:t>
            </w:r>
            <w:r>
              <w:rPr>
                <w:rFonts w:hint="eastAsia"/>
                <w:color w:val="auto"/>
                <w:sz w:val="24"/>
                <w:lang w:val="en-US" w:eastAsia="zh-CN"/>
              </w:rPr>
              <w:t>鲁珠河</w:t>
            </w:r>
            <w:r>
              <w:rPr>
                <w:color w:val="auto"/>
                <w:sz w:val="24"/>
              </w:rPr>
              <w:t>，线路塔基</w:t>
            </w:r>
            <w:r>
              <w:rPr>
                <w:rFonts w:hint="eastAsia"/>
                <w:color w:val="auto"/>
                <w:sz w:val="24"/>
                <w:lang w:eastAsia="zh-CN"/>
              </w:rPr>
              <w:t>（</w:t>
            </w:r>
            <w:r>
              <w:rPr>
                <w:color w:val="auto"/>
                <w:sz w:val="24"/>
              </w:rPr>
              <w:t>N</w:t>
            </w:r>
            <w:r>
              <w:rPr>
                <w:rFonts w:hint="eastAsia"/>
                <w:color w:val="auto"/>
                <w:sz w:val="24"/>
                <w:lang w:val="en-US" w:eastAsia="zh-CN"/>
              </w:rPr>
              <w:t>29</w:t>
            </w:r>
            <w:r>
              <w:rPr>
                <w:color w:val="auto"/>
                <w:sz w:val="24"/>
              </w:rPr>
              <w:t>~N</w:t>
            </w:r>
            <w:r>
              <w:rPr>
                <w:rFonts w:hint="eastAsia"/>
                <w:color w:val="auto"/>
                <w:sz w:val="24"/>
                <w:lang w:val="en-US" w:eastAsia="zh-CN"/>
              </w:rPr>
              <w:t>30</w:t>
            </w:r>
            <w:r>
              <w:rPr>
                <w:rFonts w:hint="eastAsia"/>
                <w:color w:val="auto"/>
                <w:sz w:val="24"/>
                <w:lang w:eastAsia="zh-CN"/>
              </w:rPr>
              <w:t>）</w:t>
            </w:r>
            <w:r>
              <w:rPr>
                <w:color w:val="auto"/>
                <w:sz w:val="24"/>
              </w:rPr>
              <w:t>之间跨越</w:t>
            </w:r>
            <w:r>
              <w:rPr>
                <w:rFonts w:hint="eastAsia"/>
                <w:color w:val="auto"/>
                <w:sz w:val="24"/>
                <w:lang w:val="en-US" w:eastAsia="zh-CN"/>
              </w:rPr>
              <w:t>大麦冲小河</w:t>
            </w:r>
            <w:r>
              <w:rPr>
                <w:rFonts w:hint="eastAsia"/>
                <w:color w:val="auto"/>
                <w:sz w:val="24"/>
              </w:rPr>
              <w:t>，</w:t>
            </w:r>
            <w:r>
              <w:rPr>
                <w:rFonts w:hint="eastAsia"/>
                <w:color w:val="auto"/>
                <w:sz w:val="24"/>
                <w:lang w:val="en-US" w:eastAsia="zh-CN"/>
              </w:rPr>
              <w:t>线路塔基（N10~N11）间跨越铜沟，线路塔基（N36~N37）之间跨越冷水沟。</w:t>
            </w:r>
            <w:r>
              <w:rPr>
                <w:color w:val="auto"/>
                <w:sz w:val="24"/>
              </w:rPr>
              <w:t>为保护沿线水体水质，在</w:t>
            </w:r>
            <w:r>
              <w:rPr>
                <w:rFonts w:hint="eastAsia"/>
                <w:color w:val="auto"/>
                <w:sz w:val="24"/>
              </w:rPr>
              <w:t>河道</w:t>
            </w:r>
            <w:r>
              <w:rPr>
                <w:color w:val="auto"/>
                <w:sz w:val="24"/>
              </w:rPr>
              <w:t>沿线不设施工营地，文明施工，不乱捕捞，强化施工队伍管理，施工废水需经沉淀</w:t>
            </w:r>
            <w:r>
              <w:rPr>
                <w:rFonts w:hint="eastAsia"/>
                <w:color w:val="auto"/>
                <w:sz w:val="24"/>
              </w:rPr>
              <w:t>池</w:t>
            </w:r>
            <w:r>
              <w:rPr>
                <w:color w:val="auto"/>
                <w:sz w:val="24"/>
              </w:rPr>
              <w:t>处理后回用，严禁随意排放。</w:t>
            </w:r>
            <w:r>
              <w:rPr>
                <w:rFonts w:ascii="Times New Roman" w:hAnsi="Times New Roman" w:eastAsia="宋体" w:cs="Times New Roman"/>
                <w:color w:val="auto"/>
                <w:sz w:val="24"/>
              </w:rPr>
              <w:t>施工对地表水</w:t>
            </w:r>
            <w:r>
              <w:rPr>
                <w:rFonts w:hint="eastAsia" w:ascii="Times New Roman" w:hAnsi="Times New Roman" w:eastAsia="宋体" w:cs="Times New Roman"/>
                <w:color w:val="auto"/>
                <w:sz w:val="24"/>
              </w:rPr>
              <w:t>环境</w:t>
            </w:r>
            <w:r>
              <w:rPr>
                <w:rFonts w:ascii="Times New Roman" w:hAnsi="Times New Roman" w:eastAsia="宋体" w:cs="Times New Roman"/>
                <w:color w:val="auto"/>
                <w:sz w:val="24"/>
              </w:rPr>
              <w:t>的影响</w:t>
            </w:r>
            <w:r>
              <w:rPr>
                <w:rFonts w:hint="eastAsia" w:ascii="Times New Roman" w:hAnsi="Times New Roman" w:eastAsia="宋体" w:cs="Times New Roman"/>
                <w:color w:val="auto"/>
                <w:sz w:val="24"/>
              </w:rPr>
              <w:t>可接受</w:t>
            </w:r>
            <w:r>
              <w:rPr>
                <w:rFonts w:ascii="Times New Roman" w:hAnsi="Times New Roman" w:eastAsia="宋体" w:cs="Times New Roman"/>
                <w:color w:val="auto"/>
                <w:sz w:val="24"/>
              </w:rPr>
              <w:t>。</w:t>
            </w:r>
          </w:p>
          <w:p w14:paraId="5EA719AA">
            <w:pPr>
              <w:adjustRightInd w:val="0"/>
              <w:snapToGrid w:val="0"/>
              <w:spacing w:line="440" w:lineRule="exact"/>
              <w:ind w:firstLine="482" w:firstLineChars="200"/>
              <w:rPr>
                <w:b/>
                <w:bCs/>
                <w:color w:val="auto"/>
                <w:sz w:val="24"/>
              </w:rPr>
            </w:pPr>
            <w:r>
              <w:rPr>
                <w:b/>
                <w:bCs/>
                <w:color w:val="auto"/>
                <w:sz w:val="24"/>
              </w:rPr>
              <w:t>（2）施工生活污水影响分析</w:t>
            </w:r>
          </w:p>
          <w:p w14:paraId="08C6F99B">
            <w:pPr>
              <w:adjustRightInd w:val="0"/>
              <w:snapToGrid w:val="0"/>
              <w:spacing w:line="440" w:lineRule="exact"/>
              <w:ind w:firstLine="480" w:firstLineChars="200"/>
              <w:rPr>
                <w:rFonts w:hint="eastAsia"/>
                <w:color w:val="auto"/>
                <w:sz w:val="24"/>
              </w:rPr>
            </w:pPr>
            <w:r>
              <w:rPr>
                <w:color w:val="auto"/>
                <w:sz w:val="24"/>
              </w:rPr>
              <w:t>输电线路施工人员除技术人员外招收当地劳动力。且输电线路施工均不设置施工营地，施工人员食宿租用附近</w:t>
            </w:r>
            <w:r>
              <w:rPr>
                <w:rFonts w:hint="eastAsia"/>
                <w:color w:val="auto"/>
                <w:sz w:val="24"/>
                <w:lang w:val="en-US" w:eastAsia="zh-CN"/>
              </w:rPr>
              <w:t>民房</w:t>
            </w:r>
            <w:r>
              <w:rPr>
                <w:color w:val="auto"/>
                <w:sz w:val="24"/>
              </w:rPr>
              <w:t>，当地劳动力回家食宿</w:t>
            </w:r>
            <w:r>
              <w:rPr>
                <w:rFonts w:hint="eastAsia"/>
                <w:color w:val="auto"/>
                <w:sz w:val="24"/>
              </w:rPr>
              <w:t>，生活污水为洗手废水。施工人员产生的生活污水呈点状分布不集中，产生量很小，依托附近村庄居民生活污水设施一起处理，不会对项目周围地表水构成污染影响。因此，施工生活废水对地表水环境的影响可接受。</w:t>
            </w:r>
          </w:p>
          <w:p w14:paraId="4D3507D4">
            <w:pPr>
              <w:adjustRightInd w:val="0"/>
              <w:snapToGrid w:val="0"/>
              <w:spacing w:line="440" w:lineRule="exact"/>
              <w:rPr>
                <w:rFonts w:hint="eastAsia"/>
                <w:b/>
                <w:color w:val="auto"/>
                <w:sz w:val="28"/>
                <w:szCs w:val="28"/>
              </w:rPr>
            </w:pPr>
            <w:r>
              <w:rPr>
                <w:rFonts w:hint="eastAsia"/>
                <w:b/>
                <w:color w:val="auto"/>
                <w:sz w:val="28"/>
                <w:szCs w:val="28"/>
              </w:rPr>
              <w:t>4.1.4施工期声环境影响分析</w:t>
            </w:r>
          </w:p>
          <w:p w14:paraId="380CA839">
            <w:pPr>
              <w:adjustRightInd w:val="0"/>
              <w:snapToGrid w:val="0"/>
              <w:spacing w:line="440" w:lineRule="exact"/>
              <w:ind w:firstLine="480" w:firstLineChars="200"/>
              <w:rPr>
                <w:b/>
                <w:bCs/>
                <w:color w:val="auto"/>
                <w:sz w:val="24"/>
              </w:rPr>
            </w:pPr>
            <w:r>
              <w:rPr>
                <w:color w:val="auto"/>
                <w:sz w:val="24"/>
              </w:rPr>
              <w:t>项目新建输电线路</w:t>
            </w:r>
            <w:r>
              <w:rPr>
                <w:rFonts w:hint="eastAsia"/>
                <w:color w:val="auto"/>
                <w:sz w:val="24"/>
                <w:lang w:val="en-US" w:eastAsia="zh-CN"/>
              </w:rPr>
              <w:t>架空段</w:t>
            </w:r>
            <w:r>
              <w:rPr>
                <w:color w:val="auto"/>
                <w:sz w:val="24"/>
              </w:rPr>
              <w:t>施工不涉及大型器械。噪声污染源主要为建筑装修材料的运输装卸、施工现场内车辆行驶时产生的机械噪声和交通运输噪声等。</w:t>
            </w:r>
          </w:p>
          <w:p w14:paraId="1B1F72F7">
            <w:pPr>
              <w:adjustRightInd w:val="0"/>
              <w:snapToGrid w:val="0"/>
              <w:spacing w:line="440" w:lineRule="exact"/>
              <w:ind w:firstLine="480" w:firstLineChars="200"/>
              <w:rPr>
                <w:rFonts w:hint="eastAsia"/>
                <w:color w:val="auto"/>
                <w:sz w:val="24"/>
              </w:rPr>
            </w:pPr>
            <w:r>
              <w:rPr>
                <w:color w:val="auto"/>
                <w:sz w:val="24"/>
              </w:rPr>
              <w:t>架空输电线路主要施工活动包括</w:t>
            </w:r>
            <w:r>
              <w:rPr>
                <w:rFonts w:hint="eastAsia"/>
                <w:color w:val="auto"/>
                <w:sz w:val="24"/>
                <w:lang w:eastAsia="zh-CN"/>
              </w:rPr>
              <w:t>建筑</w:t>
            </w:r>
            <w:r>
              <w:rPr>
                <w:color w:val="auto"/>
                <w:sz w:val="24"/>
              </w:rPr>
              <w:t>材料运输、杆塔基础施工、杆塔组立及导线架设等几个方面。根据输电线路塔基施工特点，各施工点施工量小，施工时间短，单塔累计施工时间一般在2个月以内，在靠近施工点时，一般采用人抬马驮</w:t>
            </w:r>
            <w:r>
              <w:rPr>
                <w:rFonts w:hint="eastAsia"/>
                <w:color w:val="auto"/>
                <w:sz w:val="24"/>
                <w:lang w:eastAsia="zh-CN"/>
              </w:rPr>
              <w:t>相结合的方式进行</w:t>
            </w:r>
            <w:r>
              <w:rPr>
                <w:color w:val="auto"/>
                <w:sz w:val="24"/>
              </w:rPr>
              <w:t>材料运输，线路塔基距离居民住房较远</w:t>
            </w:r>
            <w:r>
              <w:rPr>
                <w:rFonts w:hint="eastAsia"/>
                <w:color w:val="auto"/>
                <w:sz w:val="24"/>
              </w:rPr>
              <w:t>。</w:t>
            </w:r>
          </w:p>
          <w:p w14:paraId="536FE3E5">
            <w:pPr>
              <w:adjustRightInd w:val="0"/>
              <w:snapToGrid w:val="0"/>
              <w:spacing w:line="440" w:lineRule="exact"/>
              <w:ind w:firstLine="480" w:firstLineChars="200"/>
              <w:rPr>
                <w:rFonts w:hint="default" w:eastAsia="宋体"/>
                <w:color w:val="auto"/>
                <w:sz w:val="24"/>
                <w:lang w:val="en-US" w:eastAsia="zh-CN"/>
              </w:rPr>
            </w:pPr>
            <w:r>
              <w:rPr>
                <w:color w:val="auto"/>
                <w:sz w:val="24"/>
              </w:rPr>
              <w:t>施工主要采取噪声防护措施：合理布置施工，牵张场分散布置，远离居民住宅等敏感点；定期对施工机械进行维护和保养，保持机械润滑，降低运行噪声；均选用低噪声设备，合理安排施工时间，夜间不施工；运输车辆控制车速、禁止鸣笛等。</w:t>
            </w:r>
          </w:p>
          <w:p w14:paraId="2E6539B6">
            <w:pPr>
              <w:adjustRightInd w:val="0"/>
              <w:snapToGrid w:val="0"/>
              <w:spacing w:line="440" w:lineRule="exact"/>
              <w:ind w:firstLine="480" w:firstLineChars="200"/>
              <w:rPr>
                <w:color w:val="auto"/>
                <w:sz w:val="24"/>
              </w:rPr>
            </w:pPr>
            <w:r>
              <w:rPr>
                <w:color w:val="auto"/>
                <w:sz w:val="24"/>
              </w:rPr>
              <w:t>本项目输电线路共设置</w:t>
            </w:r>
            <w:r>
              <w:rPr>
                <w:rFonts w:hint="eastAsia"/>
                <w:color w:val="auto"/>
                <w:sz w:val="24"/>
                <w:lang w:val="en-US" w:eastAsia="zh-CN"/>
              </w:rPr>
              <w:t>3个牵张场</w:t>
            </w:r>
            <w:r>
              <w:rPr>
                <w:color w:val="auto"/>
                <w:sz w:val="24"/>
              </w:rPr>
              <w:t>，塔基共</w:t>
            </w:r>
            <w:r>
              <w:rPr>
                <w:rFonts w:hint="eastAsia"/>
                <w:color w:val="auto"/>
                <w:sz w:val="24"/>
                <w:lang w:val="en-US" w:eastAsia="zh-CN"/>
              </w:rPr>
              <w:t>45</w:t>
            </w:r>
            <w:r>
              <w:rPr>
                <w:color w:val="auto"/>
                <w:sz w:val="24"/>
              </w:rPr>
              <w:t>基。输电线路在施工期的</w:t>
            </w:r>
            <w:r>
              <w:rPr>
                <w:rFonts w:hint="eastAsia"/>
                <w:color w:val="auto"/>
                <w:sz w:val="24"/>
              </w:rPr>
              <w:t>塔基</w:t>
            </w:r>
            <w:r>
              <w:rPr>
                <w:color w:val="auto"/>
                <w:sz w:val="24"/>
              </w:rPr>
              <w:t>开挖、</w:t>
            </w:r>
            <w:r>
              <w:rPr>
                <w:rFonts w:hint="eastAsia"/>
                <w:color w:val="auto"/>
                <w:sz w:val="24"/>
              </w:rPr>
              <w:t>回</w:t>
            </w:r>
            <w:r>
              <w:rPr>
                <w:color w:val="auto"/>
                <w:sz w:val="24"/>
              </w:rPr>
              <w:t>填、土建及导线架</w:t>
            </w:r>
            <w:r>
              <w:rPr>
                <w:rFonts w:hint="eastAsia"/>
                <w:color w:val="auto"/>
                <w:sz w:val="24"/>
              </w:rPr>
              <w:t>设</w:t>
            </w:r>
            <w:r>
              <w:rPr>
                <w:color w:val="auto"/>
                <w:sz w:val="24"/>
              </w:rPr>
              <w:t>、设备安装调试等几个阶段中，主要噪声源有</w:t>
            </w:r>
            <w:r>
              <w:rPr>
                <w:rFonts w:hint="eastAsia"/>
                <w:color w:val="auto"/>
                <w:sz w:val="24"/>
              </w:rPr>
              <w:t>振捣器、挖掘机、载重</w:t>
            </w:r>
            <w:r>
              <w:rPr>
                <w:color w:val="auto"/>
                <w:sz w:val="24"/>
              </w:rPr>
              <w:t>汽车</w:t>
            </w:r>
            <w:r>
              <w:rPr>
                <w:rFonts w:hint="eastAsia"/>
                <w:color w:val="auto"/>
                <w:sz w:val="24"/>
              </w:rPr>
              <w:t>、卷扬机、电焊机等</w:t>
            </w:r>
            <w:r>
              <w:rPr>
                <w:color w:val="auto"/>
                <w:sz w:val="24"/>
              </w:rPr>
              <w:t>施工机械设备</w:t>
            </w:r>
            <w:r>
              <w:rPr>
                <w:rFonts w:hint="eastAsia"/>
                <w:color w:val="auto"/>
                <w:sz w:val="24"/>
              </w:rPr>
              <w:t>等</w:t>
            </w:r>
            <w:r>
              <w:rPr>
                <w:color w:val="auto"/>
                <w:sz w:val="24"/>
              </w:rPr>
              <w:t>，施工设备运行时会产生噪声源强为</w:t>
            </w:r>
            <w:r>
              <w:rPr>
                <w:rFonts w:hint="eastAsia"/>
                <w:color w:val="auto"/>
                <w:sz w:val="24"/>
              </w:rPr>
              <w:t>80</w:t>
            </w:r>
            <w:r>
              <w:rPr>
                <w:color w:val="auto"/>
                <w:sz w:val="24"/>
              </w:rPr>
              <w:t>~</w:t>
            </w:r>
            <w:r>
              <w:rPr>
                <w:rFonts w:hint="eastAsia"/>
                <w:color w:val="auto"/>
                <w:sz w:val="24"/>
              </w:rPr>
              <w:t>95</w:t>
            </w:r>
            <w:r>
              <w:rPr>
                <w:color w:val="auto"/>
                <w:sz w:val="24"/>
              </w:rPr>
              <w:t>dB</w:t>
            </w:r>
            <w:r>
              <w:rPr>
                <w:rFonts w:hint="eastAsia"/>
                <w:color w:val="auto"/>
                <w:sz w:val="24"/>
              </w:rPr>
              <w:t>（</w:t>
            </w:r>
            <w:r>
              <w:rPr>
                <w:color w:val="auto"/>
                <w:sz w:val="24"/>
              </w:rPr>
              <w:t>A</w:t>
            </w:r>
            <w:r>
              <w:rPr>
                <w:rFonts w:hint="eastAsia"/>
                <w:color w:val="auto"/>
                <w:sz w:val="24"/>
              </w:rPr>
              <w:t>）</w:t>
            </w:r>
            <w:r>
              <w:rPr>
                <w:color w:val="auto"/>
                <w:sz w:val="24"/>
              </w:rPr>
              <w:t>。另外，在架线施工过程中，各牵张场内的</w:t>
            </w:r>
            <w:r>
              <w:rPr>
                <w:rFonts w:hint="eastAsia"/>
                <w:color w:val="auto"/>
                <w:sz w:val="24"/>
              </w:rPr>
              <w:t>牵引机、张力机、</w:t>
            </w:r>
            <w:r>
              <w:rPr>
                <w:color w:val="auto"/>
                <w:sz w:val="24"/>
              </w:rPr>
              <w:t>绞磨机等设备</w:t>
            </w:r>
            <w:r>
              <w:rPr>
                <w:rFonts w:hint="eastAsia"/>
                <w:color w:val="auto"/>
                <w:sz w:val="24"/>
                <w:lang w:eastAsia="zh-CN"/>
              </w:rPr>
              <w:t>也会</w:t>
            </w:r>
            <w:r>
              <w:rPr>
                <w:color w:val="auto"/>
                <w:sz w:val="24"/>
              </w:rPr>
              <w:t>产生一定的机械噪声，其声级值在</w:t>
            </w:r>
            <w:r>
              <w:rPr>
                <w:rFonts w:hint="eastAsia"/>
                <w:color w:val="auto"/>
                <w:sz w:val="24"/>
              </w:rPr>
              <w:t>70</w:t>
            </w:r>
            <w:r>
              <w:rPr>
                <w:color w:val="auto"/>
                <w:sz w:val="24"/>
              </w:rPr>
              <w:t>~</w:t>
            </w:r>
            <w:r>
              <w:rPr>
                <w:rFonts w:hint="eastAsia"/>
                <w:color w:val="auto"/>
                <w:sz w:val="24"/>
              </w:rPr>
              <w:t>80</w:t>
            </w:r>
            <w:r>
              <w:rPr>
                <w:color w:val="auto"/>
                <w:sz w:val="24"/>
              </w:rPr>
              <w:t>dB（A）之间；施工期牵张场的布置尽量选择荒</w:t>
            </w:r>
            <w:r>
              <w:rPr>
                <w:rFonts w:hint="eastAsia"/>
                <w:color w:val="auto"/>
                <w:sz w:val="24"/>
              </w:rPr>
              <w:t>园地</w:t>
            </w:r>
            <w:r>
              <w:rPr>
                <w:color w:val="auto"/>
                <w:sz w:val="24"/>
              </w:rPr>
              <w:t>或裸露地表，并尽量远离线路周边的居民点，减小牵张场设备噪声对居民生活的影响。</w:t>
            </w:r>
          </w:p>
          <w:p w14:paraId="464B402A">
            <w:pPr>
              <w:adjustRightInd w:val="0"/>
              <w:snapToGrid w:val="0"/>
              <w:spacing w:line="440" w:lineRule="exact"/>
              <w:ind w:firstLine="480" w:firstLineChars="200"/>
              <w:rPr>
                <w:color w:val="auto"/>
                <w:sz w:val="24"/>
              </w:rPr>
            </w:pPr>
            <w:r>
              <w:rPr>
                <w:color w:val="auto"/>
                <w:sz w:val="24"/>
              </w:rPr>
              <w:t>按点声源衰减模式计算噪声的距离衰减，公式为：</w:t>
            </w:r>
          </w:p>
          <w:p w14:paraId="676A08D2">
            <w:pPr>
              <w:adjustRightInd w:val="0"/>
              <w:snapToGrid w:val="0"/>
              <w:spacing w:line="440" w:lineRule="exact"/>
              <w:ind w:firstLine="480" w:firstLineChars="200"/>
              <w:jc w:val="center"/>
              <w:rPr>
                <w:rFonts w:hint="eastAsia"/>
                <w:color w:val="auto"/>
                <w:sz w:val="24"/>
              </w:rPr>
            </w:pPr>
            <w:r>
              <w:rPr>
                <w:color w:val="auto"/>
                <w:sz w:val="24"/>
              </w:rPr>
              <w:t>L2=L1-20lg</w:t>
            </w:r>
            <w:r>
              <w:rPr>
                <w:rFonts w:hint="eastAsia"/>
                <w:color w:val="auto"/>
                <w:sz w:val="24"/>
              </w:rPr>
              <w:t>（</w:t>
            </w:r>
            <w:r>
              <w:rPr>
                <w:color w:val="auto"/>
                <w:sz w:val="24"/>
              </w:rPr>
              <w:t>r2/r1</w:t>
            </w:r>
            <w:r>
              <w:rPr>
                <w:rFonts w:hint="eastAsia"/>
                <w:color w:val="auto"/>
                <w:sz w:val="24"/>
              </w:rPr>
              <w:t>）</w:t>
            </w:r>
          </w:p>
          <w:p w14:paraId="7D5BE60D">
            <w:pPr>
              <w:adjustRightInd w:val="0"/>
              <w:snapToGrid w:val="0"/>
              <w:spacing w:line="440" w:lineRule="exact"/>
              <w:ind w:firstLine="480" w:firstLineChars="200"/>
              <w:rPr>
                <w:color w:val="auto"/>
                <w:sz w:val="24"/>
              </w:rPr>
            </w:pPr>
            <w:r>
              <w:rPr>
                <w:color w:val="auto"/>
                <w:sz w:val="24"/>
              </w:rPr>
              <w:t>式中：L1、L2分别为距声源r1、r2处的等效声级值[dB(A)]；r1、r2为</w:t>
            </w:r>
            <w:r>
              <w:rPr>
                <w:rFonts w:hint="eastAsia"/>
                <w:color w:val="auto"/>
                <w:sz w:val="24"/>
                <w:lang w:eastAsia="zh-CN"/>
              </w:rPr>
              <w:t>接收点</w:t>
            </w:r>
            <w:r>
              <w:rPr>
                <w:color w:val="auto"/>
                <w:sz w:val="24"/>
              </w:rPr>
              <w:t>距声源的距离（m）。</w:t>
            </w:r>
          </w:p>
          <w:p w14:paraId="1AC8AB1C">
            <w:pPr>
              <w:adjustRightInd w:val="0"/>
              <w:snapToGrid w:val="0"/>
              <w:spacing w:line="440" w:lineRule="exact"/>
              <w:ind w:firstLine="480" w:firstLineChars="200"/>
              <w:jc w:val="center"/>
              <w:rPr>
                <w:rFonts w:hint="eastAsia"/>
                <w:color w:val="auto"/>
                <w:sz w:val="24"/>
              </w:rPr>
            </w:pPr>
            <w:r>
              <w:rPr>
                <w:color w:val="auto"/>
                <w:sz w:val="24"/>
              </w:rPr>
              <w:t>△L=L1-L2=20lg</w:t>
            </w:r>
            <w:r>
              <w:rPr>
                <w:rFonts w:hint="eastAsia"/>
                <w:color w:val="auto"/>
                <w:sz w:val="24"/>
              </w:rPr>
              <w:t>（</w:t>
            </w:r>
            <w:r>
              <w:rPr>
                <w:color w:val="auto"/>
                <w:sz w:val="24"/>
              </w:rPr>
              <w:t>r2/r1</w:t>
            </w:r>
            <w:r>
              <w:rPr>
                <w:rFonts w:hint="eastAsia"/>
                <w:color w:val="auto"/>
                <w:sz w:val="24"/>
              </w:rPr>
              <w:t>）</w:t>
            </w:r>
          </w:p>
          <w:p w14:paraId="5548C645">
            <w:pPr>
              <w:adjustRightInd w:val="0"/>
              <w:snapToGrid w:val="0"/>
              <w:spacing w:line="440" w:lineRule="exact"/>
              <w:ind w:firstLine="480" w:firstLineChars="200"/>
              <w:rPr>
                <w:color w:val="auto"/>
                <w:sz w:val="24"/>
              </w:rPr>
            </w:pPr>
            <w:r>
              <w:rPr>
                <w:color w:val="auto"/>
                <w:sz w:val="24"/>
              </w:rPr>
              <w:t>预测主要施工机械在不同距离贡献值，预测结果如下：</w:t>
            </w:r>
          </w:p>
          <w:p w14:paraId="2502B222">
            <w:pPr>
              <w:pStyle w:val="14"/>
              <w:adjustRightInd w:val="0"/>
              <w:snapToGrid w:val="0"/>
              <w:jc w:val="center"/>
              <w:rPr>
                <w:rFonts w:ascii="Times New Roman" w:hAnsi="Times New Roman" w:eastAsia="宋体"/>
                <w:b/>
                <w:bCs/>
                <w:color w:val="auto"/>
                <w:sz w:val="24"/>
                <w:szCs w:val="24"/>
              </w:rPr>
            </w:pPr>
            <w:r>
              <w:rPr>
                <w:rFonts w:hint="eastAsia" w:ascii="Times New Roman" w:hAnsi="Times New Roman" w:eastAsia="宋体"/>
                <w:b/>
                <w:bCs/>
                <w:color w:val="auto"/>
                <w:sz w:val="24"/>
                <w:szCs w:val="24"/>
              </w:rPr>
              <w:t>表4-</w:t>
            </w:r>
            <w:r>
              <w:rPr>
                <w:rFonts w:hint="eastAsia" w:ascii="Times New Roman" w:hAnsi="Times New Roman" w:eastAsia="宋体"/>
                <w:b/>
                <w:bCs/>
                <w:color w:val="auto"/>
                <w:sz w:val="24"/>
                <w:szCs w:val="24"/>
                <w:lang w:val="en-US" w:eastAsia="zh-CN"/>
              </w:rPr>
              <w:t>1</w:t>
            </w:r>
            <w:r>
              <w:rPr>
                <w:rFonts w:hint="eastAsia" w:ascii="Times New Roman" w:hAnsi="Times New Roman" w:eastAsia="宋体"/>
                <w:b/>
                <w:bCs/>
                <w:color w:val="auto"/>
                <w:sz w:val="24"/>
                <w:szCs w:val="24"/>
              </w:rPr>
              <w:t xml:space="preserve">  </w:t>
            </w:r>
            <w:r>
              <w:rPr>
                <w:rFonts w:ascii="Times New Roman" w:hAnsi="Times New Roman" w:eastAsia="宋体"/>
                <w:b/>
                <w:color w:val="auto"/>
                <w:sz w:val="24"/>
              </w:rPr>
              <w:t>主要噪声设备在不同距离的噪声衰减及贡献值 单位：dB（A）</w:t>
            </w:r>
          </w:p>
          <w:tbl>
            <w:tblPr>
              <w:tblStyle w:val="30"/>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692"/>
              <w:gridCol w:w="569"/>
              <w:gridCol w:w="518"/>
              <w:gridCol w:w="520"/>
              <w:gridCol w:w="520"/>
              <w:gridCol w:w="520"/>
              <w:gridCol w:w="520"/>
              <w:gridCol w:w="657"/>
              <w:gridCol w:w="657"/>
              <w:gridCol w:w="657"/>
              <w:gridCol w:w="659"/>
              <w:gridCol w:w="711"/>
            </w:tblGrid>
            <w:tr w14:paraId="2F92AD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033" w:type="pct"/>
                  <w:vMerge w:val="restart"/>
                  <w:tcBorders>
                    <w:tl2br w:val="nil"/>
                    <w:tr2bl w:val="nil"/>
                  </w:tcBorders>
                  <w:noWrap w:val="0"/>
                  <w:vAlign w:val="center"/>
                </w:tcPr>
                <w:p w14:paraId="03CD2A00">
                  <w:pPr>
                    <w:adjustRightInd w:val="0"/>
                    <w:snapToGrid w:val="0"/>
                    <w:spacing w:line="240" w:lineRule="auto"/>
                    <w:jc w:val="center"/>
                    <w:rPr>
                      <w:b/>
                      <w:color w:val="auto"/>
                      <w:szCs w:val="21"/>
                    </w:rPr>
                  </w:pPr>
                  <w:r>
                    <w:rPr>
                      <w:b/>
                      <w:color w:val="auto"/>
                      <w:szCs w:val="21"/>
                    </w:rPr>
                    <w:t>机械名称</w:t>
                  </w:r>
                </w:p>
              </w:tc>
              <w:tc>
                <w:tcPr>
                  <w:tcW w:w="3966" w:type="pct"/>
                  <w:gridSpan w:val="11"/>
                  <w:tcBorders>
                    <w:tl2br w:val="nil"/>
                    <w:tr2bl w:val="nil"/>
                  </w:tcBorders>
                  <w:noWrap w:val="0"/>
                  <w:vAlign w:val="center"/>
                </w:tcPr>
                <w:p w14:paraId="07D3FAC3">
                  <w:pPr>
                    <w:adjustRightInd w:val="0"/>
                    <w:snapToGrid w:val="0"/>
                    <w:spacing w:line="240" w:lineRule="auto"/>
                    <w:jc w:val="center"/>
                    <w:rPr>
                      <w:b/>
                      <w:color w:val="auto"/>
                      <w:szCs w:val="21"/>
                    </w:rPr>
                  </w:pPr>
                  <w:r>
                    <w:rPr>
                      <w:b/>
                      <w:color w:val="auto"/>
                      <w:szCs w:val="21"/>
                    </w:rPr>
                    <w:t>不同距离处的噪声预测（dB(A)</w:t>
                  </w:r>
                  <w:r>
                    <w:rPr>
                      <w:rFonts w:hint="eastAsia"/>
                      <w:b/>
                      <w:color w:val="auto"/>
                      <w:szCs w:val="21"/>
                      <w:lang w:eastAsia="zh-CN"/>
                    </w:rPr>
                    <w:t>）</w:t>
                  </w:r>
                </w:p>
              </w:tc>
            </w:tr>
            <w:tr w14:paraId="178497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033" w:type="pct"/>
                  <w:vMerge w:val="continue"/>
                  <w:tcBorders>
                    <w:tl2br w:val="nil"/>
                    <w:tr2bl w:val="nil"/>
                  </w:tcBorders>
                  <w:noWrap w:val="0"/>
                  <w:vAlign w:val="center"/>
                </w:tcPr>
                <w:p w14:paraId="08171BD8">
                  <w:pPr>
                    <w:adjustRightInd w:val="0"/>
                    <w:snapToGrid w:val="0"/>
                    <w:spacing w:line="240" w:lineRule="auto"/>
                    <w:jc w:val="center"/>
                    <w:rPr>
                      <w:b/>
                      <w:color w:val="auto"/>
                      <w:szCs w:val="21"/>
                    </w:rPr>
                  </w:pPr>
                </w:p>
              </w:tc>
              <w:tc>
                <w:tcPr>
                  <w:tcW w:w="346" w:type="pct"/>
                  <w:tcBorders>
                    <w:tl2br w:val="nil"/>
                    <w:tr2bl w:val="nil"/>
                  </w:tcBorders>
                  <w:noWrap w:val="0"/>
                  <w:vAlign w:val="center"/>
                </w:tcPr>
                <w:p w14:paraId="019784C7">
                  <w:pPr>
                    <w:adjustRightInd w:val="0"/>
                    <w:snapToGrid w:val="0"/>
                    <w:spacing w:line="240" w:lineRule="auto"/>
                    <w:jc w:val="center"/>
                    <w:rPr>
                      <w:b/>
                      <w:color w:val="auto"/>
                      <w:szCs w:val="21"/>
                    </w:rPr>
                  </w:pPr>
                  <w:r>
                    <w:rPr>
                      <w:b/>
                      <w:color w:val="auto"/>
                      <w:szCs w:val="21"/>
                    </w:rPr>
                    <w:t>源强</w:t>
                  </w:r>
                </w:p>
              </w:tc>
              <w:tc>
                <w:tcPr>
                  <w:tcW w:w="315" w:type="pct"/>
                  <w:tcBorders>
                    <w:tl2br w:val="nil"/>
                    <w:tr2bl w:val="nil"/>
                  </w:tcBorders>
                  <w:noWrap w:val="0"/>
                  <w:vAlign w:val="center"/>
                </w:tcPr>
                <w:p w14:paraId="6EC1437E">
                  <w:pPr>
                    <w:adjustRightInd w:val="0"/>
                    <w:snapToGrid w:val="0"/>
                    <w:spacing w:line="240" w:lineRule="auto"/>
                    <w:jc w:val="center"/>
                    <w:rPr>
                      <w:b/>
                      <w:color w:val="auto"/>
                      <w:szCs w:val="21"/>
                    </w:rPr>
                  </w:pPr>
                  <w:r>
                    <w:rPr>
                      <w:b/>
                      <w:color w:val="auto"/>
                      <w:szCs w:val="21"/>
                    </w:rPr>
                    <w:t>10m</w:t>
                  </w:r>
                </w:p>
              </w:tc>
              <w:tc>
                <w:tcPr>
                  <w:tcW w:w="316" w:type="pct"/>
                  <w:tcBorders>
                    <w:tl2br w:val="nil"/>
                    <w:tr2bl w:val="nil"/>
                  </w:tcBorders>
                  <w:noWrap w:val="0"/>
                  <w:vAlign w:val="center"/>
                </w:tcPr>
                <w:p w14:paraId="28B074D7">
                  <w:pPr>
                    <w:adjustRightInd w:val="0"/>
                    <w:snapToGrid w:val="0"/>
                    <w:spacing w:line="240" w:lineRule="auto"/>
                    <w:jc w:val="center"/>
                    <w:rPr>
                      <w:b/>
                      <w:color w:val="auto"/>
                      <w:szCs w:val="21"/>
                    </w:rPr>
                  </w:pPr>
                  <w:r>
                    <w:rPr>
                      <w:b/>
                      <w:color w:val="auto"/>
                      <w:szCs w:val="21"/>
                    </w:rPr>
                    <w:t>20m</w:t>
                  </w:r>
                </w:p>
              </w:tc>
              <w:tc>
                <w:tcPr>
                  <w:tcW w:w="316" w:type="pct"/>
                  <w:tcBorders>
                    <w:tl2br w:val="nil"/>
                    <w:tr2bl w:val="nil"/>
                  </w:tcBorders>
                  <w:noWrap w:val="0"/>
                  <w:vAlign w:val="center"/>
                </w:tcPr>
                <w:p w14:paraId="2F8EF593">
                  <w:pPr>
                    <w:adjustRightInd w:val="0"/>
                    <w:snapToGrid w:val="0"/>
                    <w:spacing w:line="240" w:lineRule="auto"/>
                    <w:jc w:val="center"/>
                    <w:rPr>
                      <w:b/>
                      <w:color w:val="auto"/>
                      <w:szCs w:val="21"/>
                    </w:rPr>
                  </w:pPr>
                  <w:r>
                    <w:rPr>
                      <w:b/>
                      <w:color w:val="auto"/>
                      <w:szCs w:val="21"/>
                    </w:rPr>
                    <w:t>30m</w:t>
                  </w:r>
                </w:p>
              </w:tc>
              <w:tc>
                <w:tcPr>
                  <w:tcW w:w="316" w:type="pct"/>
                  <w:tcBorders>
                    <w:tl2br w:val="nil"/>
                    <w:tr2bl w:val="nil"/>
                  </w:tcBorders>
                  <w:noWrap w:val="0"/>
                  <w:vAlign w:val="center"/>
                </w:tcPr>
                <w:p w14:paraId="7479DD34">
                  <w:pPr>
                    <w:adjustRightInd w:val="0"/>
                    <w:snapToGrid w:val="0"/>
                    <w:spacing w:line="240" w:lineRule="auto"/>
                    <w:jc w:val="center"/>
                    <w:rPr>
                      <w:b/>
                      <w:color w:val="auto"/>
                      <w:szCs w:val="21"/>
                    </w:rPr>
                  </w:pPr>
                  <w:r>
                    <w:rPr>
                      <w:b/>
                      <w:color w:val="auto"/>
                      <w:szCs w:val="21"/>
                    </w:rPr>
                    <w:t>40m</w:t>
                  </w:r>
                </w:p>
              </w:tc>
              <w:tc>
                <w:tcPr>
                  <w:tcW w:w="316" w:type="pct"/>
                  <w:tcBorders>
                    <w:tl2br w:val="nil"/>
                    <w:tr2bl w:val="nil"/>
                  </w:tcBorders>
                  <w:noWrap w:val="0"/>
                  <w:vAlign w:val="center"/>
                </w:tcPr>
                <w:p w14:paraId="476D07A8">
                  <w:pPr>
                    <w:adjustRightInd w:val="0"/>
                    <w:snapToGrid w:val="0"/>
                    <w:spacing w:line="240" w:lineRule="auto"/>
                    <w:jc w:val="center"/>
                    <w:rPr>
                      <w:b/>
                      <w:color w:val="auto"/>
                      <w:szCs w:val="21"/>
                    </w:rPr>
                  </w:pPr>
                  <w:r>
                    <w:rPr>
                      <w:b/>
                      <w:color w:val="auto"/>
                      <w:szCs w:val="21"/>
                    </w:rPr>
                    <w:t>50m</w:t>
                  </w:r>
                </w:p>
              </w:tc>
              <w:tc>
                <w:tcPr>
                  <w:tcW w:w="400" w:type="pct"/>
                  <w:tcBorders>
                    <w:tl2br w:val="nil"/>
                    <w:tr2bl w:val="nil"/>
                  </w:tcBorders>
                  <w:noWrap w:val="0"/>
                  <w:vAlign w:val="center"/>
                </w:tcPr>
                <w:p w14:paraId="5BD46255">
                  <w:pPr>
                    <w:adjustRightInd w:val="0"/>
                    <w:snapToGrid w:val="0"/>
                    <w:spacing w:line="240" w:lineRule="auto"/>
                    <w:jc w:val="center"/>
                    <w:rPr>
                      <w:b/>
                      <w:color w:val="auto"/>
                      <w:szCs w:val="21"/>
                    </w:rPr>
                  </w:pPr>
                  <w:r>
                    <w:rPr>
                      <w:b/>
                      <w:color w:val="auto"/>
                      <w:szCs w:val="21"/>
                    </w:rPr>
                    <w:t>100m</w:t>
                  </w:r>
                </w:p>
              </w:tc>
              <w:tc>
                <w:tcPr>
                  <w:tcW w:w="400" w:type="pct"/>
                  <w:tcBorders>
                    <w:tl2br w:val="nil"/>
                    <w:tr2bl w:val="nil"/>
                  </w:tcBorders>
                  <w:noWrap w:val="0"/>
                  <w:vAlign w:val="center"/>
                </w:tcPr>
                <w:p w14:paraId="22ABC19B">
                  <w:pPr>
                    <w:adjustRightInd w:val="0"/>
                    <w:snapToGrid w:val="0"/>
                    <w:spacing w:line="240" w:lineRule="auto"/>
                    <w:jc w:val="center"/>
                    <w:rPr>
                      <w:b/>
                      <w:color w:val="auto"/>
                      <w:szCs w:val="21"/>
                    </w:rPr>
                  </w:pPr>
                  <w:r>
                    <w:rPr>
                      <w:b/>
                      <w:color w:val="auto"/>
                      <w:szCs w:val="21"/>
                    </w:rPr>
                    <w:t>150m</w:t>
                  </w:r>
                </w:p>
              </w:tc>
              <w:tc>
                <w:tcPr>
                  <w:tcW w:w="400" w:type="pct"/>
                  <w:tcBorders>
                    <w:tl2br w:val="nil"/>
                    <w:tr2bl w:val="nil"/>
                  </w:tcBorders>
                  <w:noWrap w:val="0"/>
                  <w:vAlign w:val="center"/>
                </w:tcPr>
                <w:p w14:paraId="7389197D">
                  <w:pPr>
                    <w:adjustRightInd w:val="0"/>
                    <w:snapToGrid w:val="0"/>
                    <w:spacing w:line="240" w:lineRule="auto"/>
                    <w:jc w:val="center"/>
                    <w:rPr>
                      <w:b/>
                      <w:color w:val="auto"/>
                      <w:szCs w:val="21"/>
                    </w:rPr>
                  </w:pPr>
                  <w:r>
                    <w:rPr>
                      <w:b/>
                      <w:color w:val="auto"/>
                      <w:szCs w:val="21"/>
                    </w:rPr>
                    <w:t>200m</w:t>
                  </w:r>
                </w:p>
              </w:tc>
              <w:tc>
                <w:tcPr>
                  <w:tcW w:w="401" w:type="pct"/>
                  <w:tcBorders>
                    <w:tl2br w:val="nil"/>
                    <w:tr2bl w:val="nil"/>
                  </w:tcBorders>
                  <w:noWrap w:val="0"/>
                  <w:vAlign w:val="center"/>
                </w:tcPr>
                <w:p w14:paraId="0EB20325">
                  <w:pPr>
                    <w:adjustRightInd w:val="0"/>
                    <w:snapToGrid w:val="0"/>
                    <w:spacing w:line="240" w:lineRule="auto"/>
                    <w:jc w:val="center"/>
                    <w:rPr>
                      <w:b/>
                      <w:color w:val="auto"/>
                      <w:szCs w:val="21"/>
                    </w:rPr>
                  </w:pPr>
                  <w:r>
                    <w:rPr>
                      <w:b/>
                      <w:color w:val="auto"/>
                      <w:szCs w:val="21"/>
                    </w:rPr>
                    <w:t>250m</w:t>
                  </w:r>
                </w:p>
              </w:tc>
              <w:tc>
                <w:tcPr>
                  <w:tcW w:w="433" w:type="pct"/>
                  <w:tcBorders>
                    <w:tl2br w:val="nil"/>
                    <w:tr2bl w:val="nil"/>
                  </w:tcBorders>
                  <w:noWrap w:val="0"/>
                  <w:vAlign w:val="center"/>
                </w:tcPr>
                <w:p w14:paraId="748417DA">
                  <w:pPr>
                    <w:adjustRightInd w:val="0"/>
                    <w:snapToGrid w:val="0"/>
                    <w:spacing w:line="240" w:lineRule="auto"/>
                    <w:jc w:val="center"/>
                    <w:rPr>
                      <w:b/>
                      <w:color w:val="auto"/>
                      <w:szCs w:val="21"/>
                    </w:rPr>
                  </w:pPr>
                  <w:r>
                    <w:rPr>
                      <w:b/>
                      <w:color w:val="auto"/>
                      <w:szCs w:val="21"/>
                    </w:rPr>
                    <w:t>300m</w:t>
                  </w:r>
                </w:p>
              </w:tc>
            </w:tr>
            <w:tr w14:paraId="528C68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033" w:type="pct"/>
                  <w:tcBorders>
                    <w:tl2br w:val="nil"/>
                    <w:tr2bl w:val="nil"/>
                  </w:tcBorders>
                  <w:noWrap w:val="0"/>
                  <w:vAlign w:val="center"/>
                </w:tcPr>
                <w:p w14:paraId="2DFBC8FC">
                  <w:pPr>
                    <w:adjustRightInd w:val="0"/>
                    <w:snapToGrid w:val="0"/>
                    <w:spacing w:line="240" w:lineRule="auto"/>
                    <w:jc w:val="center"/>
                    <w:rPr>
                      <w:color w:val="auto"/>
                      <w:szCs w:val="21"/>
                    </w:rPr>
                  </w:pPr>
                  <w:r>
                    <w:rPr>
                      <w:color w:val="auto"/>
                      <w:szCs w:val="21"/>
                    </w:rPr>
                    <w:t>振捣器</w:t>
                  </w:r>
                </w:p>
              </w:tc>
              <w:tc>
                <w:tcPr>
                  <w:tcW w:w="346" w:type="pct"/>
                  <w:tcBorders>
                    <w:tl2br w:val="nil"/>
                    <w:tr2bl w:val="nil"/>
                  </w:tcBorders>
                  <w:noWrap w:val="0"/>
                  <w:vAlign w:val="center"/>
                </w:tcPr>
                <w:p w14:paraId="04CD24B6">
                  <w:pPr>
                    <w:adjustRightInd w:val="0"/>
                    <w:snapToGrid w:val="0"/>
                    <w:spacing w:line="240" w:lineRule="auto"/>
                    <w:jc w:val="center"/>
                    <w:rPr>
                      <w:color w:val="auto"/>
                      <w:szCs w:val="21"/>
                    </w:rPr>
                  </w:pPr>
                  <w:r>
                    <w:rPr>
                      <w:color w:val="auto"/>
                      <w:szCs w:val="21"/>
                    </w:rPr>
                    <w:t>95</w:t>
                  </w:r>
                </w:p>
              </w:tc>
              <w:tc>
                <w:tcPr>
                  <w:tcW w:w="315" w:type="pct"/>
                  <w:tcBorders>
                    <w:tl2br w:val="nil"/>
                    <w:tr2bl w:val="nil"/>
                  </w:tcBorders>
                  <w:noWrap w:val="0"/>
                  <w:vAlign w:val="center"/>
                </w:tcPr>
                <w:p w14:paraId="3528241C">
                  <w:pPr>
                    <w:adjustRightInd w:val="0"/>
                    <w:snapToGrid w:val="0"/>
                    <w:spacing w:line="240" w:lineRule="auto"/>
                    <w:jc w:val="center"/>
                    <w:rPr>
                      <w:color w:val="auto"/>
                      <w:kern w:val="0"/>
                      <w:szCs w:val="21"/>
                    </w:rPr>
                  </w:pPr>
                  <w:r>
                    <w:rPr>
                      <w:color w:val="auto"/>
                      <w:kern w:val="0"/>
                      <w:szCs w:val="21"/>
                    </w:rPr>
                    <w:t>75</w:t>
                  </w:r>
                </w:p>
              </w:tc>
              <w:tc>
                <w:tcPr>
                  <w:tcW w:w="316" w:type="pct"/>
                  <w:tcBorders>
                    <w:tl2br w:val="nil"/>
                    <w:tr2bl w:val="nil"/>
                  </w:tcBorders>
                  <w:noWrap w:val="0"/>
                  <w:vAlign w:val="center"/>
                </w:tcPr>
                <w:p w14:paraId="74E7A1F4">
                  <w:pPr>
                    <w:adjustRightInd w:val="0"/>
                    <w:snapToGrid w:val="0"/>
                    <w:spacing w:line="240" w:lineRule="auto"/>
                    <w:jc w:val="center"/>
                    <w:rPr>
                      <w:color w:val="auto"/>
                      <w:kern w:val="0"/>
                      <w:szCs w:val="21"/>
                    </w:rPr>
                  </w:pPr>
                  <w:r>
                    <w:rPr>
                      <w:color w:val="auto"/>
                      <w:kern w:val="0"/>
                      <w:szCs w:val="21"/>
                    </w:rPr>
                    <w:t>69</w:t>
                  </w:r>
                </w:p>
              </w:tc>
              <w:tc>
                <w:tcPr>
                  <w:tcW w:w="316" w:type="pct"/>
                  <w:tcBorders>
                    <w:tl2br w:val="nil"/>
                    <w:tr2bl w:val="nil"/>
                  </w:tcBorders>
                  <w:noWrap w:val="0"/>
                  <w:vAlign w:val="center"/>
                </w:tcPr>
                <w:p w14:paraId="416D79A2">
                  <w:pPr>
                    <w:adjustRightInd w:val="0"/>
                    <w:snapToGrid w:val="0"/>
                    <w:spacing w:line="240" w:lineRule="auto"/>
                    <w:jc w:val="center"/>
                    <w:rPr>
                      <w:color w:val="auto"/>
                      <w:kern w:val="0"/>
                      <w:szCs w:val="21"/>
                    </w:rPr>
                  </w:pPr>
                  <w:r>
                    <w:rPr>
                      <w:color w:val="auto"/>
                      <w:kern w:val="0"/>
                      <w:szCs w:val="21"/>
                    </w:rPr>
                    <w:t>65</w:t>
                  </w:r>
                </w:p>
              </w:tc>
              <w:tc>
                <w:tcPr>
                  <w:tcW w:w="316" w:type="pct"/>
                  <w:tcBorders>
                    <w:tl2br w:val="nil"/>
                    <w:tr2bl w:val="nil"/>
                  </w:tcBorders>
                  <w:noWrap w:val="0"/>
                  <w:vAlign w:val="center"/>
                </w:tcPr>
                <w:p w14:paraId="0F4A3C15">
                  <w:pPr>
                    <w:adjustRightInd w:val="0"/>
                    <w:snapToGrid w:val="0"/>
                    <w:spacing w:line="240" w:lineRule="auto"/>
                    <w:jc w:val="center"/>
                    <w:rPr>
                      <w:color w:val="auto"/>
                      <w:kern w:val="0"/>
                      <w:szCs w:val="21"/>
                    </w:rPr>
                  </w:pPr>
                  <w:r>
                    <w:rPr>
                      <w:color w:val="auto"/>
                      <w:kern w:val="0"/>
                      <w:szCs w:val="21"/>
                    </w:rPr>
                    <w:t>63</w:t>
                  </w:r>
                </w:p>
              </w:tc>
              <w:tc>
                <w:tcPr>
                  <w:tcW w:w="316" w:type="pct"/>
                  <w:tcBorders>
                    <w:tl2br w:val="nil"/>
                    <w:tr2bl w:val="nil"/>
                  </w:tcBorders>
                  <w:noWrap w:val="0"/>
                  <w:vAlign w:val="center"/>
                </w:tcPr>
                <w:p w14:paraId="37C6BD1B">
                  <w:pPr>
                    <w:adjustRightInd w:val="0"/>
                    <w:snapToGrid w:val="0"/>
                    <w:spacing w:line="240" w:lineRule="auto"/>
                    <w:jc w:val="center"/>
                    <w:rPr>
                      <w:color w:val="auto"/>
                      <w:kern w:val="0"/>
                      <w:szCs w:val="21"/>
                    </w:rPr>
                  </w:pPr>
                  <w:r>
                    <w:rPr>
                      <w:color w:val="auto"/>
                      <w:kern w:val="0"/>
                      <w:szCs w:val="21"/>
                    </w:rPr>
                    <w:t>61</w:t>
                  </w:r>
                </w:p>
              </w:tc>
              <w:tc>
                <w:tcPr>
                  <w:tcW w:w="400" w:type="pct"/>
                  <w:tcBorders>
                    <w:tl2br w:val="nil"/>
                    <w:tr2bl w:val="nil"/>
                  </w:tcBorders>
                  <w:noWrap w:val="0"/>
                  <w:vAlign w:val="center"/>
                </w:tcPr>
                <w:p w14:paraId="74D1C104">
                  <w:pPr>
                    <w:adjustRightInd w:val="0"/>
                    <w:snapToGrid w:val="0"/>
                    <w:spacing w:line="240" w:lineRule="auto"/>
                    <w:jc w:val="center"/>
                    <w:rPr>
                      <w:color w:val="auto"/>
                      <w:kern w:val="0"/>
                      <w:szCs w:val="21"/>
                    </w:rPr>
                  </w:pPr>
                  <w:r>
                    <w:rPr>
                      <w:color w:val="auto"/>
                      <w:kern w:val="0"/>
                      <w:szCs w:val="21"/>
                    </w:rPr>
                    <w:t>55</w:t>
                  </w:r>
                </w:p>
              </w:tc>
              <w:tc>
                <w:tcPr>
                  <w:tcW w:w="400" w:type="pct"/>
                  <w:tcBorders>
                    <w:tl2br w:val="nil"/>
                    <w:tr2bl w:val="nil"/>
                  </w:tcBorders>
                  <w:noWrap w:val="0"/>
                  <w:vAlign w:val="center"/>
                </w:tcPr>
                <w:p w14:paraId="350A96A5">
                  <w:pPr>
                    <w:adjustRightInd w:val="0"/>
                    <w:snapToGrid w:val="0"/>
                    <w:spacing w:line="240" w:lineRule="auto"/>
                    <w:jc w:val="center"/>
                    <w:rPr>
                      <w:color w:val="auto"/>
                      <w:kern w:val="0"/>
                      <w:szCs w:val="21"/>
                    </w:rPr>
                  </w:pPr>
                  <w:r>
                    <w:rPr>
                      <w:color w:val="auto"/>
                      <w:kern w:val="0"/>
                      <w:szCs w:val="21"/>
                    </w:rPr>
                    <w:t>51</w:t>
                  </w:r>
                </w:p>
              </w:tc>
              <w:tc>
                <w:tcPr>
                  <w:tcW w:w="400" w:type="pct"/>
                  <w:tcBorders>
                    <w:tl2br w:val="nil"/>
                    <w:tr2bl w:val="nil"/>
                  </w:tcBorders>
                  <w:noWrap w:val="0"/>
                  <w:vAlign w:val="center"/>
                </w:tcPr>
                <w:p w14:paraId="01862CB5">
                  <w:pPr>
                    <w:adjustRightInd w:val="0"/>
                    <w:snapToGrid w:val="0"/>
                    <w:spacing w:line="240" w:lineRule="auto"/>
                    <w:jc w:val="center"/>
                    <w:rPr>
                      <w:color w:val="auto"/>
                      <w:kern w:val="0"/>
                      <w:szCs w:val="21"/>
                    </w:rPr>
                  </w:pPr>
                  <w:r>
                    <w:rPr>
                      <w:color w:val="auto"/>
                      <w:kern w:val="0"/>
                      <w:szCs w:val="21"/>
                    </w:rPr>
                    <w:t>49</w:t>
                  </w:r>
                </w:p>
              </w:tc>
              <w:tc>
                <w:tcPr>
                  <w:tcW w:w="401" w:type="pct"/>
                  <w:tcBorders>
                    <w:tl2br w:val="nil"/>
                    <w:tr2bl w:val="nil"/>
                  </w:tcBorders>
                  <w:noWrap w:val="0"/>
                  <w:vAlign w:val="center"/>
                </w:tcPr>
                <w:p w14:paraId="37B50D1F">
                  <w:pPr>
                    <w:adjustRightInd w:val="0"/>
                    <w:snapToGrid w:val="0"/>
                    <w:spacing w:line="240" w:lineRule="auto"/>
                    <w:jc w:val="center"/>
                    <w:rPr>
                      <w:color w:val="auto"/>
                      <w:kern w:val="0"/>
                      <w:szCs w:val="21"/>
                    </w:rPr>
                  </w:pPr>
                  <w:r>
                    <w:rPr>
                      <w:color w:val="auto"/>
                      <w:kern w:val="0"/>
                      <w:szCs w:val="21"/>
                    </w:rPr>
                    <w:t>47</w:t>
                  </w:r>
                </w:p>
              </w:tc>
              <w:tc>
                <w:tcPr>
                  <w:tcW w:w="433" w:type="pct"/>
                  <w:tcBorders>
                    <w:tl2br w:val="nil"/>
                    <w:tr2bl w:val="nil"/>
                  </w:tcBorders>
                  <w:noWrap w:val="0"/>
                  <w:vAlign w:val="center"/>
                </w:tcPr>
                <w:p w14:paraId="2DCE730C">
                  <w:pPr>
                    <w:adjustRightInd w:val="0"/>
                    <w:snapToGrid w:val="0"/>
                    <w:spacing w:line="240" w:lineRule="auto"/>
                    <w:jc w:val="center"/>
                    <w:rPr>
                      <w:color w:val="auto"/>
                      <w:kern w:val="0"/>
                      <w:szCs w:val="21"/>
                    </w:rPr>
                  </w:pPr>
                  <w:r>
                    <w:rPr>
                      <w:color w:val="auto"/>
                      <w:kern w:val="0"/>
                      <w:szCs w:val="21"/>
                    </w:rPr>
                    <w:t>45</w:t>
                  </w:r>
                </w:p>
              </w:tc>
            </w:tr>
            <w:tr w14:paraId="1F9243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033" w:type="pct"/>
                  <w:tcBorders>
                    <w:tl2br w:val="nil"/>
                    <w:tr2bl w:val="nil"/>
                  </w:tcBorders>
                  <w:noWrap w:val="0"/>
                  <w:vAlign w:val="center"/>
                </w:tcPr>
                <w:p w14:paraId="5D6055B3">
                  <w:pPr>
                    <w:adjustRightInd w:val="0"/>
                    <w:snapToGrid w:val="0"/>
                    <w:spacing w:line="240" w:lineRule="auto"/>
                    <w:jc w:val="center"/>
                    <w:rPr>
                      <w:color w:val="auto"/>
                      <w:szCs w:val="21"/>
                    </w:rPr>
                  </w:pPr>
                  <w:r>
                    <w:rPr>
                      <w:color w:val="auto"/>
                      <w:szCs w:val="21"/>
                    </w:rPr>
                    <w:t>卷扬机</w:t>
                  </w:r>
                </w:p>
              </w:tc>
              <w:tc>
                <w:tcPr>
                  <w:tcW w:w="346" w:type="pct"/>
                  <w:tcBorders>
                    <w:tl2br w:val="nil"/>
                    <w:tr2bl w:val="nil"/>
                  </w:tcBorders>
                  <w:noWrap w:val="0"/>
                  <w:vAlign w:val="center"/>
                </w:tcPr>
                <w:p w14:paraId="3609C340">
                  <w:pPr>
                    <w:adjustRightInd w:val="0"/>
                    <w:snapToGrid w:val="0"/>
                    <w:spacing w:line="240" w:lineRule="auto"/>
                    <w:jc w:val="center"/>
                    <w:rPr>
                      <w:color w:val="auto"/>
                      <w:szCs w:val="21"/>
                    </w:rPr>
                  </w:pPr>
                  <w:r>
                    <w:rPr>
                      <w:color w:val="auto"/>
                      <w:szCs w:val="21"/>
                    </w:rPr>
                    <w:t>85</w:t>
                  </w:r>
                </w:p>
              </w:tc>
              <w:tc>
                <w:tcPr>
                  <w:tcW w:w="315" w:type="pct"/>
                  <w:tcBorders>
                    <w:tl2br w:val="nil"/>
                    <w:tr2bl w:val="nil"/>
                  </w:tcBorders>
                  <w:noWrap w:val="0"/>
                  <w:vAlign w:val="center"/>
                </w:tcPr>
                <w:p w14:paraId="2E728567">
                  <w:pPr>
                    <w:adjustRightInd w:val="0"/>
                    <w:snapToGrid w:val="0"/>
                    <w:spacing w:line="240" w:lineRule="auto"/>
                    <w:jc w:val="center"/>
                    <w:rPr>
                      <w:color w:val="auto"/>
                      <w:kern w:val="0"/>
                      <w:szCs w:val="21"/>
                    </w:rPr>
                  </w:pPr>
                  <w:r>
                    <w:rPr>
                      <w:color w:val="auto"/>
                      <w:kern w:val="0"/>
                      <w:szCs w:val="21"/>
                    </w:rPr>
                    <w:t>65</w:t>
                  </w:r>
                </w:p>
              </w:tc>
              <w:tc>
                <w:tcPr>
                  <w:tcW w:w="316" w:type="pct"/>
                  <w:tcBorders>
                    <w:tl2br w:val="nil"/>
                    <w:tr2bl w:val="nil"/>
                  </w:tcBorders>
                  <w:noWrap w:val="0"/>
                  <w:vAlign w:val="center"/>
                </w:tcPr>
                <w:p w14:paraId="5E6A734F">
                  <w:pPr>
                    <w:adjustRightInd w:val="0"/>
                    <w:snapToGrid w:val="0"/>
                    <w:spacing w:line="240" w:lineRule="auto"/>
                    <w:jc w:val="center"/>
                    <w:rPr>
                      <w:color w:val="auto"/>
                      <w:kern w:val="0"/>
                      <w:szCs w:val="21"/>
                    </w:rPr>
                  </w:pPr>
                  <w:r>
                    <w:rPr>
                      <w:color w:val="auto"/>
                      <w:kern w:val="0"/>
                      <w:szCs w:val="21"/>
                    </w:rPr>
                    <w:t>59</w:t>
                  </w:r>
                </w:p>
              </w:tc>
              <w:tc>
                <w:tcPr>
                  <w:tcW w:w="316" w:type="pct"/>
                  <w:tcBorders>
                    <w:tl2br w:val="nil"/>
                    <w:tr2bl w:val="nil"/>
                  </w:tcBorders>
                  <w:noWrap w:val="0"/>
                  <w:vAlign w:val="center"/>
                </w:tcPr>
                <w:p w14:paraId="3A6AFD1C">
                  <w:pPr>
                    <w:adjustRightInd w:val="0"/>
                    <w:snapToGrid w:val="0"/>
                    <w:spacing w:line="240" w:lineRule="auto"/>
                    <w:jc w:val="center"/>
                    <w:rPr>
                      <w:color w:val="auto"/>
                      <w:kern w:val="0"/>
                      <w:szCs w:val="21"/>
                    </w:rPr>
                  </w:pPr>
                  <w:r>
                    <w:rPr>
                      <w:color w:val="auto"/>
                      <w:kern w:val="0"/>
                      <w:szCs w:val="21"/>
                    </w:rPr>
                    <w:t>55</w:t>
                  </w:r>
                </w:p>
              </w:tc>
              <w:tc>
                <w:tcPr>
                  <w:tcW w:w="316" w:type="pct"/>
                  <w:tcBorders>
                    <w:tl2br w:val="nil"/>
                    <w:tr2bl w:val="nil"/>
                  </w:tcBorders>
                  <w:noWrap w:val="0"/>
                  <w:vAlign w:val="center"/>
                </w:tcPr>
                <w:p w14:paraId="3A832B9B">
                  <w:pPr>
                    <w:adjustRightInd w:val="0"/>
                    <w:snapToGrid w:val="0"/>
                    <w:spacing w:line="240" w:lineRule="auto"/>
                    <w:jc w:val="center"/>
                    <w:rPr>
                      <w:color w:val="auto"/>
                      <w:kern w:val="0"/>
                      <w:szCs w:val="21"/>
                    </w:rPr>
                  </w:pPr>
                  <w:r>
                    <w:rPr>
                      <w:color w:val="auto"/>
                      <w:kern w:val="0"/>
                      <w:szCs w:val="21"/>
                    </w:rPr>
                    <w:t>53</w:t>
                  </w:r>
                </w:p>
              </w:tc>
              <w:tc>
                <w:tcPr>
                  <w:tcW w:w="316" w:type="pct"/>
                  <w:tcBorders>
                    <w:tl2br w:val="nil"/>
                    <w:tr2bl w:val="nil"/>
                  </w:tcBorders>
                  <w:noWrap w:val="0"/>
                  <w:vAlign w:val="center"/>
                </w:tcPr>
                <w:p w14:paraId="3AB04EC3">
                  <w:pPr>
                    <w:adjustRightInd w:val="0"/>
                    <w:snapToGrid w:val="0"/>
                    <w:spacing w:line="240" w:lineRule="auto"/>
                    <w:jc w:val="center"/>
                    <w:rPr>
                      <w:color w:val="auto"/>
                      <w:kern w:val="0"/>
                      <w:szCs w:val="21"/>
                    </w:rPr>
                  </w:pPr>
                  <w:r>
                    <w:rPr>
                      <w:color w:val="auto"/>
                      <w:kern w:val="0"/>
                      <w:szCs w:val="21"/>
                    </w:rPr>
                    <w:t>51</w:t>
                  </w:r>
                </w:p>
              </w:tc>
              <w:tc>
                <w:tcPr>
                  <w:tcW w:w="400" w:type="pct"/>
                  <w:tcBorders>
                    <w:tl2br w:val="nil"/>
                    <w:tr2bl w:val="nil"/>
                  </w:tcBorders>
                  <w:noWrap w:val="0"/>
                  <w:vAlign w:val="center"/>
                </w:tcPr>
                <w:p w14:paraId="5EE5C973">
                  <w:pPr>
                    <w:adjustRightInd w:val="0"/>
                    <w:snapToGrid w:val="0"/>
                    <w:spacing w:line="240" w:lineRule="auto"/>
                    <w:jc w:val="center"/>
                    <w:rPr>
                      <w:color w:val="auto"/>
                      <w:kern w:val="0"/>
                      <w:szCs w:val="21"/>
                    </w:rPr>
                  </w:pPr>
                  <w:r>
                    <w:rPr>
                      <w:color w:val="auto"/>
                      <w:kern w:val="0"/>
                      <w:szCs w:val="21"/>
                    </w:rPr>
                    <w:t>45</w:t>
                  </w:r>
                </w:p>
              </w:tc>
              <w:tc>
                <w:tcPr>
                  <w:tcW w:w="400" w:type="pct"/>
                  <w:tcBorders>
                    <w:tl2br w:val="nil"/>
                    <w:tr2bl w:val="nil"/>
                  </w:tcBorders>
                  <w:noWrap w:val="0"/>
                  <w:vAlign w:val="center"/>
                </w:tcPr>
                <w:p w14:paraId="2119A4BE">
                  <w:pPr>
                    <w:adjustRightInd w:val="0"/>
                    <w:snapToGrid w:val="0"/>
                    <w:spacing w:line="240" w:lineRule="auto"/>
                    <w:jc w:val="center"/>
                    <w:rPr>
                      <w:color w:val="auto"/>
                      <w:kern w:val="0"/>
                      <w:szCs w:val="21"/>
                    </w:rPr>
                  </w:pPr>
                  <w:r>
                    <w:rPr>
                      <w:color w:val="auto"/>
                      <w:kern w:val="0"/>
                      <w:szCs w:val="21"/>
                    </w:rPr>
                    <w:t>41</w:t>
                  </w:r>
                </w:p>
              </w:tc>
              <w:tc>
                <w:tcPr>
                  <w:tcW w:w="400" w:type="pct"/>
                  <w:tcBorders>
                    <w:tl2br w:val="nil"/>
                    <w:tr2bl w:val="nil"/>
                  </w:tcBorders>
                  <w:noWrap w:val="0"/>
                  <w:vAlign w:val="center"/>
                </w:tcPr>
                <w:p w14:paraId="59750A7F">
                  <w:pPr>
                    <w:adjustRightInd w:val="0"/>
                    <w:snapToGrid w:val="0"/>
                    <w:spacing w:line="240" w:lineRule="auto"/>
                    <w:jc w:val="center"/>
                    <w:rPr>
                      <w:color w:val="auto"/>
                      <w:kern w:val="0"/>
                      <w:szCs w:val="21"/>
                    </w:rPr>
                  </w:pPr>
                  <w:r>
                    <w:rPr>
                      <w:color w:val="auto"/>
                      <w:kern w:val="0"/>
                      <w:szCs w:val="21"/>
                    </w:rPr>
                    <w:t>39</w:t>
                  </w:r>
                </w:p>
              </w:tc>
              <w:tc>
                <w:tcPr>
                  <w:tcW w:w="401" w:type="pct"/>
                  <w:tcBorders>
                    <w:tl2br w:val="nil"/>
                    <w:tr2bl w:val="nil"/>
                  </w:tcBorders>
                  <w:noWrap w:val="0"/>
                  <w:vAlign w:val="center"/>
                </w:tcPr>
                <w:p w14:paraId="480E8CC3">
                  <w:pPr>
                    <w:adjustRightInd w:val="0"/>
                    <w:snapToGrid w:val="0"/>
                    <w:spacing w:line="240" w:lineRule="auto"/>
                    <w:jc w:val="center"/>
                    <w:rPr>
                      <w:color w:val="auto"/>
                      <w:kern w:val="0"/>
                      <w:szCs w:val="21"/>
                    </w:rPr>
                  </w:pPr>
                  <w:r>
                    <w:rPr>
                      <w:color w:val="auto"/>
                      <w:kern w:val="0"/>
                      <w:szCs w:val="21"/>
                    </w:rPr>
                    <w:t>37</w:t>
                  </w:r>
                </w:p>
              </w:tc>
              <w:tc>
                <w:tcPr>
                  <w:tcW w:w="433" w:type="pct"/>
                  <w:tcBorders>
                    <w:tl2br w:val="nil"/>
                    <w:tr2bl w:val="nil"/>
                  </w:tcBorders>
                  <w:noWrap w:val="0"/>
                  <w:vAlign w:val="center"/>
                </w:tcPr>
                <w:p w14:paraId="4D3F1ACE">
                  <w:pPr>
                    <w:adjustRightInd w:val="0"/>
                    <w:snapToGrid w:val="0"/>
                    <w:spacing w:line="240" w:lineRule="auto"/>
                    <w:jc w:val="center"/>
                    <w:rPr>
                      <w:color w:val="auto"/>
                      <w:kern w:val="0"/>
                      <w:szCs w:val="21"/>
                    </w:rPr>
                  </w:pPr>
                  <w:r>
                    <w:rPr>
                      <w:color w:val="auto"/>
                      <w:kern w:val="0"/>
                      <w:szCs w:val="21"/>
                    </w:rPr>
                    <w:t>35</w:t>
                  </w:r>
                </w:p>
              </w:tc>
            </w:tr>
            <w:tr w14:paraId="368149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033" w:type="pct"/>
                  <w:tcBorders>
                    <w:tl2br w:val="nil"/>
                    <w:tr2bl w:val="nil"/>
                  </w:tcBorders>
                  <w:noWrap w:val="0"/>
                  <w:vAlign w:val="center"/>
                </w:tcPr>
                <w:p w14:paraId="18C4BCFD">
                  <w:pPr>
                    <w:adjustRightInd w:val="0"/>
                    <w:snapToGrid w:val="0"/>
                    <w:spacing w:line="240" w:lineRule="auto"/>
                    <w:jc w:val="center"/>
                    <w:rPr>
                      <w:color w:val="auto"/>
                      <w:szCs w:val="21"/>
                    </w:rPr>
                  </w:pPr>
                  <w:r>
                    <w:rPr>
                      <w:color w:val="auto"/>
                      <w:szCs w:val="21"/>
                    </w:rPr>
                    <w:t>电焊机</w:t>
                  </w:r>
                </w:p>
              </w:tc>
              <w:tc>
                <w:tcPr>
                  <w:tcW w:w="346" w:type="pct"/>
                  <w:tcBorders>
                    <w:tl2br w:val="nil"/>
                    <w:tr2bl w:val="nil"/>
                  </w:tcBorders>
                  <w:noWrap w:val="0"/>
                  <w:vAlign w:val="center"/>
                </w:tcPr>
                <w:p w14:paraId="4D93BC20">
                  <w:pPr>
                    <w:adjustRightInd w:val="0"/>
                    <w:snapToGrid w:val="0"/>
                    <w:spacing w:line="240" w:lineRule="auto"/>
                    <w:jc w:val="center"/>
                    <w:rPr>
                      <w:color w:val="auto"/>
                      <w:kern w:val="0"/>
                      <w:szCs w:val="21"/>
                    </w:rPr>
                  </w:pPr>
                  <w:r>
                    <w:rPr>
                      <w:color w:val="auto"/>
                      <w:szCs w:val="21"/>
                    </w:rPr>
                    <w:t>80</w:t>
                  </w:r>
                </w:p>
              </w:tc>
              <w:tc>
                <w:tcPr>
                  <w:tcW w:w="315" w:type="pct"/>
                  <w:tcBorders>
                    <w:tl2br w:val="nil"/>
                    <w:tr2bl w:val="nil"/>
                  </w:tcBorders>
                  <w:noWrap w:val="0"/>
                  <w:vAlign w:val="center"/>
                </w:tcPr>
                <w:p w14:paraId="6FC3FCC1">
                  <w:pPr>
                    <w:adjustRightInd w:val="0"/>
                    <w:snapToGrid w:val="0"/>
                    <w:spacing w:line="240" w:lineRule="auto"/>
                    <w:jc w:val="center"/>
                    <w:rPr>
                      <w:color w:val="auto"/>
                      <w:kern w:val="0"/>
                      <w:szCs w:val="21"/>
                    </w:rPr>
                  </w:pPr>
                  <w:r>
                    <w:rPr>
                      <w:color w:val="auto"/>
                      <w:szCs w:val="21"/>
                    </w:rPr>
                    <w:t>60</w:t>
                  </w:r>
                </w:p>
              </w:tc>
              <w:tc>
                <w:tcPr>
                  <w:tcW w:w="316" w:type="pct"/>
                  <w:tcBorders>
                    <w:tl2br w:val="nil"/>
                    <w:tr2bl w:val="nil"/>
                  </w:tcBorders>
                  <w:noWrap w:val="0"/>
                  <w:vAlign w:val="center"/>
                </w:tcPr>
                <w:p w14:paraId="30665672">
                  <w:pPr>
                    <w:adjustRightInd w:val="0"/>
                    <w:snapToGrid w:val="0"/>
                    <w:spacing w:line="240" w:lineRule="auto"/>
                    <w:jc w:val="center"/>
                    <w:rPr>
                      <w:color w:val="auto"/>
                      <w:kern w:val="0"/>
                      <w:szCs w:val="21"/>
                    </w:rPr>
                  </w:pPr>
                  <w:r>
                    <w:rPr>
                      <w:color w:val="auto"/>
                      <w:szCs w:val="21"/>
                    </w:rPr>
                    <w:t>54</w:t>
                  </w:r>
                </w:p>
              </w:tc>
              <w:tc>
                <w:tcPr>
                  <w:tcW w:w="316" w:type="pct"/>
                  <w:tcBorders>
                    <w:tl2br w:val="nil"/>
                    <w:tr2bl w:val="nil"/>
                  </w:tcBorders>
                  <w:noWrap w:val="0"/>
                  <w:vAlign w:val="center"/>
                </w:tcPr>
                <w:p w14:paraId="5D695563">
                  <w:pPr>
                    <w:adjustRightInd w:val="0"/>
                    <w:snapToGrid w:val="0"/>
                    <w:spacing w:line="240" w:lineRule="auto"/>
                    <w:jc w:val="center"/>
                    <w:rPr>
                      <w:color w:val="auto"/>
                      <w:kern w:val="0"/>
                      <w:szCs w:val="21"/>
                    </w:rPr>
                  </w:pPr>
                  <w:r>
                    <w:rPr>
                      <w:color w:val="auto"/>
                      <w:szCs w:val="21"/>
                    </w:rPr>
                    <w:t>51</w:t>
                  </w:r>
                </w:p>
              </w:tc>
              <w:tc>
                <w:tcPr>
                  <w:tcW w:w="316" w:type="pct"/>
                  <w:tcBorders>
                    <w:tl2br w:val="nil"/>
                    <w:tr2bl w:val="nil"/>
                  </w:tcBorders>
                  <w:noWrap w:val="0"/>
                  <w:vAlign w:val="center"/>
                </w:tcPr>
                <w:p w14:paraId="3D933C53">
                  <w:pPr>
                    <w:adjustRightInd w:val="0"/>
                    <w:snapToGrid w:val="0"/>
                    <w:spacing w:line="240" w:lineRule="auto"/>
                    <w:jc w:val="center"/>
                    <w:rPr>
                      <w:color w:val="auto"/>
                      <w:kern w:val="0"/>
                      <w:szCs w:val="21"/>
                    </w:rPr>
                  </w:pPr>
                  <w:r>
                    <w:rPr>
                      <w:color w:val="auto"/>
                      <w:szCs w:val="21"/>
                    </w:rPr>
                    <w:t>48</w:t>
                  </w:r>
                </w:p>
              </w:tc>
              <w:tc>
                <w:tcPr>
                  <w:tcW w:w="316" w:type="pct"/>
                  <w:tcBorders>
                    <w:tl2br w:val="nil"/>
                    <w:tr2bl w:val="nil"/>
                  </w:tcBorders>
                  <w:noWrap w:val="0"/>
                  <w:vAlign w:val="center"/>
                </w:tcPr>
                <w:p w14:paraId="152D82EF">
                  <w:pPr>
                    <w:adjustRightInd w:val="0"/>
                    <w:snapToGrid w:val="0"/>
                    <w:spacing w:line="240" w:lineRule="auto"/>
                    <w:jc w:val="center"/>
                    <w:rPr>
                      <w:color w:val="auto"/>
                      <w:kern w:val="0"/>
                      <w:szCs w:val="21"/>
                    </w:rPr>
                  </w:pPr>
                  <w:r>
                    <w:rPr>
                      <w:color w:val="auto"/>
                      <w:szCs w:val="21"/>
                    </w:rPr>
                    <w:t>46</w:t>
                  </w:r>
                </w:p>
              </w:tc>
              <w:tc>
                <w:tcPr>
                  <w:tcW w:w="400" w:type="pct"/>
                  <w:tcBorders>
                    <w:tl2br w:val="nil"/>
                    <w:tr2bl w:val="nil"/>
                  </w:tcBorders>
                  <w:noWrap w:val="0"/>
                  <w:vAlign w:val="center"/>
                </w:tcPr>
                <w:p w14:paraId="39837628">
                  <w:pPr>
                    <w:adjustRightInd w:val="0"/>
                    <w:snapToGrid w:val="0"/>
                    <w:spacing w:line="240" w:lineRule="auto"/>
                    <w:jc w:val="center"/>
                    <w:rPr>
                      <w:color w:val="auto"/>
                      <w:kern w:val="0"/>
                      <w:szCs w:val="21"/>
                    </w:rPr>
                  </w:pPr>
                  <w:r>
                    <w:rPr>
                      <w:color w:val="auto"/>
                      <w:szCs w:val="21"/>
                    </w:rPr>
                    <w:t>40</w:t>
                  </w:r>
                </w:p>
              </w:tc>
              <w:tc>
                <w:tcPr>
                  <w:tcW w:w="400" w:type="pct"/>
                  <w:tcBorders>
                    <w:tl2br w:val="nil"/>
                    <w:tr2bl w:val="nil"/>
                  </w:tcBorders>
                  <w:noWrap w:val="0"/>
                  <w:vAlign w:val="center"/>
                </w:tcPr>
                <w:p w14:paraId="3AB4F262">
                  <w:pPr>
                    <w:adjustRightInd w:val="0"/>
                    <w:snapToGrid w:val="0"/>
                    <w:spacing w:line="240" w:lineRule="auto"/>
                    <w:jc w:val="center"/>
                    <w:rPr>
                      <w:color w:val="auto"/>
                      <w:kern w:val="0"/>
                      <w:szCs w:val="21"/>
                    </w:rPr>
                  </w:pPr>
                  <w:r>
                    <w:rPr>
                      <w:color w:val="auto"/>
                      <w:szCs w:val="21"/>
                    </w:rPr>
                    <w:t>36</w:t>
                  </w:r>
                </w:p>
              </w:tc>
              <w:tc>
                <w:tcPr>
                  <w:tcW w:w="400" w:type="pct"/>
                  <w:tcBorders>
                    <w:tl2br w:val="nil"/>
                    <w:tr2bl w:val="nil"/>
                  </w:tcBorders>
                  <w:noWrap w:val="0"/>
                  <w:vAlign w:val="center"/>
                </w:tcPr>
                <w:p w14:paraId="6FA47913">
                  <w:pPr>
                    <w:adjustRightInd w:val="0"/>
                    <w:snapToGrid w:val="0"/>
                    <w:spacing w:line="240" w:lineRule="auto"/>
                    <w:jc w:val="center"/>
                    <w:rPr>
                      <w:color w:val="auto"/>
                      <w:kern w:val="0"/>
                      <w:szCs w:val="21"/>
                    </w:rPr>
                  </w:pPr>
                  <w:r>
                    <w:rPr>
                      <w:color w:val="auto"/>
                      <w:szCs w:val="21"/>
                    </w:rPr>
                    <w:t>34</w:t>
                  </w:r>
                </w:p>
              </w:tc>
              <w:tc>
                <w:tcPr>
                  <w:tcW w:w="401" w:type="pct"/>
                  <w:tcBorders>
                    <w:tl2br w:val="nil"/>
                    <w:tr2bl w:val="nil"/>
                  </w:tcBorders>
                  <w:noWrap w:val="0"/>
                  <w:vAlign w:val="center"/>
                </w:tcPr>
                <w:p w14:paraId="05893408">
                  <w:pPr>
                    <w:adjustRightInd w:val="0"/>
                    <w:snapToGrid w:val="0"/>
                    <w:spacing w:line="240" w:lineRule="auto"/>
                    <w:jc w:val="center"/>
                    <w:rPr>
                      <w:color w:val="auto"/>
                      <w:kern w:val="0"/>
                      <w:szCs w:val="21"/>
                    </w:rPr>
                  </w:pPr>
                  <w:r>
                    <w:rPr>
                      <w:color w:val="auto"/>
                      <w:szCs w:val="21"/>
                    </w:rPr>
                    <w:t>32</w:t>
                  </w:r>
                </w:p>
              </w:tc>
              <w:tc>
                <w:tcPr>
                  <w:tcW w:w="433" w:type="pct"/>
                  <w:tcBorders>
                    <w:tl2br w:val="nil"/>
                    <w:tr2bl w:val="nil"/>
                  </w:tcBorders>
                  <w:noWrap w:val="0"/>
                  <w:vAlign w:val="center"/>
                </w:tcPr>
                <w:p w14:paraId="0A6119D7">
                  <w:pPr>
                    <w:adjustRightInd w:val="0"/>
                    <w:snapToGrid w:val="0"/>
                    <w:spacing w:line="240" w:lineRule="auto"/>
                    <w:jc w:val="center"/>
                    <w:rPr>
                      <w:color w:val="auto"/>
                      <w:kern w:val="0"/>
                      <w:szCs w:val="21"/>
                    </w:rPr>
                  </w:pPr>
                  <w:r>
                    <w:rPr>
                      <w:color w:val="auto"/>
                      <w:szCs w:val="21"/>
                    </w:rPr>
                    <w:t>30</w:t>
                  </w:r>
                </w:p>
              </w:tc>
            </w:tr>
            <w:tr w14:paraId="1E9E8D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033" w:type="pct"/>
                  <w:tcBorders>
                    <w:tl2br w:val="nil"/>
                    <w:tr2bl w:val="nil"/>
                  </w:tcBorders>
                  <w:noWrap w:val="0"/>
                  <w:vAlign w:val="center"/>
                </w:tcPr>
                <w:p w14:paraId="03E1CD4B">
                  <w:pPr>
                    <w:adjustRightInd w:val="0"/>
                    <w:snapToGrid w:val="0"/>
                    <w:spacing w:line="240" w:lineRule="auto"/>
                    <w:jc w:val="center"/>
                    <w:rPr>
                      <w:color w:val="auto"/>
                      <w:szCs w:val="21"/>
                    </w:rPr>
                  </w:pPr>
                  <w:r>
                    <w:rPr>
                      <w:color w:val="auto"/>
                      <w:szCs w:val="21"/>
                    </w:rPr>
                    <w:t>牵引机</w:t>
                  </w:r>
                </w:p>
              </w:tc>
              <w:tc>
                <w:tcPr>
                  <w:tcW w:w="346" w:type="pct"/>
                  <w:tcBorders>
                    <w:tl2br w:val="nil"/>
                    <w:tr2bl w:val="nil"/>
                  </w:tcBorders>
                  <w:noWrap w:val="0"/>
                  <w:vAlign w:val="center"/>
                </w:tcPr>
                <w:p w14:paraId="3B3D811C">
                  <w:pPr>
                    <w:adjustRightInd w:val="0"/>
                    <w:snapToGrid w:val="0"/>
                    <w:spacing w:line="240" w:lineRule="auto"/>
                    <w:jc w:val="center"/>
                    <w:rPr>
                      <w:color w:val="auto"/>
                      <w:szCs w:val="21"/>
                    </w:rPr>
                  </w:pPr>
                  <w:r>
                    <w:rPr>
                      <w:color w:val="auto"/>
                      <w:szCs w:val="21"/>
                    </w:rPr>
                    <w:t>75</w:t>
                  </w:r>
                </w:p>
              </w:tc>
              <w:tc>
                <w:tcPr>
                  <w:tcW w:w="315" w:type="pct"/>
                  <w:tcBorders>
                    <w:tl2br w:val="nil"/>
                    <w:tr2bl w:val="nil"/>
                  </w:tcBorders>
                  <w:noWrap w:val="0"/>
                  <w:vAlign w:val="center"/>
                </w:tcPr>
                <w:p w14:paraId="3B8CF82B">
                  <w:pPr>
                    <w:adjustRightInd w:val="0"/>
                    <w:snapToGrid w:val="0"/>
                    <w:spacing w:line="240" w:lineRule="auto"/>
                    <w:jc w:val="center"/>
                    <w:rPr>
                      <w:color w:val="auto"/>
                      <w:kern w:val="0"/>
                      <w:szCs w:val="21"/>
                    </w:rPr>
                  </w:pPr>
                  <w:r>
                    <w:rPr>
                      <w:color w:val="auto"/>
                      <w:kern w:val="0"/>
                      <w:szCs w:val="21"/>
                    </w:rPr>
                    <w:t>55</w:t>
                  </w:r>
                </w:p>
              </w:tc>
              <w:tc>
                <w:tcPr>
                  <w:tcW w:w="316" w:type="pct"/>
                  <w:tcBorders>
                    <w:tl2br w:val="nil"/>
                    <w:tr2bl w:val="nil"/>
                  </w:tcBorders>
                  <w:noWrap w:val="0"/>
                  <w:vAlign w:val="center"/>
                </w:tcPr>
                <w:p w14:paraId="7A4F6853">
                  <w:pPr>
                    <w:adjustRightInd w:val="0"/>
                    <w:snapToGrid w:val="0"/>
                    <w:spacing w:line="240" w:lineRule="auto"/>
                    <w:jc w:val="center"/>
                    <w:rPr>
                      <w:color w:val="auto"/>
                      <w:kern w:val="0"/>
                      <w:szCs w:val="21"/>
                    </w:rPr>
                  </w:pPr>
                  <w:r>
                    <w:rPr>
                      <w:color w:val="auto"/>
                      <w:kern w:val="0"/>
                      <w:szCs w:val="21"/>
                    </w:rPr>
                    <w:t>49</w:t>
                  </w:r>
                </w:p>
              </w:tc>
              <w:tc>
                <w:tcPr>
                  <w:tcW w:w="316" w:type="pct"/>
                  <w:tcBorders>
                    <w:tl2br w:val="nil"/>
                    <w:tr2bl w:val="nil"/>
                  </w:tcBorders>
                  <w:noWrap w:val="0"/>
                  <w:vAlign w:val="center"/>
                </w:tcPr>
                <w:p w14:paraId="6787485F">
                  <w:pPr>
                    <w:adjustRightInd w:val="0"/>
                    <w:snapToGrid w:val="0"/>
                    <w:spacing w:line="240" w:lineRule="auto"/>
                    <w:jc w:val="center"/>
                    <w:rPr>
                      <w:color w:val="auto"/>
                      <w:kern w:val="0"/>
                      <w:szCs w:val="21"/>
                    </w:rPr>
                  </w:pPr>
                  <w:r>
                    <w:rPr>
                      <w:color w:val="auto"/>
                      <w:kern w:val="0"/>
                      <w:szCs w:val="21"/>
                    </w:rPr>
                    <w:t>45</w:t>
                  </w:r>
                </w:p>
              </w:tc>
              <w:tc>
                <w:tcPr>
                  <w:tcW w:w="316" w:type="pct"/>
                  <w:tcBorders>
                    <w:tl2br w:val="nil"/>
                    <w:tr2bl w:val="nil"/>
                  </w:tcBorders>
                  <w:noWrap w:val="0"/>
                  <w:vAlign w:val="center"/>
                </w:tcPr>
                <w:p w14:paraId="0C97A0BE">
                  <w:pPr>
                    <w:adjustRightInd w:val="0"/>
                    <w:snapToGrid w:val="0"/>
                    <w:spacing w:line="240" w:lineRule="auto"/>
                    <w:jc w:val="center"/>
                    <w:rPr>
                      <w:color w:val="auto"/>
                      <w:kern w:val="0"/>
                      <w:szCs w:val="21"/>
                    </w:rPr>
                  </w:pPr>
                  <w:r>
                    <w:rPr>
                      <w:color w:val="auto"/>
                      <w:kern w:val="0"/>
                      <w:szCs w:val="21"/>
                    </w:rPr>
                    <w:t>43</w:t>
                  </w:r>
                </w:p>
              </w:tc>
              <w:tc>
                <w:tcPr>
                  <w:tcW w:w="316" w:type="pct"/>
                  <w:tcBorders>
                    <w:tl2br w:val="nil"/>
                    <w:tr2bl w:val="nil"/>
                  </w:tcBorders>
                  <w:noWrap w:val="0"/>
                  <w:vAlign w:val="center"/>
                </w:tcPr>
                <w:p w14:paraId="16C8CB29">
                  <w:pPr>
                    <w:adjustRightInd w:val="0"/>
                    <w:snapToGrid w:val="0"/>
                    <w:spacing w:line="240" w:lineRule="auto"/>
                    <w:jc w:val="center"/>
                    <w:rPr>
                      <w:color w:val="auto"/>
                      <w:kern w:val="0"/>
                      <w:szCs w:val="21"/>
                    </w:rPr>
                  </w:pPr>
                  <w:r>
                    <w:rPr>
                      <w:color w:val="auto"/>
                      <w:kern w:val="0"/>
                      <w:szCs w:val="21"/>
                    </w:rPr>
                    <w:t>41</w:t>
                  </w:r>
                </w:p>
              </w:tc>
              <w:tc>
                <w:tcPr>
                  <w:tcW w:w="400" w:type="pct"/>
                  <w:tcBorders>
                    <w:tl2br w:val="nil"/>
                    <w:tr2bl w:val="nil"/>
                  </w:tcBorders>
                  <w:noWrap w:val="0"/>
                  <w:vAlign w:val="center"/>
                </w:tcPr>
                <w:p w14:paraId="54DD2D57">
                  <w:pPr>
                    <w:adjustRightInd w:val="0"/>
                    <w:snapToGrid w:val="0"/>
                    <w:spacing w:line="240" w:lineRule="auto"/>
                    <w:jc w:val="center"/>
                    <w:rPr>
                      <w:color w:val="auto"/>
                      <w:kern w:val="0"/>
                      <w:szCs w:val="21"/>
                    </w:rPr>
                  </w:pPr>
                  <w:r>
                    <w:rPr>
                      <w:color w:val="auto"/>
                      <w:kern w:val="0"/>
                      <w:szCs w:val="21"/>
                    </w:rPr>
                    <w:t>35</w:t>
                  </w:r>
                </w:p>
              </w:tc>
              <w:tc>
                <w:tcPr>
                  <w:tcW w:w="400" w:type="pct"/>
                  <w:tcBorders>
                    <w:tl2br w:val="nil"/>
                    <w:tr2bl w:val="nil"/>
                  </w:tcBorders>
                  <w:noWrap w:val="0"/>
                  <w:vAlign w:val="center"/>
                </w:tcPr>
                <w:p w14:paraId="45D8A844">
                  <w:pPr>
                    <w:adjustRightInd w:val="0"/>
                    <w:snapToGrid w:val="0"/>
                    <w:spacing w:line="240" w:lineRule="auto"/>
                    <w:jc w:val="center"/>
                    <w:rPr>
                      <w:color w:val="auto"/>
                      <w:kern w:val="0"/>
                      <w:szCs w:val="21"/>
                    </w:rPr>
                  </w:pPr>
                  <w:r>
                    <w:rPr>
                      <w:color w:val="auto"/>
                      <w:kern w:val="0"/>
                      <w:szCs w:val="21"/>
                    </w:rPr>
                    <w:t>34</w:t>
                  </w:r>
                </w:p>
              </w:tc>
              <w:tc>
                <w:tcPr>
                  <w:tcW w:w="400" w:type="pct"/>
                  <w:tcBorders>
                    <w:tl2br w:val="nil"/>
                    <w:tr2bl w:val="nil"/>
                  </w:tcBorders>
                  <w:noWrap w:val="0"/>
                  <w:vAlign w:val="center"/>
                </w:tcPr>
                <w:p w14:paraId="2577FDED">
                  <w:pPr>
                    <w:adjustRightInd w:val="0"/>
                    <w:snapToGrid w:val="0"/>
                    <w:spacing w:line="240" w:lineRule="auto"/>
                    <w:jc w:val="center"/>
                    <w:rPr>
                      <w:color w:val="auto"/>
                      <w:kern w:val="0"/>
                      <w:szCs w:val="21"/>
                    </w:rPr>
                  </w:pPr>
                  <w:r>
                    <w:rPr>
                      <w:color w:val="auto"/>
                      <w:kern w:val="0"/>
                      <w:szCs w:val="21"/>
                    </w:rPr>
                    <w:t>35</w:t>
                  </w:r>
                </w:p>
              </w:tc>
              <w:tc>
                <w:tcPr>
                  <w:tcW w:w="401" w:type="pct"/>
                  <w:tcBorders>
                    <w:tl2br w:val="nil"/>
                    <w:tr2bl w:val="nil"/>
                  </w:tcBorders>
                  <w:noWrap w:val="0"/>
                  <w:vAlign w:val="center"/>
                </w:tcPr>
                <w:p w14:paraId="696623F9">
                  <w:pPr>
                    <w:adjustRightInd w:val="0"/>
                    <w:snapToGrid w:val="0"/>
                    <w:spacing w:line="240" w:lineRule="auto"/>
                    <w:jc w:val="center"/>
                    <w:rPr>
                      <w:color w:val="auto"/>
                      <w:kern w:val="0"/>
                      <w:szCs w:val="21"/>
                    </w:rPr>
                  </w:pPr>
                  <w:r>
                    <w:rPr>
                      <w:color w:val="auto"/>
                      <w:kern w:val="0"/>
                      <w:szCs w:val="21"/>
                    </w:rPr>
                    <w:t>33</w:t>
                  </w:r>
                </w:p>
              </w:tc>
              <w:tc>
                <w:tcPr>
                  <w:tcW w:w="433" w:type="pct"/>
                  <w:tcBorders>
                    <w:tl2br w:val="nil"/>
                    <w:tr2bl w:val="nil"/>
                  </w:tcBorders>
                  <w:noWrap w:val="0"/>
                  <w:vAlign w:val="center"/>
                </w:tcPr>
                <w:p w14:paraId="3D755AB8">
                  <w:pPr>
                    <w:adjustRightInd w:val="0"/>
                    <w:snapToGrid w:val="0"/>
                    <w:spacing w:line="240" w:lineRule="auto"/>
                    <w:jc w:val="center"/>
                    <w:rPr>
                      <w:color w:val="auto"/>
                      <w:kern w:val="0"/>
                      <w:szCs w:val="21"/>
                    </w:rPr>
                  </w:pPr>
                  <w:r>
                    <w:rPr>
                      <w:color w:val="auto"/>
                      <w:kern w:val="0"/>
                      <w:szCs w:val="21"/>
                    </w:rPr>
                    <w:t>31</w:t>
                  </w:r>
                </w:p>
              </w:tc>
            </w:tr>
            <w:tr w14:paraId="10B674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033" w:type="pct"/>
                  <w:tcBorders>
                    <w:tl2br w:val="nil"/>
                    <w:tr2bl w:val="nil"/>
                  </w:tcBorders>
                  <w:noWrap w:val="0"/>
                  <w:vAlign w:val="center"/>
                </w:tcPr>
                <w:p w14:paraId="5565A49E">
                  <w:pPr>
                    <w:adjustRightInd w:val="0"/>
                    <w:snapToGrid w:val="0"/>
                    <w:spacing w:line="240" w:lineRule="auto"/>
                    <w:jc w:val="center"/>
                    <w:rPr>
                      <w:color w:val="auto"/>
                      <w:szCs w:val="21"/>
                    </w:rPr>
                  </w:pPr>
                  <w:r>
                    <w:rPr>
                      <w:color w:val="auto"/>
                      <w:szCs w:val="21"/>
                    </w:rPr>
                    <w:t>张力机</w:t>
                  </w:r>
                </w:p>
              </w:tc>
              <w:tc>
                <w:tcPr>
                  <w:tcW w:w="346" w:type="pct"/>
                  <w:tcBorders>
                    <w:tl2br w:val="nil"/>
                    <w:tr2bl w:val="nil"/>
                  </w:tcBorders>
                  <w:noWrap w:val="0"/>
                  <w:vAlign w:val="center"/>
                </w:tcPr>
                <w:p w14:paraId="09E1AD23">
                  <w:pPr>
                    <w:adjustRightInd w:val="0"/>
                    <w:snapToGrid w:val="0"/>
                    <w:spacing w:line="240" w:lineRule="auto"/>
                    <w:jc w:val="center"/>
                    <w:rPr>
                      <w:color w:val="auto"/>
                      <w:kern w:val="0"/>
                      <w:szCs w:val="21"/>
                    </w:rPr>
                  </w:pPr>
                  <w:r>
                    <w:rPr>
                      <w:color w:val="auto"/>
                      <w:szCs w:val="21"/>
                    </w:rPr>
                    <w:t>75</w:t>
                  </w:r>
                </w:p>
              </w:tc>
              <w:tc>
                <w:tcPr>
                  <w:tcW w:w="315" w:type="pct"/>
                  <w:tcBorders>
                    <w:tl2br w:val="nil"/>
                    <w:tr2bl w:val="nil"/>
                  </w:tcBorders>
                  <w:noWrap w:val="0"/>
                  <w:vAlign w:val="center"/>
                </w:tcPr>
                <w:p w14:paraId="6C278A58">
                  <w:pPr>
                    <w:adjustRightInd w:val="0"/>
                    <w:snapToGrid w:val="0"/>
                    <w:spacing w:line="240" w:lineRule="auto"/>
                    <w:jc w:val="center"/>
                    <w:rPr>
                      <w:color w:val="auto"/>
                      <w:kern w:val="0"/>
                      <w:szCs w:val="21"/>
                    </w:rPr>
                  </w:pPr>
                  <w:r>
                    <w:rPr>
                      <w:color w:val="auto"/>
                      <w:kern w:val="0"/>
                      <w:szCs w:val="21"/>
                    </w:rPr>
                    <w:t>55</w:t>
                  </w:r>
                </w:p>
              </w:tc>
              <w:tc>
                <w:tcPr>
                  <w:tcW w:w="316" w:type="pct"/>
                  <w:tcBorders>
                    <w:tl2br w:val="nil"/>
                    <w:tr2bl w:val="nil"/>
                  </w:tcBorders>
                  <w:noWrap w:val="0"/>
                  <w:vAlign w:val="center"/>
                </w:tcPr>
                <w:p w14:paraId="3472C22D">
                  <w:pPr>
                    <w:adjustRightInd w:val="0"/>
                    <w:snapToGrid w:val="0"/>
                    <w:spacing w:line="240" w:lineRule="auto"/>
                    <w:jc w:val="center"/>
                    <w:rPr>
                      <w:color w:val="auto"/>
                      <w:kern w:val="0"/>
                      <w:szCs w:val="21"/>
                    </w:rPr>
                  </w:pPr>
                  <w:r>
                    <w:rPr>
                      <w:color w:val="auto"/>
                      <w:kern w:val="0"/>
                      <w:szCs w:val="21"/>
                    </w:rPr>
                    <w:t>49</w:t>
                  </w:r>
                </w:p>
              </w:tc>
              <w:tc>
                <w:tcPr>
                  <w:tcW w:w="316" w:type="pct"/>
                  <w:tcBorders>
                    <w:tl2br w:val="nil"/>
                    <w:tr2bl w:val="nil"/>
                  </w:tcBorders>
                  <w:noWrap w:val="0"/>
                  <w:vAlign w:val="center"/>
                </w:tcPr>
                <w:p w14:paraId="375AAA8A">
                  <w:pPr>
                    <w:adjustRightInd w:val="0"/>
                    <w:snapToGrid w:val="0"/>
                    <w:spacing w:line="240" w:lineRule="auto"/>
                    <w:jc w:val="center"/>
                    <w:rPr>
                      <w:color w:val="auto"/>
                      <w:kern w:val="0"/>
                      <w:szCs w:val="21"/>
                    </w:rPr>
                  </w:pPr>
                  <w:r>
                    <w:rPr>
                      <w:color w:val="auto"/>
                      <w:kern w:val="0"/>
                      <w:szCs w:val="21"/>
                    </w:rPr>
                    <w:t>45</w:t>
                  </w:r>
                </w:p>
              </w:tc>
              <w:tc>
                <w:tcPr>
                  <w:tcW w:w="316" w:type="pct"/>
                  <w:tcBorders>
                    <w:tl2br w:val="nil"/>
                    <w:tr2bl w:val="nil"/>
                  </w:tcBorders>
                  <w:noWrap w:val="0"/>
                  <w:vAlign w:val="center"/>
                </w:tcPr>
                <w:p w14:paraId="6DD5A92E">
                  <w:pPr>
                    <w:adjustRightInd w:val="0"/>
                    <w:snapToGrid w:val="0"/>
                    <w:spacing w:line="240" w:lineRule="auto"/>
                    <w:jc w:val="center"/>
                    <w:rPr>
                      <w:color w:val="auto"/>
                      <w:kern w:val="0"/>
                      <w:szCs w:val="21"/>
                    </w:rPr>
                  </w:pPr>
                  <w:r>
                    <w:rPr>
                      <w:color w:val="auto"/>
                      <w:kern w:val="0"/>
                      <w:szCs w:val="21"/>
                    </w:rPr>
                    <w:t>43</w:t>
                  </w:r>
                </w:p>
              </w:tc>
              <w:tc>
                <w:tcPr>
                  <w:tcW w:w="316" w:type="pct"/>
                  <w:tcBorders>
                    <w:tl2br w:val="nil"/>
                    <w:tr2bl w:val="nil"/>
                  </w:tcBorders>
                  <w:noWrap w:val="0"/>
                  <w:vAlign w:val="center"/>
                </w:tcPr>
                <w:p w14:paraId="574B7F56">
                  <w:pPr>
                    <w:adjustRightInd w:val="0"/>
                    <w:snapToGrid w:val="0"/>
                    <w:spacing w:line="240" w:lineRule="auto"/>
                    <w:jc w:val="center"/>
                    <w:rPr>
                      <w:color w:val="auto"/>
                      <w:kern w:val="0"/>
                      <w:szCs w:val="21"/>
                    </w:rPr>
                  </w:pPr>
                  <w:r>
                    <w:rPr>
                      <w:color w:val="auto"/>
                      <w:kern w:val="0"/>
                      <w:szCs w:val="21"/>
                    </w:rPr>
                    <w:t>41</w:t>
                  </w:r>
                </w:p>
              </w:tc>
              <w:tc>
                <w:tcPr>
                  <w:tcW w:w="400" w:type="pct"/>
                  <w:tcBorders>
                    <w:tl2br w:val="nil"/>
                    <w:tr2bl w:val="nil"/>
                  </w:tcBorders>
                  <w:noWrap w:val="0"/>
                  <w:vAlign w:val="center"/>
                </w:tcPr>
                <w:p w14:paraId="3624DCD9">
                  <w:pPr>
                    <w:adjustRightInd w:val="0"/>
                    <w:snapToGrid w:val="0"/>
                    <w:spacing w:line="240" w:lineRule="auto"/>
                    <w:jc w:val="center"/>
                    <w:rPr>
                      <w:color w:val="auto"/>
                      <w:kern w:val="0"/>
                      <w:szCs w:val="21"/>
                    </w:rPr>
                  </w:pPr>
                  <w:r>
                    <w:rPr>
                      <w:color w:val="auto"/>
                      <w:kern w:val="0"/>
                      <w:szCs w:val="21"/>
                    </w:rPr>
                    <w:t>35</w:t>
                  </w:r>
                </w:p>
              </w:tc>
              <w:tc>
                <w:tcPr>
                  <w:tcW w:w="400" w:type="pct"/>
                  <w:tcBorders>
                    <w:tl2br w:val="nil"/>
                    <w:tr2bl w:val="nil"/>
                  </w:tcBorders>
                  <w:noWrap w:val="0"/>
                  <w:vAlign w:val="center"/>
                </w:tcPr>
                <w:p w14:paraId="7BB64D16">
                  <w:pPr>
                    <w:adjustRightInd w:val="0"/>
                    <w:snapToGrid w:val="0"/>
                    <w:spacing w:line="240" w:lineRule="auto"/>
                    <w:jc w:val="center"/>
                    <w:rPr>
                      <w:color w:val="auto"/>
                      <w:kern w:val="0"/>
                      <w:szCs w:val="21"/>
                    </w:rPr>
                  </w:pPr>
                  <w:r>
                    <w:rPr>
                      <w:color w:val="auto"/>
                      <w:kern w:val="0"/>
                      <w:szCs w:val="21"/>
                    </w:rPr>
                    <w:t>34</w:t>
                  </w:r>
                </w:p>
              </w:tc>
              <w:tc>
                <w:tcPr>
                  <w:tcW w:w="400" w:type="pct"/>
                  <w:tcBorders>
                    <w:tl2br w:val="nil"/>
                    <w:tr2bl w:val="nil"/>
                  </w:tcBorders>
                  <w:noWrap w:val="0"/>
                  <w:vAlign w:val="center"/>
                </w:tcPr>
                <w:p w14:paraId="15E05F20">
                  <w:pPr>
                    <w:adjustRightInd w:val="0"/>
                    <w:snapToGrid w:val="0"/>
                    <w:spacing w:line="240" w:lineRule="auto"/>
                    <w:jc w:val="center"/>
                    <w:rPr>
                      <w:color w:val="auto"/>
                      <w:kern w:val="0"/>
                      <w:szCs w:val="21"/>
                    </w:rPr>
                  </w:pPr>
                  <w:r>
                    <w:rPr>
                      <w:color w:val="auto"/>
                      <w:kern w:val="0"/>
                      <w:szCs w:val="21"/>
                    </w:rPr>
                    <w:t>35</w:t>
                  </w:r>
                </w:p>
              </w:tc>
              <w:tc>
                <w:tcPr>
                  <w:tcW w:w="401" w:type="pct"/>
                  <w:tcBorders>
                    <w:tl2br w:val="nil"/>
                    <w:tr2bl w:val="nil"/>
                  </w:tcBorders>
                  <w:noWrap w:val="0"/>
                  <w:vAlign w:val="center"/>
                </w:tcPr>
                <w:p w14:paraId="6988D470">
                  <w:pPr>
                    <w:adjustRightInd w:val="0"/>
                    <w:snapToGrid w:val="0"/>
                    <w:spacing w:line="240" w:lineRule="auto"/>
                    <w:jc w:val="center"/>
                    <w:rPr>
                      <w:color w:val="auto"/>
                      <w:kern w:val="0"/>
                      <w:szCs w:val="21"/>
                    </w:rPr>
                  </w:pPr>
                  <w:r>
                    <w:rPr>
                      <w:color w:val="auto"/>
                      <w:kern w:val="0"/>
                      <w:szCs w:val="21"/>
                    </w:rPr>
                    <w:t>33</w:t>
                  </w:r>
                </w:p>
              </w:tc>
              <w:tc>
                <w:tcPr>
                  <w:tcW w:w="433" w:type="pct"/>
                  <w:tcBorders>
                    <w:tl2br w:val="nil"/>
                    <w:tr2bl w:val="nil"/>
                  </w:tcBorders>
                  <w:noWrap w:val="0"/>
                  <w:vAlign w:val="center"/>
                </w:tcPr>
                <w:p w14:paraId="68009927">
                  <w:pPr>
                    <w:adjustRightInd w:val="0"/>
                    <w:snapToGrid w:val="0"/>
                    <w:spacing w:line="240" w:lineRule="auto"/>
                    <w:jc w:val="center"/>
                    <w:rPr>
                      <w:color w:val="auto"/>
                      <w:kern w:val="0"/>
                      <w:szCs w:val="21"/>
                    </w:rPr>
                  </w:pPr>
                  <w:r>
                    <w:rPr>
                      <w:color w:val="auto"/>
                      <w:kern w:val="0"/>
                      <w:szCs w:val="21"/>
                    </w:rPr>
                    <w:t>31</w:t>
                  </w:r>
                </w:p>
              </w:tc>
            </w:tr>
            <w:tr w14:paraId="054EC2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033" w:type="pct"/>
                  <w:tcBorders>
                    <w:tl2br w:val="nil"/>
                    <w:tr2bl w:val="nil"/>
                  </w:tcBorders>
                  <w:noWrap w:val="0"/>
                  <w:vAlign w:val="center"/>
                </w:tcPr>
                <w:p w14:paraId="22CBCEAF">
                  <w:pPr>
                    <w:adjustRightInd w:val="0"/>
                    <w:snapToGrid w:val="0"/>
                    <w:spacing w:line="240" w:lineRule="auto"/>
                    <w:jc w:val="center"/>
                    <w:rPr>
                      <w:color w:val="auto"/>
                      <w:szCs w:val="21"/>
                    </w:rPr>
                  </w:pPr>
                  <w:r>
                    <w:rPr>
                      <w:color w:val="auto"/>
                      <w:szCs w:val="21"/>
                    </w:rPr>
                    <w:t>绞磨机</w:t>
                  </w:r>
                </w:p>
              </w:tc>
              <w:tc>
                <w:tcPr>
                  <w:tcW w:w="346" w:type="pct"/>
                  <w:tcBorders>
                    <w:tl2br w:val="nil"/>
                    <w:tr2bl w:val="nil"/>
                  </w:tcBorders>
                  <w:noWrap w:val="0"/>
                  <w:vAlign w:val="center"/>
                </w:tcPr>
                <w:p w14:paraId="7086096A">
                  <w:pPr>
                    <w:adjustRightInd w:val="0"/>
                    <w:snapToGrid w:val="0"/>
                    <w:spacing w:line="240" w:lineRule="auto"/>
                    <w:jc w:val="center"/>
                    <w:rPr>
                      <w:color w:val="auto"/>
                      <w:szCs w:val="21"/>
                    </w:rPr>
                  </w:pPr>
                  <w:r>
                    <w:rPr>
                      <w:color w:val="auto"/>
                      <w:szCs w:val="21"/>
                    </w:rPr>
                    <w:t>80</w:t>
                  </w:r>
                </w:p>
              </w:tc>
              <w:tc>
                <w:tcPr>
                  <w:tcW w:w="315" w:type="pct"/>
                  <w:tcBorders>
                    <w:tl2br w:val="nil"/>
                    <w:tr2bl w:val="nil"/>
                  </w:tcBorders>
                  <w:noWrap w:val="0"/>
                  <w:vAlign w:val="center"/>
                </w:tcPr>
                <w:p w14:paraId="6CBEC7B0">
                  <w:pPr>
                    <w:adjustRightInd w:val="0"/>
                    <w:snapToGrid w:val="0"/>
                    <w:spacing w:line="240" w:lineRule="auto"/>
                    <w:jc w:val="center"/>
                    <w:rPr>
                      <w:color w:val="auto"/>
                      <w:szCs w:val="21"/>
                    </w:rPr>
                  </w:pPr>
                  <w:r>
                    <w:rPr>
                      <w:color w:val="auto"/>
                      <w:kern w:val="0"/>
                      <w:szCs w:val="21"/>
                    </w:rPr>
                    <w:t>60</w:t>
                  </w:r>
                </w:p>
              </w:tc>
              <w:tc>
                <w:tcPr>
                  <w:tcW w:w="316" w:type="pct"/>
                  <w:tcBorders>
                    <w:tl2br w:val="nil"/>
                    <w:tr2bl w:val="nil"/>
                  </w:tcBorders>
                  <w:noWrap w:val="0"/>
                  <w:vAlign w:val="center"/>
                </w:tcPr>
                <w:p w14:paraId="50863A92">
                  <w:pPr>
                    <w:adjustRightInd w:val="0"/>
                    <w:snapToGrid w:val="0"/>
                    <w:spacing w:line="240" w:lineRule="auto"/>
                    <w:jc w:val="center"/>
                    <w:rPr>
                      <w:color w:val="auto"/>
                      <w:szCs w:val="21"/>
                    </w:rPr>
                  </w:pPr>
                  <w:r>
                    <w:rPr>
                      <w:color w:val="auto"/>
                      <w:kern w:val="0"/>
                      <w:szCs w:val="21"/>
                    </w:rPr>
                    <w:t>54</w:t>
                  </w:r>
                </w:p>
              </w:tc>
              <w:tc>
                <w:tcPr>
                  <w:tcW w:w="316" w:type="pct"/>
                  <w:tcBorders>
                    <w:tl2br w:val="nil"/>
                    <w:tr2bl w:val="nil"/>
                  </w:tcBorders>
                  <w:noWrap w:val="0"/>
                  <w:vAlign w:val="center"/>
                </w:tcPr>
                <w:p w14:paraId="10A6F70C">
                  <w:pPr>
                    <w:adjustRightInd w:val="0"/>
                    <w:snapToGrid w:val="0"/>
                    <w:spacing w:line="240" w:lineRule="auto"/>
                    <w:jc w:val="center"/>
                    <w:rPr>
                      <w:color w:val="auto"/>
                      <w:szCs w:val="21"/>
                    </w:rPr>
                  </w:pPr>
                  <w:r>
                    <w:rPr>
                      <w:color w:val="auto"/>
                      <w:kern w:val="0"/>
                      <w:szCs w:val="21"/>
                    </w:rPr>
                    <w:t>51</w:t>
                  </w:r>
                </w:p>
              </w:tc>
              <w:tc>
                <w:tcPr>
                  <w:tcW w:w="316" w:type="pct"/>
                  <w:tcBorders>
                    <w:tl2br w:val="nil"/>
                    <w:tr2bl w:val="nil"/>
                  </w:tcBorders>
                  <w:noWrap w:val="0"/>
                  <w:vAlign w:val="center"/>
                </w:tcPr>
                <w:p w14:paraId="1F92E7E2">
                  <w:pPr>
                    <w:adjustRightInd w:val="0"/>
                    <w:snapToGrid w:val="0"/>
                    <w:spacing w:line="240" w:lineRule="auto"/>
                    <w:jc w:val="center"/>
                    <w:rPr>
                      <w:color w:val="auto"/>
                      <w:szCs w:val="21"/>
                    </w:rPr>
                  </w:pPr>
                  <w:r>
                    <w:rPr>
                      <w:color w:val="auto"/>
                      <w:kern w:val="0"/>
                      <w:szCs w:val="21"/>
                    </w:rPr>
                    <w:t>49</w:t>
                  </w:r>
                </w:p>
              </w:tc>
              <w:tc>
                <w:tcPr>
                  <w:tcW w:w="316" w:type="pct"/>
                  <w:tcBorders>
                    <w:tl2br w:val="nil"/>
                    <w:tr2bl w:val="nil"/>
                  </w:tcBorders>
                  <w:noWrap w:val="0"/>
                  <w:vAlign w:val="center"/>
                </w:tcPr>
                <w:p w14:paraId="2BA920D1">
                  <w:pPr>
                    <w:adjustRightInd w:val="0"/>
                    <w:snapToGrid w:val="0"/>
                    <w:spacing w:line="240" w:lineRule="auto"/>
                    <w:jc w:val="center"/>
                    <w:rPr>
                      <w:color w:val="auto"/>
                      <w:szCs w:val="21"/>
                    </w:rPr>
                  </w:pPr>
                  <w:r>
                    <w:rPr>
                      <w:color w:val="auto"/>
                      <w:kern w:val="0"/>
                      <w:szCs w:val="21"/>
                    </w:rPr>
                    <w:t>46</w:t>
                  </w:r>
                </w:p>
              </w:tc>
              <w:tc>
                <w:tcPr>
                  <w:tcW w:w="400" w:type="pct"/>
                  <w:tcBorders>
                    <w:tl2br w:val="nil"/>
                    <w:tr2bl w:val="nil"/>
                  </w:tcBorders>
                  <w:noWrap w:val="0"/>
                  <w:vAlign w:val="center"/>
                </w:tcPr>
                <w:p w14:paraId="75E47CDE">
                  <w:pPr>
                    <w:adjustRightInd w:val="0"/>
                    <w:snapToGrid w:val="0"/>
                    <w:spacing w:line="240" w:lineRule="auto"/>
                    <w:jc w:val="center"/>
                    <w:rPr>
                      <w:color w:val="auto"/>
                      <w:szCs w:val="21"/>
                    </w:rPr>
                  </w:pPr>
                  <w:r>
                    <w:rPr>
                      <w:color w:val="auto"/>
                      <w:kern w:val="0"/>
                      <w:szCs w:val="21"/>
                    </w:rPr>
                    <w:t>40</w:t>
                  </w:r>
                </w:p>
              </w:tc>
              <w:tc>
                <w:tcPr>
                  <w:tcW w:w="400" w:type="pct"/>
                  <w:tcBorders>
                    <w:tl2br w:val="nil"/>
                    <w:tr2bl w:val="nil"/>
                  </w:tcBorders>
                  <w:noWrap w:val="0"/>
                  <w:vAlign w:val="center"/>
                </w:tcPr>
                <w:p w14:paraId="03E3BCAF">
                  <w:pPr>
                    <w:adjustRightInd w:val="0"/>
                    <w:snapToGrid w:val="0"/>
                    <w:spacing w:line="240" w:lineRule="auto"/>
                    <w:jc w:val="center"/>
                    <w:rPr>
                      <w:color w:val="auto"/>
                      <w:szCs w:val="21"/>
                    </w:rPr>
                  </w:pPr>
                  <w:r>
                    <w:rPr>
                      <w:color w:val="auto"/>
                      <w:kern w:val="0"/>
                      <w:szCs w:val="21"/>
                    </w:rPr>
                    <w:t>37</w:t>
                  </w:r>
                </w:p>
              </w:tc>
              <w:tc>
                <w:tcPr>
                  <w:tcW w:w="400" w:type="pct"/>
                  <w:tcBorders>
                    <w:tl2br w:val="nil"/>
                    <w:tr2bl w:val="nil"/>
                  </w:tcBorders>
                  <w:noWrap w:val="0"/>
                  <w:vAlign w:val="center"/>
                </w:tcPr>
                <w:p w14:paraId="1B1CA12F">
                  <w:pPr>
                    <w:adjustRightInd w:val="0"/>
                    <w:snapToGrid w:val="0"/>
                    <w:spacing w:line="240" w:lineRule="auto"/>
                    <w:jc w:val="center"/>
                    <w:rPr>
                      <w:color w:val="auto"/>
                      <w:szCs w:val="21"/>
                    </w:rPr>
                  </w:pPr>
                  <w:r>
                    <w:rPr>
                      <w:color w:val="auto"/>
                      <w:kern w:val="0"/>
                      <w:szCs w:val="21"/>
                    </w:rPr>
                    <w:t>35</w:t>
                  </w:r>
                </w:p>
              </w:tc>
              <w:tc>
                <w:tcPr>
                  <w:tcW w:w="401" w:type="pct"/>
                  <w:tcBorders>
                    <w:tl2br w:val="nil"/>
                    <w:tr2bl w:val="nil"/>
                  </w:tcBorders>
                  <w:noWrap w:val="0"/>
                  <w:vAlign w:val="center"/>
                </w:tcPr>
                <w:p w14:paraId="072796C5">
                  <w:pPr>
                    <w:adjustRightInd w:val="0"/>
                    <w:snapToGrid w:val="0"/>
                    <w:spacing w:line="240" w:lineRule="auto"/>
                    <w:jc w:val="center"/>
                    <w:rPr>
                      <w:color w:val="auto"/>
                      <w:szCs w:val="21"/>
                    </w:rPr>
                  </w:pPr>
                  <w:r>
                    <w:rPr>
                      <w:color w:val="auto"/>
                      <w:kern w:val="0"/>
                      <w:szCs w:val="21"/>
                    </w:rPr>
                    <w:t>33</w:t>
                  </w:r>
                </w:p>
              </w:tc>
              <w:tc>
                <w:tcPr>
                  <w:tcW w:w="433" w:type="pct"/>
                  <w:tcBorders>
                    <w:tl2br w:val="nil"/>
                    <w:tr2bl w:val="nil"/>
                  </w:tcBorders>
                  <w:noWrap w:val="0"/>
                  <w:vAlign w:val="center"/>
                </w:tcPr>
                <w:p w14:paraId="2BE9B26F">
                  <w:pPr>
                    <w:adjustRightInd w:val="0"/>
                    <w:snapToGrid w:val="0"/>
                    <w:spacing w:line="240" w:lineRule="auto"/>
                    <w:jc w:val="center"/>
                    <w:rPr>
                      <w:color w:val="auto"/>
                      <w:szCs w:val="21"/>
                    </w:rPr>
                  </w:pPr>
                  <w:r>
                    <w:rPr>
                      <w:color w:val="auto"/>
                      <w:kern w:val="0"/>
                      <w:szCs w:val="21"/>
                    </w:rPr>
                    <w:t>30</w:t>
                  </w:r>
                </w:p>
              </w:tc>
            </w:tr>
            <w:tr w14:paraId="3BF2EE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Pr>
              <w:tc>
                <w:tcPr>
                  <w:tcW w:w="1033" w:type="pct"/>
                  <w:tcBorders>
                    <w:tl2br w:val="nil"/>
                    <w:tr2bl w:val="nil"/>
                  </w:tcBorders>
                  <w:noWrap w:val="0"/>
                  <w:vAlign w:val="center"/>
                </w:tcPr>
                <w:p w14:paraId="79E1B9E8">
                  <w:pPr>
                    <w:adjustRightInd w:val="0"/>
                    <w:snapToGrid w:val="0"/>
                    <w:spacing w:line="240" w:lineRule="auto"/>
                    <w:jc w:val="center"/>
                    <w:rPr>
                      <w:b/>
                      <w:bCs/>
                      <w:color w:val="auto"/>
                      <w:szCs w:val="21"/>
                    </w:rPr>
                  </w:pPr>
                  <w:r>
                    <w:rPr>
                      <w:b/>
                      <w:bCs/>
                      <w:color w:val="auto"/>
                      <w:szCs w:val="21"/>
                    </w:rPr>
                    <w:t>叠加值</w:t>
                  </w:r>
                </w:p>
              </w:tc>
              <w:tc>
                <w:tcPr>
                  <w:tcW w:w="346" w:type="pct"/>
                  <w:tcBorders>
                    <w:tl2br w:val="nil"/>
                    <w:tr2bl w:val="nil"/>
                  </w:tcBorders>
                  <w:noWrap w:val="0"/>
                  <w:vAlign w:val="center"/>
                </w:tcPr>
                <w:p w14:paraId="6834B5F6">
                  <w:pPr>
                    <w:adjustRightInd w:val="0"/>
                    <w:snapToGrid w:val="0"/>
                    <w:spacing w:line="240" w:lineRule="auto"/>
                    <w:jc w:val="center"/>
                    <w:rPr>
                      <w:color w:val="auto"/>
                      <w:szCs w:val="21"/>
                    </w:rPr>
                  </w:pPr>
                  <w:r>
                    <w:rPr>
                      <w:color w:val="auto"/>
                      <w:szCs w:val="21"/>
                    </w:rPr>
                    <w:t>98.4</w:t>
                  </w:r>
                </w:p>
              </w:tc>
              <w:tc>
                <w:tcPr>
                  <w:tcW w:w="315" w:type="pct"/>
                  <w:tcBorders>
                    <w:tl2br w:val="nil"/>
                    <w:tr2bl w:val="nil"/>
                  </w:tcBorders>
                  <w:noWrap w:val="0"/>
                  <w:vAlign w:val="center"/>
                </w:tcPr>
                <w:p w14:paraId="07DE7FF1">
                  <w:pPr>
                    <w:adjustRightInd w:val="0"/>
                    <w:snapToGrid w:val="0"/>
                    <w:spacing w:line="240" w:lineRule="auto"/>
                    <w:jc w:val="center"/>
                    <w:rPr>
                      <w:color w:val="auto"/>
                      <w:kern w:val="0"/>
                      <w:szCs w:val="21"/>
                    </w:rPr>
                  </w:pPr>
                  <w:r>
                    <w:rPr>
                      <w:color w:val="auto"/>
                      <w:kern w:val="0"/>
                      <w:szCs w:val="21"/>
                    </w:rPr>
                    <w:t>79.6</w:t>
                  </w:r>
                </w:p>
              </w:tc>
              <w:tc>
                <w:tcPr>
                  <w:tcW w:w="316" w:type="pct"/>
                  <w:tcBorders>
                    <w:tl2br w:val="nil"/>
                    <w:tr2bl w:val="nil"/>
                  </w:tcBorders>
                  <w:noWrap w:val="0"/>
                  <w:vAlign w:val="center"/>
                </w:tcPr>
                <w:p w14:paraId="685D441D">
                  <w:pPr>
                    <w:adjustRightInd w:val="0"/>
                    <w:snapToGrid w:val="0"/>
                    <w:spacing w:line="240" w:lineRule="auto"/>
                    <w:jc w:val="center"/>
                    <w:rPr>
                      <w:color w:val="auto"/>
                      <w:kern w:val="0"/>
                      <w:szCs w:val="21"/>
                    </w:rPr>
                  </w:pPr>
                  <w:r>
                    <w:rPr>
                      <w:color w:val="auto"/>
                      <w:kern w:val="0"/>
                      <w:szCs w:val="21"/>
                    </w:rPr>
                    <w:t>7</w:t>
                  </w:r>
                  <w:r>
                    <w:rPr>
                      <w:rFonts w:hint="eastAsia"/>
                      <w:color w:val="auto"/>
                      <w:kern w:val="0"/>
                      <w:szCs w:val="21"/>
                    </w:rPr>
                    <w:t>2</w:t>
                  </w:r>
                  <w:r>
                    <w:rPr>
                      <w:color w:val="auto"/>
                      <w:kern w:val="0"/>
                      <w:szCs w:val="21"/>
                    </w:rPr>
                    <w:t>.</w:t>
                  </w:r>
                  <w:r>
                    <w:rPr>
                      <w:rFonts w:hint="eastAsia"/>
                      <w:color w:val="auto"/>
                      <w:kern w:val="0"/>
                      <w:szCs w:val="21"/>
                    </w:rPr>
                    <w:t>8</w:t>
                  </w:r>
                </w:p>
              </w:tc>
              <w:tc>
                <w:tcPr>
                  <w:tcW w:w="316" w:type="pct"/>
                  <w:tcBorders>
                    <w:tl2br w:val="nil"/>
                    <w:tr2bl w:val="nil"/>
                  </w:tcBorders>
                  <w:noWrap w:val="0"/>
                  <w:vAlign w:val="center"/>
                </w:tcPr>
                <w:p w14:paraId="372FD801">
                  <w:pPr>
                    <w:adjustRightInd w:val="0"/>
                    <w:snapToGrid w:val="0"/>
                    <w:spacing w:line="240" w:lineRule="auto"/>
                    <w:jc w:val="center"/>
                    <w:rPr>
                      <w:color w:val="auto"/>
                      <w:kern w:val="0"/>
                      <w:szCs w:val="21"/>
                    </w:rPr>
                  </w:pPr>
                  <w:r>
                    <w:rPr>
                      <w:color w:val="auto"/>
                      <w:kern w:val="0"/>
                      <w:szCs w:val="21"/>
                    </w:rPr>
                    <w:t>7</w:t>
                  </w:r>
                  <w:r>
                    <w:rPr>
                      <w:rFonts w:hint="eastAsia"/>
                      <w:color w:val="auto"/>
                      <w:kern w:val="0"/>
                      <w:szCs w:val="21"/>
                    </w:rPr>
                    <w:t>0</w:t>
                  </w:r>
                  <w:r>
                    <w:rPr>
                      <w:color w:val="auto"/>
                      <w:kern w:val="0"/>
                      <w:szCs w:val="21"/>
                    </w:rPr>
                    <w:t>.</w:t>
                  </w:r>
                  <w:r>
                    <w:rPr>
                      <w:rFonts w:hint="eastAsia"/>
                      <w:color w:val="auto"/>
                      <w:kern w:val="0"/>
                      <w:szCs w:val="21"/>
                    </w:rPr>
                    <w:t>4</w:t>
                  </w:r>
                </w:p>
              </w:tc>
              <w:tc>
                <w:tcPr>
                  <w:tcW w:w="316" w:type="pct"/>
                  <w:tcBorders>
                    <w:tl2br w:val="nil"/>
                    <w:tr2bl w:val="nil"/>
                  </w:tcBorders>
                  <w:noWrap w:val="0"/>
                  <w:vAlign w:val="center"/>
                </w:tcPr>
                <w:p w14:paraId="28223173">
                  <w:pPr>
                    <w:adjustRightInd w:val="0"/>
                    <w:snapToGrid w:val="0"/>
                    <w:spacing w:line="240" w:lineRule="auto"/>
                    <w:jc w:val="center"/>
                    <w:rPr>
                      <w:color w:val="auto"/>
                      <w:kern w:val="0"/>
                      <w:szCs w:val="21"/>
                    </w:rPr>
                  </w:pPr>
                  <w:r>
                    <w:rPr>
                      <w:color w:val="auto"/>
                      <w:kern w:val="0"/>
                      <w:szCs w:val="21"/>
                    </w:rPr>
                    <w:t>6</w:t>
                  </w:r>
                  <w:r>
                    <w:rPr>
                      <w:rFonts w:hint="eastAsia"/>
                      <w:color w:val="auto"/>
                      <w:kern w:val="0"/>
                      <w:szCs w:val="21"/>
                    </w:rPr>
                    <w:t>7</w:t>
                  </w:r>
                  <w:r>
                    <w:rPr>
                      <w:color w:val="auto"/>
                      <w:kern w:val="0"/>
                      <w:szCs w:val="21"/>
                    </w:rPr>
                    <w:t>.</w:t>
                  </w:r>
                  <w:r>
                    <w:rPr>
                      <w:rFonts w:hint="eastAsia"/>
                      <w:color w:val="auto"/>
                      <w:kern w:val="0"/>
                      <w:szCs w:val="21"/>
                    </w:rPr>
                    <w:t>7</w:t>
                  </w:r>
                </w:p>
              </w:tc>
              <w:tc>
                <w:tcPr>
                  <w:tcW w:w="316" w:type="pct"/>
                  <w:tcBorders>
                    <w:tl2br w:val="nil"/>
                    <w:tr2bl w:val="nil"/>
                  </w:tcBorders>
                  <w:noWrap w:val="0"/>
                  <w:vAlign w:val="center"/>
                </w:tcPr>
                <w:p w14:paraId="405FCCCD">
                  <w:pPr>
                    <w:adjustRightInd w:val="0"/>
                    <w:snapToGrid w:val="0"/>
                    <w:spacing w:line="240" w:lineRule="auto"/>
                    <w:jc w:val="center"/>
                    <w:rPr>
                      <w:color w:val="auto"/>
                      <w:kern w:val="0"/>
                      <w:szCs w:val="21"/>
                    </w:rPr>
                  </w:pPr>
                  <w:r>
                    <w:rPr>
                      <w:color w:val="auto"/>
                      <w:kern w:val="0"/>
                      <w:szCs w:val="21"/>
                    </w:rPr>
                    <w:t>6</w:t>
                  </w:r>
                  <w:r>
                    <w:rPr>
                      <w:rFonts w:hint="eastAsia"/>
                      <w:color w:val="auto"/>
                      <w:kern w:val="0"/>
                      <w:szCs w:val="21"/>
                    </w:rPr>
                    <w:t>4</w:t>
                  </w:r>
                  <w:r>
                    <w:rPr>
                      <w:color w:val="auto"/>
                      <w:kern w:val="0"/>
                      <w:szCs w:val="21"/>
                    </w:rPr>
                    <w:t>.</w:t>
                  </w:r>
                  <w:r>
                    <w:rPr>
                      <w:rFonts w:hint="eastAsia"/>
                      <w:color w:val="auto"/>
                      <w:kern w:val="0"/>
                      <w:szCs w:val="21"/>
                    </w:rPr>
                    <w:t>0</w:t>
                  </w:r>
                </w:p>
              </w:tc>
              <w:tc>
                <w:tcPr>
                  <w:tcW w:w="400" w:type="pct"/>
                  <w:tcBorders>
                    <w:tl2br w:val="nil"/>
                    <w:tr2bl w:val="nil"/>
                  </w:tcBorders>
                  <w:noWrap w:val="0"/>
                  <w:vAlign w:val="center"/>
                </w:tcPr>
                <w:p w14:paraId="1BEA1401">
                  <w:pPr>
                    <w:adjustRightInd w:val="0"/>
                    <w:snapToGrid w:val="0"/>
                    <w:spacing w:line="240" w:lineRule="auto"/>
                    <w:jc w:val="center"/>
                    <w:rPr>
                      <w:color w:val="auto"/>
                      <w:kern w:val="0"/>
                      <w:szCs w:val="21"/>
                    </w:rPr>
                  </w:pPr>
                  <w:r>
                    <w:rPr>
                      <w:color w:val="auto"/>
                      <w:kern w:val="0"/>
                      <w:szCs w:val="21"/>
                    </w:rPr>
                    <w:t>60.</w:t>
                  </w:r>
                  <w:r>
                    <w:rPr>
                      <w:rFonts w:hint="eastAsia"/>
                      <w:color w:val="auto"/>
                      <w:kern w:val="0"/>
                      <w:szCs w:val="21"/>
                    </w:rPr>
                    <w:t>2</w:t>
                  </w:r>
                </w:p>
              </w:tc>
              <w:tc>
                <w:tcPr>
                  <w:tcW w:w="400" w:type="pct"/>
                  <w:tcBorders>
                    <w:tl2br w:val="nil"/>
                    <w:tr2bl w:val="nil"/>
                  </w:tcBorders>
                  <w:noWrap w:val="0"/>
                  <w:vAlign w:val="center"/>
                </w:tcPr>
                <w:p w14:paraId="76291EB5">
                  <w:pPr>
                    <w:adjustRightInd w:val="0"/>
                    <w:snapToGrid w:val="0"/>
                    <w:spacing w:line="240" w:lineRule="auto"/>
                    <w:jc w:val="center"/>
                    <w:rPr>
                      <w:color w:val="auto"/>
                      <w:kern w:val="0"/>
                      <w:szCs w:val="21"/>
                    </w:rPr>
                  </w:pPr>
                  <w:r>
                    <w:rPr>
                      <w:color w:val="auto"/>
                      <w:kern w:val="0"/>
                      <w:szCs w:val="21"/>
                    </w:rPr>
                    <w:t>5</w:t>
                  </w:r>
                  <w:r>
                    <w:rPr>
                      <w:rFonts w:hint="eastAsia"/>
                      <w:color w:val="auto"/>
                      <w:kern w:val="0"/>
                      <w:szCs w:val="21"/>
                    </w:rPr>
                    <w:t>6</w:t>
                  </w:r>
                  <w:r>
                    <w:rPr>
                      <w:color w:val="auto"/>
                      <w:kern w:val="0"/>
                      <w:szCs w:val="21"/>
                    </w:rPr>
                    <w:t>.</w:t>
                  </w:r>
                  <w:r>
                    <w:rPr>
                      <w:rFonts w:hint="eastAsia"/>
                      <w:color w:val="auto"/>
                      <w:kern w:val="0"/>
                      <w:szCs w:val="21"/>
                    </w:rPr>
                    <w:t>5</w:t>
                  </w:r>
                </w:p>
              </w:tc>
              <w:tc>
                <w:tcPr>
                  <w:tcW w:w="400" w:type="pct"/>
                  <w:tcBorders>
                    <w:tl2br w:val="nil"/>
                    <w:tr2bl w:val="nil"/>
                  </w:tcBorders>
                  <w:noWrap w:val="0"/>
                  <w:vAlign w:val="center"/>
                </w:tcPr>
                <w:p w14:paraId="301ABCD7">
                  <w:pPr>
                    <w:adjustRightInd w:val="0"/>
                    <w:snapToGrid w:val="0"/>
                    <w:spacing w:line="240" w:lineRule="auto"/>
                    <w:jc w:val="center"/>
                    <w:rPr>
                      <w:color w:val="auto"/>
                      <w:kern w:val="0"/>
                      <w:szCs w:val="21"/>
                    </w:rPr>
                  </w:pPr>
                  <w:r>
                    <w:rPr>
                      <w:color w:val="auto"/>
                      <w:kern w:val="0"/>
                      <w:szCs w:val="21"/>
                    </w:rPr>
                    <w:t>5</w:t>
                  </w:r>
                  <w:r>
                    <w:rPr>
                      <w:rFonts w:hint="eastAsia"/>
                      <w:color w:val="auto"/>
                      <w:kern w:val="0"/>
                      <w:szCs w:val="21"/>
                    </w:rPr>
                    <w:t>3</w:t>
                  </w:r>
                  <w:r>
                    <w:rPr>
                      <w:color w:val="auto"/>
                      <w:kern w:val="0"/>
                      <w:szCs w:val="21"/>
                    </w:rPr>
                    <w:t>.</w:t>
                  </w:r>
                  <w:r>
                    <w:rPr>
                      <w:rFonts w:hint="eastAsia"/>
                      <w:color w:val="auto"/>
                      <w:kern w:val="0"/>
                      <w:szCs w:val="21"/>
                    </w:rPr>
                    <w:t>3</w:t>
                  </w:r>
                </w:p>
              </w:tc>
              <w:tc>
                <w:tcPr>
                  <w:tcW w:w="401" w:type="pct"/>
                  <w:tcBorders>
                    <w:tl2br w:val="nil"/>
                    <w:tr2bl w:val="nil"/>
                  </w:tcBorders>
                  <w:noWrap w:val="0"/>
                  <w:vAlign w:val="center"/>
                </w:tcPr>
                <w:p w14:paraId="57FF2D42">
                  <w:pPr>
                    <w:adjustRightInd w:val="0"/>
                    <w:snapToGrid w:val="0"/>
                    <w:spacing w:line="240" w:lineRule="auto"/>
                    <w:jc w:val="center"/>
                    <w:rPr>
                      <w:color w:val="auto"/>
                      <w:kern w:val="0"/>
                      <w:szCs w:val="21"/>
                    </w:rPr>
                  </w:pPr>
                  <w:r>
                    <w:rPr>
                      <w:color w:val="auto"/>
                      <w:kern w:val="0"/>
                      <w:szCs w:val="21"/>
                    </w:rPr>
                    <w:t>5</w:t>
                  </w:r>
                  <w:r>
                    <w:rPr>
                      <w:rFonts w:hint="eastAsia"/>
                      <w:color w:val="auto"/>
                      <w:kern w:val="0"/>
                      <w:szCs w:val="21"/>
                    </w:rPr>
                    <w:t>1</w:t>
                  </w:r>
                  <w:r>
                    <w:rPr>
                      <w:color w:val="auto"/>
                      <w:kern w:val="0"/>
                      <w:szCs w:val="21"/>
                    </w:rPr>
                    <w:t>.</w:t>
                  </w:r>
                  <w:r>
                    <w:rPr>
                      <w:rFonts w:hint="eastAsia"/>
                      <w:color w:val="auto"/>
                      <w:kern w:val="0"/>
                      <w:szCs w:val="21"/>
                    </w:rPr>
                    <w:t>4</w:t>
                  </w:r>
                </w:p>
              </w:tc>
              <w:tc>
                <w:tcPr>
                  <w:tcW w:w="433" w:type="pct"/>
                  <w:tcBorders>
                    <w:tl2br w:val="nil"/>
                    <w:tr2bl w:val="nil"/>
                  </w:tcBorders>
                  <w:noWrap w:val="0"/>
                  <w:vAlign w:val="center"/>
                </w:tcPr>
                <w:p w14:paraId="6B4EDC4A">
                  <w:pPr>
                    <w:adjustRightInd w:val="0"/>
                    <w:snapToGrid w:val="0"/>
                    <w:spacing w:line="240" w:lineRule="auto"/>
                    <w:jc w:val="center"/>
                    <w:rPr>
                      <w:color w:val="auto"/>
                      <w:kern w:val="0"/>
                      <w:szCs w:val="21"/>
                    </w:rPr>
                  </w:pPr>
                  <w:r>
                    <w:rPr>
                      <w:color w:val="auto"/>
                      <w:kern w:val="0"/>
                      <w:szCs w:val="21"/>
                    </w:rPr>
                    <w:t>5</w:t>
                  </w:r>
                  <w:r>
                    <w:rPr>
                      <w:rFonts w:hint="eastAsia"/>
                      <w:color w:val="auto"/>
                      <w:kern w:val="0"/>
                      <w:szCs w:val="21"/>
                    </w:rPr>
                    <w:t>0</w:t>
                  </w:r>
                  <w:r>
                    <w:rPr>
                      <w:color w:val="auto"/>
                      <w:kern w:val="0"/>
                      <w:szCs w:val="21"/>
                    </w:rPr>
                    <w:t>.</w:t>
                  </w:r>
                  <w:r>
                    <w:rPr>
                      <w:rFonts w:hint="eastAsia"/>
                      <w:color w:val="auto"/>
                      <w:kern w:val="0"/>
                      <w:szCs w:val="21"/>
                    </w:rPr>
                    <w:t>2</w:t>
                  </w:r>
                </w:p>
              </w:tc>
            </w:tr>
          </w:tbl>
          <w:p w14:paraId="4256D601">
            <w:pPr>
              <w:adjustRightInd w:val="0"/>
              <w:snapToGrid w:val="0"/>
              <w:spacing w:line="440" w:lineRule="exact"/>
              <w:ind w:firstLine="480" w:firstLineChars="200"/>
              <w:rPr>
                <w:color w:val="auto"/>
                <w:sz w:val="24"/>
              </w:rPr>
            </w:pPr>
            <w:r>
              <w:rPr>
                <w:color w:val="auto"/>
                <w:sz w:val="24"/>
              </w:rPr>
              <w:t>根据上述计算结果分析，项目施工过程中在3</w:t>
            </w:r>
            <w:r>
              <w:rPr>
                <w:rFonts w:hint="eastAsia"/>
                <w:color w:val="auto"/>
                <w:sz w:val="24"/>
              </w:rPr>
              <w:t>5</w:t>
            </w:r>
            <w:r>
              <w:rPr>
                <w:color w:val="auto"/>
                <w:sz w:val="24"/>
              </w:rPr>
              <w:t>m处能满足昼间</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建筑施工噪声排放标准</w:t>
            </w:r>
            <w:r>
              <w:rPr>
                <w:rFonts w:hint="default" w:ascii="Times New Roman" w:hAnsi="Times New Roman" w:cs="Times New Roman"/>
                <w:color w:val="auto"/>
                <w:sz w:val="24"/>
                <w:szCs w:val="24"/>
                <w:highlight w:val="none"/>
              </w:rPr>
              <w:t>》（GB12523-20</w:t>
            </w:r>
            <w:r>
              <w:rPr>
                <w:rFonts w:hint="default" w:ascii="Times New Roman" w:hAnsi="Times New Roman" w:cs="Times New Roman"/>
                <w:color w:val="auto"/>
                <w:sz w:val="24"/>
                <w:szCs w:val="24"/>
                <w:highlight w:val="none"/>
                <w:lang w:val="en-US" w:eastAsia="zh-CN"/>
              </w:rPr>
              <w:t>25</w:t>
            </w:r>
            <w:r>
              <w:rPr>
                <w:rFonts w:hint="default" w:ascii="Times New Roman" w:hAnsi="Times New Roman" w:cs="Times New Roman"/>
                <w:color w:val="auto"/>
                <w:sz w:val="24"/>
                <w:szCs w:val="24"/>
                <w:highlight w:val="none"/>
              </w:rPr>
              <w:t>）</w:t>
            </w:r>
            <w:r>
              <w:rPr>
                <w:color w:val="auto"/>
                <w:sz w:val="24"/>
              </w:rPr>
              <w:t>要求，即昼间</w:t>
            </w:r>
            <w:r>
              <w:rPr>
                <w:rFonts w:hint="eastAsia" w:ascii="宋体" w:hAnsi="宋体" w:cs="宋体"/>
                <w:color w:val="auto"/>
                <w:sz w:val="24"/>
              </w:rPr>
              <w:t>≤</w:t>
            </w:r>
            <w:r>
              <w:rPr>
                <w:color w:val="auto"/>
                <w:sz w:val="24"/>
              </w:rPr>
              <w:t>70dB（A）。</w:t>
            </w:r>
          </w:p>
          <w:p w14:paraId="3F39147D">
            <w:pPr>
              <w:adjustRightInd w:val="0"/>
              <w:snapToGrid w:val="0"/>
              <w:spacing w:line="440" w:lineRule="exact"/>
              <w:ind w:firstLine="480" w:firstLineChars="200"/>
              <w:rPr>
                <w:color w:val="auto"/>
                <w:sz w:val="24"/>
              </w:rPr>
            </w:pPr>
            <w:r>
              <w:rPr>
                <w:color w:val="auto"/>
                <w:sz w:val="24"/>
              </w:rPr>
              <w:t>本环评采取最大噪声进行预测，实际施工过程中噪声影响会比预测结果小，且各施工机械不可能同时运行。</w:t>
            </w:r>
          </w:p>
          <w:p w14:paraId="11C33A55">
            <w:pPr>
              <w:adjustRightInd w:val="0"/>
              <w:snapToGrid w:val="0"/>
              <w:spacing w:line="440" w:lineRule="exact"/>
              <w:ind w:firstLine="480" w:firstLineChars="200"/>
              <w:rPr>
                <w:rFonts w:hint="eastAsia"/>
                <w:color w:val="auto"/>
                <w:sz w:val="24"/>
              </w:rPr>
            </w:pPr>
            <w:r>
              <w:rPr>
                <w:color w:val="auto"/>
                <w:sz w:val="24"/>
              </w:rPr>
              <w:t>新建输电线路声环境评价范围内的声环境敏感目标</w:t>
            </w:r>
            <w:r>
              <w:rPr>
                <w:rFonts w:hint="eastAsia"/>
                <w:color w:val="auto"/>
                <w:sz w:val="24"/>
              </w:rPr>
              <w:t>有</w:t>
            </w:r>
            <w:r>
              <w:rPr>
                <w:rFonts w:hint="eastAsia"/>
                <w:color w:val="auto"/>
                <w:sz w:val="24"/>
                <w:lang w:val="en-US" w:eastAsia="zh-CN"/>
              </w:rPr>
              <w:t>2</w:t>
            </w:r>
            <w:r>
              <w:rPr>
                <w:rFonts w:hint="eastAsia"/>
                <w:color w:val="auto"/>
                <w:sz w:val="24"/>
              </w:rPr>
              <w:t>处</w:t>
            </w:r>
            <w:r>
              <w:rPr>
                <w:rFonts w:hint="eastAsia"/>
                <w:color w:val="auto"/>
                <w:sz w:val="24"/>
                <w:lang w:eastAsia="zh-CN"/>
              </w:rPr>
              <w:t>（</w:t>
            </w:r>
            <w:r>
              <w:rPr>
                <w:rFonts w:hint="eastAsia"/>
                <w:color w:val="auto"/>
                <w:sz w:val="24"/>
                <w:lang w:val="en-US" w:eastAsia="zh-CN"/>
              </w:rPr>
              <w:t>红地丫口、石碓窝</w:t>
            </w:r>
            <w:r>
              <w:rPr>
                <w:rFonts w:hint="eastAsia"/>
                <w:color w:val="auto"/>
                <w:sz w:val="24"/>
                <w:lang w:eastAsia="zh-CN"/>
              </w:rPr>
              <w:t>）</w:t>
            </w:r>
            <w:r>
              <w:rPr>
                <w:rFonts w:hint="eastAsia"/>
                <w:color w:val="auto"/>
                <w:sz w:val="24"/>
              </w:rPr>
              <w:t>。线路</w:t>
            </w:r>
            <w:r>
              <w:rPr>
                <w:color w:val="auto"/>
                <w:sz w:val="24"/>
              </w:rPr>
              <w:t>杆塔位置</w:t>
            </w:r>
            <w:r>
              <w:rPr>
                <w:rFonts w:hint="eastAsia"/>
                <w:color w:val="auto"/>
                <w:sz w:val="24"/>
              </w:rPr>
              <w:t>多</w:t>
            </w:r>
            <w:r>
              <w:rPr>
                <w:color w:val="auto"/>
                <w:sz w:val="24"/>
              </w:rPr>
              <w:t>处为山地，杆塔基础为掏挖基础，采取人工掏挖方式，铁塔组立采用内拉线悬浮抱杆分段分片吊装，均不需使用机械设备，控制人为喧哗噪声后，基础施工产生的噪声对声环境敏感目标的影响很小；线路架设采取无人机展放线、牵张机紧线施工方式，牵张场场地远离居民住宅等敏感点，牵张机施工噪声对声环境敏感目标处影响较小</w:t>
            </w:r>
            <w:r>
              <w:rPr>
                <w:rFonts w:hint="eastAsia"/>
                <w:color w:val="auto"/>
                <w:sz w:val="24"/>
              </w:rPr>
              <w:t>。</w:t>
            </w:r>
          </w:p>
          <w:p w14:paraId="4A7D0DD4">
            <w:pPr>
              <w:adjustRightInd w:val="0"/>
              <w:snapToGrid w:val="0"/>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另外，线路工程塔基施工点和设置的牵张场分布较为分散，产生的噪声经过地形和林木的阻挡，到达沿线人口密集的居民点时已经大幅衰减，且输电线路夜间不施工；在居民敏感目标附近的塔基施工时，先行建设施工围挡，减少施工噪声对居民的影响，架空线路施工噪声对附近声环境的影响可以接受。</w:t>
            </w:r>
          </w:p>
          <w:p w14:paraId="603F4AE8">
            <w:pPr>
              <w:adjustRightInd w:val="0"/>
              <w:snapToGrid w:val="0"/>
              <w:spacing w:line="440" w:lineRule="exact"/>
              <w:rPr>
                <w:rFonts w:hint="eastAsia"/>
                <w:b/>
                <w:color w:val="auto"/>
                <w:sz w:val="28"/>
                <w:szCs w:val="28"/>
              </w:rPr>
            </w:pPr>
            <w:r>
              <w:rPr>
                <w:rFonts w:hint="eastAsia"/>
                <w:b/>
                <w:color w:val="auto"/>
                <w:sz w:val="28"/>
                <w:szCs w:val="28"/>
              </w:rPr>
              <w:t>4.1.5施工期固体废物影响分析</w:t>
            </w:r>
          </w:p>
          <w:p w14:paraId="7A86474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color w:val="auto"/>
                <w:sz w:val="24"/>
                <w:highlight w:val="none"/>
              </w:rPr>
            </w:pPr>
            <w:r>
              <w:rPr>
                <w:color w:val="auto"/>
                <w:sz w:val="24"/>
                <w:highlight w:val="none"/>
              </w:rPr>
              <w:t>施工期项目固体废物主要为施工过</w:t>
            </w:r>
            <w:r>
              <w:rPr>
                <w:rFonts w:hint="eastAsia"/>
                <w:color w:val="auto"/>
                <w:sz w:val="24"/>
                <w:highlight w:val="none"/>
                <w:lang w:eastAsia="zh-CN"/>
              </w:rPr>
              <w:t>程中</w:t>
            </w:r>
            <w:r>
              <w:rPr>
                <w:color w:val="auto"/>
                <w:sz w:val="24"/>
                <w:highlight w:val="none"/>
              </w:rPr>
              <w:t>产生的土石方、施工建筑垃圾及施工人员的生活垃圾。</w:t>
            </w:r>
          </w:p>
          <w:p w14:paraId="30874AF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color w:val="auto"/>
                <w:sz w:val="24"/>
                <w:highlight w:val="none"/>
              </w:rPr>
            </w:pPr>
            <w:r>
              <w:rPr>
                <w:color w:val="auto"/>
                <w:sz w:val="24"/>
                <w:highlight w:val="none"/>
              </w:rPr>
              <w:t>（1）土石方</w:t>
            </w:r>
          </w:p>
          <w:p w14:paraId="7301E93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color w:val="auto"/>
                <w:sz w:val="24"/>
                <w:highlight w:val="none"/>
              </w:rPr>
            </w:pPr>
            <w:r>
              <w:rPr>
                <w:color w:val="auto"/>
                <w:sz w:val="24"/>
                <w:highlight w:val="none"/>
              </w:rPr>
              <w:t>根据《</w:t>
            </w:r>
            <w:r>
              <w:rPr>
                <w:rFonts w:hint="eastAsia"/>
                <w:color w:val="auto"/>
                <w:sz w:val="24"/>
                <w:highlight w:val="none"/>
                <w:lang w:eastAsia="zh-CN"/>
              </w:rPr>
              <w:t>大草房至六合一110kV送出线路工程</w:t>
            </w:r>
            <w:r>
              <w:rPr>
                <w:color w:val="auto"/>
                <w:sz w:val="24"/>
                <w:highlight w:val="none"/>
              </w:rPr>
              <w:t>水土保持方案报告表》可知，通过分析计算，本工程在建设过程中开挖土石方</w:t>
            </w:r>
            <w:r>
              <w:rPr>
                <w:rFonts w:hint="eastAsia"/>
                <w:color w:val="auto"/>
                <w:sz w:val="24"/>
                <w:highlight w:val="none"/>
                <w:lang w:val="en-US" w:eastAsia="zh-CN"/>
              </w:rPr>
              <w:t>0.81</w:t>
            </w:r>
            <w:r>
              <w:rPr>
                <w:color w:val="auto"/>
                <w:sz w:val="24"/>
                <w:highlight w:val="none"/>
              </w:rPr>
              <w:t>万m</w:t>
            </w:r>
            <w:r>
              <w:rPr>
                <w:color w:val="auto"/>
                <w:sz w:val="24"/>
                <w:highlight w:val="none"/>
                <w:vertAlign w:val="superscript"/>
              </w:rPr>
              <w:t>3</w:t>
            </w:r>
            <w:r>
              <w:rPr>
                <w:color w:val="auto"/>
                <w:sz w:val="24"/>
                <w:highlight w:val="none"/>
              </w:rPr>
              <w:t>（表土剥离0.</w:t>
            </w:r>
            <w:r>
              <w:rPr>
                <w:rFonts w:hint="eastAsia"/>
                <w:color w:val="auto"/>
                <w:sz w:val="24"/>
                <w:highlight w:val="none"/>
                <w:lang w:val="en-US" w:eastAsia="zh-CN"/>
              </w:rPr>
              <w:t>13</w:t>
            </w:r>
            <w:r>
              <w:rPr>
                <w:color w:val="auto"/>
                <w:sz w:val="24"/>
                <w:highlight w:val="none"/>
              </w:rPr>
              <w:t>万m</w:t>
            </w:r>
            <w:r>
              <w:rPr>
                <w:color w:val="auto"/>
                <w:sz w:val="24"/>
                <w:highlight w:val="none"/>
                <w:vertAlign w:val="superscript"/>
              </w:rPr>
              <w:t>3</w:t>
            </w:r>
            <w:r>
              <w:rPr>
                <w:color w:val="auto"/>
                <w:sz w:val="24"/>
                <w:highlight w:val="none"/>
              </w:rPr>
              <w:t>，</w:t>
            </w:r>
            <w:r>
              <w:rPr>
                <w:rFonts w:hint="eastAsia"/>
                <w:color w:val="auto"/>
                <w:sz w:val="24"/>
                <w:highlight w:val="none"/>
                <w:lang w:val="en-US" w:eastAsia="zh-CN"/>
              </w:rPr>
              <w:t>土石方</w:t>
            </w:r>
            <w:r>
              <w:rPr>
                <w:color w:val="auto"/>
                <w:sz w:val="24"/>
                <w:highlight w:val="none"/>
              </w:rPr>
              <w:t>开挖</w:t>
            </w:r>
            <w:r>
              <w:rPr>
                <w:rFonts w:hint="eastAsia"/>
                <w:color w:val="auto"/>
                <w:sz w:val="24"/>
                <w:highlight w:val="none"/>
                <w:lang w:val="en-US" w:eastAsia="zh-CN"/>
              </w:rPr>
              <w:t>0.68</w:t>
            </w:r>
            <w:r>
              <w:rPr>
                <w:color w:val="auto"/>
                <w:sz w:val="24"/>
                <w:highlight w:val="none"/>
              </w:rPr>
              <w:t>万m</w:t>
            </w:r>
            <w:r>
              <w:rPr>
                <w:color w:val="auto"/>
                <w:sz w:val="24"/>
                <w:highlight w:val="none"/>
                <w:vertAlign w:val="superscript"/>
              </w:rPr>
              <w:t>3</w:t>
            </w:r>
            <w:r>
              <w:rPr>
                <w:color w:val="auto"/>
                <w:sz w:val="24"/>
                <w:highlight w:val="none"/>
              </w:rPr>
              <w:t>），回填土方</w:t>
            </w:r>
            <w:r>
              <w:rPr>
                <w:rFonts w:hint="eastAsia"/>
                <w:color w:val="auto"/>
                <w:sz w:val="24"/>
                <w:highlight w:val="none"/>
                <w:lang w:val="en-US" w:eastAsia="zh-CN"/>
              </w:rPr>
              <w:t>0.81</w:t>
            </w:r>
            <w:r>
              <w:rPr>
                <w:color w:val="auto"/>
                <w:sz w:val="24"/>
                <w:highlight w:val="none"/>
              </w:rPr>
              <w:t>万m</w:t>
            </w:r>
            <w:r>
              <w:rPr>
                <w:color w:val="auto"/>
                <w:sz w:val="24"/>
                <w:highlight w:val="none"/>
                <w:vertAlign w:val="superscript"/>
              </w:rPr>
              <w:t>3</w:t>
            </w:r>
            <w:r>
              <w:rPr>
                <w:color w:val="auto"/>
                <w:sz w:val="24"/>
                <w:highlight w:val="none"/>
              </w:rPr>
              <w:t>（</w:t>
            </w:r>
            <w:r>
              <w:rPr>
                <w:rFonts w:hint="eastAsia"/>
                <w:color w:val="auto"/>
                <w:sz w:val="24"/>
                <w:highlight w:val="none"/>
                <w:lang w:val="en-US" w:eastAsia="zh-CN"/>
              </w:rPr>
              <w:t>绿化覆土0.13</w:t>
            </w:r>
            <w:r>
              <w:rPr>
                <w:color w:val="auto"/>
                <w:sz w:val="24"/>
                <w:highlight w:val="none"/>
              </w:rPr>
              <w:t>万m</w:t>
            </w:r>
            <w:r>
              <w:rPr>
                <w:color w:val="auto"/>
                <w:sz w:val="24"/>
                <w:highlight w:val="none"/>
                <w:vertAlign w:val="superscript"/>
              </w:rPr>
              <w:t>3</w:t>
            </w:r>
            <w:r>
              <w:rPr>
                <w:color w:val="auto"/>
                <w:sz w:val="24"/>
                <w:highlight w:val="none"/>
              </w:rPr>
              <w:t>），无弃方产生。</w:t>
            </w:r>
          </w:p>
          <w:p w14:paraId="55886704">
            <w:pPr>
              <w:adjustRightInd w:val="0"/>
              <w:snapToGrid w:val="0"/>
              <w:spacing w:line="240" w:lineRule="auto"/>
              <w:jc w:val="center"/>
              <w:rPr>
                <w:b/>
                <w:color w:val="auto"/>
                <w:sz w:val="24"/>
                <w:highlight w:val="none"/>
                <w:vertAlign w:val="superscript"/>
              </w:rPr>
            </w:pPr>
            <w:r>
              <w:rPr>
                <w:b/>
                <w:color w:val="auto"/>
                <w:sz w:val="24"/>
                <w:highlight w:val="none"/>
              </w:rPr>
              <w:t>表</w:t>
            </w:r>
            <w:r>
              <w:rPr>
                <w:rFonts w:hint="eastAsia"/>
                <w:b/>
                <w:color w:val="auto"/>
                <w:sz w:val="24"/>
                <w:highlight w:val="none"/>
                <w:lang w:val="en-US" w:eastAsia="zh-CN"/>
              </w:rPr>
              <w:t>4</w:t>
            </w:r>
            <w:r>
              <w:rPr>
                <w:b/>
                <w:color w:val="auto"/>
                <w:sz w:val="24"/>
                <w:highlight w:val="none"/>
              </w:rPr>
              <w:t>-</w:t>
            </w:r>
            <w:r>
              <w:rPr>
                <w:rFonts w:hint="eastAsia"/>
                <w:b/>
                <w:color w:val="auto"/>
                <w:sz w:val="24"/>
                <w:highlight w:val="none"/>
                <w:lang w:val="en-US" w:eastAsia="zh-CN"/>
              </w:rPr>
              <w:t>2</w:t>
            </w:r>
            <w:r>
              <w:rPr>
                <w:b/>
                <w:color w:val="auto"/>
                <w:sz w:val="24"/>
                <w:highlight w:val="none"/>
              </w:rPr>
              <w:t xml:space="preserve">  土石方平衡分析表  单位：万m</w:t>
            </w:r>
            <w:r>
              <w:rPr>
                <w:b/>
                <w:color w:val="auto"/>
                <w:sz w:val="24"/>
                <w:highlight w:val="none"/>
                <w:vertAlign w:val="superscript"/>
              </w:rPr>
              <w:t>3</w:t>
            </w:r>
          </w:p>
          <w:tbl>
            <w:tblPr>
              <w:tblStyle w:val="30"/>
              <w:tblW w:w="4954" w:type="pct"/>
              <w:tblInd w:w="1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450"/>
              <w:gridCol w:w="738"/>
              <w:gridCol w:w="993"/>
              <w:gridCol w:w="662"/>
              <w:gridCol w:w="624"/>
              <w:gridCol w:w="912"/>
              <w:gridCol w:w="680"/>
              <w:gridCol w:w="499"/>
              <w:gridCol w:w="633"/>
              <w:gridCol w:w="384"/>
              <w:gridCol w:w="552"/>
            </w:tblGrid>
            <w:tr w14:paraId="0DC0647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atLeast"/>
              </w:trPr>
              <w:tc>
                <w:tcPr>
                  <w:tcW w:w="892" w:type="pct"/>
                  <w:vMerge w:val="restart"/>
                  <w:tcBorders>
                    <w:tl2br w:val="nil"/>
                    <w:tr2bl w:val="nil"/>
                  </w:tcBorders>
                  <w:noWrap/>
                  <w:vAlign w:val="center"/>
                </w:tcPr>
                <w:p w14:paraId="23C04149">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分区</w:t>
                  </w:r>
                </w:p>
              </w:tc>
              <w:tc>
                <w:tcPr>
                  <w:tcW w:w="1471" w:type="pct"/>
                  <w:gridSpan w:val="3"/>
                  <w:tcBorders>
                    <w:tl2br w:val="nil"/>
                    <w:tr2bl w:val="nil"/>
                  </w:tcBorders>
                  <w:noWrap/>
                  <w:vAlign w:val="center"/>
                </w:tcPr>
                <w:p w14:paraId="073E2F01">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土石方开挖</w:t>
                  </w:r>
                </w:p>
              </w:tc>
              <w:tc>
                <w:tcPr>
                  <w:tcW w:w="1363" w:type="pct"/>
                  <w:gridSpan w:val="3"/>
                  <w:tcBorders>
                    <w:tl2br w:val="nil"/>
                    <w:tr2bl w:val="nil"/>
                  </w:tcBorders>
                  <w:noWrap/>
                  <w:vAlign w:val="center"/>
                </w:tcPr>
                <w:p w14:paraId="5CB12905">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回填利用</w:t>
                  </w:r>
                </w:p>
              </w:tc>
              <w:tc>
                <w:tcPr>
                  <w:tcW w:w="696" w:type="pct"/>
                  <w:gridSpan w:val="2"/>
                  <w:tcBorders>
                    <w:tl2br w:val="nil"/>
                    <w:tr2bl w:val="nil"/>
                  </w:tcBorders>
                  <w:noWrap/>
                  <w:vAlign w:val="center"/>
                </w:tcPr>
                <w:p w14:paraId="0C40F48D">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外借（购）</w:t>
                  </w:r>
                </w:p>
              </w:tc>
              <w:tc>
                <w:tcPr>
                  <w:tcW w:w="576" w:type="pct"/>
                  <w:gridSpan w:val="2"/>
                  <w:tcBorders>
                    <w:tl2br w:val="nil"/>
                    <w:tr2bl w:val="nil"/>
                  </w:tcBorders>
                  <w:noWrap/>
                  <w:vAlign w:val="center"/>
                </w:tcPr>
                <w:p w14:paraId="71AE932E">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废弃</w:t>
                  </w:r>
                </w:p>
              </w:tc>
            </w:tr>
            <w:tr w14:paraId="259309A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atLeast"/>
              </w:trPr>
              <w:tc>
                <w:tcPr>
                  <w:tcW w:w="892" w:type="pct"/>
                  <w:vMerge w:val="continue"/>
                  <w:tcBorders>
                    <w:tl2br w:val="nil"/>
                    <w:tr2bl w:val="nil"/>
                  </w:tcBorders>
                  <w:noWrap/>
                  <w:vAlign w:val="center"/>
                </w:tcPr>
                <w:p w14:paraId="0F4191AD">
                  <w:pPr>
                    <w:keepNext w:val="0"/>
                    <w:keepLines w:val="0"/>
                    <w:pageBreakBefore w:val="0"/>
                    <w:widowControl/>
                    <w:kinsoku/>
                    <w:wordWrap/>
                    <w:overflowPunct/>
                    <w:topLinePunct w:val="0"/>
                    <w:autoSpaceDE/>
                    <w:autoSpaceDN/>
                    <w:bidi w:val="0"/>
                    <w:adjustRightInd/>
                    <w:snapToGrid/>
                    <w:spacing w:line="0" w:lineRule="atLeast"/>
                    <w:ind w:firstLine="0" w:firstLineChars="0"/>
                    <w:jc w:val="center"/>
                    <w:rPr>
                      <w:rFonts w:hint="default" w:ascii="Times New Roman" w:hAnsi="Times New Roman" w:eastAsia="宋体" w:cs="Times New Roman"/>
                      <w:b/>
                      <w:bCs/>
                      <w:i w:val="0"/>
                      <w:iCs w:val="0"/>
                      <w:color w:val="auto"/>
                      <w:sz w:val="21"/>
                      <w:szCs w:val="21"/>
                      <w:highlight w:val="none"/>
                      <w:u w:val="none"/>
                    </w:rPr>
                  </w:pPr>
                </w:p>
              </w:tc>
              <w:tc>
                <w:tcPr>
                  <w:tcW w:w="453" w:type="pct"/>
                  <w:tcBorders>
                    <w:tl2br w:val="nil"/>
                    <w:tr2bl w:val="nil"/>
                  </w:tcBorders>
                  <w:noWrap/>
                  <w:vAlign w:val="center"/>
                </w:tcPr>
                <w:p w14:paraId="4E626F39">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土石方</w:t>
                  </w:r>
                </w:p>
              </w:tc>
              <w:tc>
                <w:tcPr>
                  <w:tcW w:w="610" w:type="pct"/>
                  <w:tcBorders>
                    <w:tl2br w:val="nil"/>
                    <w:tr2bl w:val="nil"/>
                  </w:tcBorders>
                  <w:noWrap/>
                  <w:vAlign w:val="center"/>
                </w:tcPr>
                <w:p w14:paraId="43DD9A25">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剥离表土</w:t>
                  </w:r>
                </w:p>
              </w:tc>
              <w:tc>
                <w:tcPr>
                  <w:tcW w:w="407" w:type="pct"/>
                  <w:tcBorders>
                    <w:tl2br w:val="nil"/>
                    <w:tr2bl w:val="nil"/>
                  </w:tcBorders>
                  <w:noWrap/>
                  <w:vAlign w:val="center"/>
                </w:tcPr>
                <w:p w14:paraId="6FB43C08">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合计</w:t>
                  </w:r>
                </w:p>
              </w:tc>
              <w:tc>
                <w:tcPr>
                  <w:tcW w:w="384" w:type="pct"/>
                  <w:tcBorders>
                    <w:tl2br w:val="nil"/>
                    <w:tr2bl w:val="nil"/>
                  </w:tcBorders>
                  <w:noWrap/>
                  <w:vAlign w:val="center"/>
                </w:tcPr>
                <w:p w14:paraId="0D8868CD">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土石方</w:t>
                  </w:r>
                </w:p>
              </w:tc>
              <w:tc>
                <w:tcPr>
                  <w:tcW w:w="561" w:type="pct"/>
                  <w:tcBorders>
                    <w:tl2br w:val="nil"/>
                    <w:tr2bl w:val="nil"/>
                  </w:tcBorders>
                  <w:noWrap/>
                  <w:vAlign w:val="center"/>
                </w:tcPr>
                <w:p w14:paraId="2E6BA610">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绿化覆土</w:t>
                  </w:r>
                </w:p>
              </w:tc>
              <w:tc>
                <w:tcPr>
                  <w:tcW w:w="418" w:type="pct"/>
                  <w:tcBorders>
                    <w:tl2br w:val="nil"/>
                    <w:tr2bl w:val="nil"/>
                  </w:tcBorders>
                  <w:noWrap/>
                  <w:vAlign w:val="center"/>
                </w:tcPr>
                <w:p w14:paraId="21A54F9F">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合计</w:t>
                  </w:r>
                </w:p>
              </w:tc>
              <w:tc>
                <w:tcPr>
                  <w:tcW w:w="306" w:type="pct"/>
                  <w:tcBorders>
                    <w:tl2br w:val="nil"/>
                    <w:tr2bl w:val="nil"/>
                  </w:tcBorders>
                  <w:noWrap/>
                  <w:vAlign w:val="center"/>
                </w:tcPr>
                <w:p w14:paraId="7E1B9D21">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数量</w:t>
                  </w:r>
                </w:p>
              </w:tc>
              <w:tc>
                <w:tcPr>
                  <w:tcW w:w="389" w:type="pct"/>
                  <w:tcBorders>
                    <w:tl2br w:val="nil"/>
                    <w:tr2bl w:val="nil"/>
                  </w:tcBorders>
                  <w:noWrap/>
                  <w:vAlign w:val="center"/>
                </w:tcPr>
                <w:p w14:paraId="472B5B02">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来源</w:t>
                  </w:r>
                </w:p>
              </w:tc>
              <w:tc>
                <w:tcPr>
                  <w:tcW w:w="236" w:type="pct"/>
                  <w:tcBorders>
                    <w:tl2br w:val="nil"/>
                    <w:tr2bl w:val="nil"/>
                  </w:tcBorders>
                  <w:noWrap/>
                  <w:vAlign w:val="center"/>
                </w:tcPr>
                <w:p w14:paraId="412C5811">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数量</w:t>
                  </w:r>
                </w:p>
              </w:tc>
              <w:tc>
                <w:tcPr>
                  <w:tcW w:w="339" w:type="pct"/>
                  <w:tcBorders>
                    <w:tl2br w:val="nil"/>
                    <w:tr2bl w:val="nil"/>
                  </w:tcBorders>
                  <w:noWrap/>
                  <w:vAlign w:val="center"/>
                </w:tcPr>
                <w:p w14:paraId="0367183F">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去向</w:t>
                  </w:r>
                </w:p>
              </w:tc>
            </w:tr>
            <w:tr w14:paraId="540063A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21" w:hRule="atLeast"/>
              </w:trPr>
              <w:tc>
                <w:tcPr>
                  <w:tcW w:w="892" w:type="pct"/>
                  <w:tcBorders>
                    <w:tl2br w:val="nil"/>
                    <w:tr2bl w:val="nil"/>
                  </w:tcBorders>
                  <w:noWrap/>
                  <w:vAlign w:val="center"/>
                </w:tcPr>
                <w:p w14:paraId="369B79AB">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塔基区</w:t>
                  </w:r>
                </w:p>
              </w:tc>
              <w:tc>
                <w:tcPr>
                  <w:tcW w:w="453" w:type="pct"/>
                  <w:tcBorders>
                    <w:tl2br w:val="nil"/>
                    <w:tr2bl w:val="nil"/>
                  </w:tcBorders>
                  <w:noWrap/>
                  <w:vAlign w:val="center"/>
                </w:tcPr>
                <w:p w14:paraId="3E27BC50">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0.46</w:t>
                  </w:r>
                </w:p>
              </w:tc>
              <w:tc>
                <w:tcPr>
                  <w:tcW w:w="610" w:type="pct"/>
                  <w:tcBorders>
                    <w:tl2br w:val="nil"/>
                    <w:tr2bl w:val="nil"/>
                  </w:tcBorders>
                  <w:noWrap/>
                  <w:vAlign w:val="center"/>
                </w:tcPr>
                <w:p w14:paraId="621998F0">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0.10</w:t>
                  </w:r>
                </w:p>
              </w:tc>
              <w:tc>
                <w:tcPr>
                  <w:tcW w:w="407" w:type="pct"/>
                  <w:tcBorders>
                    <w:tl2br w:val="nil"/>
                    <w:tr2bl w:val="nil"/>
                  </w:tcBorders>
                  <w:noWrap/>
                  <w:vAlign w:val="center"/>
                </w:tcPr>
                <w:p w14:paraId="4ED7AF0E">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0.56</w:t>
                  </w:r>
                </w:p>
              </w:tc>
              <w:tc>
                <w:tcPr>
                  <w:tcW w:w="384" w:type="pct"/>
                  <w:tcBorders>
                    <w:tl2br w:val="nil"/>
                    <w:tr2bl w:val="nil"/>
                  </w:tcBorders>
                  <w:noWrap/>
                  <w:vAlign w:val="center"/>
                </w:tcPr>
                <w:p w14:paraId="02293FC5">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0.46</w:t>
                  </w:r>
                </w:p>
              </w:tc>
              <w:tc>
                <w:tcPr>
                  <w:tcW w:w="561" w:type="pct"/>
                  <w:tcBorders>
                    <w:tl2br w:val="nil"/>
                    <w:tr2bl w:val="nil"/>
                  </w:tcBorders>
                  <w:noWrap/>
                  <w:vAlign w:val="center"/>
                </w:tcPr>
                <w:p w14:paraId="4FD183BF">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0.10</w:t>
                  </w:r>
                </w:p>
              </w:tc>
              <w:tc>
                <w:tcPr>
                  <w:tcW w:w="418" w:type="pct"/>
                  <w:tcBorders>
                    <w:tl2br w:val="nil"/>
                    <w:tr2bl w:val="nil"/>
                  </w:tcBorders>
                  <w:noWrap/>
                  <w:vAlign w:val="center"/>
                </w:tcPr>
                <w:p w14:paraId="5382AAB3">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0.56</w:t>
                  </w:r>
                </w:p>
              </w:tc>
              <w:tc>
                <w:tcPr>
                  <w:tcW w:w="306" w:type="pct"/>
                  <w:tcBorders>
                    <w:tl2br w:val="nil"/>
                    <w:tr2bl w:val="nil"/>
                  </w:tcBorders>
                  <w:noWrap/>
                  <w:vAlign w:val="center"/>
                </w:tcPr>
                <w:p w14:paraId="789EF843">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w:t>
                  </w:r>
                </w:p>
              </w:tc>
              <w:tc>
                <w:tcPr>
                  <w:tcW w:w="389" w:type="pct"/>
                  <w:tcBorders>
                    <w:tl2br w:val="nil"/>
                    <w:tr2bl w:val="nil"/>
                  </w:tcBorders>
                  <w:noWrap/>
                  <w:vAlign w:val="center"/>
                </w:tcPr>
                <w:p w14:paraId="7DC1BB68">
                  <w:pPr>
                    <w:keepNext w:val="0"/>
                    <w:keepLines w:val="0"/>
                    <w:pageBreakBefore w:val="0"/>
                    <w:widowControl/>
                    <w:kinsoku/>
                    <w:wordWrap/>
                    <w:overflowPunct/>
                    <w:topLinePunct w:val="0"/>
                    <w:autoSpaceDE/>
                    <w:autoSpaceDN/>
                    <w:bidi w:val="0"/>
                    <w:adjustRightInd/>
                    <w:snapToGrid/>
                    <w:spacing w:line="0" w:lineRule="atLeast"/>
                    <w:ind w:firstLine="0" w:firstLineChars="0"/>
                    <w:jc w:val="center"/>
                    <w:rPr>
                      <w:rFonts w:hint="default" w:ascii="Times New Roman" w:hAnsi="Times New Roman" w:eastAsia="宋体" w:cs="Times New Roman"/>
                      <w:b w:val="0"/>
                      <w:bCs w:val="0"/>
                      <w:i w:val="0"/>
                      <w:iCs w:val="0"/>
                      <w:color w:val="auto"/>
                      <w:sz w:val="21"/>
                      <w:szCs w:val="21"/>
                      <w:highlight w:val="none"/>
                      <w:u w:val="none"/>
                    </w:rPr>
                  </w:pPr>
                </w:p>
              </w:tc>
              <w:tc>
                <w:tcPr>
                  <w:tcW w:w="236" w:type="pct"/>
                  <w:tcBorders>
                    <w:tl2br w:val="nil"/>
                    <w:tr2bl w:val="nil"/>
                  </w:tcBorders>
                  <w:noWrap/>
                  <w:vAlign w:val="center"/>
                </w:tcPr>
                <w:p w14:paraId="7BEC59A7">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w:t>
                  </w:r>
                </w:p>
              </w:tc>
              <w:tc>
                <w:tcPr>
                  <w:tcW w:w="339" w:type="pct"/>
                  <w:tcBorders>
                    <w:tl2br w:val="nil"/>
                    <w:tr2bl w:val="nil"/>
                  </w:tcBorders>
                  <w:noWrap/>
                  <w:vAlign w:val="center"/>
                </w:tcPr>
                <w:p w14:paraId="3F7A7D61">
                  <w:pPr>
                    <w:keepNext w:val="0"/>
                    <w:keepLines w:val="0"/>
                    <w:pageBreakBefore w:val="0"/>
                    <w:widowControl/>
                    <w:kinsoku/>
                    <w:wordWrap/>
                    <w:overflowPunct/>
                    <w:topLinePunct w:val="0"/>
                    <w:autoSpaceDE/>
                    <w:autoSpaceDN/>
                    <w:bidi w:val="0"/>
                    <w:adjustRightInd/>
                    <w:snapToGrid/>
                    <w:spacing w:line="0" w:lineRule="atLeast"/>
                    <w:ind w:firstLine="0" w:firstLineChars="0"/>
                    <w:jc w:val="center"/>
                    <w:rPr>
                      <w:rFonts w:hint="default" w:ascii="Times New Roman" w:hAnsi="Times New Roman" w:eastAsia="宋体" w:cs="Times New Roman"/>
                      <w:i w:val="0"/>
                      <w:iCs w:val="0"/>
                      <w:color w:val="auto"/>
                      <w:sz w:val="21"/>
                      <w:szCs w:val="21"/>
                      <w:highlight w:val="none"/>
                      <w:u w:val="none"/>
                    </w:rPr>
                  </w:pPr>
                </w:p>
              </w:tc>
            </w:tr>
            <w:tr w14:paraId="50FFF2C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21" w:hRule="atLeast"/>
              </w:trPr>
              <w:tc>
                <w:tcPr>
                  <w:tcW w:w="892" w:type="pct"/>
                  <w:tcBorders>
                    <w:tl2br w:val="nil"/>
                    <w:tr2bl w:val="nil"/>
                  </w:tcBorders>
                  <w:noWrap/>
                  <w:vAlign w:val="center"/>
                </w:tcPr>
                <w:p w14:paraId="4D738C81">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塔基施工场地区</w:t>
                  </w:r>
                </w:p>
              </w:tc>
              <w:tc>
                <w:tcPr>
                  <w:tcW w:w="453" w:type="pct"/>
                  <w:tcBorders>
                    <w:tl2br w:val="nil"/>
                    <w:tr2bl w:val="nil"/>
                  </w:tcBorders>
                  <w:noWrap/>
                  <w:vAlign w:val="center"/>
                </w:tcPr>
                <w:p w14:paraId="54E15A09">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0.22</w:t>
                  </w:r>
                </w:p>
              </w:tc>
              <w:tc>
                <w:tcPr>
                  <w:tcW w:w="610" w:type="pct"/>
                  <w:tcBorders>
                    <w:tl2br w:val="nil"/>
                    <w:tr2bl w:val="nil"/>
                  </w:tcBorders>
                  <w:noWrap/>
                  <w:vAlign w:val="center"/>
                </w:tcPr>
                <w:p w14:paraId="3193104A">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0.03</w:t>
                  </w:r>
                </w:p>
              </w:tc>
              <w:tc>
                <w:tcPr>
                  <w:tcW w:w="407" w:type="pct"/>
                  <w:tcBorders>
                    <w:tl2br w:val="nil"/>
                    <w:tr2bl w:val="nil"/>
                  </w:tcBorders>
                  <w:noWrap/>
                  <w:vAlign w:val="center"/>
                </w:tcPr>
                <w:p w14:paraId="70CD0771">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0.25</w:t>
                  </w:r>
                </w:p>
              </w:tc>
              <w:tc>
                <w:tcPr>
                  <w:tcW w:w="384" w:type="pct"/>
                  <w:tcBorders>
                    <w:tl2br w:val="nil"/>
                    <w:tr2bl w:val="nil"/>
                  </w:tcBorders>
                  <w:noWrap/>
                  <w:vAlign w:val="center"/>
                </w:tcPr>
                <w:p w14:paraId="7DC85611">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0.22</w:t>
                  </w:r>
                </w:p>
              </w:tc>
              <w:tc>
                <w:tcPr>
                  <w:tcW w:w="561" w:type="pct"/>
                  <w:tcBorders>
                    <w:tl2br w:val="nil"/>
                    <w:tr2bl w:val="nil"/>
                  </w:tcBorders>
                  <w:noWrap/>
                  <w:vAlign w:val="center"/>
                </w:tcPr>
                <w:p w14:paraId="20FC0149">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0.03</w:t>
                  </w:r>
                </w:p>
              </w:tc>
              <w:tc>
                <w:tcPr>
                  <w:tcW w:w="418" w:type="pct"/>
                  <w:tcBorders>
                    <w:tl2br w:val="nil"/>
                    <w:tr2bl w:val="nil"/>
                  </w:tcBorders>
                  <w:noWrap/>
                  <w:vAlign w:val="center"/>
                </w:tcPr>
                <w:p w14:paraId="4BD06105">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0.25</w:t>
                  </w:r>
                </w:p>
              </w:tc>
              <w:tc>
                <w:tcPr>
                  <w:tcW w:w="306" w:type="pct"/>
                  <w:tcBorders>
                    <w:tl2br w:val="nil"/>
                    <w:tr2bl w:val="nil"/>
                  </w:tcBorders>
                  <w:noWrap/>
                  <w:vAlign w:val="center"/>
                </w:tcPr>
                <w:p w14:paraId="667A34F9">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w:t>
                  </w:r>
                </w:p>
              </w:tc>
              <w:tc>
                <w:tcPr>
                  <w:tcW w:w="389" w:type="pct"/>
                  <w:tcBorders>
                    <w:tl2br w:val="nil"/>
                    <w:tr2bl w:val="nil"/>
                  </w:tcBorders>
                  <w:noWrap/>
                  <w:vAlign w:val="center"/>
                </w:tcPr>
                <w:p w14:paraId="2F924B1B">
                  <w:pPr>
                    <w:keepNext w:val="0"/>
                    <w:keepLines w:val="0"/>
                    <w:pageBreakBefore w:val="0"/>
                    <w:widowControl/>
                    <w:kinsoku/>
                    <w:wordWrap/>
                    <w:overflowPunct/>
                    <w:topLinePunct w:val="0"/>
                    <w:autoSpaceDE/>
                    <w:autoSpaceDN/>
                    <w:bidi w:val="0"/>
                    <w:adjustRightInd/>
                    <w:snapToGrid/>
                    <w:spacing w:line="0" w:lineRule="atLeast"/>
                    <w:ind w:firstLine="0" w:firstLineChars="0"/>
                    <w:jc w:val="center"/>
                    <w:rPr>
                      <w:rFonts w:hint="default" w:ascii="Times New Roman" w:hAnsi="Times New Roman" w:eastAsia="宋体" w:cs="Times New Roman"/>
                      <w:b w:val="0"/>
                      <w:bCs w:val="0"/>
                      <w:i w:val="0"/>
                      <w:iCs w:val="0"/>
                      <w:color w:val="auto"/>
                      <w:sz w:val="21"/>
                      <w:szCs w:val="21"/>
                      <w:highlight w:val="none"/>
                      <w:u w:val="none"/>
                    </w:rPr>
                  </w:pPr>
                </w:p>
              </w:tc>
              <w:tc>
                <w:tcPr>
                  <w:tcW w:w="236" w:type="pct"/>
                  <w:tcBorders>
                    <w:tl2br w:val="nil"/>
                    <w:tr2bl w:val="nil"/>
                  </w:tcBorders>
                  <w:noWrap/>
                  <w:vAlign w:val="center"/>
                </w:tcPr>
                <w:p w14:paraId="25DC3371">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w:t>
                  </w:r>
                </w:p>
              </w:tc>
              <w:tc>
                <w:tcPr>
                  <w:tcW w:w="339" w:type="pct"/>
                  <w:tcBorders>
                    <w:tl2br w:val="nil"/>
                    <w:tr2bl w:val="nil"/>
                  </w:tcBorders>
                  <w:noWrap/>
                  <w:vAlign w:val="center"/>
                </w:tcPr>
                <w:p w14:paraId="1368BC5D">
                  <w:pPr>
                    <w:keepNext w:val="0"/>
                    <w:keepLines w:val="0"/>
                    <w:pageBreakBefore w:val="0"/>
                    <w:widowControl/>
                    <w:kinsoku/>
                    <w:wordWrap/>
                    <w:overflowPunct/>
                    <w:topLinePunct w:val="0"/>
                    <w:autoSpaceDE/>
                    <w:autoSpaceDN/>
                    <w:bidi w:val="0"/>
                    <w:adjustRightInd/>
                    <w:snapToGrid/>
                    <w:spacing w:line="0" w:lineRule="atLeast"/>
                    <w:ind w:firstLine="0" w:firstLineChars="0"/>
                    <w:jc w:val="center"/>
                    <w:rPr>
                      <w:rFonts w:hint="default" w:ascii="Times New Roman" w:hAnsi="Times New Roman" w:eastAsia="宋体" w:cs="Times New Roman"/>
                      <w:i w:val="0"/>
                      <w:iCs w:val="0"/>
                      <w:color w:val="auto"/>
                      <w:sz w:val="21"/>
                      <w:szCs w:val="21"/>
                      <w:highlight w:val="none"/>
                      <w:u w:val="none"/>
                    </w:rPr>
                  </w:pPr>
                </w:p>
              </w:tc>
            </w:tr>
            <w:tr w14:paraId="4D04F78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41" w:hRule="atLeast"/>
              </w:trPr>
              <w:tc>
                <w:tcPr>
                  <w:tcW w:w="892" w:type="pct"/>
                  <w:tcBorders>
                    <w:tl2br w:val="nil"/>
                    <w:tr2bl w:val="nil"/>
                  </w:tcBorders>
                  <w:noWrap/>
                  <w:vAlign w:val="center"/>
                </w:tcPr>
                <w:p w14:paraId="4A099018">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合计</w:t>
                  </w:r>
                </w:p>
              </w:tc>
              <w:tc>
                <w:tcPr>
                  <w:tcW w:w="453" w:type="pct"/>
                  <w:tcBorders>
                    <w:tl2br w:val="nil"/>
                    <w:tr2bl w:val="nil"/>
                  </w:tcBorders>
                  <w:noWrap/>
                  <w:vAlign w:val="center"/>
                </w:tcPr>
                <w:p w14:paraId="31E126BF">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0.68 </w:t>
                  </w:r>
                </w:p>
              </w:tc>
              <w:tc>
                <w:tcPr>
                  <w:tcW w:w="610" w:type="pct"/>
                  <w:tcBorders>
                    <w:tl2br w:val="nil"/>
                    <w:tr2bl w:val="nil"/>
                  </w:tcBorders>
                  <w:noWrap/>
                  <w:vAlign w:val="center"/>
                </w:tcPr>
                <w:p w14:paraId="786B2752">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0.13 </w:t>
                  </w:r>
                </w:p>
              </w:tc>
              <w:tc>
                <w:tcPr>
                  <w:tcW w:w="407" w:type="pct"/>
                  <w:tcBorders>
                    <w:tl2br w:val="nil"/>
                    <w:tr2bl w:val="nil"/>
                  </w:tcBorders>
                  <w:noWrap/>
                  <w:vAlign w:val="center"/>
                </w:tcPr>
                <w:p w14:paraId="5450D2C5">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0.81 </w:t>
                  </w:r>
                </w:p>
              </w:tc>
              <w:tc>
                <w:tcPr>
                  <w:tcW w:w="384" w:type="pct"/>
                  <w:tcBorders>
                    <w:tl2br w:val="nil"/>
                    <w:tr2bl w:val="nil"/>
                  </w:tcBorders>
                  <w:noWrap/>
                  <w:vAlign w:val="center"/>
                </w:tcPr>
                <w:p w14:paraId="30C40A8E">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0.68 </w:t>
                  </w:r>
                </w:p>
              </w:tc>
              <w:tc>
                <w:tcPr>
                  <w:tcW w:w="561" w:type="pct"/>
                  <w:tcBorders>
                    <w:tl2br w:val="nil"/>
                    <w:tr2bl w:val="nil"/>
                  </w:tcBorders>
                  <w:noWrap/>
                  <w:vAlign w:val="center"/>
                </w:tcPr>
                <w:p w14:paraId="104AFECC">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0.13 </w:t>
                  </w:r>
                </w:p>
              </w:tc>
              <w:tc>
                <w:tcPr>
                  <w:tcW w:w="418" w:type="pct"/>
                  <w:tcBorders>
                    <w:tl2br w:val="nil"/>
                    <w:tr2bl w:val="nil"/>
                  </w:tcBorders>
                  <w:noWrap/>
                  <w:vAlign w:val="center"/>
                </w:tcPr>
                <w:p w14:paraId="01CADBCE">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0.81 </w:t>
                  </w:r>
                </w:p>
              </w:tc>
              <w:tc>
                <w:tcPr>
                  <w:tcW w:w="306" w:type="pct"/>
                  <w:tcBorders>
                    <w:tl2br w:val="nil"/>
                    <w:tr2bl w:val="nil"/>
                  </w:tcBorders>
                  <w:noWrap/>
                  <w:vAlign w:val="center"/>
                </w:tcPr>
                <w:p w14:paraId="67ABAC18">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0</w:t>
                  </w:r>
                </w:p>
              </w:tc>
              <w:tc>
                <w:tcPr>
                  <w:tcW w:w="389" w:type="pct"/>
                  <w:tcBorders>
                    <w:tl2br w:val="nil"/>
                    <w:tr2bl w:val="nil"/>
                  </w:tcBorders>
                  <w:noWrap/>
                  <w:vAlign w:val="center"/>
                </w:tcPr>
                <w:p w14:paraId="46A5892B">
                  <w:pPr>
                    <w:keepNext w:val="0"/>
                    <w:keepLines w:val="0"/>
                    <w:pageBreakBefore w:val="0"/>
                    <w:widowControl/>
                    <w:kinsoku/>
                    <w:wordWrap/>
                    <w:overflowPunct/>
                    <w:topLinePunct w:val="0"/>
                    <w:autoSpaceDE/>
                    <w:autoSpaceDN/>
                    <w:bidi w:val="0"/>
                    <w:adjustRightInd/>
                    <w:snapToGrid/>
                    <w:spacing w:line="0" w:lineRule="atLeast"/>
                    <w:ind w:firstLine="0" w:firstLineChars="0"/>
                    <w:jc w:val="center"/>
                    <w:rPr>
                      <w:rFonts w:hint="default" w:ascii="Times New Roman" w:hAnsi="Times New Roman" w:eastAsia="宋体" w:cs="Times New Roman"/>
                      <w:b/>
                      <w:bCs/>
                      <w:i w:val="0"/>
                      <w:iCs w:val="0"/>
                      <w:color w:val="auto"/>
                      <w:sz w:val="21"/>
                      <w:szCs w:val="21"/>
                      <w:highlight w:val="none"/>
                      <w:u w:val="none"/>
                    </w:rPr>
                  </w:pPr>
                </w:p>
              </w:tc>
              <w:tc>
                <w:tcPr>
                  <w:tcW w:w="236" w:type="pct"/>
                  <w:tcBorders>
                    <w:tl2br w:val="nil"/>
                    <w:tr2bl w:val="nil"/>
                  </w:tcBorders>
                  <w:noWrap/>
                  <w:vAlign w:val="center"/>
                </w:tcPr>
                <w:p w14:paraId="29024E55">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 xml:space="preserve">0 </w:t>
                  </w:r>
                </w:p>
              </w:tc>
              <w:tc>
                <w:tcPr>
                  <w:tcW w:w="339" w:type="pct"/>
                  <w:tcBorders>
                    <w:tl2br w:val="nil"/>
                    <w:tr2bl w:val="nil"/>
                  </w:tcBorders>
                  <w:noWrap/>
                  <w:vAlign w:val="center"/>
                </w:tcPr>
                <w:p w14:paraId="688A3043">
                  <w:pPr>
                    <w:keepNext w:val="0"/>
                    <w:keepLines w:val="0"/>
                    <w:pageBreakBefore w:val="0"/>
                    <w:widowControl/>
                    <w:kinsoku/>
                    <w:wordWrap/>
                    <w:overflowPunct/>
                    <w:topLinePunct w:val="0"/>
                    <w:autoSpaceDE/>
                    <w:autoSpaceDN/>
                    <w:bidi w:val="0"/>
                    <w:adjustRightInd/>
                    <w:snapToGrid/>
                    <w:spacing w:line="0" w:lineRule="atLeast"/>
                    <w:ind w:firstLine="0" w:firstLineChars="0"/>
                    <w:jc w:val="center"/>
                    <w:rPr>
                      <w:rFonts w:hint="default" w:ascii="Times New Roman" w:hAnsi="Times New Roman" w:eastAsia="宋体" w:cs="Times New Roman"/>
                      <w:b/>
                      <w:bCs/>
                      <w:i w:val="0"/>
                      <w:iCs w:val="0"/>
                      <w:color w:val="auto"/>
                      <w:sz w:val="21"/>
                      <w:szCs w:val="21"/>
                      <w:highlight w:val="none"/>
                      <w:u w:val="none"/>
                    </w:rPr>
                  </w:pPr>
                </w:p>
              </w:tc>
            </w:tr>
          </w:tbl>
          <w:p w14:paraId="079A1320">
            <w:pPr>
              <w:spacing w:line="240" w:lineRule="auto"/>
              <w:ind w:firstLine="420" w:firstLineChars="200"/>
              <w:rPr>
                <w:rFonts w:eastAsia="方正仿宋_GB2312"/>
                <w:color w:val="auto"/>
                <w:szCs w:val="21"/>
                <w:highlight w:val="none"/>
              </w:rPr>
            </w:pPr>
            <w:r>
              <w:rPr>
                <w:color w:val="auto"/>
                <w:szCs w:val="21"/>
                <w:highlight w:val="none"/>
                <w:lang w:bidi="ar"/>
              </w:rPr>
              <w:t>注：开挖+调入+外借＝回填+调出+废弃，表内所列土石方均为自然方。</w:t>
            </w:r>
          </w:p>
          <w:p w14:paraId="2D61AB27">
            <w:pPr>
              <w:adjustRightInd w:val="0"/>
              <w:snapToGrid w:val="0"/>
              <w:spacing w:line="440" w:lineRule="exact"/>
              <w:ind w:firstLine="480" w:firstLineChars="200"/>
              <w:rPr>
                <w:color w:val="auto"/>
                <w:sz w:val="24"/>
              </w:rPr>
            </w:pPr>
            <w:r>
              <w:rPr>
                <w:rFonts w:hint="eastAsia"/>
                <w:color w:val="auto"/>
                <w:sz w:val="24"/>
                <w:highlight w:val="none"/>
                <w:lang w:eastAsia="zh-CN"/>
              </w:rPr>
              <w:t>根据</w:t>
            </w:r>
            <w:r>
              <w:rPr>
                <w:color w:val="auto"/>
                <w:sz w:val="24"/>
                <w:highlight w:val="none"/>
              </w:rPr>
              <w:t>现场勘查，项目区内无废弃土石方，土</w:t>
            </w:r>
            <w:r>
              <w:rPr>
                <w:color w:val="auto"/>
                <w:sz w:val="24"/>
              </w:rPr>
              <w:t>石方调运合理；对环境影响可接受。</w:t>
            </w:r>
          </w:p>
          <w:p w14:paraId="29DF776D">
            <w:pPr>
              <w:adjustRightInd w:val="0"/>
              <w:snapToGrid w:val="0"/>
              <w:spacing w:line="440" w:lineRule="exact"/>
              <w:ind w:firstLine="480" w:firstLineChars="200"/>
              <w:rPr>
                <w:color w:val="auto"/>
                <w:sz w:val="24"/>
              </w:rPr>
            </w:pPr>
            <w:r>
              <w:rPr>
                <w:color w:val="auto"/>
                <w:sz w:val="24"/>
              </w:rPr>
              <w:t>（2）施工建筑垃圾</w:t>
            </w:r>
          </w:p>
          <w:p w14:paraId="48AC3F9C">
            <w:pPr>
              <w:adjustRightInd w:val="0"/>
              <w:snapToGrid w:val="0"/>
              <w:spacing w:line="440" w:lineRule="exact"/>
              <w:ind w:firstLine="480" w:firstLineChars="200"/>
              <w:rPr>
                <w:color w:val="auto"/>
                <w:kern w:val="0"/>
                <w:sz w:val="24"/>
              </w:rPr>
            </w:pPr>
            <w:bookmarkStart w:id="59" w:name="_Toc513128837"/>
            <w:r>
              <w:rPr>
                <w:color w:val="auto"/>
                <w:sz w:val="24"/>
              </w:rPr>
              <w:t>项目施工过</w:t>
            </w:r>
            <w:r>
              <w:rPr>
                <w:rFonts w:hint="eastAsia"/>
                <w:color w:val="auto"/>
                <w:sz w:val="24"/>
                <w:lang w:eastAsia="zh-CN"/>
              </w:rPr>
              <w:t>程中</w:t>
            </w:r>
            <w:r>
              <w:rPr>
                <w:color w:val="auto"/>
                <w:sz w:val="24"/>
              </w:rPr>
              <w:t>产生的垃圾主要有渣土、混凝土、</w:t>
            </w:r>
            <w:r>
              <w:rPr>
                <w:color w:val="auto"/>
                <w:kern w:val="0"/>
                <w:sz w:val="24"/>
              </w:rPr>
              <w:t>散落的砂浆、碎砖块、碎混凝土块以及</w:t>
            </w:r>
            <w:r>
              <w:rPr>
                <w:color w:val="auto"/>
                <w:sz w:val="24"/>
              </w:rPr>
              <w:t>废包装材料</w:t>
            </w:r>
            <w:r>
              <w:rPr>
                <w:color w:val="auto"/>
                <w:kern w:val="0"/>
                <w:sz w:val="24"/>
              </w:rPr>
              <w:t>等。</w:t>
            </w:r>
            <w:r>
              <w:rPr>
                <w:color w:val="auto"/>
                <w:sz w:val="24"/>
              </w:rPr>
              <w:t>由于项目建设工程量较小，产生的施工垃圾较少，建筑垃圾进行集中收集、回收利用，不可利用的建筑垃圾委托有资质单位运至相关主管部门指定建筑垃圾处置场规范处置。</w:t>
            </w:r>
          </w:p>
          <w:p w14:paraId="7970EEAE">
            <w:pPr>
              <w:adjustRightInd w:val="0"/>
              <w:snapToGrid w:val="0"/>
              <w:spacing w:line="440" w:lineRule="exact"/>
              <w:ind w:firstLine="480" w:firstLineChars="200"/>
              <w:rPr>
                <w:color w:val="auto"/>
                <w:sz w:val="24"/>
              </w:rPr>
            </w:pPr>
            <w:r>
              <w:rPr>
                <w:color w:val="auto"/>
                <w:sz w:val="24"/>
              </w:rPr>
              <w:t>（3）施工人员生活垃圾</w:t>
            </w:r>
            <w:bookmarkEnd w:id="59"/>
          </w:p>
          <w:p w14:paraId="30C6A054">
            <w:pPr>
              <w:adjustRightInd w:val="0"/>
              <w:snapToGrid w:val="0"/>
              <w:spacing w:line="440" w:lineRule="exact"/>
              <w:ind w:firstLine="480" w:firstLineChars="200"/>
              <w:rPr>
                <w:rFonts w:hint="eastAsia"/>
                <w:color w:val="auto"/>
                <w:sz w:val="24"/>
              </w:rPr>
            </w:pPr>
            <w:r>
              <w:rPr>
                <w:color w:val="auto"/>
                <w:sz w:val="24"/>
              </w:rPr>
              <w:t>本项目区内不设置施工营地，项目施工过程中，输电线路施工人员共约20人。根据</w:t>
            </w:r>
            <w:r>
              <w:rPr>
                <w:rFonts w:hint="eastAsia"/>
                <w:color w:val="auto"/>
                <w:sz w:val="24"/>
              </w:rPr>
              <w:t>施工单位介绍，</w:t>
            </w:r>
            <w:r>
              <w:rPr>
                <w:color w:val="auto"/>
                <w:sz w:val="24"/>
              </w:rPr>
              <w:t>施工期生活垃圾产生量为6kg/d。经现场调查，本项目线路</w:t>
            </w:r>
            <w:r>
              <w:rPr>
                <w:rFonts w:hint="eastAsia"/>
                <w:color w:val="auto"/>
                <w:sz w:val="24"/>
              </w:rPr>
              <w:t>施工</w:t>
            </w:r>
            <w:r>
              <w:rPr>
                <w:color w:val="auto"/>
                <w:sz w:val="24"/>
              </w:rPr>
              <w:t>生活垃圾收集堆放，</w:t>
            </w:r>
            <w:r>
              <w:rPr>
                <w:rFonts w:hint="eastAsia"/>
                <w:color w:val="auto"/>
                <w:sz w:val="24"/>
              </w:rPr>
              <w:t>统一转运至周边村庄垃圾收集点</w:t>
            </w:r>
            <w:r>
              <w:rPr>
                <w:color w:val="auto"/>
                <w:sz w:val="24"/>
              </w:rPr>
              <w:t>处理</w:t>
            </w:r>
            <w:r>
              <w:rPr>
                <w:rFonts w:hint="eastAsia"/>
                <w:color w:val="auto"/>
                <w:sz w:val="24"/>
              </w:rPr>
              <w:t>。</w:t>
            </w:r>
          </w:p>
          <w:p w14:paraId="6DE9E62A">
            <w:pPr>
              <w:adjustRightInd w:val="0"/>
              <w:snapToGrid w:val="0"/>
              <w:spacing w:line="440" w:lineRule="exact"/>
              <w:rPr>
                <w:b/>
                <w:bCs/>
                <w:color w:val="auto"/>
                <w:sz w:val="24"/>
              </w:rPr>
            </w:pPr>
            <w:r>
              <w:rPr>
                <w:rFonts w:hint="eastAsia"/>
                <w:b/>
                <w:color w:val="auto"/>
                <w:sz w:val="28"/>
                <w:szCs w:val="28"/>
              </w:rPr>
              <w:t>4.1.6项目施工期“三场”（堆料场、临时弃土场、牵张场）设置对环境的影响</w:t>
            </w:r>
          </w:p>
          <w:p w14:paraId="31E88B1C">
            <w:pPr>
              <w:adjustRightInd w:val="0"/>
              <w:snapToGrid w:val="0"/>
              <w:spacing w:line="440" w:lineRule="exact"/>
              <w:ind w:firstLine="480" w:firstLineChars="200"/>
              <w:rPr>
                <w:color w:val="auto"/>
                <w:sz w:val="24"/>
              </w:rPr>
            </w:pPr>
            <w:r>
              <w:rPr>
                <w:rFonts w:hint="eastAsia"/>
                <w:color w:val="auto"/>
                <w:sz w:val="24"/>
              </w:rPr>
              <w:t>根据资料</w:t>
            </w:r>
            <w:r>
              <w:rPr>
                <w:color w:val="auto"/>
                <w:sz w:val="24"/>
              </w:rPr>
              <w:t>，本项目施工时</w:t>
            </w:r>
            <w:r>
              <w:rPr>
                <w:rFonts w:hint="eastAsia"/>
                <w:color w:val="auto"/>
                <w:sz w:val="24"/>
              </w:rPr>
              <w:t>不</w:t>
            </w:r>
            <w:r>
              <w:rPr>
                <w:color w:val="auto"/>
                <w:sz w:val="24"/>
              </w:rPr>
              <w:t>设置施工营地、堆料场</w:t>
            </w:r>
            <w:r>
              <w:rPr>
                <w:rFonts w:hint="eastAsia"/>
                <w:color w:val="auto"/>
                <w:sz w:val="24"/>
              </w:rPr>
              <w:t>及弃土场</w:t>
            </w:r>
            <w:r>
              <w:rPr>
                <w:color w:val="auto"/>
                <w:sz w:val="24"/>
              </w:rPr>
              <w:t>。</w:t>
            </w:r>
          </w:p>
          <w:p w14:paraId="1CF1F844">
            <w:pPr>
              <w:pStyle w:val="92"/>
              <w:snapToGrid w:val="0"/>
              <w:spacing w:line="440" w:lineRule="exact"/>
              <w:ind w:firstLine="480" w:firstLineChars="200"/>
              <w:jc w:val="both"/>
              <w:rPr>
                <w:color w:val="auto"/>
              </w:rPr>
            </w:pPr>
            <w:r>
              <w:rPr>
                <w:color w:val="auto"/>
              </w:rPr>
              <w:t>①弃土场：</w:t>
            </w:r>
            <w:r>
              <w:rPr>
                <w:rFonts w:hint="eastAsia"/>
                <w:color w:val="auto"/>
              </w:rPr>
              <w:t>不设置弃土场，</w:t>
            </w:r>
            <w:r>
              <w:rPr>
                <w:color w:val="auto"/>
              </w:rPr>
              <w:t>产生</w:t>
            </w:r>
            <w:r>
              <w:rPr>
                <w:rFonts w:hint="eastAsia"/>
                <w:color w:val="auto"/>
              </w:rPr>
              <w:t>少量</w:t>
            </w:r>
            <w:r>
              <w:rPr>
                <w:color w:val="auto"/>
              </w:rPr>
              <w:t>弃方后用于回填，未随意堆放</w:t>
            </w:r>
            <w:r>
              <w:rPr>
                <w:rFonts w:hint="eastAsia"/>
                <w:color w:val="auto"/>
              </w:rPr>
              <w:t>。</w:t>
            </w:r>
          </w:p>
          <w:p w14:paraId="2199CDBE">
            <w:pPr>
              <w:adjustRightInd w:val="0"/>
              <w:snapToGrid w:val="0"/>
              <w:spacing w:line="440" w:lineRule="exact"/>
              <w:ind w:firstLine="420" w:firstLineChars="200"/>
              <w:rPr>
                <w:rFonts w:hint="eastAsia"/>
                <w:color w:val="auto"/>
                <w:sz w:val="24"/>
              </w:rPr>
            </w:pPr>
            <w:r>
              <w:rPr>
                <w:color w:val="auto"/>
              </w:rPr>
              <w:t>②</w:t>
            </w:r>
            <w:r>
              <w:rPr>
                <w:color w:val="auto"/>
                <w:sz w:val="24"/>
              </w:rPr>
              <w:t>堆料场</w:t>
            </w:r>
            <w:r>
              <w:rPr>
                <w:rFonts w:hint="eastAsia"/>
                <w:color w:val="auto"/>
                <w:sz w:val="24"/>
              </w:rPr>
              <w:t>：</w:t>
            </w:r>
            <w:r>
              <w:rPr>
                <w:color w:val="auto"/>
                <w:sz w:val="24"/>
              </w:rPr>
              <w:t>本项目输电线路施工点分散，每个施工点需要堆放的材料不多，因此，施工材料运至施工点附近后，就近安放于较宽阔的路边，由人工运输至施工点逐一进行安装，施工材料堆放时间不长，尽量做到当日安装</w:t>
            </w:r>
            <w:r>
              <w:rPr>
                <w:rFonts w:hint="eastAsia"/>
                <w:color w:val="auto"/>
                <w:sz w:val="24"/>
              </w:rPr>
              <w:t>。</w:t>
            </w:r>
          </w:p>
          <w:p w14:paraId="1AB0F124">
            <w:pPr>
              <w:adjustRightInd w:val="0"/>
              <w:snapToGrid w:val="0"/>
              <w:spacing w:line="440" w:lineRule="exact"/>
              <w:ind w:firstLine="480" w:firstLineChars="200"/>
              <w:rPr>
                <w:rFonts w:hint="eastAsia"/>
                <w:color w:val="auto"/>
                <w:sz w:val="24"/>
              </w:rPr>
            </w:pPr>
            <w:r>
              <w:rPr>
                <w:rFonts w:hint="eastAsia"/>
                <w:color w:val="auto"/>
                <w:sz w:val="24"/>
              </w:rPr>
              <w:t>采取</w:t>
            </w:r>
            <w:r>
              <w:rPr>
                <w:color w:val="auto"/>
                <w:sz w:val="24"/>
              </w:rPr>
              <w:t>篷布覆盖</w:t>
            </w:r>
            <w:r>
              <w:rPr>
                <w:rFonts w:hint="eastAsia"/>
                <w:color w:val="auto"/>
                <w:sz w:val="24"/>
              </w:rPr>
              <w:t>、定期洒水措施，</w:t>
            </w:r>
            <w:r>
              <w:rPr>
                <w:color w:val="auto"/>
                <w:sz w:val="24"/>
              </w:rPr>
              <w:t>输电线路不单独另设堆料场</w:t>
            </w:r>
            <w:r>
              <w:rPr>
                <w:rFonts w:hint="eastAsia"/>
                <w:color w:val="auto"/>
                <w:sz w:val="24"/>
              </w:rPr>
              <w:t>，对环境影响较小。</w:t>
            </w:r>
          </w:p>
          <w:p w14:paraId="3F1926FB">
            <w:pPr>
              <w:pStyle w:val="92"/>
              <w:snapToGrid w:val="0"/>
              <w:spacing w:line="440" w:lineRule="exact"/>
              <w:ind w:firstLine="480" w:firstLineChars="200"/>
              <w:jc w:val="both"/>
              <w:rPr>
                <w:rFonts w:hint="eastAsia"/>
                <w:color w:val="auto"/>
              </w:rPr>
            </w:pPr>
            <w:r>
              <w:rPr>
                <w:color w:val="auto"/>
                <w:sz w:val="24"/>
              </w:rPr>
              <w:t>③</w:t>
            </w:r>
            <w:r>
              <w:rPr>
                <w:rFonts w:hint="eastAsia"/>
                <w:color w:val="auto"/>
              </w:rPr>
              <w:t>表土堆场：项目不单独设置表土堆场，施工期塔基区剥离表土堆存于塔基占地红线范围内，采取临时覆盖，施工结束后回填、整地恢复。</w:t>
            </w:r>
          </w:p>
          <w:p w14:paraId="62C003FA">
            <w:pPr>
              <w:pStyle w:val="92"/>
              <w:snapToGrid w:val="0"/>
              <w:spacing w:line="440" w:lineRule="exact"/>
              <w:ind w:firstLine="480" w:firstLineChars="200"/>
              <w:jc w:val="both"/>
              <w:rPr>
                <w:rFonts w:hint="eastAsia"/>
                <w:color w:val="auto"/>
              </w:rPr>
            </w:pPr>
            <w:r>
              <w:rPr>
                <w:rFonts w:hint="eastAsia" w:ascii="Times New Roman" w:hAnsi="Times New Roman" w:cs="Times New Roman"/>
                <w:color w:val="auto"/>
                <w:sz w:val="24"/>
                <w:lang w:val="en-US" w:eastAsia="zh-CN"/>
              </w:rPr>
              <w:t>④</w:t>
            </w:r>
            <w:r>
              <w:rPr>
                <w:rFonts w:ascii="Times New Roman" w:hAnsi="Times New Roman" w:cs="Times New Roman"/>
                <w:color w:val="auto"/>
                <w:sz w:val="24"/>
              </w:rPr>
              <w:t>牵张场：牵张场的设置在一定程度上占用原有土</w:t>
            </w:r>
            <w:r>
              <w:rPr>
                <w:rFonts w:ascii="Times New Roman" w:hAnsi="Times New Roman" w:cs="Times New Roman"/>
                <w:color w:val="auto"/>
                <w:spacing w:val="-11"/>
                <w:sz w:val="24"/>
              </w:rPr>
              <w:t>地，对占地进行场地平整，将减少地表附着物，减少项目施工区的植被覆盖，造成一定程度的水土流失。</w:t>
            </w:r>
            <w:r>
              <w:rPr>
                <w:rFonts w:ascii="Times New Roman" w:hAnsi="Times New Roman" w:cs="Times New Roman"/>
                <w:color w:val="auto"/>
                <w:sz w:val="24"/>
              </w:rPr>
              <w:t>施工期牵张场的电动卷扬机等牵引设备运行过程中将产生扬尘和施工噪声</w:t>
            </w:r>
            <w:r>
              <w:rPr>
                <w:rFonts w:hint="eastAsia" w:ascii="Times New Roman" w:hAnsi="Times New Roman" w:cs="Times New Roman"/>
                <w:color w:val="auto"/>
                <w:sz w:val="24"/>
              </w:rPr>
              <w:t>。</w:t>
            </w:r>
          </w:p>
          <w:p w14:paraId="142D80DE">
            <w:pPr>
              <w:adjustRightInd w:val="0"/>
              <w:snapToGrid w:val="0"/>
              <w:spacing w:line="440" w:lineRule="exact"/>
              <w:ind w:firstLine="480" w:firstLineChars="200"/>
              <w:rPr>
                <w:color w:val="auto"/>
                <w:sz w:val="24"/>
              </w:rPr>
            </w:pPr>
            <w:r>
              <w:rPr>
                <w:color w:val="auto"/>
                <w:sz w:val="24"/>
              </w:rPr>
              <w:t>项目施工期“三场”的设置主要产生扬尘、噪声、水土流失和地表植被破坏等环境影响，扬尘和噪声的产生量较小，对线路周边的居民生活影响较小。</w:t>
            </w:r>
          </w:p>
          <w:p w14:paraId="61C5D433">
            <w:pPr>
              <w:adjustRightInd w:val="0"/>
              <w:snapToGrid w:val="0"/>
              <w:spacing w:line="440" w:lineRule="exact"/>
              <w:rPr>
                <w:rFonts w:ascii="Times New Roman" w:hAnsi="Times New Roman"/>
                <w:b/>
                <w:bCs/>
                <w:color w:val="auto"/>
                <w:sz w:val="24"/>
                <w:szCs w:val="24"/>
                <w:highlight w:val="none"/>
              </w:rPr>
            </w:pPr>
            <w:r>
              <w:rPr>
                <w:rFonts w:ascii="Times New Roman" w:hAnsi="Times New Roman"/>
                <w:b/>
                <w:bCs/>
                <w:color w:val="auto"/>
                <w:sz w:val="24"/>
                <w:szCs w:val="24"/>
                <w:highlight w:val="none"/>
              </w:rPr>
              <w:t>4.1.</w:t>
            </w:r>
            <w:r>
              <w:rPr>
                <w:rFonts w:hint="eastAsia" w:ascii="Times New Roman" w:hAnsi="Times New Roman"/>
                <w:b/>
                <w:bCs/>
                <w:color w:val="auto"/>
                <w:sz w:val="24"/>
                <w:szCs w:val="24"/>
                <w:highlight w:val="none"/>
                <w:lang w:val="en-US" w:eastAsia="zh-CN"/>
              </w:rPr>
              <w:t>7</w:t>
            </w:r>
            <w:r>
              <w:rPr>
                <w:rFonts w:ascii="Times New Roman" w:hAnsi="Times New Roman"/>
                <w:b/>
                <w:bCs/>
                <w:color w:val="auto"/>
                <w:sz w:val="24"/>
                <w:szCs w:val="24"/>
                <w:highlight w:val="none"/>
              </w:rPr>
              <w:t>施工期的水土流失</w:t>
            </w:r>
          </w:p>
          <w:p w14:paraId="3BFA5094">
            <w:pPr>
              <w:keepNext w:val="0"/>
              <w:keepLines w:val="0"/>
              <w:pageBreakBefore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本项目施工期可能导致水土流失的主要原因是降雨和地表开挖。项目所在地降雨量大部分集中在雨季（6月至8月），夏季暴雨较集中，降雨大，降雨时间长。这些气象条件可能会造成项目建设施工期的水土流失。</w:t>
            </w:r>
          </w:p>
          <w:p w14:paraId="28D3F6B9">
            <w:pPr>
              <w:keepNext w:val="0"/>
              <w:keepLines w:val="0"/>
              <w:pageBreakBefore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在施工过程中土壤暴露在雨、风和</w:t>
            </w:r>
            <w:r>
              <w:rPr>
                <w:rFonts w:hint="eastAsia" w:ascii="Times New Roman" w:hAnsi="Times New Roman" w:eastAsia="宋体" w:cs="Times New Roman"/>
                <w:color w:val="auto"/>
                <w:sz w:val="24"/>
                <w:szCs w:val="24"/>
                <w:highlight w:val="none"/>
                <w:lang w:eastAsia="zh-CN"/>
              </w:rPr>
              <w:t>其他干扰</w:t>
            </w:r>
            <w:r>
              <w:rPr>
                <w:rFonts w:hint="default" w:ascii="Times New Roman" w:hAnsi="Times New Roman" w:eastAsia="宋体" w:cs="Times New Roman"/>
                <w:color w:val="auto"/>
                <w:sz w:val="24"/>
                <w:szCs w:val="24"/>
                <w:highlight w:val="none"/>
              </w:rPr>
              <w:t>之中，另外，部分的土方填挖、陡坡、边坡的形成和整理，会使土壤暴露情况加剧。同时，施工中土壤结构会受到破坏，土壤抵抗侵蚀的能力将会大大减弱，在暴雨中由降雨所产生的土壤侵蚀，可能造成项目建设过程中的水土流失。项目建设期间架空线路塔基开挖等工程的施工可能在挖土方处会产生水土流失的现象，将对当地生态环境造成一定影响。</w:t>
            </w:r>
          </w:p>
          <w:p w14:paraId="56C21499">
            <w:pPr>
              <w:pStyle w:val="136"/>
              <w:keepNext w:val="0"/>
              <w:keepLines w:val="0"/>
              <w:pageBreakBefore w:val="0"/>
              <w:kinsoku/>
              <w:wordWrap/>
              <w:overflowPunct/>
              <w:topLinePunct w:val="0"/>
              <w:autoSpaceDE/>
              <w:autoSpaceDN/>
              <w:bidi w:val="0"/>
              <w:adjustRightInd w:val="0"/>
              <w:snapToGrid w:val="0"/>
              <w:spacing w:line="440" w:lineRule="exact"/>
              <w:ind w:firstLine="536"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w:t>
            </w:r>
            <w:r>
              <w:rPr>
                <w:rFonts w:hint="eastAsia"/>
                <w:color w:val="auto"/>
                <w:sz w:val="24"/>
                <w:highlight w:val="none"/>
                <w:lang w:eastAsia="zh-CN"/>
              </w:rPr>
              <w:t>大草房至六合一110kV送出线路工程</w:t>
            </w:r>
            <w:r>
              <w:rPr>
                <w:color w:val="auto"/>
                <w:sz w:val="24"/>
                <w:highlight w:val="none"/>
              </w:rPr>
              <w:t>水土保持方案报告表</w:t>
            </w:r>
            <w:r>
              <w:rPr>
                <w:rFonts w:hint="default" w:ascii="Times New Roman" w:hAnsi="Times New Roman" w:eastAsia="宋体" w:cs="Times New Roman"/>
                <w:color w:val="auto"/>
                <w:sz w:val="24"/>
                <w:szCs w:val="24"/>
                <w:highlight w:val="none"/>
                <w:lang w:val="en-US" w:eastAsia="zh-CN"/>
              </w:rPr>
              <w:t>》，本工程选址（线）建设方案，避开了泥石流易发区、崩塌滑坡危险区、易引起严重水土流失和生态恶化地区、国家水土保持观测及试验站点以及重点治理成果区，兼顾了水土保持要求。</w:t>
            </w:r>
          </w:p>
          <w:p w14:paraId="310B262D">
            <w:pPr>
              <w:adjustRightInd w:val="0"/>
              <w:snapToGrid w:val="0"/>
              <w:spacing w:line="440" w:lineRule="exact"/>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工程施工过程中，应对挖方等临时堆土采用苫布遮盖、采取编织袋装土堆砌成护坡等方式减少水土流失。严格控制施工范围，施工</w:t>
            </w:r>
            <w:r>
              <w:rPr>
                <w:rFonts w:hint="eastAsia" w:ascii="Times New Roman" w:hAnsi="Times New Roman"/>
                <w:color w:val="auto"/>
                <w:sz w:val="24"/>
                <w:szCs w:val="24"/>
                <w:highlight w:val="none"/>
                <w:lang w:eastAsia="zh-CN"/>
              </w:rPr>
              <w:t>期间</w:t>
            </w:r>
            <w:r>
              <w:rPr>
                <w:rFonts w:ascii="Times New Roman" w:hAnsi="Times New Roman"/>
                <w:color w:val="auto"/>
                <w:sz w:val="24"/>
                <w:szCs w:val="24"/>
                <w:highlight w:val="none"/>
              </w:rPr>
              <w:t>避免在该区范围内弃渣等。尽量缩短施工工期，设置醒目的</w:t>
            </w:r>
            <w:r>
              <w:rPr>
                <w:rFonts w:hint="eastAsia" w:ascii="Times New Roman" w:hAnsi="Times New Roman"/>
                <w:color w:val="auto"/>
                <w:sz w:val="24"/>
                <w:szCs w:val="24"/>
                <w:highlight w:val="none"/>
                <w:lang w:eastAsia="zh-CN"/>
              </w:rPr>
              <w:t>标识牌</w:t>
            </w:r>
            <w:r>
              <w:rPr>
                <w:rFonts w:ascii="Times New Roman" w:hAnsi="Times New Roman"/>
                <w:color w:val="auto"/>
                <w:sz w:val="24"/>
                <w:szCs w:val="24"/>
                <w:highlight w:val="none"/>
              </w:rPr>
              <w:t>、边界线，以严控施工环境，保持与其他未扰动区的有效隔离。针对表层的耕植土采取剥离防护措施，利用表土恢复原地貌</w:t>
            </w:r>
            <w:r>
              <w:rPr>
                <w:rFonts w:hint="eastAsia" w:ascii="Times New Roman" w:hAnsi="Times New Roman"/>
                <w:color w:val="auto"/>
                <w:sz w:val="24"/>
                <w:szCs w:val="24"/>
                <w:highlight w:val="none"/>
                <w:lang w:eastAsia="zh-CN"/>
              </w:rPr>
              <w:t>，有</w:t>
            </w:r>
            <w:r>
              <w:rPr>
                <w:rFonts w:ascii="Times New Roman" w:hAnsi="Times New Roman"/>
                <w:color w:val="auto"/>
                <w:sz w:val="24"/>
                <w:szCs w:val="24"/>
                <w:highlight w:val="none"/>
              </w:rPr>
              <w:t>利于植被的恢复生长，减少施工带来的不利影响。</w:t>
            </w:r>
          </w:p>
          <w:p w14:paraId="42BFDF7E">
            <w:pPr>
              <w:adjustRightInd w:val="0"/>
              <w:snapToGrid w:val="0"/>
              <w:spacing w:line="440" w:lineRule="exact"/>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在执行水土保持方案提出的措施，施工结束后宜及时对临时占地进行迹地恢复，平整土地，恢复植被，施工期间应注意线路和施工场地占地面积优化，采取先进的施工工艺，将进一步减少对生态环境和自然植被的破坏，最大限度地降低工程建设对生态环境与水土流失的影响。</w:t>
            </w:r>
          </w:p>
          <w:p w14:paraId="5DEF6220">
            <w:pPr>
              <w:adjustRightInd w:val="0"/>
              <w:snapToGrid w:val="0"/>
              <w:spacing w:line="440" w:lineRule="exact"/>
              <w:ind w:firstLine="480" w:firstLineChars="200"/>
              <w:rPr>
                <w:rFonts w:ascii="Times New Roman" w:hAnsi="Times New Roman" w:eastAsia="宋体" w:cs="Times New Roman"/>
                <w:color w:val="auto"/>
                <w:sz w:val="24"/>
                <w:szCs w:val="24"/>
                <w:highlight w:val="yellow"/>
              </w:rPr>
            </w:pPr>
            <w:r>
              <w:rPr>
                <w:rFonts w:ascii="Times New Roman" w:hAnsi="Times New Roman" w:eastAsia="宋体" w:cs="Times New Roman"/>
                <w:color w:val="auto"/>
                <w:sz w:val="24"/>
                <w:szCs w:val="24"/>
                <w:highlight w:val="none"/>
              </w:rPr>
              <w:t>综上所述，工程施工期对环境的影响主要表现在建设中施工扬尘、机械噪声，泥浆废水等对周边环境的影响及进出线路的架设对生态环境产生一定影响，但通过采取适当的环境保护措施后，项目施工期对环境影响较小。</w:t>
            </w:r>
          </w:p>
          <w:p w14:paraId="40413462">
            <w:pPr>
              <w:adjustRightInd w:val="0"/>
              <w:snapToGrid w:val="0"/>
              <w:spacing w:line="440" w:lineRule="exact"/>
              <w:rPr>
                <w:rFonts w:hint="eastAsia"/>
                <w:b/>
                <w:color w:val="auto"/>
                <w:sz w:val="28"/>
                <w:szCs w:val="28"/>
              </w:rPr>
            </w:pPr>
            <w:r>
              <w:rPr>
                <w:rFonts w:hint="eastAsia"/>
                <w:b/>
                <w:color w:val="auto"/>
                <w:sz w:val="28"/>
                <w:szCs w:val="28"/>
              </w:rPr>
              <w:t>4.1.</w:t>
            </w:r>
            <w:r>
              <w:rPr>
                <w:rFonts w:hint="eastAsia"/>
                <w:b/>
                <w:color w:val="auto"/>
                <w:sz w:val="28"/>
                <w:szCs w:val="28"/>
                <w:lang w:val="en-US" w:eastAsia="zh-CN"/>
              </w:rPr>
              <w:t>8</w:t>
            </w:r>
            <w:r>
              <w:rPr>
                <w:rFonts w:hint="eastAsia"/>
                <w:b/>
                <w:color w:val="auto"/>
                <w:sz w:val="28"/>
                <w:szCs w:val="28"/>
              </w:rPr>
              <w:t>施工期环境影响评价小结</w:t>
            </w:r>
          </w:p>
          <w:p w14:paraId="2E0D6A92">
            <w:pPr>
              <w:adjustRightInd w:val="0"/>
              <w:snapToGrid w:val="0"/>
              <w:spacing w:line="440" w:lineRule="exact"/>
              <w:ind w:firstLine="480" w:firstLineChars="200"/>
              <w:rPr>
                <w:color w:val="auto"/>
                <w:kern w:val="18"/>
                <w:sz w:val="24"/>
              </w:rPr>
            </w:pPr>
            <w:r>
              <w:rPr>
                <w:color w:val="auto"/>
                <w:kern w:val="18"/>
                <w:sz w:val="24"/>
              </w:rPr>
              <w:t>本工程属于线性工程，项目工程量小，作业点分散，施工时间较短，影响区域较小。</w:t>
            </w:r>
            <w:r>
              <w:rPr>
                <w:rFonts w:hint="eastAsia"/>
                <w:color w:val="auto"/>
                <w:kern w:val="18"/>
                <w:sz w:val="24"/>
              </w:rPr>
              <w:t>施工中</w:t>
            </w:r>
            <w:r>
              <w:rPr>
                <w:color w:val="auto"/>
                <w:kern w:val="18"/>
                <w:sz w:val="24"/>
              </w:rPr>
              <w:t>认真落实施工噪声、施工扬尘、固体废物、废污水的污染防治和生态保护措施，并加强监管，本工程施工对周围环境的影响</w:t>
            </w:r>
            <w:r>
              <w:rPr>
                <w:rFonts w:hint="eastAsia"/>
                <w:color w:val="auto"/>
                <w:kern w:val="18"/>
                <w:sz w:val="24"/>
              </w:rPr>
              <w:t>可接受</w:t>
            </w:r>
            <w:r>
              <w:rPr>
                <w:color w:val="auto"/>
                <w:kern w:val="18"/>
                <w:sz w:val="24"/>
              </w:rPr>
              <w:t>。</w:t>
            </w:r>
          </w:p>
        </w:tc>
      </w:tr>
      <w:tr w14:paraId="41BCA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0"/>
            <w:tcMar>
              <w:left w:w="28" w:type="dxa"/>
              <w:right w:w="28" w:type="dxa"/>
            </w:tcMar>
            <w:vAlign w:val="center"/>
          </w:tcPr>
          <w:p w14:paraId="32D8E61A">
            <w:pPr>
              <w:jc w:val="center"/>
              <w:rPr>
                <w:bCs/>
                <w:color w:val="auto"/>
                <w:sz w:val="24"/>
              </w:rPr>
            </w:pPr>
            <w:r>
              <w:rPr>
                <w:b/>
                <w:color w:val="auto"/>
                <w:sz w:val="24"/>
              </w:rPr>
              <w:t>运营期生态环境影响分析</w:t>
            </w:r>
          </w:p>
        </w:tc>
        <w:tc>
          <w:tcPr>
            <w:tcW w:w="4765" w:type="pct"/>
            <w:noWrap w:val="0"/>
            <w:vAlign w:val="center"/>
          </w:tcPr>
          <w:p w14:paraId="1A468D43">
            <w:pPr>
              <w:adjustRightInd w:val="0"/>
              <w:snapToGrid w:val="0"/>
              <w:spacing w:line="440" w:lineRule="exact"/>
              <w:rPr>
                <w:rFonts w:ascii="Times New Roman" w:hAnsi="Times New Roman"/>
                <w:b/>
                <w:color w:val="auto"/>
                <w:sz w:val="24"/>
                <w:szCs w:val="24"/>
              </w:rPr>
            </w:pPr>
            <w:r>
              <w:rPr>
                <w:rFonts w:ascii="Times New Roman" w:hAnsi="Times New Roman"/>
                <w:b/>
                <w:color w:val="auto"/>
                <w:sz w:val="24"/>
                <w:szCs w:val="24"/>
              </w:rPr>
              <w:t>4.2运营期生态环境影响分析</w:t>
            </w:r>
          </w:p>
          <w:p w14:paraId="5575DCF9">
            <w:pPr>
              <w:pStyle w:val="92"/>
              <w:adjustRightInd w:val="0"/>
              <w:snapToGrid w:val="0"/>
              <w:spacing w:line="440" w:lineRule="exact"/>
              <w:ind w:firstLine="480" w:firstLineChars="200"/>
              <w:jc w:val="both"/>
              <w:rPr>
                <w:rFonts w:ascii="Times New Roman" w:hAnsi="Times New Roman" w:cs="Times New Roman"/>
                <w:color w:val="auto"/>
                <w:sz w:val="24"/>
              </w:rPr>
            </w:pPr>
            <w:r>
              <w:rPr>
                <w:color w:val="auto"/>
                <w:sz w:val="24"/>
              </w:rPr>
              <w:t>根据本工程的性质，输电线路运行期的环境影响主要有工频电场、工频磁场，输电线路运行期不产生废气、废水。</w:t>
            </w:r>
            <w:r>
              <w:rPr>
                <w:rFonts w:hint="eastAsia" w:ascii="Times New Roman" w:hAnsi="Times New Roman" w:cs="Times New Roman"/>
                <w:color w:val="auto"/>
                <w:spacing w:val="-12"/>
                <w:sz w:val="24"/>
                <w:lang w:val="en-US" w:eastAsia="zh-CN"/>
              </w:rPr>
              <w:t>产生少量</w:t>
            </w:r>
            <w:r>
              <w:rPr>
                <w:rFonts w:ascii="Times New Roman" w:hAnsi="Times New Roman" w:cs="Times New Roman"/>
                <w:color w:val="auto"/>
                <w:spacing w:val="-12"/>
                <w:sz w:val="24"/>
              </w:rPr>
              <w:t>固体废物。项目运行期</w:t>
            </w:r>
            <w:r>
              <w:rPr>
                <w:rFonts w:ascii="Times New Roman" w:hAnsi="Times New Roman" w:cs="Times New Roman"/>
                <w:color w:val="auto"/>
                <w:spacing w:val="-7"/>
                <w:sz w:val="24"/>
              </w:rPr>
              <w:t>产生的环境影响见表</w:t>
            </w:r>
            <w:r>
              <w:rPr>
                <w:rFonts w:ascii="Times New Roman" w:hAnsi="Times New Roman" w:cs="Times New Roman"/>
                <w:color w:val="auto"/>
                <w:sz w:val="24"/>
              </w:rPr>
              <w:t>4-</w:t>
            </w:r>
            <w:r>
              <w:rPr>
                <w:rFonts w:hint="eastAsia" w:ascii="Times New Roman" w:hAnsi="Times New Roman" w:cs="Times New Roman"/>
                <w:color w:val="auto"/>
                <w:sz w:val="24"/>
                <w:lang w:val="en-US" w:eastAsia="zh-CN"/>
              </w:rPr>
              <w:t>3</w:t>
            </w:r>
            <w:r>
              <w:rPr>
                <w:rFonts w:ascii="Times New Roman" w:hAnsi="Times New Roman" w:cs="Times New Roman"/>
                <w:color w:val="auto"/>
                <w:sz w:val="24"/>
              </w:rPr>
              <w:t>。</w:t>
            </w:r>
          </w:p>
          <w:p w14:paraId="0259AC2A">
            <w:pPr>
              <w:pStyle w:val="92"/>
              <w:adjustRightInd w:val="0"/>
              <w:snapToGrid w:val="0"/>
              <w:spacing w:line="240" w:lineRule="auto"/>
              <w:jc w:val="center"/>
              <w:rPr>
                <w:rFonts w:ascii="Times New Roman" w:hAnsi="Times New Roman" w:cs="Times New Roman"/>
                <w:b/>
                <w:color w:val="auto"/>
                <w:sz w:val="24"/>
              </w:rPr>
            </w:pPr>
            <w:r>
              <w:rPr>
                <w:rFonts w:ascii="Times New Roman" w:hAnsi="Times New Roman" w:cs="Times New Roman"/>
                <w:b/>
                <w:color w:val="auto"/>
                <w:sz w:val="24"/>
              </w:rPr>
              <w:t>表4-</w:t>
            </w:r>
            <w:r>
              <w:rPr>
                <w:rFonts w:hint="eastAsia" w:ascii="Times New Roman" w:hAnsi="Times New Roman" w:cs="Times New Roman"/>
                <w:b/>
                <w:color w:val="auto"/>
                <w:sz w:val="24"/>
                <w:lang w:val="en-US" w:eastAsia="zh-CN"/>
              </w:rPr>
              <w:t>3</w:t>
            </w:r>
            <w:r>
              <w:rPr>
                <w:rFonts w:ascii="Times New Roman" w:hAnsi="Times New Roman" w:cs="Times New Roman"/>
                <w:b/>
                <w:color w:val="auto"/>
                <w:sz w:val="24"/>
              </w:rPr>
              <w:t xml:space="preserve">  工程运行期主要环境影响识别</w:t>
            </w:r>
          </w:p>
          <w:tbl>
            <w:tblPr>
              <w:tblStyle w:val="30"/>
              <w:tblW w:w="4999"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2857"/>
              <w:gridCol w:w="5344"/>
            </w:tblGrid>
            <w:tr w14:paraId="4B11DB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742" w:type="pct"/>
                  <w:tcBorders>
                    <w:tl2br w:val="nil"/>
                    <w:tr2bl w:val="nil"/>
                  </w:tcBorders>
                  <w:noWrap w:val="0"/>
                  <w:vAlign w:val="center"/>
                </w:tcPr>
                <w:p w14:paraId="44DE942C">
                  <w:pPr>
                    <w:pStyle w:val="92"/>
                    <w:adjustRightInd w:val="0"/>
                    <w:snapToGrid w:val="0"/>
                    <w:spacing w:line="240" w:lineRule="auto"/>
                    <w:jc w:val="center"/>
                    <w:rPr>
                      <w:rFonts w:ascii="Times New Roman" w:hAnsi="Times New Roman" w:eastAsia="宋体" w:cs="Times New Roman"/>
                      <w:color w:val="auto"/>
                      <w:sz w:val="21"/>
                      <w:szCs w:val="22"/>
                    </w:rPr>
                  </w:pPr>
                  <w:r>
                    <w:rPr>
                      <w:rFonts w:ascii="Times New Roman" w:hAnsi="Times New Roman" w:eastAsia="宋体" w:cs="Times New Roman"/>
                      <w:color w:val="auto"/>
                      <w:sz w:val="21"/>
                      <w:szCs w:val="22"/>
                    </w:rPr>
                    <w:t>环境识别</w:t>
                  </w:r>
                </w:p>
              </w:tc>
              <w:tc>
                <w:tcPr>
                  <w:tcW w:w="3257" w:type="pct"/>
                  <w:tcBorders>
                    <w:tl2br w:val="nil"/>
                    <w:tr2bl w:val="nil"/>
                  </w:tcBorders>
                  <w:noWrap w:val="0"/>
                  <w:vAlign w:val="center"/>
                </w:tcPr>
                <w:p w14:paraId="5D00B05C">
                  <w:pPr>
                    <w:pStyle w:val="92"/>
                    <w:adjustRightInd w:val="0"/>
                    <w:snapToGrid w:val="0"/>
                    <w:spacing w:line="240" w:lineRule="auto"/>
                    <w:jc w:val="center"/>
                    <w:rPr>
                      <w:rFonts w:ascii="Times New Roman" w:hAnsi="Times New Roman" w:eastAsia="宋体" w:cs="Times New Roman"/>
                      <w:color w:val="auto"/>
                      <w:sz w:val="21"/>
                      <w:szCs w:val="22"/>
                    </w:rPr>
                  </w:pPr>
                  <w:r>
                    <w:rPr>
                      <w:rFonts w:ascii="Times New Roman" w:hAnsi="Times New Roman" w:eastAsia="宋体" w:cs="Times New Roman"/>
                      <w:color w:val="auto"/>
                      <w:sz w:val="21"/>
                      <w:szCs w:val="22"/>
                    </w:rPr>
                    <w:t>输电线路</w:t>
                  </w:r>
                </w:p>
              </w:tc>
            </w:tr>
            <w:tr w14:paraId="28E4C6B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742" w:type="pct"/>
                  <w:tcBorders>
                    <w:tl2br w:val="nil"/>
                    <w:tr2bl w:val="nil"/>
                  </w:tcBorders>
                  <w:noWrap w:val="0"/>
                  <w:vAlign w:val="center"/>
                </w:tcPr>
                <w:p w14:paraId="6647EE5D">
                  <w:pPr>
                    <w:pStyle w:val="92"/>
                    <w:adjustRightInd w:val="0"/>
                    <w:snapToGrid w:val="0"/>
                    <w:spacing w:line="240" w:lineRule="auto"/>
                    <w:jc w:val="center"/>
                    <w:rPr>
                      <w:rFonts w:ascii="Times New Roman" w:hAnsi="Times New Roman" w:eastAsia="宋体" w:cs="Times New Roman"/>
                      <w:color w:val="auto"/>
                      <w:sz w:val="21"/>
                      <w:szCs w:val="22"/>
                    </w:rPr>
                  </w:pPr>
                  <w:r>
                    <w:rPr>
                      <w:rFonts w:ascii="Times New Roman" w:hAnsi="Times New Roman" w:eastAsia="宋体" w:cs="Times New Roman"/>
                      <w:color w:val="auto"/>
                      <w:sz w:val="21"/>
                      <w:szCs w:val="22"/>
                    </w:rPr>
                    <w:t>电磁环境</w:t>
                  </w:r>
                </w:p>
              </w:tc>
              <w:tc>
                <w:tcPr>
                  <w:tcW w:w="3257" w:type="pct"/>
                  <w:tcBorders>
                    <w:tl2br w:val="nil"/>
                    <w:tr2bl w:val="nil"/>
                  </w:tcBorders>
                  <w:noWrap w:val="0"/>
                  <w:vAlign w:val="center"/>
                </w:tcPr>
                <w:p w14:paraId="721FB1B2">
                  <w:pPr>
                    <w:pStyle w:val="92"/>
                    <w:adjustRightInd w:val="0"/>
                    <w:snapToGrid w:val="0"/>
                    <w:spacing w:line="240" w:lineRule="auto"/>
                    <w:jc w:val="center"/>
                    <w:rPr>
                      <w:rFonts w:ascii="Times New Roman" w:hAnsi="Times New Roman" w:eastAsia="宋体" w:cs="Times New Roman"/>
                      <w:color w:val="auto"/>
                      <w:sz w:val="21"/>
                      <w:szCs w:val="22"/>
                    </w:rPr>
                  </w:pPr>
                  <w:r>
                    <w:rPr>
                      <w:rFonts w:ascii="Times New Roman" w:hAnsi="Times New Roman" w:eastAsia="宋体" w:cs="Times New Roman"/>
                      <w:color w:val="auto"/>
                      <w:sz w:val="21"/>
                      <w:szCs w:val="22"/>
                    </w:rPr>
                    <w:t>工频电场、工频磁场</w:t>
                  </w:r>
                </w:p>
              </w:tc>
            </w:tr>
            <w:tr w14:paraId="146D0D9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742" w:type="pct"/>
                  <w:tcBorders>
                    <w:tl2br w:val="nil"/>
                    <w:tr2bl w:val="nil"/>
                  </w:tcBorders>
                  <w:noWrap w:val="0"/>
                  <w:vAlign w:val="center"/>
                </w:tcPr>
                <w:p w14:paraId="1DD92F87">
                  <w:pPr>
                    <w:pStyle w:val="92"/>
                    <w:adjustRightInd w:val="0"/>
                    <w:snapToGrid w:val="0"/>
                    <w:spacing w:line="240" w:lineRule="auto"/>
                    <w:jc w:val="center"/>
                    <w:rPr>
                      <w:rFonts w:ascii="Times New Roman" w:hAnsi="Times New Roman" w:eastAsia="宋体" w:cs="Times New Roman"/>
                      <w:color w:val="auto"/>
                      <w:sz w:val="21"/>
                      <w:szCs w:val="22"/>
                    </w:rPr>
                  </w:pPr>
                  <w:r>
                    <w:rPr>
                      <w:rFonts w:ascii="Times New Roman" w:hAnsi="Times New Roman" w:eastAsia="宋体" w:cs="Times New Roman"/>
                      <w:color w:val="auto"/>
                      <w:sz w:val="21"/>
                      <w:szCs w:val="22"/>
                    </w:rPr>
                    <w:t>声环境</w:t>
                  </w:r>
                </w:p>
              </w:tc>
              <w:tc>
                <w:tcPr>
                  <w:tcW w:w="3257" w:type="pct"/>
                  <w:tcBorders>
                    <w:tl2br w:val="nil"/>
                    <w:tr2bl w:val="nil"/>
                  </w:tcBorders>
                  <w:noWrap w:val="0"/>
                  <w:vAlign w:val="center"/>
                </w:tcPr>
                <w:p w14:paraId="4141E16D">
                  <w:pPr>
                    <w:pStyle w:val="92"/>
                    <w:adjustRightInd w:val="0"/>
                    <w:snapToGrid w:val="0"/>
                    <w:spacing w:line="240" w:lineRule="auto"/>
                    <w:jc w:val="center"/>
                    <w:rPr>
                      <w:rFonts w:ascii="Times New Roman" w:hAnsi="Times New Roman" w:eastAsia="宋体" w:cs="Times New Roman"/>
                      <w:color w:val="auto"/>
                      <w:sz w:val="21"/>
                      <w:szCs w:val="22"/>
                    </w:rPr>
                  </w:pPr>
                  <w:r>
                    <w:rPr>
                      <w:rFonts w:ascii="Times New Roman" w:hAnsi="Times New Roman" w:eastAsia="宋体" w:cs="Times New Roman"/>
                      <w:color w:val="auto"/>
                      <w:sz w:val="21"/>
                      <w:szCs w:val="22"/>
                    </w:rPr>
                    <w:t>噪声</w:t>
                  </w:r>
                </w:p>
              </w:tc>
            </w:tr>
            <w:tr w14:paraId="0D0D11E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1742" w:type="pct"/>
                  <w:tcBorders>
                    <w:tl2br w:val="nil"/>
                    <w:tr2bl w:val="nil"/>
                  </w:tcBorders>
                  <w:noWrap w:val="0"/>
                  <w:vAlign w:val="center"/>
                </w:tcPr>
                <w:p w14:paraId="66A9303C">
                  <w:pPr>
                    <w:pStyle w:val="92"/>
                    <w:adjustRightInd w:val="0"/>
                    <w:snapToGrid w:val="0"/>
                    <w:spacing w:line="240" w:lineRule="auto"/>
                    <w:jc w:val="center"/>
                    <w:rPr>
                      <w:rFonts w:ascii="Times New Roman" w:hAnsi="Times New Roman" w:eastAsia="宋体" w:cs="Times New Roman"/>
                      <w:color w:val="auto"/>
                      <w:sz w:val="21"/>
                      <w:szCs w:val="22"/>
                    </w:rPr>
                  </w:pPr>
                  <w:r>
                    <w:rPr>
                      <w:rFonts w:ascii="Times New Roman" w:hAnsi="Times New Roman" w:eastAsia="宋体" w:cs="Times New Roman"/>
                      <w:color w:val="auto"/>
                      <w:sz w:val="21"/>
                      <w:szCs w:val="22"/>
                    </w:rPr>
                    <w:t>固废</w:t>
                  </w:r>
                </w:p>
              </w:tc>
              <w:tc>
                <w:tcPr>
                  <w:tcW w:w="3257" w:type="pct"/>
                  <w:tcBorders>
                    <w:tl2br w:val="nil"/>
                    <w:tr2bl w:val="nil"/>
                  </w:tcBorders>
                  <w:noWrap w:val="0"/>
                  <w:vAlign w:val="center"/>
                </w:tcPr>
                <w:p w14:paraId="32013D19">
                  <w:pPr>
                    <w:pStyle w:val="92"/>
                    <w:adjustRightInd w:val="0"/>
                    <w:snapToGrid w:val="0"/>
                    <w:spacing w:line="240" w:lineRule="auto"/>
                    <w:jc w:val="center"/>
                    <w:rPr>
                      <w:rFonts w:ascii="Times New Roman" w:hAnsi="Times New Roman" w:eastAsia="宋体" w:cs="Times New Roman"/>
                      <w:color w:val="auto"/>
                      <w:sz w:val="21"/>
                      <w:szCs w:val="22"/>
                    </w:rPr>
                  </w:pPr>
                  <w:r>
                    <w:rPr>
                      <w:rFonts w:ascii="Times New Roman" w:hAnsi="Times New Roman" w:eastAsia="宋体" w:cs="Times New Roman"/>
                      <w:color w:val="auto"/>
                      <w:sz w:val="21"/>
                      <w:szCs w:val="22"/>
                    </w:rPr>
                    <w:t>生活垃圾、废旧</w:t>
                  </w:r>
                  <w:r>
                    <w:rPr>
                      <w:rFonts w:hint="eastAsia" w:ascii="Times New Roman" w:hAnsi="Times New Roman" w:eastAsia="宋体" w:cs="Times New Roman"/>
                      <w:color w:val="auto"/>
                      <w:sz w:val="21"/>
                      <w:szCs w:val="22"/>
                    </w:rPr>
                    <w:t>材料</w:t>
                  </w:r>
                </w:p>
              </w:tc>
            </w:tr>
          </w:tbl>
          <w:p w14:paraId="08340473">
            <w:pPr>
              <w:adjustRightInd w:val="0"/>
              <w:snapToGrid w:val="0"/>
              <w:spacing w:line="440" w:lineRule="exact"/>
              <w:rPr>
                <w:b/>
                <w:color w:val="auto"/>
                <w:sz w:val="28"/>
                <w:szCs w:val="28"/>
              </w:rPr>
            </w:pPr>
            <w:r>
              <w:rPr>
                <w:rFonts w:hint="eastAsia"/>
                <w:b/>
                <w:color w:val="auto"/>
                <w:sz w:val="28"/>
                <w:szCs w:val="28"/>
              </w:rPr>
              <w:t>4.2.</w:t>
            </w:r>
            <w:r>
              <w:rPr>
                <w:b/>
                <w:color w:val="auto"/>
                <w:sz w:val="28"/>
                <w:szCs w:val="28"/>
              </w:rPr>
              <w:t>1运营期电磁环境影响分析</w:t>
            </w:r>
          </w:p>
          <w:p w14:paraId="37BAF2DE">
            <w:pPr>
              <w:keepNext w:val="0"/>
              <w:keepLines w:val="0"/>
              <w:pageBreakBefore w:val="0"/>
              <w:kinsoku/>
              <w:wordWrap/>
              <w:overflowPunct/>
              <w:topLinePunct w:val="0"/>
              <w:autoSpaceDE/>
              <w:autoSpaceDN/>
              <w:bidi w:val="0"/>
              <w:adjustRightInd w:val="0"/>
              <w:snapToGrid w:val="0"/>
              <w:spacing w:line="440" w:lineRule="exact"/>
              <w:ind w:firstLine="480" w:firstLineChars="200"/>
              <w:rPr>
                <w:color w:val="auto"/>
                <w:sz w:val="24"/>
              </w:rPr>
            </w:pPr>
            <w:r>
              <w:rPr>
                <w:color w:val="auto"/>
                <w:sz w:val="24"/>
              </w:rPr>
              <w:t>本工程为新建110kV输电线路，</w:t>
            </w:r>
            <w:r>
              <w:rPr>
                <w:rFonts w:hint="eastAsia"/>
                <w:color w:val="auto"/>
                <w:sz w:val="24"/>
                <w:lang w:val="en-US" w:eastAsia="zh-CN"/>
              </w:rPr>
              <w:t>采用</w:t>
            </w:r>
            <w:r>
              <w:rPr>
                <w:color w:val="auto"/>
                <w:sz w:val="24"/>
              </w:rPr>
              <w:t>架空输电线路。根据《环境影响评价技术导则 输变电》（HJ24-2020）中有关</w:t>
            </w:r>
            <w:r>
              <w:rPr>
                <w:rFonts w:hint="eastAsia"/>
                <w:color w:val="auto"/>
                <w:sz w:val="24"/>
                <w:lang w:val="en-US" w:eastAsia="zh-CN"/>
              </w:rPr>
              <w:t>生态</w:t>
            </w:r>
            <w:r>
              <w:rPr>
                <w:color w:val="auto"/>
                <w:sz w:val="24"/>
              </w:rPr>
              <w:t>环境影响报告表的编制要求，</w:t>
            </w:r>
            <w:r>
              <w:rPr>
                <w:rFonts w:hint="eastAsia"/>
                <w:color w:val="auto"/>
                <w:sz w:val="24"/>
              </w:rPr>
              <w:t>本次</w:t>
            </w:r>
            <w:r>
              <w:rPr>
                <w:rFonts w:hint="eastAsia"/>
                <w:color w:val="auto"/>
                <w:sz w:val="24"/>
                <w:lang w:val="en-US" w:eastAsia="zh-CN"/>
              </w:rPr>
              <w:t>评价</w:t>
            </w:r>
            <w:r>
              <w:rPr>
                <w:rFonts w:hint="eastAsia"/>
                <w:color w:val="auto"/>
                <w:sz w:val="24"/>
              </w:rPr>
              <w:t>对110kV线路架空</w:t>
            </w:r>
            <w:r>
              <w:rPr>
                <w:rFonts w:hint="eastAsia"/>
                <w:color w:val="auto"/>
                <w:sz w:val="24"/>
                <w:lang w:val="en-US" w:eastAsia="zh-CN"/>
              </w:rPr>
              <w:t>段</w:t>
            </w:r>
            <w:r>
              <w:rPr>
                <w:rFonts w:hint="eastAsia"/>
                <w:color w:val="auto"/>
                <w:sz w:val="24"/>
              </w:rPr>
              <w:t>电磁环境影响进行预测分析</w:t>
            </w:r>
            <w:r>
              <w:rPr>
                <w:rFonts w:hint="eastAsia"/>
                <w:color w:val="auto"/>
                <w:sz w:val="24"/>
                <w:lang w:val="en-US" w:eastAsia="zh-CN"/>
              </w:rPr>
              <w:t>评价</w:t>
            </w:r>
            <w:r>
              <w:rPr>
                <w:rFonts w:hint="eastAsia"/>
                <w:color w:val="auto"/>
                <w:sz w:val="24"/>
                <w:lang w:eastAsia="zh-CN"/>
              </w:rPr>
              <w:t>；</w:t>
            </w:r>
          </w:p>
          <w:p w14:paraId="45E8FC57">
            <w:pPr>
              <w:keepNext w:val="0"/>
              <w:keepLines w:val="0"/>
              <w:pageBreakBefore w:val="0"/>
              <w:kinsoku/>
              <w:wordWrap/>
              <w:overflowPunct/>
              <w:topLinePunct w:val="0"/>
              <w:autoSpaceDE/>
              <w:autoSpaceDN/>
              <w:bidi w:val="0"/>
              <w:adjustRightInd w:val="0"/>
              <w:snapToGrid w:val="0"/>
              <w:spacing w:line="440" w:lineRule="exact"/>
              <w:ind w:firstLine="482" w:firstLineChars="200"/>
              <w:rPr>
                <w:rFonts w:ascii="Times New Roman" w:hAnsi="Times New Roman" w:eastAsia="宋体" w:cs="Times New Roman"/>
                <w:b/>
                <w:bCs/>
                <w:color w:val="auto"/>
                <w:sz w:val="24"/>
              </w:rPr>
            </w:pPr>
            <w:r>
              <w:rPr>
                <w:rFonts w:ascii="Times New Roman" w:hAnsi="Times New Roman" w:eastAsia="宋体" w:cs="Times New Roman"/>
                <w:b/>
                <w:bCs/>
                <w:color w:val="auto"/>
                <w:sz w:val="24"/>
              </w:rPr>
              <w:t>（1）架空输电线路</w:t>
            </w:r>
            <w:r>
              <w:rPr>
                <w:rFonts w:hint="eastAsia" w:ascii="Times New Roman" w:hAnsi="Times New Roman" w:eastAsia="宋体" w:cs="Times New Roman"/>
                <w:b/>
                <w:bCs/>
                <w:color w:val="auto"/>
                <w:sz w:val="24"/>
                <w:lang w:val="en-US" w:eastAsia="zh-CN"/>
              </w:rPr>
              <w:t>段</w:t>
            </w:r>
            <w:r>
              <w:rPr>
                <w:rFonts w:ascii="Times New Roman" w:hAnsi="Times New Roman" w:eastAsia="宋体" w:cs="Times New Roman"/>
                <w:b/>
                <w:bCs/>
                <w:color w:val="auto"/>
                <w:sz w:val="24"/>
              </w:rPr>
              <w:t>预测分析评价</w:t>
            </w:r>
          </w:p>
          <w:p w14:paraId="37E7B721">
            <w:pPr>
              <w:keepNext w:val="0"/>
              <w:keepLines w:val="0"/>
              <w:pageBreakBefore w:val="0"/>
              <w:kinsoku/>
              <w:wordWrap/>
              <w:overflowPunct/>
              <w:topLinePunct w:val="0"/>
              <w:autoSpaceDE/>
              <w:autoSpaceDN/>
              <w:bidi w:val="0"/>
              <w:adjustRightInd w:val="0"/>
              <w:snapToGrid w:val="0"/>
              <w:spacing w:line="440" w:lineRule="exact"/>
              <w:ind w:firstLine="480" w:firstLineChars="200"/>
              <w:rPr>
                <w:rFonts w:ascii="Times New Roman" w:hAnsi="Times New Roman" w:cs="Times New Roman"/>
                <w:color w:val="auto"/>
                <w:sz w:val="24"/>
              </w:rPr>
            </w:pPr>
            <w:r>
              <w:rPr>
                <w:rFonts w:ascii="Times New Roman" w:hAnsi="Times New Roman" w:cs="Times New Roman"/>
                <w:color w:val="auto"/>
                <w:sz w:val="24"/>
                <w:lang w:bidi="ar"/>
              </w:rPr>
              <w:t>由预测结果可知，</w:t>
            </w:r>
            <w:r>
              <w:rPr>
                <w:rFonts w:hint="eastAsia" w:ascii="Times New Roman" w:hAnsi="Times New Roman" w:cs="Times New Roman"/>
                <w:color w:val="auto"/>
                <w:sz w:val="24"/>
                <w:lang w:val="en-US" w:eastAsia="zh-CN" w:bidi="ar"/>
              </w:rPr>
              <w:t>本项目</w:t>
            </w:r>
            <w:r>
              <w:rPr>
                <w:rFonts w:hint="eastAsia" w:ascii="Times New Roman" w:hAnsi="Times New Roman" w:cs="Times New Roman"/>
                <w:color w:val="auto"/>
                <w:sz w:val="24"/>
                <w:lang w:bidi="ar"/>
              </w:rPr>
              <w:t>在非居民区导线最低允许高度6m条件下，三角排列（最不利塔型段2D1R7-J2）和水平排列（最不利塔型段2D1R8-JB3）线下1.5m高处最大工频电场强度分别为2.8939kV/m和3.1135kV/m，均满足《电磁环境控制限值》（GB8702-2014）中非居民区10kV/m的控制要求；在居民区导线最低允许高度7m条件下，三角排列和水平排列线下1.5m高处最大工频电场强度分别为2.2587kV/m和2.4876kV/m，均满足</w:t>
            </w:r>
            <w:r>
              <w:rPr>
                <w:rFonts w:hint="default" w:ascii="Times New Roman" w:hAnsi="Times New Roman" w:cs="Times New Roman"/>
                <w:color w:val="auto"/>
                <w:sz w:val="24"/>
                <w:highlight w:val="none"/>
              </w:rPr>
              <w:t>《电磁环境控制限值》（GB8702-2014）</w:t>
            </w:r>
            <w:r>
              <w:rPr>
                <w:rFonts w:hint="eastAsia" w:ascii="Times New Roman" w:hAnsi="Times New Roman" w:cs="Times New Roman"/>
                <w:color w:val="auto"/>
                <w:sz w:val="24"/>
                <w:highlight w:val="none"/>
                <w:lang w:val="en-US" w:eastAsia="zh-CN"/>
              </w:rPr>
              <w:t>中</w:t>
            </w:r>
            <w:r>
              <w:rPr>
                <w:rFonts w:hint="eastAsia" w:ascii="Times New Roman" w:hAnsi="Times New Roman" w:cs="Times New Roman"/>
                <w:color w:val="auto"/>
                <w:sz w:val="24"/>
                <w:lang w:bidi="ar"/>
              </w:rPr>
              <w:t>居民区4kV/m的评价标准限值。工频电场强度在线路中心地面投影附近达到最大值后，随距离增大呈快速减小趋势。工频磁感应强度方面，非居民区三角排列（2D1R7-J2）和水平排列（2D1R8-JB3）线下1.5m高处最大值分别为26.3279</w:t>
            </w:r>
            <w:r>
              <w:rPr>
                <w:rFonts w:hint="default" w:ascii="Times New Roman" w:hAnsi="Times New Roman" w:cs="Times New Roman"/>
                <w:color w:val="auto"/>
                <w:sz w:val="24"/>
                <w:highlight w:val="none"/>
              </w:rPr>
              <w:t>μT</w:t>
            </w:r>
            <w:r>
              <w:rPr>
                <w:rFonts w:hint="eastAsia" w:ascii="Times New Roman" w:hAnsi="Times New Roman" w:cs="Times New Roman"/>
                <w:color w:val="auto"/>
                <w:sz w:val="24"/>
                <w:lang w:bidi="ar"/>
              </w:rPr>
              <w:t>和30.8893</w:t>
            </w:r>
            <w:r>
              <w:rPr>
                <w:rFonts w:hint="default" w:ascii="Times New Roman" w:hAnsi="Times New Roman" w:cs="Times New Roman"/>
                <w:color w:val="auto"/>
                <w:sz w:val="24"/>
                <w:highlight w:val="none"/>
              </w:rPr>
              <w:t>μT</w:t>
            </w:r>
            <w:r>
              <w:rPr>
                <w:rFonts w:hint="eastAsia" w:ascii="Times New Roman" w:hAnsi="Times New Roman" w:cs="Times New Roman"/>
                <w:color w:val="auto"/>
                <w:sz w:val="24"/>
                <w:lang w:bidi="ar"/>
              </w:rPr>
              <w:t>，居民区对应值分别为21.223</w:t>
            </w:r>
            <w:r>
              <w:rPr>
                <w:rFonts w:hint="default" w:ascii="Times New Roman" w:hAnsi="Times New Roman" w:cs="Times New Roman"/>
                <w:color w:val="auto"/>
                <w:sz w:val="24"/>
                <w:highlight w:val="none"/>
              </w:rPr>
              <w:t>μT</w:t>
            </w:r>
            <w:r>
              <w:rPr>
                <w:rFonts w:hint="eastAsia" w:ascii="Times New Roman" w:hAnsi="Times New Roman" w:cs="Times New Roman"/>
                <w:color w:val="auto"/>
                <w:sz w:val="24"/>
                <w:lang w:bidi="ar"/>
              </w:rPr>
              <w:t>和25.4379</w:t>
            </w:r>
            <w:r>
              <w:rPr>
                <w:rFonts w:hint="default" w:ascii="Times New Roman" w:hAnsi="Times New Roman" w:cs="Times New Roman"/>
                <w:color w:val="auto"/>
                <w:sz w:val="24"/>
                <w:highlight w:val="none"/>
              </w:rPr>
              <w:t>μT</w:t>
            </w:r>
            <w:r>
              <w:rPr>
                <w:rFonts w:hint="eastAsia" w:ascii="Times New Roman" w:hAnsi="Times New Roman" w:cs="Times New Roman"/>
                <w:color w:val="auto"/>
                <w:sz w:val="24"/>
                <w:lang w:bidi="ar"/>
              </w:rPr>
              <w:t>，均远低于</w:t>
            </w:r>
            <w:r>
              <w:rPr>
                <w:rFonts w:ascii="Times New Roman" w:hAnsi="Times New Roman" w:cs="Times New Roman"/>
                <w:color w:val="auto"/>
                <w:sz w:val="24"/>
                <w:lang w:bidi="ar"/>
              </w:rPr>
              <w:t>《电磁环境控制限值》</w:t>
            </w:r>
            <w:r>
              <w:rPr>
                <w:rFonts w:hint="eastAsia" w:ascii="Times New Roman" w:hAnsi="Times New Roman" w:cs="Times New Roman"/>
                <w:color w:val="auto"/>
                <w:sz w:val="24"/>
                <w:lang w:eastAsia="zh-CN" w:bidi="ar"/>
              </w:rPr>
              <w:t>（</w:t>
            </w:r>
            <w:r>
              <w:rPr>
                <w:rFonts w:ascii="Times New Roman" w:hAnsi="Times New Roman" w:cs="Times New Roman"/>
                <w:color w:val="auto"/>
                <w:sz w:val="24"/>
                <w:lang w:bidi="ar"/>
              </w:rPr>
              <w:t>GB8702-2014</w:t>
            </w:r>
            <w:r>
              <w:rPr>
                <w:rFonts w:hint="eastAsia" w:ascii="Times New Roman" w:hAnsi="Times New Roman" w:cs="Times New Roman"/>
                <w:color w:val="auto"/>
                <w:sz w:val="24"/>
                <w:lang w:eastAsia="zh-CN" w:bidi="ar"/>
              </w:rPr>
              <w:t>）</w:t>
            </w:r>
            <w:r>
              <w:rPr>
                <w:rFonts w:hint="eastAsia" w:ascii="Times New Roman" w:hAnsi="Times New Roman" w:cs="Times New Roman"/>
                <w:color w:val="auto"/>
                <w:sz w:val="24"/>
                <w:lang w:bidi="ar"/>
              </w:rPr>
              <w:t>中100</w:t>
            </w:r>
            <w:r>
              <w:rPr>
                <w:rFonts w:hint="default" w:ascii="Times New Roman" w:hAnsi="Times New Roman" w:cs="Times New Roman"/>
                <w:color w:val="auto"/>
                <w:sz w:val="24"/>
                <w:highlight w:val="none"/>
              </w:rPr>
              <w:t>μT</w:t>
            </w:r>
            <w:r>
              <w:rPr>
                <w:rFonts w:hint="eastAsia" w:ascii="Times New Roman" w:hAnsi="Times New Roman" w:cs="Times New Roman"/>
                <w:color w:val="auto"/>
                <w:sz w:val="24"/>
                <w:lang w:bidi="ar"/>
              </w:rPr>
              <w:t>的公众曝露限值</w:t>
            </w:r>
            <w:r>
              <w:rPr>
                <w:rFonts w:ascii="Times New Roman" w:hAnsi="Times New Roman" w:cs="Times New Roman"/>
                <w:color w:val="auto"/>
                <w:sz w:val="24"/>
                <w:lang w:bidi="ar"/>
              </w:rPr>
              <w:t>。</w:t>
            </w:r>
          </w:p>
          <w:p w14:paraId="6FFA8B8E">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bCs/>
                <w:color w:val="auto"/>
                <w:kern w:val="44"/>
                <w:sz w:val="24"/>
                <w:szCs w:val="24"/>
              </w:rPr>
            </w:pPr>
            <w:r>
              <w:rPr>
                <w:rFonts w:hint="default" w:ascii="Times New Roman" w:hAnsi="Times New Roman" w:cs="Times New Roman"/>
                <w:color w:val="auto"/>
                <w:sz w:val="24"/>
                <w:highlight w:val="none"/>
                <w:lang w:val="en-US" w:eastAsia="zh-CN"/>
              </w:rPr>
              <w:t>因此，本项目要求按照设计导线最低高度进行架设，</w:t>
            </w:r>
            <w:r>
              <w:rPr>
                <w:rFonts w:hint="default" w:ascii="Times New Roman" w:hAnsi="Times New Roman" w:cs="Times New Roman"/>
                <w:color w:val="auto"/>
                <w:sz w:val="24"/>
                <w:highlight w:val="none"/>
              </w:rPr>
              <w:t>本项目</w:t>
            </w:r>
            <w:r>
              <w:rPr>
                <w:rFonts w:hint="eastAsia" w:ascii="Times New Roman" w:hAnsi="Times New Roman" w:cs="Times New Roman"/>
                <w:color w:val="auto"/>
                <w:sz w:val="24"/>
                <w:highlight w:val="none"/>
                <w:lang w:val="en-US" w:eastAsia="zh-CN"/>
              </w:rPr>
              <w:t>11</w:t>
            </w:r>
            <w:r>
              <w:rPr>
                <w:rFonts w:hint="default" w:ascii="Times New Roman" w:hAnsi="Times New Roman" w:cs="Times New Roman"/>
                <w:color w:val="auto"/>
                <w:sz w:val="24"/>
                <w:highlight w:val="none"/>
              </w:rPr>
              <w:t>0kV架空线路采用单回架设时，</w:t>
            </w:r>
            <w:r>
              <w:rPr>
                <w:rFonts w:hint="default" w:ascii="Times New Roman" w:hAnsi="Times New Roman" w:cs="Times New Roman"/>
                <w:color w:val="auto"/>
                <w:sz w:val="24"/>
                <w:highlight w:val="none"/>
                <w:lang w:val="en-US" w:eastAsia="zh-CN"/>
              </w:rPr>
              <w:t>设计导线最低高度</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lang w:val="en-US" w:eastAsia="zh-CN"/>
              </w:rPr>
              <w:t>m</w:t>
            </w:r>
            <w:r>
              <w:rPr>
                <w:rFonts w:hint="eastAsia" w:ascii="Times New Roman" w:hAnsi="Times New Roman" w:cs="Times New Roman"/>
                <w:color w:val="auto"/>
                <w:sz w:val="24"/>
                <w:highlight w:val="none"/>
                <w:lang w:val="en-US" w:eastAsia="zh-CN"/>
              </w:rPr>
              <w:t>时</w:t>
            </w:r>
            <w:r>
              <w:rPr>
                <w:rFonts w:hint="default" w:ascii="Times New Roman" w:hAnsi="Times New Roman" w:cs="Times New Roman"/>
                <w:color w:val="auto"/>
                <w:sz w:val="24"/>
                <w:highlight w:val="none"/>
              </w:rPr>
              <w:t>，线路下方距地面1.5m处的工频电场、工频磁场能同时满足《电磁环境控制限值》（GB8702-2014）表1中工频电场4</w:t>
            </w:r>
            <w:r>
              <w:rPr>
                <w:rFonts w:hint="eastAsia" w:ascii="Times New Roman" w:hAnsi="Times New Roman" w:cs="Times New Roman"/>
                <w:color w:val="auto"/>
                <w:sz w:val="24"/>
                <w:highlight w:val="none"/>
                <w:lang w:val="en-US" w:eastAsia="zh-CN"/>
              </w:rPr>
              <w:t>k</w:t>
            </w:r>
            <w:r>
              <w:rPr>
                <w:rFonts w:hint="default" w:ascii="Times New Roman" w:hAnsi="Times New Roman" w:cs="Times New Roman"/>
                <w:color w:val="auto"/>
                <w:sz w:val="24"/>
                <w:highlight w:val="none"/>
              </w:rPr>
              <w:t>V/m、工频磁场100μT公众曝露限值要求。</w:t>
            </w:r>
          </w:p>
          <w:p w14:paraId="249FED64">
            <w:pPr>
              <w:keepNext w:val="0"/>
              <w:keepLines w:val="0"/>
              <w:pageBreakBefore w:val="0"/>
              <w:kinsoku/>
              <w:wordWrap/>
              <w:overflowPunct/>
              <w:topLinePunct w:val="0"/>
              <w:autoSpaceDE/>
              <w:autoSpaceDN/>
              <w:bidi w:val="0"/>
              <w:adjustRightInd w:val="0"/>
              <w:snapToGrid w:val="0"/>
              <w:spacing w:line="440" w:lineRule="exact"/>
              <w:ind w:firstLine="482" w:firstLineChars="200"/>
              <w:rPr>
                <w:b/>
                <w:bCs/>
                <w:color w:val="auto"/>
                <w:sz w:val="24"/>
              </w:rPr>
            </w:pPr>
            <w:r>
              <w:rPr>
                <w:b/>
                <w:bCs/>
                <w:color w:val="auto"/>
                <w:sz w:val="24"/>
              </w:rPr>
              <w:t>（</w:t>
            </w:r>
            <w:r>
              <w:rPr>
                <w:rFonts w:hint="eastAsia"/>
                <w:b/>
                <w:bCs/>
                <w:color w:val="auto"/>
                <w:sz w:val="24"/>
                <w:lang w:val="en-US" w:eastAsia="zh-CN"/>
              </w:rPr>
              <w:t>2</w:t>
            </w:r>
            <w:r>
              <w:rPr>
                <w:b/>
                <w:bCs/>
                <w:color w:val="auto"/>
                <w:sz w:val="24"/>
              </w:rPr>
              <w:t>）对敏感点的电磁环境影响分析</w:t>
            </w:r>
          </w:p>
          <w:p w14:paraId="7BDEFA61">
            <w:pPr>
              <w:keepNext w:val="0"/>
              <w:keepLines w:val="0"/>
              <w:pageBreakBefore w:val="0"/>
              <w:kinsoku/>
              <w:wordWrap/>
              <w:overflowPunct/>
              <w:topLinePunct w:val="0"/>
              <w:autoSpaceDE/>
              <w:autoSpaceDN/>
              <w:bidi w:val="0"/>
              <w:adjustRightInd w:val="0"/>
              <w:snapToGrid w:val="0"/>
              <w:spacing w:line="440" w:lineRule="exact"/>
              <w:ind w:firstLine="480" w:firstLineChars="200"/>
              <w:rPr>
                <w:rFonts w:ascii="Times New Roman" w:hAnsi="Times New Roman" w:cs="Times New Roman"/>
                <w:bCs/>
                <w:color w:val="auto"/>
                <w:sz w:val="24"/>
              </w:rPr>
            </w:pPr>
            <w:bookmarkStart w:id="60" w:name="（四）电磁环境达标距离"/>
            <w:bookmarkEnd w:id="60"/>
            <w:r>
              <w:rPr>
                <w:rFonts w:ascii="Times New Roman" w:hAnsi="Times New Roman" w:cs="Times New Roman"/>
                <w:bCs/>
                <w:color w:val="auto"/>
                <w:sz w:val="24"/>
              </w:rPr>
              <w:t>项目输电线路对电磁环境评价范围内的最近</w:t>
            </w:r>
            <w:r>
              <w:rPr>
                <w:rFonts w:hint="eastAsia" w:ascii="Times New Roman" w:hAnsi="Times New Roman" w:cs="Times New Roman"/>
                <w:bCs/>
                <w:color w:val="auto"/>
                <w:sz w:val="24"/>
              </w:rPr>
              <w:t>环境敏感目标</w:t>
            </w:r>
            <w:r>
              <w:rPr>
                <w:rFonts w:ascii="Times New Roman" w:hAnsi="Times New Roman" w:cs="Times New Roman"/>
                <w:bCs/>
                <w:color w:val="auto"/>
                <w:sz w:val="24"/>
              </w:rPr>
              <w:t>的工频电场强度值为</w:t>
            </w:r>
            <w:r>
              <w:rPr>
                <w:rFonts w:hint="eastAsia" w:ascii="Times New Roman" w:hAnsi="Times New Roman" w:cs="Times New Roman"/>
                <w:bCs/>
                <w:color w:val="auto"/>
                <w:sz w:val="24"/>
                <w:lang w:val="en-US" w:eastAsia="zh-CN"/>
              </w:rPr>
              <w:t>76.461—120.231</w:t>
            </w:r>
            <w:r>
              <w:rPr>
                <w:rFonts w:ascii="Times New Roman" w:hAnsi="Times New Roman" w:cs="Times New Roman"/>
                <w:bCs/>
                <w:color w:val="auto"/>
                <w:sz w:val="24"/>
              </w:rPr>
              <w:t>V/m、工频磁感应强度值为</w:t>
            </w:r>
            <w:r>
              <w:rPr>
                <w:rFonts w:hint="eastAsia" w:ascii="Times New Roman" w:hAnsi="Times New Roman" w:cs="Times New Roman"/>
                <w:bCs/>
                <w:color w:val="auto"/>
                <w:sz w:val="24"/>
                <w:lang w:val="en-US" w:eastAsia="zh-CN"/>
              </w:rPr>
              <w:t>1.222-1.813</w:t>
            </w:r>
            <w:r>
              <w:rPr>
                <w:rFonts w:ascii="Times New Roman" w:hAnsi="Times New Roman" w:cs="Times New Roman"/>
                <w:bCs/>
                <w:color w:val="auto"/>
                <w:sz w:val="24"/>
              </w:rPr>
              <w:t>3μT，均满足《电磁环境控制限值》（GB8702-2014）中工频电场强度4kV/m的限值要求和工频磁感应强度100μT的限值要求</w:t>
            </w:r>
            <w:r>
              <w:rPr>
                <w:rFonts w:hint="eastAsia" w:ascii="Times New Roman" w:hAnsi="Times New Roman" w:cs="Times New Roman"/>
                <w:bCs/>
                <w:color w:val="auto"/>
                <w:sz w:val="24"/>
              </w:rPr>
              <w:t>。根据计算结果</w:t>
            </w:r>
            <w:r>
              <w:rPr>
                <w:rFonts w:ascii="Times New Roman" w:hAnsi="Times New Roman" w:cs="Times New Roman"/>
                <w:bCs/>
                <w:color w:val="auto"/>
                <w:sz w:val="24"/>
              </w:rPr>
              <w:t>，可以预测本项目输电线路建成投运后，评价范围内环境保护目标处工频电场强度值、工频磁感应强度值将远小于《电磁环境控制限值》（GB8702-2014）中工频电场强度4kV/m的限值要求和工频磁感应强度100μT的限值要求；项目运营对周围环境保护目标的电磁环境影响很小。</w:t>
            </w:r>
          </w:p>
          <w:p w14:paraId="5A653FC6">
            <w:pPr>
              <w:keepNext w:val="0"/>
              <w:keepLines w:val="0"/>
              <w:pageBreakBefore w:val="0"/>
              <w:kinsoku/>
              <w:wordWrap/>
              <w:overflowPunct/>
              <w:topLinePunct w:val="0"/>
              <w:autoSpaceDE/>
              <w:autoSpaceDN/>
              <w:bidi w:val="0"/>
              <w:adjustRightInd w:val="0"/>
              <w:snapToGrid w:val="0"/>
              <w:spacing w:line="440" w:lineRule="exact"/>
              <w:ind w:firstLine="456" w:firstLineChars="200"/>
              <w:rPr>
                <w:rFonts w:hint="eastAsia"/>
                <w:bCs/>
                <w:color w:val="auto"/>
                <w:spacing w:val="-6"/>
                <w:sz w:val="24"/>
                <w:lang w:eastAsia="zh-CN"/>
              </w:rPr>
            </w:pPr>
            <w:r>
              <w:rPr>
                <w:rFonts w:hint="eastAsia"/>
                <w:bCs/>
                <w:color w:val="auto"/>
                <w:spacing w:val="-6"/>
                <w:sz w:val="24"/>
                <w:lang w:eastAsia="zh-CN"/>
              </w:rPr>
              <w:t>综合分析，工程建成投运后，其所产生的电磁环境影响不会对周围环境造成明显影响，本工程运行期间电磁环境影响不大，满足相关限值要求，从电磁环境影响角度而言本工程的建设是可行的。</w:t>
            </w:r>
          </w:p>
          <w:p w14:paraId="75D7C605">
            <w:pPr>
              <w:keepNext w:val="0"/>
              <w:keepLines w:val="0"/>
              <w:pageBreakBefore w:val="0"/>
              <w:kinsoku/>
              <w:wordWrap/>
              <w:overflowPunct/>
              <w:topLinePunct w:val="0"/>
              <w:autoSpaceDE/>
              <w:autoSpaceDN/>
              <w:bidi w:val="0"/>
              <w:adjustRightInd w:val="0"/>
              <w:snapToGrid w:val="0"/>
              <w:spacing w:line="440" w:lineRule="exact"/>
              <w:ind w:firstLine="482" w:firstLineChars="200"/>
              <w:textAlignment w:val="baseline"/>
              <w:rPr>
                <w:rFonts w:ascii="Times New Roman" w:hAnsi="Times New Roman" w:cs="Times New Roman"/>
                <w:b/>
                <w:color w:val="auto"/>
                <w:sz w:val="24"/>
              </w:rPr>
            </w:pPr>
            <w:r>
              <w:rPr>
                <w:rFonts w:hint="eastAsia" w:ascii="Times New Roman" w:hAnsi="Times New Roman" w:cs="Times New Roman"/>
                <w:b/>
                <w:color w:val="auto"/>
                <w:sz w:val="24"/>
                <w:lang w:eastAsia="zh-CN"/>
              </w:rPr>
              <w:t>（</w:t>
            </w:r>
            <w:r>
              <w:rPr>
                <w:rFonts w:hint="eastAsia" w:ascii="Times New Roman" w:hAnsi="Times New Roman" w:cs="Times New Roman"/>
                <w:b/>
                <w:color w:val="auto"/>
                <w:sz w:val="24"/>
                <w:lang w:val="en-US" w:eastAsia="zh-CN"/>
              </w:rPr>
              <w:t>3</w:t>
            </w:r>
            <w:r>
              <w:rPr>
                <w:rFonts w:hint="eastAsia" w:ascii="Times New Roman" w:hAnsi="Times New Roman" w:cs="Times New Roman"/>
                <w:b/>
                <w:color w:val="auto"/>
                <w:sz w:val="24"/>
                <w:lang w:eastAsia="zh-CN"/>
              </w:rPr>
              <w:t>）</w:t>
            </w:r>
            <w:r>
              <w:rPr>
                <w:rFonts w:ascii="Times New Roman" w:hAnsi="Times New Roman" w:cs="Times New Roman"/>
                <w:b/>
                <w:color w:val="auto"/>
                <w:sz w:val="24"/>
              </w:rPr>
              <w:t>电磁环境达标距离</w:t>
            </w:r>
          </w:p>
          <w:p w14:paraId="0808916C">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根据预测结果可知，本项目</w:t>
            </w:r>
            <w:r>
              <w:rPr>
                <w:rFonts w:hint="eastAsia" w:ascii="Times New Roman" w:hAnsi="Times New Roman" w:cs="Times New Roman"/>
                <w:color w:val="auto"/>
                <w:sz w:val="24"/>
                <w:szCs w:val="24"/>
                <w:lang w:val="en-US" w:eastAsia="zh-CN"/>
              </w:rPr>
              <w:t>11</w:t>
            </w:r>
            <w:r>
              <w:rPr>
                <w:rFonts w:hint="default" w:ascii="Times New Roman" w:hAnsi="Times New Roman" w:cs="Times New Roman"/>
                <w:color w:val="auto"/>
                <w:sz w:val="24"/>
                <w:szCs w:val="24"/>
              </w:rPr>
              <w:t>0kV输电线路采用单回架设时，经过耕地及其他公众偶尔停留、活动场所时，当按照《110kV~750kV架空输电线路设计规范》（GB50545-2010）要求的非居民区导线对地面的最小距离6</w:t>
            </w:r>
            <w:r>
              <w:rPr>
                <w:rFonts w:hint="eastAsia" w:ascii="Times New Roman" w:hAnsi="Times New Roman" w:cs="Times New Roman"/>
                <w:color w:val="auto"/>
                <w:sz w:val="24"/>
                <w:szCs w:val="24"/>
                <w:lang w:val="en-US" w:eastAsia="zh-CN"/>
              </w:rPr>
              <w:t>.0</w:t>
            </w:r>
            <w:r>
              <w:rPr>
                <w:rFonts w:hint="default" w:ascii="Times New Roman" w:hAnsi="Times New Roman" w:cs="Times New Roman"/>
                <w:color w:val="auto"/>
                <w:sz w:val="24"/>
                <w:szCs w:val="24"/>
              </w:rPr>
              <w:t>m架设时，该场所的工频电场强度预测结果均能满足10kV/m的控制限值要求。</w:t>
            </w:r>
          </w:p>
          <w:p w14:paraId="5C75547B">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rPr>
              <w:t>根据预测计算结果，本项目</w:t>
            </w:r>
            <w:r>
              <w:rPr>
                <w:rFonts w:hint="eastAsia" w:ascii="Times New Roman" w:hAnsi="Times New Roman" w:cs="Times New Roman"/>
                <w:color w:val="auto"/>
                <w:sz w:val="24"/>
                <w:szCs w:val="24"/>
                <w:lang w:val="en-US" w:eastAsia="zh-CN"/>
              </w:rPr>
              <w:t>11</w:t>
            </w:r>
            <w:r>
              <w:rPr>
                <w:rFonts w:hint="eastAsia" w:ascii="Times New Roman" w:hAnsi="Times New Roman" w:cs="Times New Roman"/>
                <w:color w:val="auto"/>
                <w:sz w:val="24"/>
                <w:szCs w:val="24"/>
              </w:rPr>
              <w:t>0kV架空线路采用单回架设时对地高度</w:t>
            </w:r>
            <w:r>
              <w:rPr>
                <w:rFonts w:hint="eastAsia" w:ascii="Times New Roman" w:hAnsi="Times New Roman" w:cs="Times New Roman"/>
                <w:color w:val="auto"/>
                <w:sz w:val="24"/>
                <w:szCs w:val="24"/>
                <w:lang w:val="en-US" w:eastAsia="zh-CN"/>
              </w:rPr>
              <w:t>按照设计最小高度7</w:t>
            </w:r>
            <w:r>
              <w:rPr>
                <w:rFonts w:hint="eastAsia" w:ascii="Times New Roman" w:hAnsi="Times New Roman" w:cs="Times New Roman"/>
                <w:color w:val="auto"/>
                <w:sz w:val="24"/>
                <w:szCs w:val="24"/>
              </w:rPr>
              <w:t>m</w:t>
            </w:r>
            <w:r>
              <w:rPr>
                <w:rFonts w:hint="eastAsia" w:ascii="Times New Roman" w:hAnsi="Times New Roman" w:cs="Times New Roman"/>
                <w:color w:val="auto"/>
                <w:sz w:val="24"/>
                <w:szCs w:val="24"/>
                <w:lang w:val="en-US" w:eastAsia="zh-CN"/>
              </w:rPr>
              <w:t>时</w:t>
            </w:r>
            <w:r>
              <w:rPr>
                <w:rFonts w:hint="eastAsia" w:ascii="Times New Roman" w:hAnsi="Times New Roman" w:cs="Times New Roman"/>
                <w:color w:val="auto"/>
                <w:sz w:val="24"/>
                <w:szCs w:val="24"/>
              </w:rPr>
              <w:t>，线路下方距地面1.5m处的工频电场、工频磁场能同时满足《电磁环境控制限值》（GB8702-2014）表1中工频电场4000V/m、工频磁场100μT公众曝露限值要求。</w:t>
            </w:r>
          </w:p>
          <w:p w14:paraId="3BF67A8A">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因此</w:t>
            </w:r>
            <w:r>
              <w:rPr>
                <w:rFonts w:hint="default" w:ascii="Times New Roman" w:hAnsi="Times New Roman" w:cs="Times New Roman"/>
                <w:color w:val="auto"/>
                <w:sz w:val="24"/>
                <w:szCs w:val="24"/>
              </w:rPr>
              <w:t>，无需采取进一步抬高导线或环保拆迁措施。</w:t>
            </w:r>
          </w:p>
          <w:p w14:paraId="790A29C5">
            <w:pPr>
              <w:adjustRightInd w:val="0"/>
              <w:snapToGrid w:val="0"/>
              <w:spacing w:line="440" w:lineRule="exact"/>
              <w:rPr>
                <w:b/>
                <w:color w:val="auto"/>
                <w:sz w:val="28"/>
                <w:szCs w:val="28"/>
              </w:rPr>
            </w:pPr>
            <w:r>
              <w:rPr>
                <w:rFonts w:hint="eastAsia"/>
                <w:b/>
                <w:color w:val="auto"/>
                <w:sz w:val="28"/>
                <w:szCs w:val="28"/>
              </w:rPr>
              <w:t>4.2.</w:t>
            </w:r>
            <w:r>
              <w:rPr>
                <w:b/>
                <w:color w:val="auto"/>
                <w:sz w:val="28"/>
                <w:szCs w:val="28"/>
              </w:rPr>
              <w:t>2运营期声环境影响分析</w:t>
            </w:r>
          </w:p>
          <w:p w14:paraId="11AD4096">
            <w:pPr>
              <w:adjustRightInd w:val="0"/>
              <w:snapToGrid w:val="0"/>
              <w:spacing w:line="440" w:lineRule="exact"/>
              <w:ind w:firstLine="480" w:firstLineChars="200"/>
              <w:rPr>
                <w:color w:val="auto"/>
                <w:sz w:val="24"/>
              </w:rPr>
            </w:pPr>
            <w:r>
              <w:rPr>
                <w:color w:val="auto"/>
                <w:sz w:val="24"/>
              </w:rPr>
              <w:t xml:space="preserve">根据《环境影响评价技术导则 </w:t>
            </w:r>
            <w:r>
              <w:rPr>
                <w:rFonts w:hint="eastAsia"/>
                <w:color w:val="auto"/>
                <w:sz w:val="24"/>
              </w:rPr>
              <w:t xml:space="preserve"> </w:t>
            </w:r>
            <w:r>
              <w:rPr>
                <w:color w:val="auto"/>
                <w:sz w:val="24"/>
              </w:rPr>
              <w:t>输变电》（HJ24-2020），</w:t>
            </w:r>
            <w:r>
              <w:rPr>
                <w:rFonts w:hint="default"/>
                <w:color w:val="auto"/>
                <w:sz w:val="24"/>
              </w:rPr>
              <w:t>架空输电线路声环境影响采用类比评价</w:t>
            </w:r>
            <w:r>
              <w:rPr>
                <w:rFonts w:hint="eastAsia"/>
                <w:color w:val="auto"/>
                <w:sz w:val="24"/>
                <w:lang w:eastAsia="zh-CN"/>
              </w:rPr>
              <w:t>。</w:t>
            </w:r>
          </w:p>
          <w:p w14:paraId="60F4D0B8">
            <w:pPr>
              <w:adjustRightInd w:val="0"/>
              <w:snapToGrid w:val="0"/>
              <w:spacing w:line="440" w:lineRule="exact"/>
              <w:ind w:firstLine="482" w:firstLineChars="200"/>
              <w:rPr>
                <w:b/>
                <w:color w:val="auto"/>
                <w:sz w:val="24"/>
              </w:rPr>
            </w:pPr>
            <w:r>
              <w:rPr>
                <w:b/>
                <w:color w:val="auto"/>
                <w:sz w:val="24"/>
              </w:rPr>
              <w:t>4.2.2.1输电线路声环境影响分析</w:t>
            </w:r>
          </w:p>
          <w:p w14:paraId="7FD62C6D">
            <w:pPr>
              <w:adjustRightInd w:val="0"/>
              <w:snapToGrid w:val="0"/>
              <w:spacing w:line="440" w:lineRule="exact"/>
              <w:ind w:firstLine="482" w:firstLineChars="200"/>
              <w:rPr>
                <w:color w:val="auto"/>
                <w:sz w:val="24"/>
              </w:rPr>
            </w:pPr>
            <w:r>
              <w:rPr>
                <w:b/>
                <w:bCs/>
                <w:color w:val="auto"/>
                <w:sz w:val="24"/>
              </w:rPr>
              <w:t>（1）噪声源及源强</w:t>
            </w:r>
          </w:p>
          <w:p w14:paraId="3120F45D">
            <w:pPr>
              <w:adjustRightInd w:val="0"/>
              <w:snapToGrid w:val="0"/>
              <w:spacing w:line="440" w:lineRule="exact"/>
              <w:ind w:firstLine="480" w:firstLineChars="200"/>
              <w:rPr>
                <w:color w:val="auto"/>
                <w:sz w:val="24"/>
              </w:rPr>
            </w:pPr>
            <w:r>
              <w:rPr>
                <w:rFonts w:ascii="Times New Roman" w:hAnsi="Times New Roman"/>
                <w:color w:val="auto"/>
                <w:sz w:val="24"/>
              </w:rPr>
              <w:t>本项目线路为架空线路。</w:t>
            </w:r>
            <w:r>
              <w:rPr>
                <w:color w:val="auto"/>
                <w:sz w:val="24"/>
              </w:rPr>
              <w:t>根据《环境影响评价技术导则 输变电》（HJ24-2020），架空输电线路运行期，由于电晕放电会产生一定的可听噪声。架空输电线路噪声与电力负载和气象条件有着十分密切的关系，电力负载较大时，发出声音也就越大，反之声音减小。在晴天干燥天气条件下，导线通常在起晕水平以下运行，很少有电晕放电现象，因而噪声很小；在湿度较高或雨天条件下，由于水滴导致架空输电线局部电场强度的增加，从而产生频繁的电晕放电现象。类比同类型输电线路，其声源源强一般在35dB（A）～50dB（A）之间。</w:t>
            </w:r>
          </w:p>
          <w:p w14:paraId="56D83DF2">
            <w:pPr>
              <w:adjustRightInd w:val="0"/>
              <w:snapToGrid w:val="0"/>
              <w:spacing w:line="440" w:lineRule="exact"/>
              <w:ind w:firstLine="482" w:firstLineChars="200"/>
              <w:rPr>
                <w:b/>
                <w:bCs/>
                <w:color w:val="auto"/>
                <w:sz w:val="24"/>
              </w:rPr>
            </w:pPr>
            <w:r>
              <w:rPr>
                <w:b/>
                <w:bCs/>
                <w:color w:val="auto"/>
                <w:sz w:val="24"/>
              </w:rPr>
              <w:t>（2）影响分析</w:t>
            </w:r>
          </w:p>
          <w:p w14:paraId="16381F06">
            <w:pPr>
              <w:adjustRightInd w:val="0"/>
              <w:snapToGrid w:val="0"/>
              <w:spacing w:line="440" w:lineRule="exact"/>
              <w:ind w:firstLine="480" w:firstLineChars="200"/>
              <w:rPr>
                <w:rFonts w:ascii="Times New Roman" w:hAnsi="Times New Roman" w:eastAsia="宋体" w:cs="Times New Roman"/>
                <w:color w:val="auto"/>
                <w:sz w:val="24"/>
              </w:rPr>
            </w:pPr>
            <w:r>
              <w:rPr>
                <w:rFonts w:ascii="Times New Roman" w:hAnsi="Times New Roman" w:eastAsia="宋体" w:cs="Times New Roman"/>
                <w:color w:val="auto"/>
                <w:sz w:val="24"/>
              </w:rPr>
              <w:t>输电线路噪声主要是由导线的电晕发放电、间隙放电〈火花放电〉过程所产生的声音。因此，输电线路噪声与气象条件和电力负载有着十分密切的关系，当空气湿度和电力负载较大时，发出声音也就越大，反之声音越小。本项目输电线路噪声环境影响采用类比验证法进行预测评价。</w:t>
            </w:r>
          </w:p>
          <w:p w14:paraId="4D24643E">
            <w:pPr>
              <w:adjustRightInd w:val="0"/>
              <w:snapToGrid w:val="0"/>
              <w:spacing w:line="440" w:lineRule="exact"/>
              <w:ind w:firstLine="480" w:firstLineChars="200"/>
              <w:rPr>
                <w:rFonts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1）</w:t>
            </w:r>
            <w:r>
              <w:rPr>
                <w:rFonts w:ascii="Times New Roman" w:hAnsi="Times New Roman" w:eastAsia="宋体" w:cs="Times New Roman"/>
                <w:color w:val="auto"/>
                <w:sz w:val="24"/>
              </w:rPr>
              <w:t>类比对象</w:t>
            </w:r>
          </w:p>
          <w:p w14:paraId="6F3A07E9">
            <w:pPr>
              <w:adjustRightInd w:val="0"/>
              <w:snapToGrid w:val="0"/>
              <w:spacing w:line="440" w:lineRule="exact"/>
              <w:ind w:firstLine="480" w:firstLineChars="200"/>
              <w:rPr>
                <w:rFonts w:hint="eastAsia" w:ascii="Times New Roman" w:hAnsi="Times New Roman" w:eastAsia="宋体" w:cs="Times New Roman"/>
                <w:color w:val="auto"/>
                <w:sz w:val="24"/>
                <w:lang w:val="en-US" w:eastAsia="zh-CN"/>
              </w:rPr>
            </w:pPr>
            <w:r>
              <w:rPr>
                <w:rFonts w:ascii="Times New Roman" w:hAnsi="Times New Roman" w:eastAsia="宋体" w:cs="Times New Roman"/>
                <w:color w:val="auto"/>
                <w:sz w:val="24"/>
              </w:rPr>
              <w:t>本工程110kV架空输电线路</w:t>
            </w:r>
            <w:r>
              <w:rPr>
                <w:rFonts w:hint="eastAsia" w:ascii="Times New Roman" w:hAnsi="Times New Roman" w:eastAsia="宋体" w:cs="Times New Roman"/>
                <w:color w:val="auto"/>
                <w:sz w:val="24"/>
                <w:lang w:val="en-US" w:eastAsia="zh-CN"/>
              </w:rPr>
              <w:t>选用大理大钢钢铁有限公司外部供电线路工程</w:t>
            </w:r>
            <w:r>
              <w:rPr>
                <w:rFonts w:ascii="Times New Roman" w:hAnsi="Times New Roman" w:eastAsia="宋体" w:cs="Times New Roman"/>
                <w:color w:val="auto"/>
                <w:sz w:val="24"/>
              </w:rPr>
              <w:t>（位于</w:t>
            </w:r>
            <w:r>
              <w:rPr>
                <w:rFonts w:hint="eastAsia" w:ascii="Times New Roman" w:hAnsi="Times New Roman" w:eastAsia="宋体" w:cs="Times New Roman"/>
                <w:color w:val="auto"/>
                <w:sz w:val="24"/>
                <w:lang w:val="en-US" w:eastAsia="zh-CN"/>
              </w:rPr>
              <w:t>大理州大理市、漾濞县</w:t>
            </w:r>
            <w:r>
              <w:rPr>
                <w:rFonts w:ascii="Times New Roman" w:hAnsi="Times New Roman" w:eastAsia="宋体" w:cs="Times New Roman"/>
                <w:color w:val="auto"/>
                <w:sz w:val="24"/>
              </w:rPr>
              <w:t>）作为类比线路，线路主要指标对照见表4-</w:t>
            </w:r>
            <w:r>
              <w:rPr>
                <w:rFonts w:hint="eastAsia" w:ascii="Times New Roman" w:hAnsi="Times New Roman" w:eastAsia="宋体" w:cs="Times New Roman"/>
                <w:color w:val="auto"/>
                <w:sz w:val="24"/>
                <w:lang w:val="en-US" w:eastAsia="zh-CN"/>
              </w:rPr>
              <w:t>4</w:t>
            </w:r>
            <w:r>
              <w:rPr>
                <w:rFonts w:ascii="Times New Roman" w:hAnsi="Times New Roman" w:eastAsia="宋体" w:cs="Times New Roman"/>
                <w:color w:val="auto"/>
                <w:sz w:val="24"/>
              </w:rPr>
              <w:t>，本项目输电线路与类比线路在电压等级、架设方式、建设规模都相同，架线型式、线高、环境条件、运行工况相近，具有可类比性。</w:t>
            </w:r>
          </w:p>
          <w:p w14:paraId="2538D0E6">
            <w:pPr>
              <w:pStyle w:val="137"/>
              <w:rPr>
                <w:bCs/>
                <w:color w:val="auto"/>
                <w:szCs w:val="21"/>
                <w:highlight w:val="none"/>
              </w:rPr>
            </w:pPr>
            <w:r>
              <w:rPr>
                <w:bCs/>
                <w:color w:val="auto"/>
                <w:szCs w:val="21"/>
                <w:highlight w:val="none"/>
              </w:rPr>
              <w:t>表4-</w:t>
            </w:r>
            <w:r>
              <w:rPr>
                <w:rFonts w:hint="eastAsia"/>
                <w:bCs/>
                <w:color w:val="auto"/>
                <w:szCs w:val="21"/>
                <w:highlight w:val="none"/>
                <w:lang w:val="en-US" w:eastAsia="zh-CN"/>
              </w:rPr>
              <w:t>4</w:t>
            </w:r>
            <w:r>
              <w:rPr>
                <w:bCs/>
                <w:color w:val="auto"/>
                <w:szCs w:val="21"/>
                <w:highlight w:val="none"/>
              </w:rPr>
              <w:t xml:space="preserve">  本项目110kV架空线路与类比线路对比情况一览表</w:t>
            </w:r>
          </w:p>
          <w:tbl>
            <w:tblPr>
              <w:tblStyle w:val="30"/>
              <w:tblW w:w="4999"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36"/>
              <w:gridCol w:w="2943"/>
              <w:gridCol w:w="3366"/>
              <w:gridCol w:w="657"/>
            </w:tblGrid>
            <w:tr w14:paraId="18C975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53" w:type="pct"/>
                  <w:tcBorders>
                    <w:tl2br w:val="nil"/>
                    <w:tr2bl w:val="nil"/>
                  </w:tcBorders>
                  <w:noWrap w:val="0"/>
                  <w:vAlign w:val="center"/>
                </w:tcPr>
                <w:p w14:paraId="383D9696">
                  <w:pPr>
                    <w:pStyle w:val="137"/>
                    <w:rPr>
                      <w:color w:val="auto"/>
                      <w:highlight w:val="none"/>
                    </w:rPr>
                  </w:pPr>
                  <w:r>
                    <w:rPr>
                      <w:color w:val="auto"/>
                      <w:highlight w:val="none"/>
                    </w:rPr>
                    <w:t>项目名称</w:t>
                  </w:r>
                </w:p>
              </w:tc>
              <w:tc>
                <w:tcPr>
                  <w:tcW w:w="1794" w:type="pct"/>
                  <w:tcBorders>
                    <w:tl2br w:val="nil"/>
                    <w:tr2bl w:val="nil"/>
                  </w:tcBorders>
                  <w:noWrap w:val="0"/>
                  <w:vAlign w:val="center"/>
                </w:tcPr>
                <w:p w14:paraId="210D5011">
                  <w:pPr>
                    <w:pStyle w:val="137"/>
                    <w:rPr>
                      <w:color w:val="auto"/>
                      <w:highlight w:val="none"/>
                    </w:rPr>
                  </w:pPr>
                  <w:r>
                    <w:rPr>
                      <w:color w:val="auto"/>
                      <w:highlight w:val="none"/>
                    </w:rPr>
                    <w:t>本项目线路</w:t>
                  </w:r>
                </w:p>
              </w:tc>
              <w:tc>
                <w:tcPr>
                  <w:tcW w:w="2051" w:type="pct"/>
                  <w:tcBorders>
                    <w:tl2br w:val="nil"/>
                    <w:tr2bl w:val="nil"/>
                  </w:tcBorders>
                  <w:noWrap w:val="0"/>
                  <w:vAlign w:val="center"/>
                </w:tcPr>
                <w:p w14:paraId="0B6DACFB">
                  <w:pPr>
                    <w:pStyle w:val="137"/>
                    <w:rPr>
                      <w:color w:val="auto"/>
                      <w:highlight w:val="none"/>
                    </w:rPr>
                  </w:pPr>
                  <w:r>
                    <w:rPr>
                      <w:rFonts w:hint="eastAsia"/>
                      <w:color w:val="auto"/>
                      <w:highlight w:val="none"/>
                    </w:rPr>
                    <w:t>大理大钢钢铁有限公司外部供电线路工程</w:t>
                  </w:r>
                </w:p>
              </w:tc>
              <w:tc>
                <w:tcPr>
                  <w:tcW w:w="400" w:type="pct"/>
                  <w:tcBorders>
                    <w:tl2br w:val="nil"/>
                    <w:tr2bl w:val="nil"/>
                  </w:tcBorders>
                  <w:noWrap w:val="0"/>
                  <w:vAlign w:val="center"/>
                </w:tcPr>
                <w:p w14:paraId="2E23E4CA">
                  <w:pPr>
                    <w:pStyle w:val="137"/>
                    <w:rPr>
                      <w:color w:val="auto"/>
                      <w:highlight w:val="none"/>
                    </w:rPr>
                  </w:pPr>
                  <w:r>
                    <w:rPr>
                      <w:color w:val="auto"/>
                      <w:highlight w:val="none"/>
                    </w:rPr>
                    <w:t>比较结果</w:t>
                  </w:r>
                </w:p>
              </w:tc>
            </w:tr>
            <w:tr w14:paraId="4B785F4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753" w:type="pct"/>
                  <w:tcBorders>
                    <w:tl2br w:val="nil"/>
                    <w:tr2bl w:val="nil"/>
                  </w:tcBorders>
                  <w:noWrap w:val="0"/>
                  <w:vAlign w:val="center"/>
                </w:tcPr>
                <w:p w14:paraId="50E845C0">
                  <w:pPr>
                    <w:pStyle w:val="138"/>
                    <w:widowControl/>
                    <w:adjustRightInd/>
                    <w:snapToGrid/>
                    <w:rPr>
                      <w:color w:val="auto"/>
                      <w:highlight w:val="none"/>
                    </w:rPr>
                  </w:pPr>
                  <w:r>
                    <w:rPr>
                      <w:color w:val="auto"/>
                      <w:highlight w:val="none"/>
                    </w:rPr>
                    <w:t>电压等级（kV）</w:t>
                  </w:r>
                </w:p>
              </w:tc>
              <w:tc>
                <w:tcPr>
                  <w:tcW w:w="1794" w:type="pct"/>
                  <w:tcBorders>
                    <w:tl2br w:val="nil"/>
                    <w:tr2bl w:val="nil"/>
                  </w:tcBorders>
                  <w:noWrap w:val="0"/>
                  <w:vAlign w:val="center"/>
                </w:tcPr>
                <w:p w14:paraId="63593D36">
                  <w:pPr>
                    <w:pStyle w:val="138"/>
                    <w:adjustRightInd/>
                    <w:snapToGrid/>
                    <w:rPr>
                      <w:color w:val="auto"/>
                      <w:highlight w:val="none"/>
                    </w:rPr>
                  </w:pPr>
                  <w:r>
                    <w:rPr>
                      <w:color w:val="auto"/>
                      <w:highlight w:val="none"/>
                    </w:rPr>
                    <w:t>110kV</w:t>
                  </w:r>
                </w:p>
              </w:tc>
              <w:tc>
                <w:tcPr>
                  <w:tcW w:w="2051" w:type="pct"/>
                  <w:tcBorders>
                    <w:tl2br w:val="nil"/>
                    <w:tr2bl w:val="nil"/>
                  </w:tcBorders>
                  <w:noWrap w:val="0"/>
                  <w:vAlign w:val="center"/>
                </w:tcPr>
                <w:p w14:paraId="09CC881D">
                  <w:pPr>
                    <w:pStyle w:val="138"/>
                    <w:adjustRightInd/>
                    <w:snapToGrid/>
                    <w:rPr>
                      <w:color w:val="auto"/>
                      <w:highlight w:val="none"/>
                    </w:rPr>
                  </w:pPr>
                  <w:r>
                    <w:rPr>
                      <w:color w:val="auto"/>
                      <w:highlight w:val="none"/>
                    </w:rPr>
                    <w:t>110kV</w:t>
                  </w:r>
                </w:p>
              </w:tc>
              <w:tc>
                <w:tcPr>
                  <w:tcW w:w="400" w:type="pct"/>
                  <w:tcBorders>
                    <w:tl2br w:val="nil"/>
                    <w:tr2bl w:val="nil"/>
                  </w:tcBorders>
                  <w:noWrap w:val="0"/>
                  <w:vAlign w:val="center"/>
                </w:tcPr>
                <w:p w14:paraId="5BEF6822">
                  <w:pPr>
                    <w:pStyle w:val="138"/>
                    <w:adjustRightInd/>
                    <w:snapToGrid/>
                    <w:rPr>
                      <w:color w:val="auto"/>
                      <w:highlight w:val="none"/>
                    </w:rPr>
                  </w:pPr>
                  <w:r>
                    <w:rPr>
                      <w:color w:val="auto"/>
                      <w:highlight w:val="none"/>
                    </w:rPr>
                    <w:t>一致</w:t>
                  </w:r>
                </w:p>
              </w:tc>
            </w:tr>
            <w:tr w14:paraId="52791B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53" w:type="pct"/>
                  <w:tcBorders>
                    <w:tl2br w:val="nil"/>
                    <w:tr2bl w:val="nil"/>
                  </w:tcBorders>
                  <w:noWrap w:val="0"/>
                  <w:vAlign w:val="center"/>
                </w:tcPr>
                <w:p w14:paraId="7E7B458F">
                  <w:pPr>
                    <w:pStyle w:val="138"/>
                    <w:widowControl/>
                    <w:adjustRightInd/>
                    <w:snapToGrid/>
                    <w:rPr>
                      <w:color w:val="auto"/>
                      <w:highlight w:val="none"/>
                    </w:rPr>
                  </w:pPr>
                  <w:r>
                    <w:rPr>
                      <w:color w:val="auto"/>
                      <w:highlight w:val="none"/>
                    </w:rPr>
                    <w:t>架设方式</w:t>
                  </w:r>
                </w:p>
              </w:tc>
              <w:tc>
                <w:tcPr>
                  <w:tcW w:w="1794" w:type="pct"/>
                  <w:tcBorders>
                    <w:tl2br w:val="nil"/>
                    <w:tr2bl w:val="nil"/>
                  </w:tcBorders>
                  <w:noWrap w:val="0"/>
                  <w:vAlign w:val="center"/>
                </w:tcPr>
                <w:p w14:paraId="129CD818">
                  <w:pPr>
                    <w:pStyle w:val="138"/>
                    <w:adjustRightInd/>
                    <w:snapToGrid/>
                    <w:rPr>
                      <w:color w:val="auto"/>
                      <w:highlight w:val="none"/>
                    </w:rPr>
                  </w:pPr>
                  <w:r>
                    <w:rPr>
                      <w:color w:val="auto"/>
                      <w:highlight w:val="none"/>
                    </w:rPr>
                    <w:t>架空</w:t>
                  </w:r>
                </w:p>
              </w:tc>
              <w:tc>
                <w:tcPr>
                  <w:tcW w:w="2051" w:type="pct"/>
                  <w:tcBorders>
                    <w:tl2br w:val="nil"/>
                    <w:tr2bl w:val="nil"/>
                  </w:tcBorders>
                  <w:noWrap w:val="0"/>
                  <w:vAlign w:val="center"/>
                </w:tcPr>
                <w:p w14:paraId="3E3CDCD6">
                  <w:pPr>
                    <w:pStyle w:val="138"/>
                    <w:adjustRightInd/>
                    <w:snapToGrid/>
                    <w:rPr>
                      <w:color w:val="auto"/>
                      <w:highlight w:val="none"/>
                    </w:rPr>
                  </w:pPr>
                  <w:r>
                    <w:rPr>
                      <w:color w:val="auto"/>
                      <w:highlight w:val="none"/>
                    </w:rPr>
                    <w:t>架空</w:t>
                  </w:r>
                </w:p>
              </w:tc>
              <w:tc>
                <w:tcPr>
                  <w:tcW w:w="400" w:type="pct"/>
                  <w:tcBorders>
                    <w:tl2br w:val="nil"/>
                    <w:tr2bl w:val="nil"/>
                  </w:tcBorders>
                  <w:noWrap w:val="0"/>
                  <w:vAlign w:val="center"/>
                </w:tcPr>
                <w:p w14:paraId="75F094FC">
                  <w:pPr>
                    <w:pStyle w:val="138"/>
                    <w:adjustRightInd/>
                    <w:snapToGrid/>
                    <w:rPr>
                      <w:color w:val="auto"/>
                      <w:highlight w:val="none"/>
                    </w:rPr>
                  </w:pPr>
                  <w:r>
                    <w:rPr>
                      <w:color w:val="auto"/>
                      <w:highlight w:val="none"/>
                    </w:rPr>
                    <w:t>一致</w:t>
                  </w:r>
                </w:p>
              </w:tc>
            </w:tr>
            <w:tr w14:paraId="7739A9B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53" w:type="pct"/>
                  <w:tcBorders>
                    <w:tl2br w:val="nil"/>
                    <w:tr2bl w:val="nil"/>
                  </w:tcBorders>
                  <w:noWrap w:val="0"/>
                  <w:vAlign w:val="center"/>
                </w:tcPr>
                <w:p w14:paraId="53D2290F">
                  <w:pPr>
                    <w:pStyle w:val="138"/>
                    <w:widowControl/>
                    <w:adjustRightInd/>
                    <w:snapToGrid/>
                    <w:rPr>
                      <w:color w:val="auto"/>
                      <w:highlight w:val="none"/>
                    </w:rPr>
                  </w:pPr>
                  <w:r>
                    <w:rPr>
                      <w:color w:val="auto"/>
                      <w:highlight w:val="none"/>
                    </w:rPr>
                    <w:t>架设规模</w:t>
                  </w:r>
                </w:p>
              </w:tc>
              <w:tc>
                <w:tcPr>
                  <w:tcW w:w="1794" w:type="pct"/>
                  <w:tcBorders>
                    <w:tl2br w:val="nil"/>
                    <w:tr2bl w:val="nil"/>
                  </w:tcBorders>
                  <w:noWrap w:val="0"/>
                  <w:vAlign w:val="center"/>
                </w:tcPr>
                <w:p w14:paraId="16543B55">
                  <w:pPr>
                    <w:pStyle w:val="138"/>
                    <w:adjustRightInd/>
                    <w:snapToGrid/>
                    <w:rPr>
                      <w:color w:val="auto"/>
                      <w:highlight w:val="none"/>
                    </w:rPr>
                  </w:pPr>
                  <w:r>
                    <w:rPr>
                      <w:color w:val="auto"/>
                      <w:highlight w:val="none"/>
                    </w:rPr>
                    <w:t>单回</w:t>
                  </w:r>
                </w:p>
              </w:tc>
              <w:tc>
                <w:tcPr>
                  <w:tcW w:w="2051" w:type="pct"/>
                  <w:tcBorders>
                    <w:tl2br w:val="nil"/>
                    <w:tr2bl w:val="nil"/>
                  </w:tcBorders>
                  <w:noWrap w:val="0"/>
                  <w:vAlign w:val="center"/>
                </w:tcPr>
                <w:p w14:paraId="45DE7BE6">
                  <w:pPr>
                    <w:pStyle w:val="138"/>
                    <w:adjustRightInd/>
                    <w:snapToGrid/>
                    <w:rPr>
                      <w:color w:val="auto"/>
                      <w:highlight w:val="none"/>
                    </w:rPr>
                  </w:pPr>
                  <w:r>
                    <w:rPr>
                      <w:color w:val="auto"/>
                      <w:highlight w:val="none"/>
                    </w:rPr>
                    <w:t>单回</w:t>
                  </w:r>
                </w:p>
              </w:tc>
              <w:tc>
                <w:tcPr>
                  <w:tcW w:w="400" w:type="pct"/>
                  <w:tcBorders>
                    <w:tl2br w:val="nil"/>
                    <w:tr2bl w:val="nil"/>
                  </w:tcBorders>
                  <w:noWrap w:val="0"/>
                  <w:vAlign w:val="center"/>
                </w:tcPr>
                <w:p w14:paraId="6AAC0DF6">
                  <w:pPr>
                    <w:pStyle w:val="138"/>
                    <w:adjustRightInd/>
                    <w:snapToGrid/>
                    <w:rPr>
                      <w:color w:val="auto"/>
                      <w:highlight w:val="none"/>
                    </w:rPr>
                  </w:pPr>
                  <w:r>
                    <w:rPr>
                      <w:color w:val="auto"/>
                      <w:highlight w:val="none"/>
                    </w:rPr>
                    <w:t>一致</w:t>
                  </w:r>
                </w:p>
              </w:tc>
            </w:tr>
            <w:tr w14:paraId="74F0533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53" w:type="pct"/>
                  <w:tcBorders>
                    <w:tl2br w:val="nil"/>
                    <w:tr2bl w:val="nil"/>
                  </w:tcBorders>
                  <w:noWrap w:val="0"/>
                  <w:vAlign w:val="center"/>
                </w:tcPr>
                <w:p w14:paraId="6B2EF4B4">
                  <w:pPr>
                    <w:pStyle w:val="138"/>
                    <w:widowControl/>
                    <w:adjustRightInd/>
                    <w:snapToGrid/>
                    <w:rPr>
                      <w:color w:val="auto"/>
                      <w:highlight w:val="none"/>
                    </w:rPr>
                  </w:pPr>
                  <w:r>
                    <w:rPr>
                      <w:color w:val="auto"/>
                      <w:highlight w:val="none"/>
                    </w:rPr>
                    <w:t>架线型式</w:t>
                  </w:r>
                </w:p>
              </w:tc>
              <w:tc>
                <w:tcPr>
                  <w:tcW w:w="1794" w:type="pct"/>
                  <w:tcBorders>
                    <w:tl2br w:val="nil"/>
                    <w:tr2bl w:val="nil"/>
                  </w:tcBorders>
                  <w:noWrap w:val="0"/>
                  <w:vAlign w:val="center"/>
                </w:tcPr>
                <w:p w14:paraId="6F137298">
                  <w:pPr>
                    <w:pStyle w:val="138"/>
                    <w:widowControl/>
                    <w:adjustRightInd/>
                    <w:snapToGrid/>
                    <w:rPr>
                      <w:color w:val="auto"/>
                      <w:highlight w:val="none"/>
                    </w:rPr>
                  </w:pPr>
                  <w:r>
                    <w:rPr>
                      <w:color w:val="auto"/>
                      <w:highlight w:val="none"/>
                    </w:rPr>
                    <w:t>三角排列、水平排列</w:t>
                  </w:r>
                </w:p>
              </w:tc>
              <w:tc>
                <w:tcPr>
                  <w:tcW w:w="2051" w:type="pct"/>
                  <w:tcBorders>
                    <w:tl2br w:val="nil"/>
                    <w:tr2bl w:val="nil"/>
                  </w:tcBorders>
                  <w:noWrap w:val="0"/>
                  <w:vAlign w:val="center"/>
                </w:tcPr>
                <w:p w14:paraId="11DB8AF3">
                  <w:pPr>
                    <w:pStyle w:val="138"/>
                    <w:adjustRightInd/>
                    <w:snapToGrid/>
                    <w:rPr>
                      <w:color w:val="auto"/>
                      <w:highlight w:val="none"/>
                    </w:rPr>
                  </w:pPr>
                  <w:r>
                    <w:rPr>
                      <w:color w:val="auto"/>
                      <w:highlight w:val="none"/>
                    </w:rPr>
                    <w:t>三角排列、水平排列</w:t>
                  </w:r>
                </w:p>
              </w:tc>
              <w:tc>
                <w:tcPr>
                  <w:tcW w:w="400" w:type="pct"/>
                  <w:tcBorders>
                    <w:tl2br w:val="nil"/>
                    <w:tr2bl w:val="nil"/>
                  </w:tcBorders>
                  <w:noWrap w:val="0"/>
                  <w:vAlign w:val="center"/>
                </w:tcPr>
                <w:p w14:paraId="416AF21D">
                  <w:pPr>
                    <w:pStyle w:val="138"/>
                    <w:adjustRightInd/>
                    <w:snapToGrid/>
                    <w:rPr>
                      <w:color w:val="auto"/>
                      <w:highlight w:val="none"/>
                    </w:rPr>
                  </w:pPr>
                  <w:r>
                    <w:rPr>
                      <w:color w:val="auto"/>
                      <w:highlight w:val="none"/>
                    </w:rPr>
                    <w:t>一致</w:t>
                  </w:r>
                </w:p>
              </w:tc>
            </w:tr>
            <w:tr w14:paraId="671E2FC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53" w:type="pct"/>
                  <w:tcBorders>
                    <w:tl2br w:val="nil"/>
                    <w:tr2bl w:val="nil"/>
                  </w:tcBorders>
                  <w:noWrap w:val="0"/>
                  <w:vAlign w:val="center"/>
                </w:tcPr>
                <w:p w14:paraId="71E3944F">
                  <w:pPr>
                    <w:pStyle w:val="138"/>
                    <w:widowControl/>
                    <w:adjustRightInd/>
                    <w:snapToGrid/>
                    <w:rPr>
                      <w:color w:val="auto"/>
                      <w:highlight w:val="none"/>
                    </w:rPr>
                  </w:pPr>
                  <w:r>
                    <w:rPr>
                      <w:color w:val="auto"/>
                      <w:highlight w:val="none"/>
                    </w:rPr>
                    <w:t>线高（m）</w:t>
                  </w:r>
                </w:p>
              </w:tc>
              <w:tc>
                <w:tcPr>
                  <w:tcW w:w="1794" w:type="pct"/>
                  <w:tcBorders>
                    <w:tl2br w:val="nil"/>
                    <w:tr2bl w:val="nil"/>
                  </w:tcBorders>
                  <w:noWrap w:val="0"/>
                  <w:vAlign w:val="center"/>
                </w:tcPr>
                <w:p w14:paraId="04726184">
                  <w:pPr>
                    <w:pStyle w:val="138"/>
                    <w:adjustRightInd/>
                    <w:snapToGrid/>
                    <w:rPr>
                      <w:color w:val="auto"/>
                      <w:highlight w:val="none"/>
                    </w:rPr>
                  </w:pPr>
                  <w:r>
                    <w:rPr>
                      <w:rFonts w:hint="eastAsia"/>
                      <w:color w:val="auto"/>
                      <w:highlight w:val="none"/>
                      <w:lang w:val="en-US" w:eastAsia="zh-CN"/>
                    </w:rPr>
                    <w:t>导线弧垂最低点距地高度13～15</w:t>
                  </w:r>
                  <w:r>
                    <w:rPr>
                      <w:color w:val="auto"/>
                      <w:highlight w:val="none"/>
                    </w:rPr>
                    <w:t>m</w:t>
                  </w:r>
                </w:p>
              </w:tc>
              <w:tc>
                <w:tcPr>
                  <w:tcW w:w="2051" w:type="pct"/>
                  <w:tcBorders>
                    <w:tl2br w:val="nil"/>
                    <w:tr2bl w:val="nil"/>
                  </w:tcBorders>
                  <w:noWrap w:val="0"/>
                  <w:vAlign w:val="center"/>
                </w:tcPr>
                <w:p w14:paraId="2B46CC57">
                  <w:pPr>
                    <w:pStyle w:val="138"/>
                    <w:adjustRightInd/>
                    <w:snapToGrid/>
                    <w:rPr>
                      <w:color w:val="auto"/>
                      <w:highlight w:val="none"/>
                    </w:rPr>
                  </w:pPr>
                  <w:r>
                    <w:rPr>
                      <w:color w:val="auto"/>
                      <w:highlight w:val="none"/>
                    </w:rPr>
                    <w:t>监测点弧垂距地高度</w:t>
                  </w:r>
                  <w:r>
                    <w:rPr>
                      <w:rFonts w:hint="eastAsia"/>
                      <w:color w:val="auto"/>
                      <w:highlight w:val="none"/>
                      <w:lang w:val="en-US" w:eastAsia="zh-CN"/>
                    </w:rPr>
                    <w:t>13</w:t>
                  </w:r>
                  <w:r>
                    <w:rPr>
                      <w:color w:val="auto"/>
                      <w:highlight w:val="none"/>
                    </w:rPr>
                    <w:t>m</w:t>
                  </w:r>
                </w:p>
              </w:tc>
              <w:tc>
                <w:tcPr>
                  <w:tcW w:w="400" w:type="pct"/>
                  <w:tcBorders>
                    <w:tl2br w:val="nil"/>
                    <w:tr2bl w:val="nil"/>
                  </w:tcBorders>
                  <w:noWrap w:val="0"/>
                  <w:vAlign w:val="center"/>
                </w:tcPr>
                <w:p w14:paraId="54516F17">
                  <w:pPr>
                    <w:pStyle w:val="138"/>
                    <w:adjustRightInd/>
                    <w:snapToGrid/>
                    <w:rPr>
                      <w:color w:val="auto"/>
                      <w:highlight w:val="none"/>
                    </w:rPr>
                  </w:pPr>
                  <w:r>
                    <w:rPr>
                      <w:color w:val="auto"/>
                      <w:highlight w:val="none"/>
                    </w:rPr>
                    <w:t>一致</w:t>
                  </w:r>
                </w:p>
              </w:tc>
            </w:tr>
            <w:tr w14:paraId="5F6867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53" w:type="pct"/>
                  <w:tcBorders>
                    <w:tl2br w:val="nil"/>
                    <w:tr2bl w:val="nil"/>
                  </w:tcBorders>
                  <w:noWrap w:val="0"/>
                  <w:vAlign w:val="center"/>
                </w:tcPr>
                <w:p w14:paraId="1C70ACC3">
                  <w:pPr>
                    <w:pStyle w:val="138"/>
                    <w:widowControl/>
                    <w:adjustRightInd/>
                    <w:snapToGrid/>
                    <w:rPr>
                      <w:color w:val="auto"/>
                      <w:highlight w:val="none"/>
                    </w:rPr>
                  </w:pPr>
                  <w:r>
                    <w:rPr>
                      <w:color w:val="auto"/>
                      <w:highlight w:val="none"/>
                    </w:rPr>
                    <w:t>环境条件</w:t>
                  </w:r>
                </w:p>
              </w:tc>
              <w:tc>
                <w:tcPr>
                  <w:tcW w:w="1794" w:type="pct"/>
                  <w:tcBorders>
                    <w:tl2br w:val="nil"/>
                    <w:tr2bl w:val="nil"/>
                  </w:tcBorders>
                  <w:noWrap w:val="0"/>
                  <w:vAlign w:val="center"/>
                </w:tcPr>
                <w:p w14:paraId="1724FC7E">
                  <w:pPr>
                    <w:pStyle w:val="138"/>
                    <w:adjustRightInd/>
                    <w:snapToGrid/>
                    <w:rPr>
                      <w:color w:val="auto"/>
                      <w:highlight w:val="none"/>
                    </w:rPr>
                  </w:pPr>
                  <w:r>
                    <w:rPr>
                      <w:color w:val="auto"/>
                      <w:highlight w:val="none"/>
                    </w:rPr>
                    <w:t>云南省</w:t>
                  </w:r>
                  <w:r>
                    <w:rPr>
                      <w:rFonts w:hint="eastAsia"/>
                      <w:color w:val="auto"/>
                      <w:highlight w:val="none"/>
                      <w:lang w:val="en-US" w:eastAsia="zh-CN"/>
                    </w:rPr>
                    <w:t>曲靖市会泽县</w:t>
                  </w:r>
                  <w:r>
                    <w:rPr>
                      <w:color w:val="auto"/>
                      <w:highlight w:val="none"/>
                    </w:rPr>
                    <w:t>，主要位于农村地区，周边地形山地、道路</w:t>
                  </w:r>
                </w:p>
              </w:tc>
              <w:tc>
                <w:tcPr>
                  <w:tcW w:w="2051" w:type="pct"/>
                  <w:tcBorders>
                    <w:tl2br w:val="nil"/>
                    <w:tr2bl w:val="nil"/>
                  </w:tcBorders>
                  <w:noWrap w:val="0"/>
                  <w:vAlign w:val="center"/>
                </w:tcPr>
                <w:p w14:paraId="50661989">
                  <w:pPr>
                    <w:pStyle w:val="138"/>
                    <w:adjustRightInd/>
                    <w:snapToGrid/>
                    <w:rPr>
                      <w:color w:val="auto"/>
                      <w:highlight w:val="none"/>
                    </w:rPr>
                  </w:pPr>
                  <w:r>
                    <w:rPr>
                      <w:color w:val="auto"/>
                      <w:highlight w:val="none"/>
                    </w:rPr>
                    <w:t>云南省</w:t>
                  </w:r>
                  <w:r>
                    <w:rPr>
                      <w:rFonts w:hint="eastAsia"/>
                      <w:color w:val="auto"/>
                      <w:highlight w:val="none"/>
                      <w:lang w:val="en-US" w:eastAsia="zh-CN"/>
                    </w:rPr>
                    <w:t>大理州大理市</w:t>
                  </w:r>
                  <w:r>
                    <w:rPr>
                      <w:color w:val="auto"/>
                      <w:highlight w:val="none"/>
                    </w:rPr>
                    <w:t>，主要位于农村地区，周边地形山地、道路</w:t>
                  </w:r>
                </w:p>
              </w:tc>
              <w:tc>
                <w:tcPr>
                  <w:tcW w:w="400" w:type="pct"/>
                  <w:tcBorders>
                    <w:tl2br w:val="nil"/>
                    <w:tr2bl w:val="nil"/>
                  </w:tcBorders>
                  <w:noWrap w:val="0"/>
                  <w:vAlign w:val="center"/>
                </w:tcPr>
                <w:p w14:paraId="5F8D921D">
                  <w:pPr>
                    <w:pStyle w:val="138"/>
                    <w:adjustRightInd/>
                    <w:snapToGrid/>
                    <w:rPr>
                      <w:color w:val="auto"/>
                      <w:highlight w:val="none"/>
                    </w:rPr>
                  </w:pPr>
                  <w:r>
                    <w:rPr>
                      <w:color w:val="auto"/>
                      <w:highlight w:val="none"/>
                    </w:rPr>
                    <w:t>一致</w:t>
                  </w:r>
                </w:p>
              </w:tc>
            </w:tr>
            <w:tr w14:paraId="1941F5E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53" w:type="pct"/>
                  <w:tcBorders>
                    <w:tl2br w:val="nil"/>
                    <w:tr2bl w:val="nil"/>
                  </w:tcBorders>
                  <w:noWrap w:val="0"/>
                  <w:vAlign w:val="center"/>
                </w:tcPr>
                <w:p w14:paraId="01A59919">
                  <w:pPr>
                    <w:pStyle w:val="138"/>
                    <w:widowControl/>
                    <w:adjustRightInd/>
                    <w:snapToGrid/>
                    <w:rPr>
                      <w:color w:val="auto"/>
                      <w:highlight w:val="none"/>
                    </w:rPr>
                  </w:pPr>
                  <w:r>
                    <w:rPr>
                      <w:color w:val="auto"/>
                      <w:highlight w:val="none"/>
                    </w:rPr>
                    <w:t>运行工况</w:t>
                  </w:r>
                </w:p>
              </w:tc>
              <w:tc>
                <w:tcPr>
                  <w:tcW w:w="1794" w:type="pct"/>
                  <w:tcBorders>
                    <w:tl2br w:val="nil"/>
                    <w:tr2bl w:val="nil"/>
                  </w:tcBorders>
                  <w:noWrap w:val="0"/>
                  <w:vAlign w:val="center"/>
                </w:tcPr>
                <w:p w14:paraId="4CDC0738">
                  <w:pPr>
                    <w:pStyle w:val="138"/>
                    <w:adjustRightInd/>
                    <w:snapToGrid/>
                    <w:rPr>
                      <w:color w:val="auto"/>
                      <w:highlight w:val="none"/>
                    </w:rPr>
                  </w:pPr>
                  <w:r>
                    <w:rPr>
                      <w:color w:val="auto"/>
                      <w:highlight w:val="none"/>
                    </w:rPr>
                    <w:t>额定工况为电压110kV</w:t>
                  </w:r>
                </w:p>
              </w:tc>
              <w:tc>
                <w:tcPr>
                  <w:tcW w:w="2051" w:type="pct"/>
                  <w:tcBorders>
                    <w:tl2br w:val="nil"/>
                    <w:tr2bl w:val="nil"/>
                  </w:tcBorders>
                  <w:noWrap w:val="0"/>
                  <w:vAlign w:val="center"/>
                </w:tcPr>
                <w:p w14:paraId="1BD5BE40">
                  <w:pPr>
                    <w:pStyle w:val="138"/>
                    <w:adjustRightInd/>
                    <w:snapToGrid/>
                    <w:rPr>
                      <w:color w:val="auto"/>
                      <w:highlight w:val="none"/>
                    </w:rPr>
                  </w:pPr>
                  <w:r>
                    <w:rPr>
                      <w:color w:val="auto"/>
                      <w:highlight w:val="none"/>
                    </w:rPr>
                    <w:t>监测工况的电压值为11</w:t>
                  </w:r>
                  <w:r>
                    <w:rPr>
                      <w:rFonts w:hint="eastAsia"/>
                      <w:color w:val="auto"/>
                      <w:highlight w:val="none"/>
                      <w:lang w:val="en-US" w:eastAsia="zh-CN"/>
                    </w:rPr>
                    <w:t>3.75</w:t>
                  </w:r>
                  <w:r>
                    <w:rPr>
                      <w:color w:val="auto"/>
                      <w:highlight w:val="none"/>
                    </w:rPr>
                    <w:t>~11</w:t>
                  </w:r>
                  <w:r>
                    <w:rPr>
                      <w:rFonts w:hint="eastAsia"/>
                      <w:color w:val="auto"/>
                      <w:highlight w:val="none"/>
                      <w:lang w:val="en-US" w:eastAsia="zh-CN"/>
                    </w:rPr>
                    <w:t>7.86</w:t>
                  </w:r>
                  <w:r>
                    <w:rPr>
                      <w:color w:val="auto"/>
                      <w:highlight w:val="none"/>
                    </w:rPr>
                    <w:t>kV</w:t>
                  </w:r>
                </w:p>
              </w:tc>
              <w:tc>
                <w:tcPr>
                  <w:tcW w:w="400" w:type="pct"/>
                  <w:tcBorders>
                    <w:tl2br w:val="nil"/>
                    <w:tr2bl w:val="nil"/>
                  </w:tcBorders>
                  <w:noWrap w:val="0"/>
                  <w:vAlign w:val="center"/>
                </w:tcPr>
                <w:p w14:paraId="196189DA">
                  <w:pPr>
                    <w:pStyle w:val="138"/>
                    <w:adjustRightInd/>
                    <w:snapToGrid/>
                    <w:rPr>
                      <w:color w:val="auto"/>
                      <w:highlight w:val="none"/>
                    </w:rPr>
                  </w:pPr>
                  <w:r>
                    <w:rPr>
                      <w:color w:val="auto"/>
                      <w:highlight w:val="none"/>
                    </w:rPr>
                    <w:t>相近</w:t>
                  </w:r>
                </w:p>
              </w:tc>
            </w:tr>
          </w:tbl>
          <w:p w14:paraId="6E17F4BB">
            <w:pPr>
              <w:adjustRightInd w:val="0"/>
              <w:snapToGrid w:val="0"/>
              <w:spacing w:line="440" w:lineRule="exact"/>
              <w:ind w:firstLine="482" w:firstLineChars="200"/>
              <w:rPr>
                <w:rFonts w:hint="eastAsia" w:eastAsia="宋体"/>
                <w:b/>
                <w:bCs/>
                <w:color w:val="auto"/>
                <w:sz w:val="24"/>
                <w:lang w:val="en-US" w:eastAsia="zh-CN"/>
              </w:rPr>
            </w:pPr>
            <w:r>
              <w:rPr>
                <w:rFonts w:hint="eastAsia"/>
                <w:b/>
                <w:bCs/>
                <w:color w:val="auto"/>
                <w:sz w:val="24"/>
                <w:lang w:val="en-US" w:eastAsia="zh-CN"/>
              </w:rPr>
              <w:t>2</w:t>
            </w:r>
            <w:r>
              <w:rPr>
                <w:b/>
                <w:bCs/>
                <w:color w:val="auto"/>
                <w:sz w:val="24"/>
              </w:rPr>
              <w:t>）监测</w:t>
            </w:r>
            <w:r>
              <w:rPr>
                <w:rFonts w:hint="eastAsia"/>
                <w:b/>
                <w:bCs/>
                <w:color w:val="auto"/>
                <w:sz w:val="24"/>
                <w:lang w:val="en-US" w:eastAsia="zh-CN"/>
              </w:rPr>
              <w:t>情况</w:t>
            </w:r>
          </w:p>
          <w:p w14:paraId="751B0427">
            <w:pPr>
              <w:adjustRightInd w:val="0"/>
              <w:snapToGrid w:val="0"/>
              <w:spacing w:line="440" w:lineRule="exact"/>
              <w:ind w:firstLine="480" w:firstLineChars="200"/>
              <w:rPr>
                <w:rFonts w:ascii="Times New Roman" w:hAnsi="Times New Roman" w:eastAsia="宋体" w:cs="Times New Roman"/>
                <w:color w:val="auto"/>
                <w:sz w:val="24"/>
              </w:rPr>
            </w:pPr>
            <w:r>
              <w:rPr>
                <w:rFonts w:hint="default" w:ascii="Times New Roman" w:hAnsi="Times New Roman" w:eastAsia="宋体" w:cs="Times New Roman"/>
                <w:color w:val="auto"/>
                <w:sz w:val="24"/>
              </w:rPr>
              <w:t>①</w:t>
            </w:r>
            <w:r>
              <w:rPr>
                <w:rFonts w:ascii="Times New Roman" w:hAnsi="Times New Roman" w:eastAsia="宋体" w:cs="Times New Roman"/>
                <w:color w:val="auto"/>
                <w:sz w:val="24"/>
              </w:rPr>
              <w:t>监测布点</w:t>
            </w:r>
          </w:p>
          <w:p w14:paraId="7C8FC123">
            <w:pPr>
              <w:adjustRightInd w:val="0"/>
              <w:snapToGrid w:val="0"/>
              <w:spacing w:line="440" w:lineRule="exact"/>
              <w:ind w:firstLine="480" w:firstLineChars="200"/>
              <w:rPr>
                <w:color w:val="auto"/>
                <w:sz w:val="24"/>
              </w:rPr>
            </w:pPr>
            <w:r>
              <w:rPr>
                <w:color w:val="auto"/>
                <w:sz w:val="24"/>
              </w:rPr>
              <w:t>在110</w:t>
            </w:r>
            <w:r>
              <w:rPr>
                <w:rFonts w:hint="eastAsia"/>
                <w:color w:val="auto"/>
                <w:sz w:val="24"/>
              </w:rPr>
              <w:t>kV</w:t>
            </w:r>
            <w:r>
              <w:rPr>
                <w:rFonts w:hint="eastAsia"/>
                <w:color w:val="auto"/>
                <w:sz w:val="24"/>
                <w:lang w:val="en-US" w:eastAsia="zh-CN"/>
              </w:rPr>
              <w:t>架空线路段N58~N59</w:t>
            </w:r>
            <w:r>
              <w:rPr>
                <w:color w:val="auto"/>
                <w:sz w:val="24"/>
              </w:rPr>
              <w:t>塔间中相导线投影处（线高</w:t>
            </w:r>
            <w:r>
              <w:rPr>
                <w:rFonts w:hint="eastAsia"/>
                <w:color w:val="auto"/>
                <w:sz w:val="24"/>
              </w:rPr>
              <w:t>1</w:t>
            </w:r>
            <w:r>
              <w:rPr>
                <w:rFonts w:hint="eastAsia"/>
                <w:color w:val="auto"/>
                <w:sz w:val="24"/>
                <w:lang w:val="en-US" w:eastAsia="zh-CN"/>
              </w:rPr>
              <w:t>3</w:t>
            </w:r>
            <w:r>
              <w:rPr>
                <w:color w:val="auto"/>
                <w:sz w:val="24"/>
              </w:rPr>
              <w:t>m）设置噪声衰减监测断面1处。以导线弧垂最大处（线高1</w:t>
            </w:r>
            <w:r>
              <w:rPr>
                <w:rFonts w:hint="eastAsia"/>
                <w:color w:val="auto"/>
                <w:sz w:val="24"/>
                <w:lang w:val="en-US" w:eastAsia="zh-CN"/>
              </w:rPr>
              <w:t>3</w:t>
            </w:r>
            <w:r>
              <w:rPr>
                <w:color w:val="auto"/>
                <w:sz w:val="24"/>
              </w:rPr>
              <w:t>m）线路中心的地面投影点为监测原点，沿垂直于线路方向监测，测点间距为5m，</w:t>
            </w:r>
            <w:r>
              <w:rPr>
                <w:rFonts w:hint="eastAsia"/>
                <w:color w:val="auto"/>
                <w:sz w:val="24"/>
              </w:rPr>
              <w:t>测至距线路中心地面投影5</w:t>
            </w:r>
            <w:r>
              <w:rPr>
                <w:color w:val="auto"/>
                <w:sz w:val="24"/>
              </w:rPr>
              <w:t>0</w:t>
            </w:r>
            <w:r>
              <w:rPr>
                <w:rFonts w:hint="eastAsia"/>
                <w:color w:val="auto"/>
                <w:sz w:val="24"/>
              </w:rPr>
              <w:t>m处止，</w:t>
            </w:r>
            <w:r>
              <w:rPr>
                <w:color w:val="auto"/>
                <w:sz w:val="24"/>
              </w:rPr>
              <w:t>点位设置在距地面1.2m高处。</w:t>
            </w:r>
          </w:p>
          <w:p w14:paraId="67FD991B">
            <w:pPr>
              <w:adjustRightInd w:val="0"/>
              <w:snapToGrid w:val="0"/>
              <w:spacing w:line="240" w:lineRule="auto"/>
              <w:jc w:val="center"/>
              <w:rPr>
                <w:rFonts w:hint="eastAsia"/>
                <w:color w:val="auto"/>
              </w:rPr>
            </w:pPr>
            <w:r>
              <w:rPr>
                <w:bCs/>
                <w:color w:val="auto"/>
                <w:sz w:val="24"/>
              </w:rPr>
              <w:object>
                <v:shape id="_x0000_i1026" o:spt="75" type="#_x0000_t75" style="height:109pt;width:312.65pt;" o:ole="t" filled="f" o:preferrelative="t" stroked="f" coordsize="21600,21600">
                  <v:path/>
                  <v:fill on="f" focussize="0,0"/>
                  <v:stroke on="f"/>
                  <v:imagedata r:id="rId37" o:title=""/>
                  <o:lock v:ext="edit" aspectratio="f"/>
                  <w10:wrap type="none"/>
                  <w10:anchorlock/>
                </v:shape>
                <o:OLEObject Type="Embed" ProgID="Visio.Drawing.15" ShapeID="_x0000_i1026" DrawAspect="Content" ObjectID="_1468075726" r:id="rId36">
                  <o:LockedField>false</o:LockedField>
                </o:OLEObject>
              </w:object>
            </w:r>
          </w:p>
          <w:p w14:paraId="114D4268">
            <w:pPr>
              <w:adjustRightInd w:val="0"/>
              <w:snapToGrid w:val="0"/>
              <w:spacing w:line="240" w:lineRule="auto"/>
              <w:ind w:firstLine="482" w:firstLineChars="200"/>
              <w:jc w:val="center"/>
              <w:rPr>
                <w:b/>
                <w:bCs/>
                <w:color w:val="auto"/>
                <w:sz w:val="24"/>
              </w:rPr>
            </w:pPr>
            <w:r>
              <w:rPr>
                <w:rFonts w:hint="eastAsia"/>
                <w:b/>
                <w:bCs/>
                <w:color w:val="auto"/>
                <w:sz w:val="24"/>
              </w:rPr>
              <w:t>图4-2  噪声监测断面布点示意图</w:t>
            </w:r>
          </w:p>
          <w:p w14:paraId="3278EA7E">
            <w:pPr>
              <w:widowControl/>
              <w:tabs>
                <w:tab w:val="left" w:pos="8814"/>
              </w:tabs>
              <w:adjustRightInd w:val="0"/>
              <w:snapToGrid w:val="0"/>
              <w:spacing w:line="440" w:lineRule="exact"/>
              <w:ind w:firstLine="480" w:firstLineChars="200"/>
              <w:rPr>
                <w:b/>
                <w:bCs/>
                <w:color w:val="auto"/>
                <w:sz w:val="24"/>
              </w:rPr>
            </w:pPr>
            <w:r>
              <w:rPr>
                <w:color w:val="auto"/>
                <w:sz w:val="24"/>
              </w:rPr>
              <w:t>②监测条件</w:t>
            </w:r>
          </w:p>
          <w:p w14:paraId="5C1A63E9">
            <w:pPr>
              <w:pStyle w:val="2"/>
              <w:adjustRightInd w:val="0"/>
              <w:spacing w:before="0" w:after="0" w:line="440" w:lineRule="exact"/>
              <w:ind w:right="0" w:firstLine="480" w:firstLineChars="200"/>
              <w:rPr>
                <w:color w:val="auto"/>
                <w:sz w:val="24"/>
              </w:rPr>
            </w:pPr>
            <w:r>
              <w:rPr>
                <w:color w:val="auto"/>
                <w:sz w:val="24"/>
              </w:rPr>
              <w:t>监测因子：工频电场、工频磁场。</w:t>
            </w:r>
          </w:p>
          <w:p w14:paraId="4A77CCCE">
            <w:pPr>
              <w:pStyle w:val="2"/>
              <w:adjustRightInd w:val="0"/>
              <w:spacing w:before="0" w:after="0" w:line="440" w:lineRule="exact"/>
              <w:ind w:right="0" w:firstLine="480" w:firstLineChars="200"/>
              <w:rPr>
                <w:color w:val="auto"/>
                <w:sz w:val="24"/>
              </w:rPr>
            </w:pPr>
            <w:r>
              <w:rPr>
                <w:color w:val="auto"/>
                <w:sz w:val="24"/>
              </w:rPr>
              <w:t>监测单位及监测仪器：</w:t>
            </w:r>
          </w:p>
          <w:p w14:paraId="38DEEE84">
            <w:pPr>
              <w:spacing w:line="240" w:lineRule="auto"/>
              <w:jc w:val="center"/>
              <w:rPr>
                <w:b/>
                <w:color w:val="auto"/>
                <w:sz w:val="24"/>
              </w:rPr>
            </w:pPr>
            <w:r>
              <w:rPr>
                <w:b/>
                <w:color w:val="auto"/>
                <w:sz w:val="24"/>
              </w:rPr>
              <w:t>表4-</w:t>
            </w:r>
            <w:r>
              <w:rPr>
                <w:rFonts w:hint="eastAsia"/>
                <w:b/>
                <w:color w:val="auto"/>
                <w:sz w:val="24"/>
                <w:lang w:val="en-US" w:eastAsia="zh-CN"/>
              </w:rPr>
              <w:t>5</w:t>
            </w:r>
            <w:r>
              <w:rPr>
                <w:b/>
                <w:color w:val="auto"/>
                <w:sz w:val="24"/>
              </w:rPr>
              <w:t xml:space="preserve">  </w:t>
            </w:r>
            <w:r>
              <w:rPr>
                <w:rFonts w:hint="eastAsia"/>
                <w:b/>
                <w:color w:val="auto"/>
                <w:sz w:val="24"/>
                <w:lang w:val="en-US" w:eastAsia="zh-CN"/>
              </w:rPr>
              <w:t>引用</w:t>
            </w:r>
            <w:r>
              <w:rPr>
                <w:b/>
                <w:color w:val="auto"/>
                <w:sz w:val="24"/>
              </w:rPr>
              <w:t>监测报告</w:t>
            </w:r>
          </w:p>
          <w:tbl>
            <w:tblPr>
              <w:tblStyle w:val="30"/>
              <w:tblW w:w="823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611"/>
              <w:gridCol w:w="3628"/>
            </w:tblGrid>
            <w:tr w14:paraId="22976C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0" w:hRule="atLeast"/>
                <w:jc w:val="center"/>
              </w:trPr>
              <w:tc>
                <w:tcPr>
                  <w:tcW w:w="2798" w:type="pct"/>
                  <w:noWrap w:val="0"/>
                  <w:vAlign w:val="center"/>
                </w:tcPr>
                <w:p w14:paraId="4428D7F8">
                  <w:pPr>
                    <w:pStyle w:val="9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sz w:val="21"/>
                      <w:szCs w:val="21"/>
                    </w:rPr>
                  </w:pPr>
                  <w:r>
                    <w:rPr>
                      <w:color w:val="auto"/>
                      <w:sz w:val="21"/>
                      <w:szCs w:val="21"/>
                    </w:rPr>
                    <w:t>监测单位</w:t>
                  </w:r>
                </w:p>
              </w:tc>
              <w:tc>
                <w:tcPr>
                  <w:tcW w:w="2201" w:type="pct"/>
                  <w:noWrap w:val="0"/>
                  <w:vAlign w:val="center"/>
                </w:tcPr>
                <w:p w14:paraId="2B40AB5F">
                  <w:pPr>
                    <w:pStyle w:val="9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sz w:val="21"/>
                      <w:szCs w:val="21"/>
                    </w:rPr>
                  </w:pPr>
                  <w:r>
                    <w:rPr>
                      <w:color w:val="auto"/>
                      <w:sz w:val="21"/>
                      <w:szCs w:val="21"/>
                    </w:rPr>
                    <w:t>监测报告</w:t>
                  </w:r>
                </w:p>
              </w:tc>
            </w:tr>
            <w:tr w14:paraId="5EB32B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98" w:type="pct"/>
                  <w:noWrap w:val="0"/>
                  <w:vAlign w:val="center"/>
                </w:tcPr>
                <w:p w14:paraId="25171A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szCs w:val="21"/>
                    </w:rPr>
                  </w:pPr>
                  <w:r>
                    <w:rPr>
                      <w:rFonts w:hint="eastAsia"/>
                      <w:color w:val="auto"/>
                      <w:szCs w:val="21"/>
                      <w:lang w:eastAsia="zh-CN"/>
                    </w:rPr>
                    <w:t>贵州元烁环境检测技术有限公司</w:t>
                  </w:r>
                </w:p>
              </w:tc>
              <w:tc>
                <w:tcPr>
                  <w:tcW w:w="2201" w:type="pct"/>
                  <w:noWrap w:val="0"/>
                  <w:vAlign w:val="center"/>
                </w:tcPr>
                <w:p w14:paraId="298177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szCs w:val="21"/>
                    </w:rPr>
                  </w:pPr>
                  <w:r>
                    <w:rPr>
                      <w:rFonts w:hint="eastAsia"/>
                      <w:color w:val="auto"/>
                      <w:szCs w:val="21"/>
                      <w:lang w:val="en-US" w:eastAsia="zh-CN"/>
                    </w:rPr>
                    <w:t>YSBG202507102</w:t>
                  </w:r>
                </w:p>
              </w:tc>
            </w:tr>
          </w:tbl>
          <w:p w14:paraId="0B7311D5">
            <w:pPr>
              <w:pStyle w:val="2"/>
              <w:adjustRightInd w:val="0"/>
              <w:spacing w:before="0" w:after="0" w:line="440" w:lineRule="exact"/>
              <w:ind w:right="0" w:firstLine="480" w:firstLineChars="200"/>
              <w:rPr>
                <w:color w:val="auto"/>
                <w:sz w:val="24"/>
              </w:rPr>
            </w:pPr>
            <w:r>
              <w:rPr>
                <w:color w:val="auto"/>
                <w:sz w:val="24"/>
              </w:rPr>
              <w:t>监测时所用的仪器见下表。</w:t>
            </w:r>
          </w:p>
          <w:p w14:paraId="7D6C0391">
            <w:pPr>
              <w:spacing w:line="240" w:lineRule="auto"/>
              <w:jc w:val="center"/>
              <w:rPr>
                <w:b/>
                <w:color w:val="auto"/>
                <w:sz w:val="24"/>
              </w:rPr>
            </w:pPr>
            <w:r>
              <w:rPr>
                <w:b/>
                <w:color w:val="auto"/>
                <w:sz w:val="24"/>
              </w:rPr>
              <w:t>表4-</w:t>
            </w:r>
            <w:r>
              <w:rPr>
                <w:rFonts w:hint="eastAsia"/>
                <w:b/>
                <w:color w:val="auto"/>
                <w:sz w:val="24"/>
                <w:lang w:val="en-US" w:eastAsia="zh-CN"/>
              </w:rPr>
              <w:t>6</w:t>
            </w:r>
            <w:r>
              <w:rPr>
                <w:b/>
                <w:color w:val="auto"/>
                <w:sz w:val="24"/>
              </w:rPr>
              <w:t xml:space="preserve">  监测仪器</w:t>
            </w:r>
          </w:p>
          <w:tbl>
            <w:tblPr>
              <w:tblStyle w:val="30"/>
              <w:tblW w:w="495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40"/>
              <w:gridCol w:w="828"/>
              <w:gridCol w:w="1879"/>
              <w:gridCol w:w="1127"/>
              <w:gridCol w:w="1128"/>
              <w:gridCol w:w="1413"/>
              <w:gridCol w:w="918"/>
            </w:tblGrid>
            <w:tr w14:paraId="6B1468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516" w:type="pct"/>
                  <w:tcBorders>
                    <w:tl2br w:val="nil"/>
                    <w:tr2bl w:val="nil"/>
                  </w:tcBorders>
                  <w:noWrap w:val="0"/>
                  <w:vAlign w:val="center"/>
                </w:tcPr>
                <w:p w14:paraId="5CEFF78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样品类别</w:t>
                  </w:r>
                </w:p>
              </w:tc>
              <w:tc>
                <w:tcPr>
                  <w:tcW w:w="509" w:type="pct"/>
                  <w:tcBorders>
                    <w:tl2br w:val="nil"/>
                    <w:tr2bl w:val="nil"/>
                  </w:tcBorders>
                  <w:noWrap w:val="0"/>
                  <w:vAlign w:val="center"/>
                </w:tcPr>
                <w:p w14:paraId="0078C39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检测项目</w:t>
                  </w:r>
                </w:p>
              </w:tc>
              <w:tc>
                <w:tcPr>
                  <w:tcW w:w="1155" w:type="pct"/>
                  <w:tcBorders>
                    <w:tl2br w:val="nil"/>
                    <w:tr2bl w:val="nil"/>
                  </w:tcBorders>
                  <w:noWrap w:val="0"/>
                  <w:vAlign w:val="center"/>
                </w:tcPr>
                <w:p w14:paraId="031A188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lang w:val="en-US" w:eastAsia="zh-CN" w:bidi="ar-SA"/>
                    </w:rPr>
                  </w:pPr>
                  <w:r>
                    <w:rPr>
                      <w:rFonts w:hint="default" w:ascii="Times New Roman" w:hAnsi="Times New Roman" w:eastAsia="宋体" w:cs="Times New Roman"/>
                      <w:b/>
                      <w:bCs/>
                      <w:color w:val="auto"/>
                      <w:sz w:val="21"/>
                      <w:szCs w:val="21"/>
                      <w:highlight w:val="none"/>
                    </w:rPr>
                    <w:t>检测方法名称及编号</w:t>
                  </w:r>
                </w:p>
              </w:tc>
              <w:tc>
                <w:tcPr>
                  <w:tcW w:w="692" w:type="pct"/>
                  <w:tcBorders>
                    <w:tl2br w:val="nil"/>
                    <w:tr2bl w:val="nil"/>
                  </w:tcBorders>
                  <w:noWrap w:val="0"/>
                  <w:vAlign w:val="center"/>
                </w:tcPr>
                <w:p w14:paraId="2F97BC0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仪器型号</w:t>
                  </w:r>
                </w:p>
                <w:p w14:paraId="4CE89AE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lang w:val="en-US" w:eastAsia="zh-CN" w:bidi="ar-SA"/>
                    </w:rPr>
                  </w:pPr>
                  <w:r>
                    <w:rPr>
                      <w:rFonts w:hint="default" w:ascii="Times New Roman" w:hAnsi="Times New Roman" w:eastAsia="宋体" w:cs="Times New Roman"/>
                      <w:b/>
                      <w:bCs/>
                      <w:color w:val="auto"/>
                      <w:sz w:val="21"/>
                      <w:szCs w:val="21"/>
                      <w:highlight w:val="none"/>
                    </w:rPr>
                    <w:t>及名称</w:t>
                  </w:r>
                </w:p>
              </w:tc>
              <w:tc>
                <w:tcPr>
                  <w:tcW w:w="693" w:type="pct"/>
                  <w:tcBorders>
                    <w:tl2br w:val="nil"/>
                    <w:tr2bl w:val="nil"/>
                  </w:tcBorders>
                  <w:noWrap w:val="0"/>
                  <w:vAlign w:val="center"/>
                </w:tcPr>
                <w:p w14:paraId="09F0718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rPr>
                    <w:t>仪器检出限或范围</w:t>
                  </w:r>
                </w:p>
              </w:tc>
              <w:tc>
                <w:tcPr>
                  <w:tcW w:w="868" w:type="pct"/>
                  <w:tcBorders>
                    <w:tl2br w:val="nil"/>
                    <w:tr2bl w:val="nil"/>
                  </w:tcBorders>
                  <w:noWrap w:val="0"/>
                  <w:vAlign w:val="center"/>
                </w:tcPr>
                <w:p w14:paraId="31697B8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rPr>
                    <w:t>校准证书/</w:t>
                  </w:r>
                  <w:r>
                    <w:rPr>
                      <w:rFonts w:hint="default" w:ascii="Times New Roman" w:hAnsi="Times New Roman" w:eastAsia="宋体" w:cs="Times New Roman"/>
                      <w:b/>
                      <w:bCs/>
                      <w:color w:val="auto"/>
                      <w:sz w:val="21"/>
                      <w:szCs w:val="21"/>
                      <w:highlight w:val="none"/>
                      <w:lang w:val="en-US" w:eastAsia="zh-CN"/>
                    </w:rPr>
                    <w:br w:type="textWrapping"/>
                  </w:r>
                  <w:r>
                    <w:rPr>
                      <w:rFonts w:hint="default" w:ascii="Times New Roman" w:hAnsi="Times New Roman" w:eastAsia="宋体" w:cs="Times New Roman"/>
                      <w:b/>
                      <w:bCs/>
                      <w:color w:val="auto"/>
                      <w:sz w:val="21"/>
                      <w:szCs w:val="21"/>
                      <w:highlight w:val="none"/>
                      <w:lang w:val="en-US" w:eastAsia="zh-CN"/>
                    </w:rPr>
                    <w:t>仪器编号</w:t>
                  </w:r>
                </w:p>
              </w:tc>
              <w:tc>
                <w:tcPr>
                  <w:tcW w:w="564" w:type="pct"/>
                  <w:tcBorders>
                    <w:tl2br w:val="nil"/>
                    <w:tr2bl w:val="nil"/>
                  </w:tcBorders>
                  <w:noWrap w:val="0"/>
                  <w:vAlign w:val="center"/>
                </w:tcPr>
                <w:p w14:paraId="34664A8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rPr>
                    <w:t>证书有效期</w:t>
                  </w:r>
                </w:p>
              </w:tc>
            </w:tr>
            <w:tr w14:paraId="1818E0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516" w:type="pct"/>
                  <w:tcBorders>
                    <w:tl2br w:val="nil"/>
                    <w:tr2bl w:val="nil"/>
                  </w:tcBorders>
                  <w:noWrap w:val="0"/>
                  <w:vAlign w:val="center"/>
                </w:tcPr>
                <w:p w14:paraId="3F1225C0">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环境噪声</w:t>
                  </w:r>
                </w:p>
              </w:tc>
              <w:tc>
                <w:tcPr>
                  <w:tcW w:w="509" w:type="pct"/>
                  <w:tcBorders>
                    <w:tl2br w:val="nil"/>
                    <w:tr2bl w:val="nil"/>
                  </w:tcBorders>
                  <w:noWrap w:val="0"/>
                  <w:vAlign w:val="center"/>
                </w:tcPr>
                <w:p w14:paraId="47E9F392">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环境噪声</w:t>
                  </w:r>
                </w:p>
              </w:tc>
              <w:tc>
                <w:tcPr>
                  <w:tcW w:w="1155" w:type="pct"/>
                  <w:tcBorders>
                    <w:tl2br w:val="nil"/>
                    <w:tr2bl w:val="nil"/>
                  </w:tcBorders>
                  <w:noWrap w:val="0"/>
                  <w:vAlign w:val="center"/>
                </w:tcPr>
                <w:p w14:paraId="749BAC57">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《声环境质量标准》</w:t>
                  </w:r>
                  <w:r>
                    <w:rPr>
                      <w:rStyle w:val="129"/>
                      <w:rFonts w:hint="default" w:ascii="Times New Roman" w:hAnsi="Times New Roman" w:eastAsia="宋体" w:cs="Times New Roman"/>
                      <w:color w:val="auto"/>
                      <w:sz w:val="21"/>
                      <w:szCs w:val="21"/>
                      <w:highlight w:val="none"/>
                      <w:lang w:val="en-US" w:eastAsia="zh-CN" w:bidi="ar"/>
                    </w:rPr>
                    <w:t>GB3096-2008</w:t>
                  </w:r>
                </w:p>
              </w:tc>
              <w:tc>
                <w:tcPr>
                  <w:tcW w:w="692" w:type="pct"/>
                  <w:tcBorders>
                    <w:tl2br w:val="nil"/>
                    <w:tr2bl w:val="nil"/>
                  </w:tcBorders>
                  <w:noWrap w:val="0"/>
                  <w:vAlign w:val="center"/>
                </w:tcPr>
                <w:p w14:paraId="6C01DA42">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AWA5688</w:t>
                  </w:r>
                  <w:r>
                    <w:rPr>
                      <w:rStyle w:val="130"/>
                      <w:rFonts w:hint="default" w:ascii="Times New Roman" w:hAnsi="Times New Roman" w:eastAsia="宋体" w:cs="Times New Roman"/>
                      <w:color w:val="auto"/>
                      <w:sz w:val="21"/>
                      <w:szCs w:val="21"/>
                      <w:highlight w:val="none"/>
                      <w:lang w:val="en-US" w:eastAsia="zh-CN" w:bidi="ar"/>
                    </w:rPr>
                    <w:t>噪声仪</w:t>
                  </w:r>
                </w:p>
              </w:tc>
              <w:tc>
                <w:tcPr>
                  <w:tcW w:w="693" w:type="pct"/>
                  <w:tcBorders>
                    <w:tl2br w:val="nil"/>
                    <w:tr2bl w:val="nil"/>
                  </w:tcBorders>
                  <w:noWrap w:val="0"/>
                  <w:vAlign w:val="center"/>
                </w:tcPr>
                <w:p w14:paraId="01ED7D78">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28~133</w:t>
                  </w:r>
                  <w:r>
                    <w:rPr>
                      <w:rFonts w:hint="default" w:ascii="Times New Roman" w:hAnsi="Times New Roman" w:eastAsia="宋体" w:cs="Times New Roman"/>
                      <w:snapToGrid w:val="0"/>
                      <w:color w:val="auto"/>
                      <w:kern w:val="0"/>
                      <w:sz w:val="21"/>
                      <w:szCs w:val="21"/>
                      <w:highlight w:val="none"/>
                      <w:lang w:val="en-US" w:eastAsia="zh-CN" w:bidi="ar-SA"/>
                    </w:rPr>
                    <w:br w:type="textWrapping"/>
                  </w:r>
                  <w:r>
                    <w:rPr>
                      <w:rFonts w:hint="default" w:ascii="Times New Roman" w:hAnsi="Times New Roman" w:eastAsia="宋体" w:cs="Times New Roman"/>
                      <w:snapToGrid w:val="0"/>
                      <w:color w:val="auto"/>
                      <w:kern w:val="0"/>
                      <w:sz w:val="21"/>
                      <w:szCs w:val="21"/>
                      <w:highlight w:val="none"/>
                      <w:lang w:val="en-US" w:eastAsia="zh-CN" w:bidi="ar-SA"/>
                    </w:rPr>
                    <w:t>dB(A)</w:t>
                  </w:r>
                </w:p>
              </w:tc>
              <w:tc>
                <w:tcPr>
                  <w:tcW w:w="868" w:type="pct"/>
                  <w:tcBorders>
                    <w:tl2br w:val="nil"/>
                    <w:tr2bl w:val="nil"/>
                  </w:tcBorders>
                  <w:noWrap w:val="0"/>
                  <w:vAlign w:val="center"/>
                </w:tcPr>
                <w:p w14:paraId="06CCB875">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JZ202407WL3821/YS-XC076</w:t>
                  </w:r>
                </w:p>
              </w:tc>
              <w:tc>
                <w:tcPr>
                  <w:tcW w:w="564" w:type="pct"/>
                  <w:tcBorders>
                    <w:tl2br w:val="nil"/>
                    <w:tr2bl w:val="nil"/>
                  </w:tcBorders>
                  <w:noWrap w:val="0"/>
                  <w:vAlign w:val="center"/>
                </w:tcPr>
                <w:p w14:paraId="4F0249AD">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2025年7月23</w:t>
                  </w:r>
                </w:p>
              </w:tc>
            </w:tr>
          </w:tbl>
          <w:p w14:paraId="3FBE129F">
            <w:pPr>
              <w:widowControl/>
              <w:tabs>
                <w:tab w:val="left" w:pos="8814"/>
              </w:tabs>
              <w:adjustRightInd w:val="0"/>
              <w:snapToGrid w:val="0"/>
              <w:spacing w:line="440" w:lineRule="exact"/>
              <w:ind w:firstLine="480" w:firstLineChars="200"/>
              <w:rPr>
                <w:color w:val="auto"/>
                <w:sz w:val="24"/>
              </w:rPr>
            </w:pPr>
            <w:r>
              <w:rPr>
                <w:color w:val="auto"/>
                <w:sz w:val="24"/>
              </w:rPr>
              <w:t>3）监测环境</w:t>
            </w:r>
          </w:p>
          <w:p w14:paraId="48EF08B5">
            <w:pPr>
              <w:spacing w:line="240" w:lineRule="auto"/>
              <w:jc w:val="center"/>
              <w:rPr>
                <w:b/>
                <w:color w:val="auto"/>
                <w:sz w:val="24"/>
              </w:rPr>
            </w:pPr>
            <w:r>
              <w:rPr>
                <w:b/>
                <w:color w:val="auto"/>
                <w:sz w:val="24"/>
              </w:rPr>
              <w:t>表4-</w:t>
            </w:r>
            <w:r>
              <w:rPr>
                <w:rFonts w:hint="eastAsia"/>
                <w:b/>
                <w:color w:val="auto"/>
                <w:sz w:val="24"/>
                <w:lang w:val="en-US" w:eastAsia="zh-CN"/>
              </w:rPr>
              <w:t>7</w:t>
            </w:r>
            <w:r>
              <w:rPr>
                <w:b/>
                <w:color w:val="auto"/>
                <w:sz w:val="24"/>
              </w:rPr>
              <w:t xml:space="preserve">  监测环境</w:t>
            </w:r>
          </w:p>
          <w:tbl>
            <w:tblPr>
              <w:tblStyle w:val="30"/>
              <w:tblW w:w="498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96"/>
              <w:gridCol w:w="1116"/>
              <w:gridCol w:w="1039"/>
              <w:gridCol w:w="1158"/>
              <w:gridCol w:w="1158"/>
              <w:gridCol w:w="1158"/>
              <w:gridCol w:w="1159"/>
            </w:tblGrid>
            <w:tr w14:paraId="05C0B0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2" w:type="pct"/>
                  <w:tcBorders>
                    <w:tl2br w:val="nil"/>
                    <w:tr2bl w:val="nil"/>
                  </w:tcBorders>
                  <w:noWrap w:val="0"/>
                  <w:vAlign w:val="center"/>
                </w:tcPr>
                <w:p w14:paraId="504508D0">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snapToGrid w:val="0"/>
                      <w:color w:val="auto"/>
                      <w:kern w:val="0"/>
                      <w:sz w:val="21"/>
                      <w:szCs w:val="21"/>
                      <w:highlight w:val="none"/>
                      <w:lang w:val="en-US" w:eastAsia="zh-CN" w:bidi="ar-SA"/>
                    </w:rPr>
                  </w:pPr>
                  <w:r>
                    <w:rPr>
                      <w:rFonts w:hint="default" w:ascii="Times New Roman" w:hAnsi="Times New Roman" w:eastAsia="宋体" w:cs="Times New Roman"/>
                      <w:b/>
                      <w:bCs/>
                      <w:snapToGrid w:val="0"/>
                      <w:color w:val="auto"/>
                      <w:kern w:val="0"/>
                      <w:sz w:val="21"/>
                      <w:szCs w:val="21"/>
                      <w:highlight w:val="none"/>
                      <w:lang w:val="en-US" w:eastAsia="zh-CN" w:bidi="ar-SA"/>
                    </w:rPr>
                    <w:t>采样时间</w:t>
                  </w:r>
                </w:p>
              </w:tc>
              <w:tc>
                <w:tcPr>
                  <w:tcW w:w="681" w:type="pct"/>
                  <w:tcBorders>
                    <w:tl2br w:val="nil"/>
                    <w:tr2bl w:val="nil"/>
                  </w:tcBorders>
                  <w:noWrap w:val="0"/>
                  <w:vAlign w:val="center"/>
                </w:tcPr>
                <w:p w14:paraId="619353CC">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snapToGrid w:val="0"/>
                      <w:color w:val="auto"/>
                      <w:kern w:val="0"/>
                      <w:sz w:val="21"/>
                      <w:szCs w:val="21"/>
                      <w:highlight w:val="none"/>
                      <w:lang w:val="en-US" w:eastAsia="zh-CN" w:bidi="ar-SA"/>
                    </w:rPr>
                  </w:pPr>
                  <w:r>
                    <w:rPr>
                      <w:rFonts w:hint="default" w:ascii="Times New Roman" w:hAnsi="Times New Roman" w:eastAsia="宋体" w:cs="Times New Roman"/>
                      <w:b/>
                      <w:bCs/>
                      <w:snapToGrid w:val="0"/>
                      <w:color w:val="auto"/>
                      <w:kern w:val="0"/>
                      <w:sz w:val="21"/>
                      <w:szCs w:val="21"/>
                      <w:highlight w:val="none"/>
                      <w:lang w:val="en-US" w:eastAsia="zh-CN" w:bidi="ar-SA"/>
                    </w:rPr>
                    <w:t>天气情况</w:t>
                  </w:r>
                </w:p>
              </w:tc>
              <w:tc>
                <w:tcPr>
                  <w:tcW w:w="634" w:type="pct"/>
                  <w:tcBorders>
                    <w:tl2br w:val="nil"/>
                    <w:tr2bl w:val="nil"/>
                  </w:tcBorders>
                  <w:noWrap w:val="0"/>
                  <w:vAlign w:val="center"/>
                </w:tcPr>
                <w:p w14:paraId="351CED07">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snapToGrid w:val="0"/>
                      <w:color w:val="auto"/>
                      <w:kern w:val="0"/>
                      <w:sz w:val="21"/>
                      <w:szCs w:val="21"/>
                      <w:highlight w:val="none"/>
                      <w:lang w:val="en-US" w:eastAsia="zh-CN" w:bidi="ar-SA"/>
                    </w:rPr>
                  </w:pPr>
                  <w:r>
                    <w:rPr>
                      <w:rFonts w:hint="default" w:ascii="Times New Roman" w:hAnsi="Times New Roman" w:eastAsia="宋体" w:cs="Times New Roman"/>
                      <w:b/>
                      <w:bCs/>
                      <w:snapToGrid w:val="0"/>
                      <w:color w:val="auto"/>
                      <w:kern w:val="0"/>
                      <w:sz w:val="21"/>
                      <w:szCs w:val="21"/>
                      <w:highlight w:val="none"/>
                      <w:lang w:val="en-US" w:eastAsia="zh-CN" w:bidi="ar-SA"/>
                    </w:rPr>
                    <w:t>风向</w:t>
                  </w:r>
                </w:p>
              </w:tc>
              <w:tc>
                <w:tcPr>
                  <w:tcW w:w="707" w:type="pct"/>
                  <w:tcBorders>
                    <w:tl2br w:val="nil"/>
                    <w:tr2bl w:val="nil"/>
                  </w:tcBorders>
                  <w:noWrap w:val="0"/>
                  <w:vAlign w:val="center"/>
                </w:tcPr>
                <w:p w14:paraId="5B337174">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snapToGrid w:val="0"/>
                      <w:color w:val="auto"/>
                      <w:kern w:val="0"/>
                      <w:sz w:val="21"/>
                      <w:szCs w:val="21"/>
                      <w:highlight w:val="none"/>
                      <w:lang w:val="en-US" w:eastAsia="zh-CN" w:bidi="ar-SA"/>
                    </w:rPr>
                  </w:pPr>
                  <w:r>
                    <w:rPr>
                      <w:rFonts w:hint="default" w:ascii="Times New Roman" w:hAnsi="Times New Roman" w:eastAsia="宋体" w:cs="Times New Roman"/>
                      <w:b/>
                      <w:bCs/>
                      <w:snapToGrid w:val="0"/>
                      <w:color w:val="auto"/>
                      <w:kern w:val="0"/>
                      <w:sz w:val="21"/>
                      <w:szCs w:val="21"/>
                      <w:highlight w:val="none"/>
                      <w:lang w:val="en-US" w:eastAsia="zh-CN" w:bidi="ar-SA"/>
                    </w:rPr>
                    <w:t>风速m/s</w:t>
                  </w:r>
                </w:p>
              </w:tc>
              <w:tc>
                <w:tcPr>
                  <w:tcW w:w="707" w:type="pct"/>
                  <w:tcBorders>
                    <w:tl2br w:val="nil"/>
                    <w:tr2bl w:val="nil"/>
                  </w:tcBorders>
                  <w:noWrap w:val="0"/>
                  <w:vAlign w:val="center"/>
                </w:tcPr>
                <w:p w14:paraId="7046B395">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snapToGrid w:val="0"/>
                      <w:color w:val="auto"/>
                      <w:kern w:val="0"/>
                      <w:sz w:val="21"/>
                      <w:szCs w:val="21"/>
                      <w:highlight w:val="none"/>
                      <w:lang w:val="en-US" w:eastAsia="zh-CN" w:bidi="ar-SA"/>
                    </w:rPr>
                  </w:pPr>
                  <w:r>
                    <w:rPr>
                      <w:rFonts w:hint="default" w:ascii="Times New Roman" w:hAnsi="Times New Roman" w:eastAsia="宋体" w:cs="Times New Roman"/>
                      <w:b/>
                      <w:bCs/>
                      <w:snapToGrid w:val="0"/>
                      <w:color w:val="auto"/>
                      <w:kern w:val="0"/>
                      <w:sz w:val="21"/>
                      <w:szCs w:val="21"/>
                      <w:highlight w:val="none"/>
                      <w:lang w:val="en-US" w:eastAsia="zh-CN" w:bidi="ar-SA"/>
                    </w:rPr>
                    <w:t>气温℃</w:t>
                  </w:r>
                </w:p>
              </w:tc>
              <w:tc>
                <w:tcPr>
                  <w:tcW w:w="707" w:type="pct"/>
                  <w:tcBorders>
                    <w:tl2br w:val="nil"/>
                    <w:tr2bl w:val="nil"/>
                  </w:tcBorders>
                  <w:noWrap w:val="0"/>
                  <w:vAlign w:val="center"/>
                </w:tcPr>
                <w:p w14:paraId="4ADD2A49">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snapToGrid w:val="0"/>
                      <w:color w:val="auto"/>
                      <w:kern w:val="0"/>
                      <w:sz w:val="21"/>
                      <w:szCs w:val="21"/>
                      <w:highlight w:val="none"/>
                      <w:lang w:val="en-US" w:eastAsia="zh-CN" w:bidi="ar-SA"/>
                    </w:rPr>
                  </w:pPr>
                  <w:r>
                    <w:rPr>
                      <w:rFonts w:hint="default" w:ascii="Times New Roman" w:hAnsi="Times New Roman" w:eastAsia="宋体" w:cs="Times New Roman"/>
                      <w:b/>
                      <w:bCs/>
                      <w:snapToGrid w:val="0"/>
                      <w:color w:val="auto"/>
                      <w:kern w:val="0"/>
                      <w:sz w:val="21"/>
                      <w:szCs w:val="21"/>
                      <w:highlight w:val="none"/>
                      <w:lang w:val="en-US" w:eastAsia="zh-CN" w:bidi="ar-SA"/>
                    </w:rPr>
                    <w:t>气压kPa</w:t>
                  </w:r>
                </w:p>
              </w:tc>
              <w:tc>
                <w:tcPr>
                  <w:tcW w:w="708" w:type="pct"/>
                  <w:tcBorders>
                    <w:tl2br w:val="nil"/>
                    <w:tr2bl w:val="nil"/>
                  </w:tcBorders>
                  <w:noWrap w:val="0"/>
                  <w:vAlign w:val="center"/>
                </w:tcPr>
                <w:p w14:paraId="40A2205C">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snapToGrid w:val="0"/>
                      <w:color w:val="auto"/>
                      <w:kern w:val="0"/>
                      <w:sz w:val="21"/>
                      <w:szCs w:val="21"/>
                      <w:highlight w:val="none"/>
                      <w:lang w:val="en-US" w:eastAsia="zh-CN" w:bidi="ar-SA"/>
                    </w:rPr>
                  </w:pPr>
                  <w:r>
                    <w:rPr>
                      <w:rFonts w:hint="default" w:ascii="Times New Roman" w:hAnsi="Times New Roman" w:eastAsia="宋体" w:cs="Times New Roman"/>
                      <w:b/>
                      <w:bCs/>
                      <w:snapToGrid w:val="0"/>
                      <w:color w:val="auto"/>
                      <w:kern w:val="0"/>
                      <w:sz w:val="21"/>
                      <w:szCs w:val="21"/>
                      <w:highlight w:val="none"/>
                      <w:lang w:val="en-US" w:eastAsia="zh-CN" w:bidi="ar-SA"/>
                    </w:rPr>
                    <w:t>湿度%</w:t>
                  </w:r>
                </w:p>
              </w:tc>
            </w:tr>
            <w:tr w14:paraId="64996D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2" w:type="pct"/>
                  <w:tcBorders>
                    <w:tl2br w:val="nil"/>
                    <w:tr2bl w:val="nil"/>
                  </w:tcBorders>
                  <w:noWrap w:val="0"/>
                  <w:vAlign w:val="center"/>
                </w:tcPr>
                <w:p w14:paraId="3B7FE1D3">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2025.07.</w:t>
                  </w:r>
                  <w:r>
                    <w:rPr>
                      <w:rFonts w:hint="eastAsia" w:ascii="Times New Roman" w:hAnsi="Times New Roman" w:eastAsia="宋体" w:cs="Times New Roman"/>
                      <w:snapToGrid w:val="0"/>
                      <w:color w:val="auto"/>
                      <w:kern w:val="0"/>
                      <w:sz w:val="21"/>
                      <w:szCs w:val="21"/>
                      <w:highlight w:val="none"/>
                      <w:lang w:val="en-US" w:eastAsia="zh-CN" w:bidi="ar-SA"/>
                    </w:rPr>
                    <w:t>18</w:t>
                  </w:r>
                </w:p>
              </w:tc>
              <w:tc>
                <w:tcPr>
                  <w:tcW w:w="681" w:type="pct"/>
                  <w:tcBorders>
                    <w:tl2br w:val="nil"/>
                    <w:tr2bl w:val="nil"/>
                  </w:tcBorders>
                  <w:noWrap w:val="0"/>
                  <w:vAlign w:val="center"/>
                </w:tcPr>
                <w:p w14:paraId="427EC926">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多云</w:t>
                  </w:r>
                </w:p>
              </w:tc>
              <w:tc>
                <w:tcPr>
                  <w:tcW w:w="634" w:type="pct"/>
                  <w:tcBorders>
                    <w:tl2br w:val="nil"/>
                    <w:tr2bl w:val="nil"/>
                  </w:tcBorders>
                  <w:noWrap w:val="0"/>
                  <w:vAlign w:val="center"/>
                </w:tcPr>
                <w:p w14:paraId="616C77D0">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东风</w:t>
                  </w:r>
                </w:p>
              </w:tc>
              <w:tc>
                <w:tcPr>
                  <w:tcW w:w="707" w:type="pct"/>
                  <w:tcBorders>
                    <w:tl2br w:val="nil"/>
                    <w:tr2bl w:val="nil"/>
                  </w:tcBorders>
                  <w:noWrap w:val="0"/>
                  <w:vAlign w:val="center"/>
                </w:tcPr>
                <w:p w14:paraId="543442C1">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1.1~</w:t>
                  </w:r>
                  <w:r>
                    <w:rPr>
                      <w:rFonts w:hint="default" w:ascii="Times New Roman" w:hAnsi="Times New Roman" w:eastAsia="宋体" w:cs="Times New Roman"/>
                      <w:snapToGrid w:val="0"/>
                      <w:color w:val="auto"/>
                      <w:kern w:val="0"/>
                      <w:sz w:val="21"/>
                      <w:szCs w:val="21"/>
                      <w:highlight w:val="none"/>
                      <w:lang w:val="en-US" w:eastAsia="zh-CN" w:bidi="ar-SA"/>
                    </w:rPr>
                    <w:t>2</w:t>
                  </w:r>
                  <w:r>
                    <w:rPr>
                      <w:rFonts w:hint="eastAsia" w:ascii="Times New Roman" w:hAnsi="Times New Roman" w:eastAsia="宋体" w:cs="Times New Roman"/>
                      <w:snapToGrid w:val="0"/>
                      <w:color w:val="auto"/>
                      <w:kern w:val="0"/>
                      <w:sz w:val="21"/>
                      <w:szCs w:val="21"/>
                      <w:highlight w:val="none"/>
                      <w:lang w:val="en-US" w:eastAsia="zh-CN" w:bidi="ar-SA"/>
                    </w:rPr>
                    <w:t>.8</w:t>
                  </w:r>
                </w:p>
              </w:tc>
              <w:tc>
                <w:tcPr>
                  <w:tcW w:w="707" w:type="pct"/>
                  <w:tcBorders>
                    <w:tl2br w:val="nil"/>
                    <w:tr2bl w:val="nil"/>
                  </w:tcBorders>
                  <w:noWrap w:val="0"/>
                  <w:vAlign w:val="center"/>
                </w:tcPr>
                <w:p w14:paraId="308D003E">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19~30</w:t>
                  </w:r>
                </w:p>
              </w:tc>
              <w:tc>
                <w:tcPr>
                  <w:tcW w:w="707" w:type="pct"/>
                  <w:tcBorders>
                    <w:tl2br w:val="nil"/>
                    <w:tr2bl w:val="nil"/>
                  </w:tcBorders>
                  <w:noWrap w:val="0"/>
                  <w:vAlign w:val="center"/>
                </w:tcPr>
                <w:p w14:paraId="1C8C07DD">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82.6</w:t>
                  </w:r>
                </w:p>
              </w:tc>
              <w:tc>
                <w:tcPr>
                  <w:tcW w:w="708" w:type="pct"/>
                  <w:tcBorders>
                    <w:tl2br w:val="nil"/>
                    <w:tr2bl w:val="nil"/>
                  </w:tcBorders>
                  <w:noWrap w:val="0"/>
                  <w:vAlign w:val="center"/>
                </w:tcPr>
                <w:p w14:paraId="5B78AA0D">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4</w:t>
                  </w:r>
                  <w:r>
                    <w:rPr>
                      <w:rFonts w:hint="eastAsia" w:ascii="Times New Roman" w:hAnsi="Times New Roman" w:eastAsia="宋体" w:cs="Times New Roman"/>
                      <w:snapToGrid w:val="0"/>
                      <w:color w:val="auto"/>
                      <w:kern w:val="0"/>
                      <w:sz w:val="21"/>
                      <w:szCs w:val="21"/>
                      <w:highlight w:val="none"/>
                      <w:lang w:val="en-US" w:eastAsia="zh-CN" w:bidi="ar-SA"/>
                    </w:rPr>
                    <w:t>0~5</w:t>
                  </w:r>
                  <w:r>
                    <w:rPr>
                      <w:rFonts w:hint="default" w:ascii="Times New Roman" w:hAnsi="Times New Roman" w:eastAsia="宋体" w:cs="Times New Roman"/>
                      <w:snapToGrid w:val="0"/>
                      <w:color w:val="auto"/>
                      <w:kern w:val="0"/>
                      <w:sz w:val="21"/>
                      <w:szCs w:val="21"/>
                      <w:highlight w:val="none"/>
                      <w:lang w:val="en-US" w:eastAsia="zh-CN" w:bidi="ar-SA"/>
                    </w:rPr>
                    <w:t>5</w:t>
                  </w:r>
                </w:p>
              </w:tc>
            </w:tr>
            <w:tr w14:paraId="0B4243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2" w:type="pct"/>
                  <w:tcBorders>
                    <w:tl2br w:val="nil"/>
                    <w:tr2bl w:val="nil"/>
                  </w:tcBorders>
                  <w:noWrap w:val="0"/>
                  <w:vAlign w:val="center"/>
                </w:tcPr>
                <w:p w14:paraId="78E63642">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2025.07.</w:t>
                  </w:r>
                  <w:r>
                    <w:rPr>
                      <w:rFonts w:hint="eastAsia" w:ascii="Times New Roman" w:hAnsi="Times New Roman" w:eastAsia="宋体" w:cs="Times New Roman"/>
                      <w:snapToGrid w:val="0"/>
                      <w:color w:val="auto"/>
                      <w:kern w:val="0"/>
                      <w:sz w:val="21"/>
                      <w:szCs w:val="21"/>
                      <w:highlight w:val="none"/>
                      <w:lang w:val="en-US" w:eastAsia="zh-CN" w:bidi="ar-SA"/>
                    </w:rPr>
                    <w:t>19</w:t>
                  </w:r>
                </w:p>
              </w:tc>
              <w:tc>
                <w:tcPr>
                  <w:tcW w:w="681" w:type="pct"/>
                  <w:tcBorders>
                    <w:tl2br w:val="nil"/>
                    <w:tr2bl w:val="nil"/>
                  </w:tcBorders>
                  <w:noWrap w:val="0"/>
                  <w:vAlign w:val="center"/>
                </w:tcPr>
                <w:p w14:paraId="29AE366D">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多云</w:t>
                  </w:r>
                </w:p>
              </w:tc>
              <w:tc>
                <w:tcPr>
                  <w:tcW w:w="634" w:type="pct"/>
                  <w:tcBorders>
                    <w:tl2br w:val="nil"/>
                    <w:tr2bl w:val="nil"/>
                  </w:tcBorders>
                  <w:noWrap w:val="0"/>
                  <w:vAlign w:val="center"/>
                </w:tcPr>
                <w:p w14:paraId="064291AC">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东北风</w:t>
                  </w:r>
                </w:p>
              </w:tc>
              <w:tc>
                <w:tcPr>
                  <w:tcW w:w="707" w:type="pct"/>
                  <w:tcBorders>
                    <w:tl2br w:val="nil"/>
                    <w:tr2bl w:val="nil"/>
                  </w:tcBorders>
                  <w:noWrap w:val="0"/>
                  <w:vAlign w:val="center"/>
                </w:tcPr>
                <w:p w14:paraId="7BE6294A">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1.1~</w:t>
                  </w:r>
                  <w:r>
                    <w:rPr>
                      <w:rFonts w:hint="default" w:ascii="Times New Roman" w:hAnsi="Times New Roman" w:eastAsia="宋体" w:cs="Times New Roman"/>
                      <w:snapToGrid w:val="0"/>
                      <w:color w:val="auto"/>
                      <w:kern w:val="0"/>
                      <w:sz w:val="21"/>
                      <w:szCs w:val="21"/>
                      <w:highlight w:val="none"/>
                      <w:lang w:val="en-US" w:eastAsia="zh-CN" w:bidi="ar-SA"/>
                    </w:rPr>
                    <w:t>2</w:t>
                  </w:r>
                  <w:r>
                    <w:rPr>
                      <w:rFonts w:hint="eastAsia" w:ascii="Times New Roman" w:hAnsi="Times New Roman" w:eastAsia="宋体"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9</w:t>
                  </w:r>
                </w:p>
              </w:tc>
              <w:tc>
                <w:tcPr>
                  <w:tcW w:w="707" w:type="pct"/>
                  <w:tcBorders>
                    <w:tl2br w:val="nil"/>
                    <w:tr2bl w:val="nil"/>
                  </w:tcBorders>
                  <w:noWrap w:val="0"/>
                  <w:vAlign w:val="center"/>
                </w:tcPr>
                <w:p w14:paraId="1264D304">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20~28</w:t>
                  </w:r>
                </w:p>
              </w:tc>
              <w:tc>
                <w:tcPr>
                  <w:tcW w:w="707" w:type="pct"/>
                  <w:tcBorders>
                    <w:tl2br w:val="nil"/>
                    <w:tr2bl w:val="nil"/>
                  </w:tcBorders>
                  <w:noWrap w:val="0"/>
                  <w:vAlign w:val="center"/>
                </w:tcPr>
                <w:p w14:paraId="02589A84">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82.6</w:t>
                  </w:r>
                </w:p>
              </w:tc>
              <w:tc>
                <w:tcPr>
                  <w:tcW w:w="708" w:type="pct"/>
                  <w:tcBorders>
                    <w:tl2br w:val="nil"/>
                    <w:tr2bl w:val="nil"/>
                  </w:tcBorders>
                  <w:noWrap w:val="0"/>
                  <w:vAlign w:val="center"/>
                </w:tcPr>
                <w:p w14:paraId="71D27DB7">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51</w:t>
                  </w:r>
                  <w:r>
                    <w:rPr>
                      <w:rFonts w:hint="eastAsia" w:ascii="Times New Roman" w:hAnsi="Times New Roman" w:eastAsia="宋体" w:cs="Times New Roman"/>
                      <w:snapToGrid w:val="0"/>
                      <w:color w:val="auto"/>
                      <w:kern w:val="0"/>
                      <w:sz w:val="21"/>
                      <w:szCs w:val="21"/>
                      <w:highlight w:val="none"/>
                      <w:lang w:val="en-US" w:eastAsia="zh-CN" w:bidi="ar-SA"/>
                    </w:rPr>
                    <w:t>~</w:t>
                  </w:r>
                  <w:r>
                    <w:rPr>
                      <w:rFonts w:hint="default" w:ascii="Times New Roman" w:hAnsi="Times New Roman" w:eastAsia="宋体" w:cs="Times New Roman"/>
                      <w:snapToGrid w:val="0"/>
                      <w:color w:val="auto"/>
                      <w:kern w:val="0"/>
                      <w:sz w:val="21"/>
                      <w:szCs w:val="21"/>
                      <w:highlight w:val="none"/>
                      <w:lang w:val="en-US" w:eastAsia="zh-CN" w:bidi="ar-SA"/>
                    </w:rPr>
                    <w:t>60</w:t>
                  </w:r>
                </w:p>
              </w:tc>
            </w:tr>
          </w:tbl>
          <w:p w14:paraId="4FC27BC5">
            <w:pPr>
              <w:pStyle w:val="2"/>
              <w:adjustRightInd w:val="0"/>
              <w:spacing w:before="0" w:after="0" w:line="440" w:lineRule="exact"/>
              <w:ind w:right="0" w:firstLine="480" w:firstLineChars="200"/>
              <w:rPr>
                <w:color w:val="auto"/>
                <w:sz w:val="24"/>
              </w:rPr>
            </w:pPr>
            <w:r>
              <w:rPr>
                <w:rFonts w:hint="eastAsia"/>
                <w:color w:val="auto"/>
                <w:sz w:val="24"/>
              </w:rPr>
              <w:t>监测环境：线路监测点附近平坦开阔，符合监测技术条件要求。</w:t>
            </w:r>
          </w:p>
          <w:p w14:paraId="6C08745C">
            <w:pPr>
              <w:spacing w:line="240" w:lineRule="auto"/>
              <w:jc w:val="center"/>
              <w:rPr>
                <w:b/>
                <w:color w:val="auto"/>
                <w:sz w:val="24"/>
              </w:rPr>
            </w:pPr>
            <w:r>
              <w:rPr>
                <w:b/>
                <w:color w:val="auto"/>
                <w:sz w:val="24"/>
              </w:rPr>
              <w:t>表4-</w:t>
            </w:r>
            <w:r>
              <w:rPr>
                <w:rFonts w:hint="eastAsia"/>
                <w:b/>
                <w:color w:val="auto"/>
                <w:sz w:val="24"/>
                <w:lang w:val="en-US" w:eastAsia="zh-CN"/>
              </w:rPr>
              <w:t>8</w:t>
            </w:r>
            <w:r>
              <w:rPr>
                <w:b/>
                <w:color w:val="auto"/>
                <w:sz w:val="24"/>
              </w:rPr>
              <w:t xml:space="preserve">  监测期间运行工况</w:t>
            </w:r>
          </w:p>
          <w:tbl>
            <w:tblPr>
              <w:tblStyle w:val="30"/>
              <w:tblW w:w="836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046"/>
              <w:gridCol w:w="1878"/>
              <w:gridCol w:w="1419"/>
              <w:gridCol w:w="1365"/>
              <w:gridCol w:w="1313"/>
              <w:gridCol w:w="1346"/>
            </w:tblGrid>
            <w:tr w14:paraId="073CCAB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1046" w:type="dxa"/>
                  <w:noWrap w:val="0"/>
                  <w:vAlign w:val="center"/>
                </w:tcPr>
                <w:p w14:paraId="2011F96F">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snapToGrid w:val="0"/>
                      <w:color w:val="auto"/>
                      <w:kern w:val="0"/>
                      <w:sz w:val="21"/>
                      <w:szCs w:val="21"/>
                      <w:highlight w:val="none"/>
                      <w:lang w:val="en-US" w:eastAsia="zh-CN" w:bidi="ar-SA"/>
                    </w:rPr>
                  </w:pPr>
                  <w:r>
                    <w:rPr>
                      <w:rFonts w:hint="eastAsia" w:ascii="Times New Roman" w:hAnsi="Times New Roman" w:eastAsia="宋体" w:cs="Times New Roman"/>
                      <w:b/>
                      <w:bCs/>
                      <w:snapToGrid w:val="0"/>
                      <w:color w:val="auto"/>
                      <w:kern w:val="0"/>
                      <w:sz w:val="21"/>
                      <w:szCs w:val="21"/>
                      <w:highlight w:val="none"/>
                      <w:lang w:val="en-US" w:eastAsia="zh-CN" w:bidi="ar-SA"/>
                    </w:rPr>
                    <w:t>日期</w:t>
                  </w:r>
                </w:p>
              </w:tc>
              <w:tc>
                <w:tcPr>
                  <w:tcW w:w="1878" w:type="dxa"/>
                  <w:noWrap w:val="0"/>
                  <w:vAlign w:val="center"/>
                </w:tcPr>
                <w:p w14:paraId="31F9C802">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snapToGrid w:val="0"/>
                      <w:color w:val="auto"/>
                      <w:kern w:val="0"/>
                      <w:sz w:val="21"/>
                      <w:szCs w:val="21"/>
                      <w:highlight w:val="none"/>
                      <w:lang w:val="en-US" w:eastAsia="zh-CN" w:bidi="ar-SA"/>
                    </w:rPr>
                  </w:pPr>
                  <w:r>
                    <w:rPr>
                      <w:rFonts w:hint="eastAsia" w:ascii="Times New Roman" w:hAnsi="Times New Roman" w:eastAsia="宋体" w:cs="Times New Roman"/>
                      <w:b/>
                      <w:bCs/>
                      <w:snapToGrid w:val="0"/>
                      <w:color w:val="auto"/>
                      <w:kern w:val="0"/>
                      <w:sz w:val="21"/>
                      <w:szCs w:val="21"/>
                      <w:highlight w:val="none"/>
                      <w:lang w:val="en-US" w:eastAsia="zh-CN" w:bidi="ar-SA"/>
                    </w:rPr>
                    <w:t>名称</w:t>
                  </w:r>
                </w:p>
              </w:tc>
              <w:tc>
                <w:tcPr>
                  <w:tcW w:w="1419" w:type="dxa"/>
                  <w:noWrap w:val="0"/>
                  <w:vAlign w:val="center"/>
                </w:tcPr>
                <w:p w14:paraId="16110A27">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b/>
                      <w:bCs/>
                      <w:snapToGrid w:val="0"/>
                      <w:color w:val="auto"/>
                      <w:kern w:val="0"/>
                      <w:sz w:val="21"/>
                      <w:szCs w:val="21"/>
                      <w:highlight w:val="none"/>
                      <w:lang w:val="en-US" w:eastAsia="zh-CN" w:bidi="ar-SA"/>
                    </w:rPr>
                  </w:pPr>
                  <w:r>
                    <w:rPr>
                      <w:rFonts w:hint="eastAsia" w:ascii="Times New Roman" w:hAnsi="Times New Roman" w:eastAsia="宋体" w:cs="Times New Roman"/>
                      <w:b/>
                      <w:bCs/>
                      <w:snapToGrid w:val="0"/>
                      <w:color w:val="auto"/>
                      <w:kern w:val="0"/>
                      <w:sz w:val="21"/>
                      <w:szCs w:val="21"/>
                      <w:highlight w:val="none"/>
                      <w:lang w:val="en-US" w:eastAsia="zh-CN" w:bidi="ar-SA"/>
                    </w:rPr>
                    <w:t>电压</w:t>
                  </w:r>
                  <w:r>
                    <w:rPr>
                      <w:rFonts w:hint="default" w:ascii="Times New Roman" w:hAnsi="Times New Roman" w:eastAsia="宋体" w:cs="Times New Roman"/>
                      <w:b/>
                      <w:bCs/>
                      <w:snapToGrid w:val="0"/>
                      <w:color w:val="auto"/>
                      <w:kern w:val="0"/>
                      <w:sz w:val="21"/>
                      <w:szCs w:val="21"/>
                      <w:highlight w:val="none"/>
                      <w:lang w:val="en-US" w:eastAsia="zh-CN" w:bidi="ar-SA"/>
                    </w:rPr>
                    <w:t>（kV）</w:t>
                  </w:r>
                </w:p>
              </w:tc>
              <w:tc>
                <w:tcPr>
                  <w:tcW w:w="1365" w:type="dxa"/>
                  <w:noWrap w:val="0"/>
                  <w:vAlign w:val="center"/>
                </w:tcPr>
                <w:p w14:paraId="1B0B92B2">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snapToGrid w:val="0"/>
                      <w:color w:val="auto"/>
                      <w:kern w:val="0"/>
                      <w:sz w:val="21"/>
                      <w:szCs w:val="21"/>
                      <w:highlight w:val="none"/>
                      <w:lang w:val="en-US" w:eastAsia="zh-CN" w:bidi="ar-SA"/>
                    </w:rPr>
                  </w:pPr>
                  <w:r>
                    <w:rPr>
                      <w:rFonts w:hint="default" w:ascii="Times New Roman" w:hAnsi="Times New Roman" w:eastAsia="宋体" w:cs="Times New Roman"/>
                      <w:b/>
                      <w:bCs/>
                      <w:snapToGrid w:val="0"/>
                      <w:color w:val="auto"/>
                      <w:kern w:val="0"/>
                      <w:sz w:val="21"/>
                      <w:szCs w:val="21"/>
                      <w:highlight w:val="none"/>
                      <w:lang w:val="en-US" w:eastAsia="zh-CN" w:bidi="ar-SA"/>
                    </w:rPr>
                    <w:t>电流（A）</w:t>
                  </w:r>
                </w:p>
              </w:tc>
              <w:tc>
                <w:tcPr>
                  <w:tcW w:w="1313" w:type="dxa"/>
                  <w:noWrap w:val="0"/>
                  <w:vAlign w:val="center"/>
                </w:tcPr>
                <w:p w14:paraId="28E283C3">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snapToGrid w:val="0"/>
                      <w:color w:val="auto"/>
                      <w:kern w:val="0"/>
                      <w:sz w:val="21"/>
                      <w:szCs w:val="21"/>
                      <w:highlight w:val="none"/>
                      <w:lang w:val="en-US" w:eastAsia="zh-CN" w:bidi="ar-SA"/>
                    </w:rPr>
                  </w:pPr>
                  <w:r>
                    <w:rPr>
                      <w:rFonts w:hint="eastAsia" w:ascii="Times New Roman" w:hAnsi="Times New Roman" w:eastAsia="宋体" w:cs="Times New Roman"/>
                      <w:b/>
                      <w:bCs/>
                      <w:snapToGrid w:val="0"/>
                      <w:color w:val="auto"/>
                      <w:kern w:val="0"/>
                      <w:sz w:val="21"/>
                      <w:szCs w:val="21"/>
                      <w:highlight w:val="none"/>
                      <w:lang w:val="en-US" w:eastAsia="zh-CN" w:bidi="ar-SA"/>
                    </w:rPr>
                    <w:t>有效功率（MW）</w:t>
                  </w:r>
                </w:p>
              </w:tc>
              <w:tc>
                <w:tcPr>
                  <w:tcW w:w="1346" w:type="dxa"/>
                  <w:noWrap w:val="0"/>
                  <w:vAlign w:val="center"/>
                </w:tcPr>
                <w:p w14:paraId="5EDCA990">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b/>
                      <w:bCs/>
                      <w:snapToGrid w:val="0"/>
                      <w:color w:val="auto"/>
                      <w:kern w:val="0"/>
                      <w:sz w:val="21"/>
                      <w:szCs w:val="21"/>
                      <w:highlight w:val="none"/>
                      <w:lang w:val="en-US" w:eastAsia="zh-CN" w:bidi="ar-SA"/>
                    </w:rPr>
                  </w:pPr>
                  <w:r>
                    <w:rPr>
                      <w:rFonts w:hint="eastAsia" w:ascii="Times New Roman" w:hAnsi="Times New Roman" w:eastAsia="宋体" w:cs="Times New Roman"/>
                      <w:b/>
                      <w:bCs/>
                      <w:snapToGrid w:val="0"/>
                      <w:color w:val="auto"/>
                      <w:kern w:val="0"/>
                      <w:sz w:val="21"/>
                      <w:szCs w:val="21"/>
                      <w:highlight w:val="none"/>
                      <w:lang w:val="en-US" w:eastAsia="zh-CN" w:bidi="ar-SA"/>
                    </w:rPr>
                    <w:t>无功功率（MW）</w:t>
                  </w:r>
                </w:p>
              </w:tc>
            </w:tr>
            <w:tr w14:paraId="221961A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6" w:hRule="atLeast"/>
                <w:jc w:val="center"/>
              </w:trPr>
              <w:tc>
                <w:tcPr>
                  <w:tcW w:w="1046" w:type="dxa"/>
                  <w:vMerge w:val="restart"/>
                  <w:noWrap w:val="0"/>
                  <w:vAlign w:val="center"/>
                </w:tcPr>
                <w:p w14:paraId="1A9CC51D">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2025年7月18日</w:t>
                  </w:r>
                </w:p>
              </w:tc>
              <w:tc>
                <w:tcPr>
                  <w:tcW w:w="1878" w:type="dxa"/>
                  <w:noWrap w:val="0"/>
                  <w:vAlign w:val="center"/>
                </w:tcPr>
                <w:p w14:paraId="2FDA39E7">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110kV大钢线</w:t>
                  </w:r>
                </w:p>
              </w:tc>
              <w:tc>
                <w:tcPr>
                  <w:tcW w:w="1419" w:type="dxa"/>
                  <w:noWrap w:val="0"/>
                  <w:vAlign w:val="center"/>
                </w:tcPr>
                <w:p w14:paraId="57121BEA">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111.305~115.46</w:t>
                  </w:r>
                </w:p>
              </w:tc>
              <w:tc>
                <w:tcPr>
                  <w:tcW w:w="1365" w:type="dxa"/>
                  <w:noWrap w:val="0"/>
                  <w:vAlign w:val="center"/>
                </w:tcPr>
                <w:p w14:paraId="00CB8F15">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28.8~205.86</w:t>
                  </w:r>
                </w:p>
              </w:tc>
              <w:tc>
                <w:tcPr>
                  <w:tcW w:w="1313" w:type="dxa"/>
                  <w:noWrap w:val="0"/>
                  <w:vAlign w:val="center"/>
                </w:tcPr>
                <w:p w14:paraId="39AD01CF">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2.86~36.87</w:t>
                  </w:r>
                </w:p>
              </w:tc>
              <w:tc>
                <w:tcPr>
                  <w:tcW w:w="1346" w:type="dxa"/>
                  <w:noWrap w:val="0"/>
                  <w:vAlign w:val="center"/>
                </w:tcPr>
                <w:p w14:paraId="22CFC864">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-4.851~-10.98</w:t>
                  </w:r>
                </w:p>
              </w:tc>
            </w:tr>
            <w:tr w14:paraId="6DA17F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6" w:hRule="atLeast"/>
                <w:jc w:val="center"/>
              </w:trPr>
              <w:tc>
                <w:tcPr>
                  <w:tcW w:w="1046" w:type="dxa"/>
                  <w:vMerge w:val="continue"/>
                  <w:noWrap w:val="0"/>
                  <w:vAlign w:val="center"/>
                </w:tcPr>
                <w:p w14:paraId="68C58F3C">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bidi="ar-SA"/>
                    </w:rPr>
                  </w:pPr>
                </w:p>
              </w:tc>
              <w:tc>
                <w:tcPr>
                  <w:tcW w:w="1878" w:type="dxa"/>
                  <w:noWrap w:val="0"/>
                  <w:vAlign w:val="center"/>
                </w:tcPr>
                <w:p w14:paraId="7FEA93FB">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110kV总降变主变</w:t>
                  </w:r>
                </w:p>
              </w:tc>
              <w:tc>
                <w:tcPr>
                  <w:tcW w:w="1419" w:type="dxa"/>
                  <w:noWrap w:val="0"/>
                  <w:vAlign w:val="center"/>
                </w:tcPr>
                <w:p w14:paraId="120433C1">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114.65~117.32</w:t>
                  </w:r>
                </w:p>
              </w:tc>
              <w:tc>
                <w:tcPr>
                  <w:tcW w:w="1365" w:type="dxa"/>
                  <w:noWrap w:val="0"/>
                  <w:vAlign w:val="center"/>
                </w:tcPr>
                <w:p w14:paraId="6447200A">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52.8~126.6</w:t>
                  </w:r>
                </w:p>
              </w:tc>
              <w:tc>
                <w:tcPr>
                  <w:tcW w:w="1313" w:type="dxa"/>
                  <w:noWrap w:val="0"/>
                  <w:vAlign w:val="center"/>
                </w:tcPr>
                <w:p w14:paraId="7F5C2375">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10.289~25.210</w:t>
                  </w:r>
                </w:p>
              </w:tc>
              <w:tc>
                <w:tcPr>
                  <w:tcW w:w="1346" w:type="dxa"/>
                  <w:noWrap w:val="0"/>
                  <w:vAlign w:val="center"/>
                </w:tcPr>
                <w:p w14:paraId="3C7D34B1">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2.3~7.638</w:t>
                  </w:r>
                </w:p>
              </w:tc>
            </w:tr>
            <w:tr w14:paraId="2499DD7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6" w:hRule="atLeast"/>
                <w:jc w:val="center"/>
              </w:trPr>
              <w:tc>
                <w:tcPr>
                  <w:tcW w:w="1046" w:type="dxa"/>
                  <w:vMerge w:val="restart"/>
                  <w:noWrap w:val="0"/>
                  <w:vAlign w:val="center"/>
                </w:tcPr>
                <w:p w14:paraId="7C20B597">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2025年7月19日</w:t>
                  </w:r>
                </w:p>
              </w:tc>
              <w:tc>
                <w:tcPr>
                  <w:tcW w:w="1878" w:type="dxa"/>
                  <w:noWrap w:val="0"/>
                  <w:vAlign w:val="center"/>
                </w:tcPr>
                <w:p w14:paraId="568D17D5">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110kV</w:t>
                  </w:r>
                  <w:r>
                    <w:rPr>
                      <w:rFonts w:hint="eastAsia" w:ascii="Times New Roman" w:hAnsi="Times New Roman" w:eastAsia="宋体" w:cs="Times New Roman"/>
                      <w:snapToGrid w:val="0"/>
                      <w:color w:val="auto"/>
                      <w:kern w:val="0"/>
                      <w:sz w:val="21"/>
                      <w:szCs w:val="21"/>
                      <w:highlight w:val="none"/>
                      <w:lang w:val="en-US" w:eastAsia="zh-CN" w:bidi="ar-SA"/>
                    </w:rPr>
                    <w:t>大钢线</w:t>
                  </w:r>
                </w:p>
              </w:tc>
              <w:tc>
                <w:tcPr>
                  <w:tcW w:w="1419" w:type="dxa"/>
                  <w:noWrap w:val="0"/>
                  <w:vAlign w:val="center"/>
                </w:tcPr>
                <w:p w14:paraId="102A62DD">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113.935~116.47</w:t>
                  </w:r>
                </w:p>
              </w:tc>
              <w:tc>
                <w:tcPr>
                  <w:tcW w:w="1365" w:type="dxa"/>
                  <w:noWrap w:val="0"/>
                  <w:vAlign w:val="center"/>
                </w:tcPr>
                <w:p w14:paraId="6FE3B65B">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22.46~285.82</w:t>
                  </w:r>
                </w:p>
              </w:tc>
              <w:tc>
                <w:tcPr>
                  <w:tcW w:w="1313" w:type="dxa"/>
                  <w:noWrap w:val="0"/>
                  <w:vAlign w:val="center"/>
                </w:tcPr>
                <w:p w14:paraId="65DA2D88">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-3.49~56.29</w:t>
                  </w:r>
                </w:p>
              </w:tc>
              <w:tc>
                <w:tcPr>
                  <w:tcW w:w="1346" w:type="dxa"/>
                  <w:noWrap w:val="0"/>
                  <w:vAlign w:val="center"/>
                </w:tcPr>
                <w:p w14:paraId="510DE245">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-4.514~8.13</w:t>
                  </w:r>
                </w:p>
              </w:tc>
            </w:tr>
            <w:tr w14:paraId="5EF16AF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7" w:hRule="atLeast"/>
                <w:jc w:val="center"/>
              </w:trPr>
              <w:tc>
                <w:tcPr>
                  <w:tcW w:w="1046" w:type="dxa"/>
                  <w:vMerge w:val="continue"/>
                  <w:noWrap w:val="0"/>
                  <w:vAlign w:val="center"/>
                </w:tcPr>
                <w:p w14:paraId="108BE067">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bidi="ar-SA"/>
                    </w:rPr>
                  </w:pPr>
                </w:p>
              </w:tc>
              <w:tc>
                <w:tcPr>
                  <w:tcW w:w="1878" w:type="dxa"/>
                  <w:noWrap w:val="0"/>
                  <w:vAlign w:val="center"/>
                </w:tcPr>
                <w:p w14:paraId="16E96667">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110kV</w:t>
                  </w:r>
                  <w:r>
                    <w:rPr>
                      <w:rFonts w:hint="eastAsia" w:ascii="Times New Roman" w:hAnsi="Times New Roman" w:eastAsia="宋体" w:cs="Times New Roman"/>
                      <w:snapToGrid w:val="0"/>
                      <w:color w:val="auto"/>
                      <w:kern w:val="0"/>
                      <w:sz w:val="21"/>
                      <w:szCs w:val="21"/>
                      <w:highlight w:val="none"/>
                      <w:lang w:val="en-US" w:eastAsia="zh-CN" w:bidi="ar-SA"/>
                    </w:rPr>
                    <w:t>总降变主变</w:t>
                  </w:r>
                </w:p>
              </w:tc>
              <w:tc>
                <w:tcPr>
                  <w:tcW w:w="1419" w:type="dxa"/>
                  <w:noWrap w:val="0"/>
                  <w:vAlign w:val="center"/>
                </w:tcPr>
                <w:p w14:paraId="6C666537">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113.75~117.86</w:t>
                  </w:r>
                </w:p>
              </w:tc>
              <w:tc>
                <w:tcPr>
                  <w:tcW w:w="1365" w:type="dxa"/>
                  <w:noWrap w:val="0"/>
                  <w:vAlign w:val="center"/>
                </w:tcPr>
                <w:p w14:paraId="0B1E756A">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65.49~148.64</w:t>
                  </w:r>
                </w:p>
              </w:tc>
              <w:tc>
                <w:tcPr>
                  <w:tcW w:w="1313" w:type="dxa"/>
                  <w:noWrap w:val="0"/>
                  <w:vAlign w:val="center"/>
                </w:tcPr>
                <w:p w14:paraId="66A54BB7">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11.67~22.34</w:t>
                  </w:r>
                </w:p>
              </w:tc>
              <w:tc>
                <w:tcPr>
                  <w:tcW w:w="1346" w:type="dxa"/>
                  <w:noWrap w:val="0"/>
                  <w:vAlign w:val="center"/>
                </w:tcPr>
                <w:p w14:paraId="0555712F">
                  <w:pPr>
                    <w:pStyle w:val="126"/>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-1.598~11.469</w:t>
                  </w:r>
                </w:p>
              </w:tc>
            </w:tr>
          </w:tbl>
          <w:p w14:paraId="3A56F607">
            <w:pPr>
              <w:pStyle w:val="2"/>
              <w:adjustRightInd w:val="0"/>
              <w:spacing w:before="0" w:after="0" w:line="440" w:lineRule="exact"/>
              <w:ind w:right="0" w:firstLine="480" w:firstLineChars="200"/>
              <w:rPr>
                <w:color w:val="auto"/>
                <w:sz w:val="24"/>
              </w:rPr>
            </w:pPr>
            <w:r>
              <w:rPr>
                <w:color w:val="auto"/>
                <w:sz w:val="24"/>
              </w:rPr>
              <w:t>监测期间输电线路正常运行。</w:t>
            </w:r>
          </w:p>
          <w:p w14:paraId="4A9047D4">
            <w:pPr>
              <w:pStyle w:val="2"/>
              <w:adjustRightInd w:val="0"/>
              <w:spacing w:before="0" w:after="0" w:line="440" w:lineRule="exact"/>
              <w:ind w:right="0" w:firstLine="482" w:firstLineChars="200"/>
              <w:rPr>
                <w:b/>
                <w:bCs/>
                <w:color w:val="auto"/>
                <w:sz w:val="24"/>
              </w:rPr>
            </w:pPr>
            <w:r>
              <w:rPr>
                <w:rFonts w:hint="eastAsia"/>
                <w:b/>
                <w:bCs/>
                <w:color w:val="auto"/>
                <w:sz w:val="24"/>
                <w:lang w:val="en-US" w:eastAsia="zh-CN"/>
              </w:rPr>
              <w:t>4）</w:t>
            </w:r>
            <w:r>
              <w:rPr>
                <w:b/>
                <w:bCs/>
                <w:color w:val="auto"/>
                <w:sz w:val="24"/>
              </w:rPr>
              <w:t>监测结果</w:t>
            </w:r>
          </w:p>
          <w:p w14:paraId="3C3A1918">
            <w:pPr>
              <w:pStyle w:val="2"/>
              <w:adjustRightInd w:val="0"/>
              <w:spacing w:before="0" w:after="0" w:line="440" w:lineRule="exact"/>
              <w:ind w:right="0" w:firstLine="480" w:firstLineChars="200"/>
              <w:rPr>
                <w:b/>
                <w:color w:val="auto"/>
                <w:sz w:val="24"/>
              </w:rPr>
            </w:pPr>
            <w:r>
              <w:rPr>
                <w:color w:val="auto"/>
                <w:sz w:val="24"/>
              </w:rPr>
              <w:t>输电线路声环境监测结果见表4-</w:t>
            </w:r>
            <w:r>
              <w:rPr>
                <w:rFonts w:hint="eastAsia"/>
                <w:color w:val="auto"/>
                <w:sz w:val="24"/>
                <w:lang w:val="en-US" w:eastAsia="zh-CN"/>
              </w:rPr>
              <w:t>9</w:t>
            </w:r>
            <w:r>
              <w:rPr>
                <w:color w:val="auto"/>
                <w:sz w:val="24"/>
              </w:rPr>
              <w:t>。</w:t>
            </w:r>
          </w:p>
          <w:p w14:paraId="7B05EF29">
            <w:pPr>
              <w:spacing w:line="240" w:lineRule="auto"/>
              <w:jc w:val="center"/>
              <w:rPr>
                <w:b/>
                <w:color w:val="auto"/>
                <w:sz w:val="24"/>
              </w:rPr>
            </w:pPr>
            <w:r>
              <w:rPr>
                <w:b/>
                <w:color w:val="auto"/>
                <w:sz w:val="24"/>
              </w:rPr>
              <w:t>表4-</w:t>
            </w:r>
            <w:r>
              <w:rPr>
                <w:rFonts w:hint="eastAsia"/>
                <w:b/>
                <w:color w:val="auto"/>
                <w:sz w:val="24"/>
                <w:lang w:val="en-US" w:eastAsia="zh-CN"/>
              </w:rPr>
              <w:t>9</w:t>
            </w:r>
            <w:r>
              <w:rPr>
                <w:b/>
                <w:color w:val="auto"/>
                <w:sz w:val="24"/>
              </w:rPr>
              <w:t xml:space="preserve"> 输电线路噪声监测结果</w:t>
            </w:r>
          </w:p>
          <w:tbl>
            <w:tblPr>
              <w:tblStyle w:val="3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60"/>
              <w:gridCol w:w="4378"/>
              <w:gridCol w:w="784"/>
              <w:gridCol w:w="753"/>
              <w:gridCol w:w="753"/>
              <w:gridCol w:w="775"/>
            </w:tblGrid>
            <w:tr w14:paraId="5DFBCC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noWrap w:val="0"/>
                  <w:vAlign w:val="center"/>
                </w:tcPr>
                <w:p w14:paraId="216B8654">
                  <w:pPr>
                    <w:adjustRightInd w:val="0"/>
                    <w:snapToGrid w:val="0"/>
                    <w:spacing w:line="240" w:lineRule="auto"/>
                    <w:jc w:val="center"/>
                    <w:rPr>
                      <w:rFonts w:hint="eastAsia" w:eastAsia="宋体"/>
                      <w:color w:val="auto"/>
                      <w:szCs w:val="21"/>
                      <w:lang w:val="en-US" w:eastAsia="zh-CN"/>
                    </w:rPr>
                  </w:pPr>
                  <w:r>
                    <w:rPr>
                      <w:b/>
                      <w:bCs/>
                      <w:color w:val="auto"/>
                      <w:szCs w:val="21"/>
                    </w:rPr>
                    <w:t>单回</w:t>
                  </w:r>
                  <w:r>
                    <w:rPr>
                      <w:rFonts w:hint="eastAsia"/>
                      <w:b/>
                      <w:bCs/>
                      <w:color w:val="auto"/>
                      <w:szCs w:val="21"/>
                      <w:lang w:val="en-US" w:eastAsia="zh-CN"/>
                    </w:rPr>
                    <w:t>架空</w:t>
                  </w:r>
                  <w:r>
                    <w:rPr>
                      <w:b/>
                      <w:bCs/>
                      <w:color w:val="auto"/>
                      <w:szCs w:val="21"/>
                    </w:rPr>
                    <w:t>线路</w:t>
                  </w:r>
                  <w:r>
                    <w:rPr>
                      <w:rFonts w:hint="eastAsia"/>
                      <w:b/>
                      <w:bCs/>
                      <w:color w:val="auto"/>
                      <w:szCs w:val="21"/>
                      <w:lang w:val="en-US" w:eastAsia="zh-CN"/>
                    </w:rPr>
                    <w:t>段</w:t>
                  </w:r>
                </w:p>
              </w:tc>
            </w:tr>
            <w:tr w14:paraId="3DFBC9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3" w:type="pct"/>
                  <w:vMerge w:val="restart"/>
                  <w:noWrap w:val="0"/>
                  <w:vAlign w:val="center"/>
                </w:tcPr>
                <w:p w14:paraId="6694A60F">
                  <w:pPr>
                    <w:adjustRightInd w:val="0"/>
                    <w:snapToGrid w:val="0"/>
                    <w:spacing w:line="240" w:lineRule="auto"/>
                    <w:jc w:val="center"/>
                    <w:rPr>
                      <w:color w:val="auto"/>
                      <w:szCs w:val="21"/>
                    </w:rPr>
                  </w:pPr>
                  <w:r>
                    <w:rPr>
                      <w:color w:val="auto"/>
                      <w:szCs w:val="21"/>
                    </w:rPr>
                    <w:t>点位编号</w:t>
                  </w:r>
                </w:p>
              </w:tc>
              <w:tc>
                <w:tcPr>
                  <w:tcW w:w="2670" w:type="pct"/>
                  <w:vMerge w:val="restart"/>
                  <w:noWrap w:val="0"/>
                  <w:vAlign w:val="center"/>
                </w:tcPr>
                <w:p w14:paraId="16D5C868">
                  <w:pPr>
                    <w:adjustRightInd w:val="0"/>
                    <w:snapToGrid w:val="0"/>
                    <w:spacing w:line="240" w:lineRule="auto"/>
                    <w:jc w:val="center"/>
                    <w:rPr>
                      <w:color w:val="auto"/>
                      <w:szCs w:val="21"/>
                    </w:rPr>
                  </w:pPr>
                  <w:r>
                    <w:rPr>
                      <w:color w:val="auto"/>
                      <w:szCs w:val="21"/>
                    </w:rPr>
                    <w:t>点位描述</w:t>
                  </w:r>
                </w:p>
              </w:tc>
              <w:tc>
                <w:tcPr>
                  <w:tcW w:w="1866" w:type="pct"/>
                  <w:gridSpan w:val="4"/>
                  <w:noWrap w:val="0"/>
                  <w:vAlign w:val="center"/>
                </w:tcPr>
                <w:p w14:paraId="3B06DB26">
                  <w:pPr>
                    <w:adjustRightInd w:val="0"/>
                    <w:snapToGrid w:val="0"/>
                    <w:spacing w:line="240" w:lineRule="auto"/>
                    <w:jc w:val="center"/>
                    <w:rPr>
                      <w:color w:val="auto"/>
                      <w:szCs w:val="21"/>
                    </w:rPr>
                  </w:pPr>
                  <w:r>
                    <w:rPr>
                      <w:color w:val="auto"/>
                      <w:szCs w:val="21"/>
                    </w:rPr>
                    <w:t>等效A声级〔dB(A)〕</w:t>
                  </w:r>
                </w:p>
              </w:tc>
            </w:tr>
            <w:tr w14:paraId="4AADB5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3" w:type="pct"/>
                  <w:vMerge w:val="continue"/>
                  <w:noWrap w:val="0"/>
                  <w:vAlign w:val="center"/>
                </w:tcPr>
                <w:p w14:paraId="1267A4C1">
                  <w:pPr>
                    <w:adjustRightInd w:val="0"/>
                    <w:snapToGrid w:val="0"/>
                    <w:spacing w:line="240" w:lineRule="auto"/>
                    <w:jc w:val="center"/>
                    <w:rPr>
                      <w:color w:val="auto"/>
                      <w:szCs w:val="21"/>
                    </w:rPr>
                  </w:pPr>
                </w:p>
              </w:tc>
              <w:tc>
                <w:tcPr>
                  <w:tcW w:w="2670" w:type="pct"/>
                  <w:vMerge w:val="continue"/>
                  <w:noWrap w:val="0"/>
                  <w:vAlign w:val="center"/>
                </w:tcPr>
                <w:p w14:paraId="2ABF92C5">
                  <w:pPr>
                    <w:adjustRightInd w:val="0"/>
                    <w:snapToGrid w:val="0"/>
                    <w:spacing w:line="240" w:lineRule="auto"/>
                    <w:jc w:val="center"/>
                    <w:rPr>
                      <w:color w:val="auto"/>
                      <w:szCs w:val="21"/>
                    </w:rPr>
                  </w:pPr>
                </w:p>
              </w:tc>
              <w:tc>
                <w:tcPr>
                  <w:tcW w:w="936" w:type="pct"/>
                  <w:gridSpan w:val="2"/>
                  <w:noWrap w:val="0"/>
                  <w:vAlign w:val="center"/>
                </w:tcPr>
                <w:p w14:paraId="27438D51">
                  <w:pPr>
                    <w:adjustRightInd w:val="0"/>
                    <w:snapToGrid w:val="0"/>
                    <w:spacing w:line="240" w:lineRule="auto"/>
                    <w:jc w:val="center"/>
                    <w:rPr>
                      <w:rFonts w:hint="default" w:eastAsia="宋体"/>
                      <w:color w:val="auto"/>
                      <w:szCs w:val="21"/>
                      <w:lang w:val="en-US" w:eastAsia="zh-CN"/>
                    </w:rPr>
                  </w:pPr>
                  <w:r>
                    <w:rPr>
                      <w:color w:val="auto"/>
                      <w:szCs w:val="21"/>
                    </w:rPr>
                    <w:t>202</w:t>
                  </w:r>
                  <w:r>
                    <w:rPr>
                      <w:rFonts w:hint="eastAsia"/>
                      <w:color w:val="auto"/>
                      <w:szCs w:val="21"/>
                      <w:lang w:val="en-US" w:eastAsia="zh-CN"/>
                    </w:rPr>
                    <w:t>5.7.18</w:t>
                  </w:r>
                </w:p>
              </w:tc>
              <w:tc>
                <w:tcPr>
                  <w:tcW w:w="930" w:type="pct"/>
                  <w:gridSpan w:val="2"/>
                  <w:noWrap w:val="0"/>
                  <w:vAlign w:val="center"/>
                </w:tcPr>
                <w:p w14:paraId="1CB0104A">
                  <w:pPr>
                    <w:adjustRightInd w:val="0"/>
                    <w:snapToGrid w:val="0"/>
                    <w:spacing w:line="240" w:lineRule="auto"/>
                    <w:jc w:val="center"/>
                    <w:rPr>
                      <w:rFonts w:hint="default" w:eastAsia="宋体"/>
                      <w:color w:val="auto"/>
                      <w:szCs w:val="21"/>
                      <w:lang w:val="en-US" w:eastAsia="zh-CN"/>
                    </w:rPr>
                  </w:pPr>
                  <w:r>
                    <w:rPr>
                      <w:color w:val="auto"/>
                      <w:szCs w:val="21"/>
                    </w:rPr>
                    <w:t>202</w:t>
                  </w:r>
                  <w:r>
                    <w:rPr>
                      <w:rFonts w:hint="eastAsia"/>
                      <w:color w:val="auto"/>
                      <w:szCs w:val="21"/>
                      <w:lang w:val="en-US" w:eastAsia="zh-CN"/>
                    </w:rPr>
                    <w:t>5.7.19</w:t>
                  </w:r>
                </w:p>
              </w:tc>
            </w:tr>
            <w:tr w14:paraId="7A9861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3" w:type="pct"/>
                  <w:vMerge w:val="continue"/>
                  <w:noWrap w:val="0"/>
                  <w:vAlign w:val="center"/>
                </w:tcPr>
                <w:p w14:paraId="14F73A24">
                  <w:pPr>
                    <w:adjustRightInd w:val="0"/>
                    <w:snapToGrid w:val="0"/>
                    <w:spacing w:line="240" w:lineRule="auto"/>
                    <w:jc w:val="center"/>
                    <w:rPr>
                      <w:color w:val="auto"/>
                      <w:szCs w:val="21"/>
                    </w:rPr>
                  </w:pPr>
                </w:p>
              </w:tc>
              <w:tc>
                <w:tcPr>
                  <w:tcW w:w="2670" w:type="pct"/>
                  <w:vMerge w:val="continue"/>
                  <w:noWrap w:val="0"/>
                  <w:vAlign w:val="center"/>
                </w:tcPr>
                <w:p w14:paraId="0142CB8E">
                  <w:pPr>
                    <w:adjustRightInd w:val="0"/>
                    <w:snapToGrid w:val="0"/>
                    <w:spacing w:line="240" w:lineRule="auto"/>
                    <w:jc w:val="center"/>
                    <w:rPr>
                      <w:color w:val="auto"/>
                      <w:szCs w:val="21"/>
                    </w:rPr>
                  </w:pPr>
                </w:p>
              </w:tc>
              <w:tc>
                <w:tcPr>
                  <w:tcW w:w="477" w:type="pct"/>
                  <w:noWrap w:val="0"/>
                  <w:vAlign w:val="center"/>
                </w:tcPr>
                <w:p w14:paraId="394A6DA9">
                  <w:pPr>
                    <w:adjustRightInd w:val="0"/>
                    <w:snapToGrid w:val="0"/>
                    <w:spacing w:line="240" w:lineRule="auto"/>
                    <w:jc w:val="center"/>
                    <w:rPr>
                      <w:color w:val="auto"/>
                      <w:szCs w:val="21"/>
                    </w:rPr>
                  </w:pPr>
                  <w:r>
                    <w:rPr>
                      <w:color w:val="auto"/>
                      <w:szCs w:val="21"/>
                    </w:rPr>
                    <w:t>昼间dB(A)</w:t>
                  </w:r>
                </w:p>
              </w:tc>
              <w:tc>
                <w:tcPr>
                  <w:tcW w:w="458" w:type="pct"/>
                  <w:noWrap w:val="0"/>
                  <w:vAlign w:val="center"/>
                </w:tcPr>
                <w:p w14:paraId="4BEE680F">
                  <w:pPr>
                    <w:adjustRightInd w:val="0"/>
                    <w:snapToGrid w:val="0"/>
                    <w:spacing w:line="240" w:lineRule="auto"/>
                    <w:jc w:val="center"/>
                    <w:rPr>
                      <w:color w:val="auto"/>
                      <w:szCs w:val="21"/>
                    </w:rPr>
                  </w:pPr>
                  <w:r>
                    <w:rPr>
                      <w:color w:val="auto"/>
                      <w:szCs w:val="21"/>
                    </w:rPr>
                    <w:t>夜间dB(A)</w:t>
                  </w:r>
                </w:p>
              </w:tc>
              <w:tc>
                <w:tcPr>
                  <w:tcW w:w="458" w:type="pct"/>
                  <w:noWrap w:val="0"/>
                  <w:vAlign w:val="center"/>
                </w:tcPr>
                <w:p w14:paraId="0A500CE6">
                  <w:pPr>
                    <w:adjustRightInd w:val="0"/>
                    <w:snapToGrid w:val="0"/>
                    <w:spacing w:line="240" w:lineRule="auto"/>
                    <w:jc w:val="center"/>
                    <w:rPr>
                      <w:color w:val="auto"/>
                      <w:szCs w:val="21"/>
                    </w:rPr>
                  </w:pPr>
                  <w:r>
                    <w:rPr>
                      <w:color w:val="auto"/>
                      <w:szCs w:val="21"/>
                    </w:rPr>
                    <w:t>昼间dB(A)</w:t>
                  </w:r>
                </w:p>
              </w:tc>
              <w:tc>
                <w:tcPr>
                  <w:tcW w:w="471" w:type="pct"/>
                  <w:noWrap w:val="0"/>
                  <w:vAlign w:val="center"/>
                </w:tcPr>
                <w:p w14:paraId="368CDF15">
                  <w:pPr>
                    <w:adjustRightInd w:val="0"/>
                    <w:snapToGrid w:val="0"/>
                    <w:spacing w:line="240" w:lineRule="auto"/>
                    <w:jc w:val="center"/>
                    <w:rPr>
                      <w:color w:val="auto"/>
                      <w:szCs w:val="21"/>
                    </w:rPr>
                  </w:pPr>
                  <w:r>
                    <w:rPr>
                      <w:color w:val="auto"/>
                      <w:szCs w:val="21"/>
                    </w:rPr>
                    <w:t>夜间dB(A)</w:t>
                  </w:r>
                </w:p>
              </w:tc>
            </w:tr>
            <w:tr w14:paraId="6EBA0B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3" w:type="pct"/>
                  <w:noWrap w:val="0"/>
                  <w:vAlign w:val="center"/>
                </w:tcPr>
                <w:p w14:paraId="01C0593F">
                  <w:pPr>
                    <w:adjustRightInd w:val="0"/>
                    <w:snapToGrid w:val="0"/>
                    <w:spacing w:line="240" w:lineRule="auto"/>
                    <w:jc w:val="center"/>
                    <w:rPr>
                      <w:color w:val="auto"/>
                      <w:szCs w:val="21"/>
                    </w:rPr>
                  </w:pPr>
                  <w:r>
                    <w:rPr>
                      <w:color w:val="auto"/>
                      <w:szCs w:val="21"/>
                    </w:rPr>
                    <w:t>1</w:t>
                  </w:r>
                </w:p>
              </w:tc>
              <w:tc>
                <w:tcPr>
                  <w:tcW w:w="2670" w:type="pct"/>
                  <w:noWrap w:val="0"/>
                  <w:vAlign w:val="center"/>
                </w:tcPr>
                <w:p w14:paraId="24B4F2A2">
                  <w:pPr>
                    <w:adjustRightInd w:val="0"/>
                    <w:snapToGrid w:val="0"/>
                    <w:spacing w:line="240" w:lineRule="auto"/>
                    <w:jc w:val="center"/>
                    <w:rPr>
                      <w:color w:val="auto"/>
                      <w:szCs w:val="21"/>
                    </w:rPr>
                  </w:pPr>
                  <w:r>
                    <w:rPr>
                      <w:rFonts w:hint="eastAsia"/>
                      <w:color w:val="auto"/>
                      <w:szCs w:val="21"/>
                      <w:lang w:val="en-US" w:eastAsia="zh-CN"/>
                    </w:rPr>
                    <w:t>单回路N58~N59间线路中心投影0m（14#）</w:t>
                  </w:r>
                </w:p>
              </w:tc>
              <w:tc>
                <w:tcPr>
                  <w:tcW w:w="477" w:type="pct"/>
                  <w:noWrap w:val="0"/>
                  <w:vAlign w:val="center"/>
                </w:tcPr>
                <w:p w14:paraId="326A255F">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49.6</w:t>
                  </w:r>
                </w:p>
              </w:tc>
              <w:tc>
                <w:tcPr>
                  <w:tcW w:w="458" w:type="pct"/>
                  <w:noWrap w:val="0"/>
                  <w:vAlign w:val="center"/>
                </w:tcPr>
                <w:p w14:paraId="615123CE">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40.5</w:t>
                  </w:r>
                </w:p>
              </w:tc>
              <w:tc>
                <w:tcPr>
                  <w:tcW w:w="458" w:type="pct"/>
                  <w:noWrap w:val="0"/>
                  <w:vAlign w:val="center"/>
                </w:tcPr>
                <w:p w14:paraId="58244D32">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48.9</w:t>
                  </w:r>
                </w:p>
              </w:tc>
              <w:tc>
                <w:tcPr>
                  <w:tcW w:w="471" w:type="pct"/>
                  <w:noWrap w:val="0"/>
                  <w:vAlign w:val="center"/>
                </w:tcPr>
                <w:p w14:paraId="14276535">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41.1</w:t>
                  </w:r>
                </w:p>
              </w:tc>
            </w:tr>
            <w:tr w14:paraId="73C797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3" w:type="pct"/>
                  <w:noWrap w:val="0"/>
                  <w:vAlign w:val="center"/>
                </w:tcPr>
                <w:p w14:paraId="35DE8DBE">
                  <w:pPr>
                    <w:adjustRightInd w:val="0"/>
                    <w:snapToGrid w:val="0"/>
                    <w:spacing w:line="240" w:lineRule="auto"/>
                    <w:jc w:val="center"/>
                    <w:rPr>
                      <w:color w:val="auto"/>
                      <w:szCs w:val="21"/>
                    </w:rPr>
                  </w:pPr>
                  <w:r>
                    <w:rPr>
                      <w:color w:val="auto"/>
                      <w:szCs w:val="21"/>
                    </w:rPr>
                    <w:t>2</w:t>
                  </w:r>
                </w:p>
              </w:tc>
              <w:tc>
                <w:tcPr>
                  <w:tcW w:w="2670" w:type="pct"/>
                  <w:noWrap w:val="0"/>
                  <w:vAlign w:val="center"/>
                </w:tcPr>
                <w:p w14:paraId="58EE2501">
                  <w:pPr>
                    <w:adjustRightInd w:val="0"/>
                    <w:snapToGrid w:val="0"/>
                    <w:spacing w:line="240" w:lineRule="auto"/>
                    <w:jc w:val="center"/>
                    <w:rPr>
                      <w:color w:val="auto"/>
                      <w:szCs w:val="21"/>
                    </w:rPr>
                  </w:pPr>
                  <w:r>
                    <w:rPr>
                      <w:rFonts w:hint="eastAsia"/>
                      <w:color w:val="auto"/>
                      <w:szCs w:val="21"/>
                      <w:lang w:val="en-US" w:eastAsia="zh-CN"/>
                    </w:rPr>
                    <w:t>单回路N58~N59间线路中心投影5m（14#）</w:t>
                  </w:r>
                </w:p>
              </w:tc>
              <w:tc>
                <w:tcPr>
                  <w:tcW w:w="477" w:type="pct"/>
                  <w:noWrap w:val="0"/>
                  <w:vAlign w:val="center"/>
                </w:tcPr>
                <w:p w14:paraId="4AFD15C1">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49.3</w:t>
                  </w:r>
                </w:p>
              </w:tc>
              <w:tc>
                <w:tcPr>
                  <w:tcW w:w="458" w:type="pct"/>
                  <w:noWrap w:val="0"/>
                  <w:vAlign w:val="center"/>
                </w:tcPr>
                <w:p w14:paraId="4D26450E">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40.1</w:t>
                  </w:r>
                </w:p>
              </w:tc>
              <w:tc>
                <w:tcPr>
                  <w:tcW w:w="458" w:type="pct"/>
                  <w:noWrap w:val="0"/>
                  <w:vAlign w:val="center"/>
                </w:tcPr>
                <w:p w14:paraId="5FAB8AEF">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48.5</w:t>
                  </w:r>
                </w:p>
              </w:tc>
              <w:tc>
                <w:tcPr>
                  <w:tcW w:w="471" w:type="pct"/>
                  <w:noWrap w:val="0"/>
                  <w:vAlign w:val="center"/>
                </w:tcPr>
                <w:p w14:paraId="7EA2180D">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40.3</w:t>
                  </w:r>
                </w:p>
              </w:tc>
            </w:tr>
            <w:tr w14:paraId="4C186C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3" w:type="pct"/>
                  <w:noWrap w:val="0"/>
                  <w:vAlign w:val="center"/>
                </w:tcPr>
                <w:p w14:paraId="2BAC53DC">
                  <w:pPr>
                    <w:adjustRightInd w:val="0"/>
                    <w:snapToGrid w:val="0"/>
                    <w:spacing w:line="240" w:lineRule="auto"/>
                    <w:jc w:val="center"/>
                    <w:rPr>
                      <w:color w:val="auto"/>
                      <w:szCs w:val="21"/>
                    </w:rPr>
                  </w:pPr>
                  <w:r>
                    <w:rPr>
                      <w:color w:val="auto"/>
                      <w:szCs w:val="21"/>
                    </w:rPr>
                    <w:t>3</w:t>
                  </w:r>
                </w:p>
              </w:tc>
              <w:tc>
                <w:tcPr>
                  <w:tcW w:w="2670" w:type="pct"/>
                  <w:noWrap w:val="0"/>
                  <w:vAlign w:val="center"/>
                </w:tcPr>
                <w:p w14:paraId="7E657CCA">
                  <w:pPr>
                    <w:adjustRightInd w:val="0"/>
                    <w:snapToGrid w:val="0"/>
                    <w:spacing w:line="240" w:lineRule="auto"/>
                    <w:jc w:val="center"/>
                    <w:rPr>
                      <w:color w:val="auto"/>
                      <w:szCs w:val="21"/>
                    </w:rPr>
                  </w:pPr>
                  <w:r>
                    <w:rPr>
                      <w:rFonts w:hint="eastAsia"/>
                      <w:color w:val="auto"/>
                      <w:szCs w:val="21"/>
                      <w:lang w:val="en-US" w:eastAsia="zh-CN"/>
                    </w:rPr>
                    <w:t>单回路N58~N59间线路中心投影10m（14#）</w:t>
                  </w:r>
                </w:p>
              </w:tc>
              <w:tc>
                <w:tcPr>
                  <w:tcW w:w="477" w:type="pct"/>
                  <w:noWrap w:val="0"/>
                  <w:vAlign w:val="center"/>
                </w:tcPr>
                <w:p w14:paraId="145708D7">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48.8</w:t>
                  </w:r>
                </w:p>
              </w:tc>
              <w:tc>
                <w:tcPr>
                  <w:tcW w:w="458" w:type="pct"/>
                  <w:noWrap w:val="0"/>
                  <w:vAlign w:val="center"/>
                </w:tcPr>
                <w:p w14:paraId="15E77CE2">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39.5</w:t>
                  </w:r>
                </w:p>
              </w:tc>
              <w:tc>
                <w:tcPr>
                  <w:tcW w:w="458" w:type="pct"/>
                  <w:noWrap w:val="0"/>
                  <w:vAlign w:val="center"/>
                </w:tcPr>
                <w:p w14:paraId="32D66FFF">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48.1</w:t>
                  </w:r>
                </w:p>
              </w:tc>
              <w:tc>
                <w:tcPr>
                  <w:tcW w:w="471" w:type="pct"/>
                  <w:noWrap w:val="0"/>
                  <w:vAlign w:val="center"/>
                </w:tcPr>
                <w:p w14:paraId="5B7CD494">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38.6</w:t>
                  </w:r>
                </w:p>
              </w:tc>
            </w:tr>
            <w:tr w14:paraId="09E5F5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3" w:type="pct"/>
                  <w:noWrap w:val="0"/>
                  <w:vAlign w:val="center"/>
                </w:tcPr>
                <w:p w14:paraId="29134B80">
                  <w:pPr>
                    <w:adjustRightInd w:val="0"/>
                    <w:snapToGrid w:val="0"/>
                    <w:spacing w:line="240" w:lineRule="auto"/>
                    <w:jc w:val="center"/>
                    <w:rPr>
                      <w:color w:val="auto"/>
                      <w:szCs w:val="21"/>
                    </w:rPr>
                  </w:pPr>
                  <w:r>
                    <w:rPr>
                      <w:color w:val="auto"/>
                      <w:szCs w:val="21"/>
                    </w:rPr>
                    <w:t>4</w:t>
                  </w:r>
                </w:p>
              </w:tc>
              <w:tc>
                <w:tcPr>
                  <w:tcW w:w="2670" w:type="pct"/>
                  <w:noWrap w:val="0"/>
                  <w:vAlign w:val="center"/>
                </w:tcPr>
                <w:p w14:paraId="0D906A76">
                  <w:pPr>
                    <w:adjustRightInd w:val="0"/>
                    <w:snapToGrid w:val="0"/>
                    <w:spacing w:line="240" w:lineRule="auto"/>
                    <w:jc w:val="center"/>
                    <w:rPr>
                      <w:color w:val="auto"/>
                      <w:szCs w:val="21"/>
                    </w:rPr>
                  </w:pPr>
                  <w:r>
                    <w:rPr>
                      <w:rFonts w:hint="eastAsia"/>
                      <w:color w:val="auto"/>
                      <w:szCs w:val="21"/>
                      <w:lang w:val="en-US" w:eastAsia="zh-CN"/>
                    </w:rPr>
                    <w:t>单回路N58~N59间线路中心投影15m（14#）</w:t>
                  </w:r>
                </w:p>
              </w:tc>
              <w:tc>
                <w:tcPr>
                  <w:tcW w:w="477" w:type="pct"/>
                  <w:noWrap w:val="0"/>
                  <w:vAlign w:val="center"/>
                </w:tcPr>
                <w:p w14:paraId="2ADFB532">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48.2</w:t>
                  </w:r>
                </w:p>
              </w:tc>
              <w:tc>
                <w:tcPr>
                  <w:tcW w:w="458" w:type="pct"/>
                  <w:noWrap w:val="0"/>
                  <w:vAlign w:val="center"/>
                </w:tcPr>
                <w:p w14:paraId="241CC09D">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39.1</w:t>
                  </w:r>
                </w:p>
              </w:tc>
              <w:tc>
                <w:tcPr>
                  <w:tcW w:w="458" w:type="pct"/>
                  <w:noWrap w:val="0"/>
                  <w:vAlign w:val="center"/>
                </w:tcPr>
                <w:p w14:paraId="0E3B1C4C">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47.5</w:t>
                  </w:r>
                </w:p>
              </w:tc>
              <w:tc>
                <w:tcPr>
                  <w:tcW w:w="471" w:type="pct"/>
                  <w:noWrap w:val="0"/>
                  <w:vAlign w:val="center"/>
                </w:tcPr>
                <w:p w14:paraId="4AD1A22B">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38.3</w:t>
                  </w:r>
                </w:p>
              </w:tc>
            </w:tr>
            <w:tr w14:paraId="66C792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3" w:type="pct"/>
                  <w:noWrap w:val="0"/>
                  <w:vAlign w:val="center"/>
                </w:tcPr>
                <w:p w14:paraId="69611B44">
                  <w:pPr>
                    <w:adjustRightInd w:val="0"/>
                    <w:snapToGrid w:val="0"/>
                    <w:spacing w:line="240" w:lineRule="auto"/>
                    <w:jc w:val="center"/>
                    <w:rPr>
                      <w:color w:val="auto"/>
                      <w:szCs w:val="21"/>
                    </w:rPr>
                  </w:pPr>
                  <w:r>
                    <w:rPr>
                      <w:color w:val="auto"/>
                      <w:szCs w:val="21"/>
                    </w:rPr>
                    <w:t>5</w:t>
                  </w:r>
                </w:p>
              </w:tc>
              <w:tc>
                <w:tcPr>
                  <w:tcW w:w="2670" w:type="pct"/>
                  <w:noWrap w:val="0"/>
                  <w:vAlign w:val="center"/>
                </w:tcPr>
                <w:p w14:paraId="69157FCC">
                  <w:pPr>
                    <w:adjustRightInd w:val="0"/>
                    <w:snapToGrid w:val="0"/>
                    <w:spacing w:line="240" w:lineRule="auto"/>
                    <w:jc w:val="center"/>
                    <w:rPr>
                      <w:color w:val="auto"/>
                      <w:szCs w:val="21"/>
                    </w:rPr>
                  </w:pPr>
                  <w:r>
                    <w:rPr>
                      <w:rFonts w:hint="eastAsia"/>
                      <w:color w:val="auto"/>
                      <w:szCs w:val="21"/>
                      <w:lang w:val="en-US" w:eastAsia="zh-CN"/>
                    </w:rPr>
                    <w:t>单回路N58~N59间线路中心投影20m（14#）</w:t>
                  </w:r>
                </w:p>
              </w:tc>
              <w:tc>
                <w:tcPr>
                  <w:tcW w:w="477" w:type="pct"/>
                  <w:noWrap w:val="0"/>
                  <w:vAlign w:val="center"/>
                </w:tcPr>
                <w:p w14:paraId="39E3D403">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47.6</w:t>
                  </w:r>
                </w:p>
              </w:tc>
              <w:tc>
                <w:tcPr>
                  <w:tcW w:w="458" w:type="pct"/>
                  <w:noWrap w:val="0"/>
                  <w:vAlign w:val="center"/>
                </w:tcPr>
                <w:p w14:paraId="44AE1D60">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38.5</w:t>
                  </w:r>
                </w:p>
              </w:tc>
              <w:tc>
                <w:tcPr>
                  <w:tcW w:w="458" w:type="pct"/>
                  <w:noWrap w:val="0"/>
                  <w:vAlign w:val="center"/>
                </w:tcPr>
                <w:p w14:paraId="34B2C33A">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48.2</w:t>
                  </w:r>
                </w:p>
              </w:tc>
              <w:tc>
                <w:tcPr>
                  <w:tcW w:w="471" w:type="pct"/>
                  <w:noWrap w:val="0"/>
                  <w:vAlign w:val="center"/>
                </w:tcPr>
                <w:p w14:paraId="54A499AE">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38.1</w:t>
                  </w:r>
                </w:p>
              </w:tc>
            </w:tr>
            <w:tr w14:paraId="01CC6A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3" w:type="pct"/>
                  <w:noWrap w:val="0"/>
                  <w:vAlign w:val="center"/>
                </w:tcPr>
                <w:p w14:paraId="4A384351">
                  <w:pPr>
                    <w:adjustRightInd w:val="0"/>
                    <w:snapToGrid w:val="0"/>
                    <w:spacing w:line="240" w:lineRule="auto"/>
                    <w:jc w:val="center"/>
                    <w:rPr>
                      <w:color w:val="auto"/>
                      <w:szCs w:val="21"/>
                    </w:rPr>
                  </w:pPr>
                  <w:r>
                    <w:rPr>
                      <w:color w:val="auto"/>
                      <w:szCs w:val="21"/>
                    </w:rPr>
                    <w:t>6</w:t>
                  </w:r>
                </w:p>
              </w:tc>
              <w:tc>
                <w:tcPr>
                  <w:tcW w:w="2670" w:type="pct"/>
                  <w:noWrap w:val="0"/>
                  <w:vAlign w:val="center"/>
                </w:tcPr>
                <w:p w14:paraId="55D88C54">
                  <w:pPr>
                    <w:adjustRightInd w:val="0"/>
                    <w:snapToGrid w:val="0"/>
                    <w:spacing w:line="240" w:lineRule="auto"/>
                    <w:jc w:val="center"/>
                    <w:rPr>
                      <w:color w:val="auto"/>
                      <w:szCs w:val="21"/>
                    </w:rPr>
                  </w:pPr>
                  <w:r>
                    <w:rPr>
                      <w:rFonts w:hint="eastAsia"/>
                      <w:color w:val="auto"/>
                      <w:szCs w:val="21"/>
                      <w:lang w:val="en-US" w:eastAsia="zh-CN"/>
                    </w:rPr>
                    <w:t>单回路N58~N59间线路中心投影25m（14#）</w:t>
                  </w:r>
                </w:p>
              </w:tc>
              <w:tc>
                <w:tcPr>
                  <w:tcW w:w="477" w:type="pct"/>
                  <w:noWrap w:val="0"/>
                  <w:vAlign w:val="center"/>
                </w:tcPr>
                <w:p w14:paraId="59AE6BF6">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47.3</w:t>
                  </w:r>
                </w:p>
              </w:tc>
              <w:tc>
                <w:tcPr>
                  <w:tcW w:w="458" w:type="pct"/>
                  <w:noWrap w:val="0"/>
                  <w:vAlign w:val="center"/>
                </w:tcPr>
                <w:p w14:paraId="4CB68FE9">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37.4</w:t>
                  </w:r>
                </w:p>
              </w:tc>
              <w:tc>
                <w:tcPr>
                  <w:tcW w:w="458" w:type="pct"/>
                  <w:noWrap w:val="0"/>
                  <w:vAlign w:val="center"/>
                </w:tcPr>
                <w:p w14:paraId="62EE1DBC">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46.9</w:t>
                  </w:r>
                </w:p>
              </w:tc>
              <w:tc>
                <w:tcPr>
                  <w:tcW w:w="471" w:type="pct"/>
                  <w:noWrap w:val="0"/>
                  <w:vAlign w:val="center"/>
                </w:tcPr>
                <w:p w14:paraId="4AC6F9BD">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37.2</w:t>
                  </w:r>
                </w:p>
              </w:tc>
            </w:tr>
            <w:tr w14:paraId="0ECB89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3" w:type="pct"/>
                  <w:noWrap w:val="0"/>
                  <w:vAlign w:val="center"/>
                </w:tcPr>
                <w:p w14:paraId="008C36A8">
                  <w:pPr>
                    <w:adjustRightInd w:val="0"/>
                    <w:snapToGrid w:val="0"/>
                    <w:spacing w:line="240" w:lineRule="auto"/>
                    <w:jc w:val="center"/>
                    <w:rPr>
                      <w:color w:val="auto"/>
                      <w:szCs w:val="21"/>
                    </w:rPr>
                  </w:pPr>
                  <w:r>
                    <w:rPr>
                      <w:color w:val="auto"/>
                      <w:szCs w:val="21"/>
                    </w:rPr>
                    <w:t>7</w:t>
                  </w:r>
                </w:p>
              </w:tc>
              <w:tc>
                <w:tcPr>
                  <w:tcW w:w="2670" w:type="pct"/>
                  <w:noWrap w:val="0"/>
                  <w:vAlign w:val="center"/>
                </w:tcPr>
                <w:p w14:paraId="76312269">
                  <w:pPr>
                    <w:adjustRightInd w:val="0"/>
                    <w:snapToGrid w:val="0"/>
                    <w:spacing w:line="240" w:lineRule="auto"/>
                    <w:jc w:val="center"/>
                    <w:rPr>
                      <w:color w:val="auto"/>
                      <w:szCs w:val="21"/>
                    </w:rPr>
                  </w:pPr>
                  <w:r>
                    <w:rPr>
                      <w:rFonts w:hint="eastAsia"/>
                      <w:color w:val="auto"/>
                      <w:szCs w:val="21"/>
                      <w:lang w:val="en-US" w:eastAsia="zh-CN"/>
                    </w:rPr>
                    <w:t>单回路N58~N59间线路中心投影30m（14#）</w:t>
                  </w:r>
                </w:p>
              </w:tc>
              <w:tc>
                <w:tcPr>
                  <w:tcW w:w="477" w:type="pct"/>
                  <w:noWrap w:val="0"/>
                  <w:vAlign w:val="center"/>
                </w:tcPr>
                <w:p w14:paraId="116E8168">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46.4</w:t>
                  </w:r>
                </w:p>
              </w:tc>
              <w:tc>
                <w:tcPr>
                  <w:tcW w:w="458" w:type="pct"/>
                  <w:noWrap w:val="0"/>
                  <w:vAlign w:val="center"/>
                </w:tcPr>
                <w:p w14:paraId="5FA2AA27">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37.3</w:t>
                  </w:r>
                </w:p>
              </w:tc>
              <w:tc>
                <w:tcPr>
                  <w:tcW w:w="458" w:type="pct"/>
                  <w:noWrap w:val="0"/>
                  <w:vAlign w:val="center"/>
                </w:tcPr>
                <w:p w14:paraId="7C0E250F">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46.2</w:t>
                  </w:r>
                </w:p>
              </w:tc>
              <w:tc>
                <w:tcPr>
                  <w:tcW w:w="471" w:type="pct"/>
                  <w:noWrap w:val="0"/>
                  <w:vAlign w:val="center"/>
                </w:tcPr>
                <w:p w14:paraId="0CAEFC18">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36.9</w:t>
                  </w:r>
                </w:p>
              </w:tc>
            </w:tr>
            <w:tr w14:paraId="233943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3" w:type="pct"/>
                  <w:noWrap w:val="0"/>
                  <w:vAlign w:val="center"/>
                </w:tcPr>
                <w:p w14:paraId="4E7C24C5">
                  <w:pPr>
                    <w:adjustRightInd w:val="0"/>
                    <w:snapToGrid w:val="0"/>
                    <w:spacing w:line="240" w:lineRule="auto"/>
                    <w:jc w:val="center"/>
                    <w:rPr>
                      <w:color w:val="auto"/>
                      <w:szCs w:val="21"/>
                    </w:rPr>
                  </w:pPr>
                  <w:r>
                    <w:rPr>
                      <w:color w:val="auto"/>
                      <w:szCs w:val="21"/>
                    </w:rPr>
                    <w:t>8</w:t>
                  </w:r>
                </w:p>
              </w:tc>
              <w:tc>
                <w:tcPr>
                  <w:tcW w:w="2670" w:type="pct"/>
                  <w:noWrap w:val="0"/>
                  <w:vAlign w:val="center"/>
                </w:tcPr>
                <w:p w14:paraId="6E9BA4B9">
                  <w:pPr>
                    <w:adjustRightInd w:val="0"/>
                    <w:snapToGrid w:val="0"/>
                    <w:spacing w:line="240" w:lineRule="auto"/>
                    <w:jc w:val="center"/>
                    <w:rPr>
                      <w:color w:val="auto"/>
                      <w:szCs w:val="21"/>
                    </w:rPr>
                  </w:pPr>
                  <w:r>
                    <w:rPr>
                      <w:rFonts w:hint="eastAsia"/>
                      <w:color w:val="auto"/>
                      <w:szCs w:val="21"/>
                      <w:lang w:val="en-US" w:eastAsia="zh-CN"/>
                    </w:rPr>
                    <w:t>单回路N58~N59间线路中心投影35m（14#）</w:t>
                  </w:r>
                </w:p>
              </w:tc>
              <w:tc>
                <w:tcPr>
                  <w:tcW w:w="477" w:type="pct"/>
                  <w:noWrap w:val="0"/>
                  <w:vAlign w:val="center"/>
                </w:tcPr>
                <w:p w14:paraId="15CD9E9B">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45.3</w:t>
                  </w:r>
                </w:p>
              </w:tc>
              <w:tc>
                <w:tcPr>
                  <w:tcW w:w="458" w:type="pct"/>
                  <w:noWrap w:val="0"/>
                  <w:vAlign w:val="center"/>
                </w:tcPr>
                <w:p w14:paraId="61661F3B">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36.9</w:t>
                  </w:r>
                </w:p>
              </w:tc>
              <w:tc>
                <w:tcPr>
                  <w:tcW w:w="458" w:type="pct"/>
                  <w:noWrap w:val="0"/>
                  <w:vAlign w:val="center"/>
                </w:tcPr>
                <w:p w14:paraId="6DECDDD4">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45.1</w:t>
                  </w:r>
                </w:p>
              </w:tc>
              <w:tc>
                <w:tcPr>
                  <w:tcW w:w="471" w:type="pct"/>
                  <w:noWrap w:val="0"/>
                  <w:vAlign w:val="center"/>
                </w:tcPr>
                <w:p w14:paraId="382AA10C">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37.5</w:t>
                  </w:r>
                </w:p>
              </w:tc>
            </w:tr>
            <w:tr w14:paraId="7DC159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3" w:type="pct"/>
                  <w:noWrap w:val="0"/>
                  <w:vAlign w:val="center"/>
                </w:tcPr>
                <w:p w14:paraId="00B7E055">
                  <w:pPr>
                    <w:adjustRightInd w:val="0"/>
                    <w:snapToGrid w:val="0"/>
                    <w:spacing w:line="240" w:lineRule="auto"/>
                    <w:jc w:val="center"/>
                    <w:rPr>
                      <w:color w:val="auto"/>
                      <w:szCs w:val="21"/>
                    </w:rPr>
                  </w:pPr>
                  <w:r>
                    <w:rPr>
                      <w:color w:val="auto"/>
                      <w:szCs w:val="21"/>
                    </w:rPr>
                    <w:t>9</w:t>
                  </w:r>
                </w:p>
              </w:tc>
              <w:tc>
                <w:tcPr>
                  <w:tcW w:w="2670" w:type="pct"/>
                  <w:noWrap w:val="0"/>
                  <w:vAlign w:val="center"/>
                </w:tcPr>
                <w:p w14:paraId="3223451D">
                  <w:pPr>
                    <w:adjustRightInd w:val="0"/>
                    <w:snapToGrid w:val="0"/>
                    <w:spacing w:line="240" w:lineRule="auto"/>
                    <w:jc w:val="center"/>
                    <w:rPr>
                      <w:color w:val="auto"/>
                      <w:szCs w:val="21"/>
                    </w:rPr>
                  </w:pPr>
                  <w:r>
                    <w:rPr>
                      <w:rFonts w:hint="eastAsia"/>
                      <w:color w:val="auto"/>
                      <w:szCs w:val="21"/>
                      <w:lang w:val="en-US" w:eastAsia="zh-CN"/>
                    </w:rPr>
                    <w:t>单回路N58~N59间线路中心投影40m（14#）</w:t>
                  </w:r>
                </w:p>
              </w:tc>
              <w:tc>
                <w:tcPr>
                  <w:tcW w:w="477" w:type="pct"/>
                  <w:noWrap w:val="0"/>
                  <w:vAlign w:val="center"/>
                </w:tcPr>
                <w:p w14:paraId="1F180FC0">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44.3</w:t>
                  </w:r>
                </w:p>
              </w:tc>
              <w:tc>
                <w:tcPr>
                  <w:tcW w:w="458" w:type="pct"/>
                  <w:noWrap w:val="0"/>
                  <w:vAlign w:val="center"/>
                </w:tcPr>
                <w:p w14:paraId="70081754">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37.3</w:t>
                  </w:r>
                </w:p>
              </w:tc>
              <w:tc>
                <w:tcPr>
                  <w:tcW w:w="458" w:type="pct"/>
                  <w:noWrap w:val="0"/>
                  <w:vAlign w:val="center"/>
                </w:tcPr>
                <w:p w14:paraId="79E0CEBD">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44.9</w:t>
                  </w:r>
                </w:p>
              </w:tc>
              <w:tc>
                <w:tcPr>
                  <w:tcW w:w="471" w:type="pct"/>
                  <w:noWrap w:val="0"/>
                  <w:vAlign w:val="center"/>
                </w:tcPr>
                <w:p w14:paraId="41EF466A">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36.9</w:t>
                  </w:r>
                </w:p>
              </w:tc>
            </w:tr>
            <w:tr w14:paraId="0BBCC1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3" w:type="pct"/>
                  <w:noWrap w:val="0"/>
                  <w:vAlign w:val="center"/>
                </w:tcPr>
                <w:p w14:paraId="5815C208">
                  <w:pPr>
                    <w:adjustRightInd w:val="0"/>
                    <w:snapToGrid w:val="0"/>
                    <w:spacing w:line="240" w:lineRule="auto"/>
                    <w:jc w:val="center"/>
                    <w:rPr>
                      <w:color w:val="auto"/>
                      <w:szCs w:val="21"/>
                    </w:rPr>
                  </w:pPr>
                  <w:r>
                    <w:rPr>
                      <w:color w:val="auto"/>
                      <w:szCs w:val="21"/>
                    </w:rPr>
                    <w:t>10</w:t>
                  </w:r>
                </w:p>
              </w:tc>
              <w:tc>
                <w:tcPr>
                  <w:tcW w:w="2670" w:type="pct"/>
                  <w:noWrap w:val="0"/>
                  <w:vAlign w:val="center"/>
                </w:tcPr>
                <w:p w14:paraId="202E1058">
                  <w:pPr>
                    <w:adjustRightInd w:val="0"/>
                    <w:snapToGrid w:val="0"/>
                    <w:spacing w:line="240" w:lineRule="auto"/>
                    <w:jc w:val="center"/>
                    <w:rPr>
                      <w:color w:val="auto"/>
                      <w:szCs w:val="21"/>
                    </w:rPr>
                  </w:pPr>
                  <w:r>
                    <w:rPr>
                      <w:rFonts w:hint="eastAsia"/>
                      <w:color w:val="auto"/>
                      <w:szCs w:val="21"/>
                      <w:lang w:val="en-US" w:eastAsia="zh-CN"/>
                    </w:rPr>
                    <w:t>单回路N58~N59间线路中心投影45m（14#）</w:t>
                  </w:r>
                </w:p>
              </w:tc>
              <w:tc>
                <w:tcPr>
                  <w:tcW w:w="477" w:type="pct"/>
                  <w:noWrap w:val="0"/>
                  <w:vAlign w:val="center"/>
                </w:tcPr>
                <w:p w14:paraId="59C520BE">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45.5</w:t>
                  </w:r>
                </w:p>
              </w:tc>
              <w:tc>
                <w:tcPr>
                  <w:tcW w:w="458" w:type="pct"/>
                  <w:noWrap w:val="0"/>
                  <w:vAlign w:val="center"/>
                </w:tcPr>
                <w:p w14:paraId="5E418BB9">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36.6</w:t>
                  </w:r>
                </w:p>
              </w:tc>
              <w:tc>
                <w:tcPr>
                  <w:tcW w:w="458" w:type="pct"/>
                  <w:noWrap w:val="0"/>
                  <w:vAlign w:val="center"/>
                </w:tcPr>
                <w:p w14:paraId="6B58D380">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44.8</w:t>
                  </w:r>
                </w:p>
              </w:tc>
              <w:tc>
                <w:tcPr>
                  <w:tcW w:w="471" w:type="pct"/>
                  <w:noWrap w:val="0"/>
                  <w:vAlign w:val="center"/>
                </w:tcPr>
                <w:p w14:paraId="2A188462">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37.4</w:t>
                  </w:r>
                </w:p>
              </w:tc>
            </w:tr>
            <w:tr w14:paraId="184A89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3" w:type="pct"/>
                  <w:noWrap w:val="0"/>
                  <w:vAlign w:val="center"/>
                </w:tcPr>
                <w:p w14:paraId="185FD5FB">
                  <w:pPr>
                    <w:adjustRightInd w:val="0"/>
                    <w:snapToGrid w:val="0"/>
                    <w:spacing w:line="240" w:lineRule="auto"/>
                    <w:jc w:val="center"/>
                    <w:rPr>
                      <w:color w:val="auto"/>
                      <w:szCs w:val="21"/>
                    </w:rPr>
                  </w:pPr>
                  <w:r>
                    <w:rPr>
                      <w:color w:val="auto"/>
                      <w:szCs w:val="21"/>
                    </w:rPr>
                    <w:t>11</w:t>
                  </w:r>
                </w:p>
              </w:tc>
              <w:tc>
                <w:tcPr>
                  <w:tcW w:w="2670" w:type="pct"/>
                  <w:noWrap w:val="0"/>
                  <w:vAlign w:val="center"/>
                </w:tcPr>
                <w:p w14:paraId="09E1369C">
                  <w:pPr>
                    <w:adjustRightInd w:val="0"/>
                    <w:snapToGrid w:val="0"/>
                    <w:spacing w:line="240" w:lineRule="auto"/>
                    <w:jc w:val="center"/>
                    <w:rPr>
                      <w:color w:val="auto"/>
                      <w:szCs w:val="21"/>
                    </w:rPr>
                  </w:pPr>
                  <w:r>
                    <w:rPr>
                      <w:rFonts w:hint="eastAsia"/>
                      <w:color w:val="auto"/>
                      <w:szCs w:val="21"/>
                      <w:lang w:val="en-US" w:eastAsia="zh-CN"/>
                    </w:rPr>
                    <w:t>单回路N58~N59间线路中心投影50m（14#）</w:t>
                  </w:r>
                </w:p>
              </w:tc>
              <w:tc>
                <w:tcPr>
                  <w:tcW w:w="477" w:type="pct"/>
                  <w:noWrap w:val="0"/>
                  <w:vAlign w:val="center"/>
                </w:tcPr>
                <w:p w14:paraId="06240230">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44.9</w:t>
                  </w:r>
                </w:p>
              </w:tc>
              <w:tc>
                <w:tcPr>
                  <w:tcW w:w="458" w:type="pct"/>
                  <w:noWrap w:val="0"/>
                  <w:vAlign w:val="center"/>
                </w:tcPr>
                <w:p w14:paraId="00C4ED13">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36.8</w:t>
                  </w:r>
                </w:p>
              </w:tc>
              <w:tc>
                <w:tcPr>
                  <w:tcW w:w="458" w:type="pct"/>
                  <w:noWrap w:val="0"/>
                  <w:vAlign w:val="center"/>
                </w:tcPr>
                <w:p w14:paraId="5A121771">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45.4</w:t>
                  </w:r>
                </w:p>
              </w:tc>
              <w:tc>
                <w:tcPr>
                  <w:tcW w:w="471" w:type="pct"/>
                  <w:noWrap w:val="0"/>
                  <w:vAlign w:val="center"/>
                </w:tcPr>
                <w:p w14:paraId="0C26EBFD">
                  <w:pPr>
                    <w:spacing w:line="0" w:lineRule="atLeast"/>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bidi="ar-SA"/>
                    </w:rPr>
                    <w:t>37.9</w:t>
                  </w:r>
                </w:p>
              </w:tc>
            </w:tr>
            <w:tr w14:paraId="199350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33" w:type="pct"/>
                  <w:gridSpan w:val="2"/>
                  <w:noWrap w:val="0"/>
                  <w:vAlign w:val="center"/>
                </w:tcPr>
                <w:p w14:paraId="386315FE">
                  <w:pPr>
                    <w:adjustRightInd w:val="0"/>
                    <w:snapToGrid w:val="0"/>
                    <w:spacing w:line="240" w:lineRule="auto"/>
                    <w:jc w:val="center"/>
                    <w:rPr>
                      <w:color w:val="auto"/>
                      <w:szCs w:val="21"/>
                    </w:rPr>
                  </w:pPr>
                  <w:r>
                    <w:rPr>
                      <w:color w:val="auto"/>
                      <w:szCs w:val="21"/>
                    </w:rPr>
                    <w:t>乡村环境（GB3096-2008）1类标准</w:t>
                  </w:r>
                </w:p>
              </w:tc>
              <w:tc>
                <w:tcPr>
                  <w:tcW w:w="477" w:type="pct"/>
                  <w:noWrap w:val="0"/>
                  <w:vAlign w:val="center"/>
                </w:tcPr>
                <w:p w14:paraId="6D481A6D">
                  <w:pPr>
                    <w:adjustRightInd w:val="0"/>
                    <w:snapToGrid w:val="0"/>
                    <w:spacing w:line="240" w:lineRule="auto"/>
                    <w:jc w:val="center"/>
                    <w:rPr>
                      <w:color w:val="auto"/>
                      <w:szCs w:val="21"/>
                    </w:rPr>
                  </w:pPr>
                  <w:r>
                    <w:rPr>
                      <w:color w:val="auto"/>
                      <w:szCs w:val="21"/>
                    </w:rPr>
                    <w:t>55</w:t>
                  </w:r>
                </w:p>
              </w:tc>
              <w:tc>
                <w:tcPr>
                  <w:tcW w:w="458" w:type="pct"/>
                  <w:noWrap w:val="0"/>
                  <w:vAlign w:val="center"/>
                </w:tcPr>
                <w:p w14:paraId="4951F00B">
                  <w:pPr>
                    <w:adjustRightInd w:val="0"/>
                    <w:snapToGrid w:val="0"/>
                    <w:spacing w:line="240" w:lineRule="auto"/>
                    <w:jc w:val="center"/>
                    <w:rPr>
                      <w:color w:val="auto"/>
                      <w:szCs w:val="21"/>
                    </w:rPr>
                  </w:pPr>
                  <w:r>
                    <w:rPr>
                      <w:color w:val="auto"/>
                      <w:szCs w:val="21"/>
                    </w:rPr>
                    <w:t>45</w:t>
                  </w:r>
                </w:p>
              </w:tc>
              <w:tc>
                <w:tcPr>
                  <w:tcW w:w="458" w:type="pct"/>
                  <w:noWrap w:val="0"/>
                  <w:vAlign w:val="center"/>
                </w:tcPr>
                <w:p w14:paraId="3E63AA9E">
                  <w:pPr>
                    <w:adjustRightInd w:val="0"/>
                    <w:snapToGrid w:val="0"/>
                    <w:spacing w:line="240" w:lineRule="auto"/>
                    <w:jc w:val="center"/>
                    <w:rPr>
                      <w:color w:val="auto"/>
                      <w:szCs w:val="21"/>
                    </w:rPr>
                  </w:pPr>
                  <w:r>
                    <w:rPr>
                      <w:color w:val="auto"/>
                      <w:szCs w:val="21"/>
                    </w:rPr>
                    <w:t>55</w:t>
                  </w:r>
                </w:p>
              </w:tc>
              <w:tc>
                <w:tcPr>
                  <w:tcW w:w="471" w:type="pct"/>
                  <w:noWrap w:val="0"/>
                  <w:vAlign w:val="center"/>
                </w:tcPr>
                <w:p w14:paraId="742D4C62">
                  <w:pPr>
                    <w:adjustRightInd w:val="0"/>
                    <w:snapToGrid w:val="0"/>
                    <w:spacing w:line="240" w:lineRule="auto"/>
                    <w:jc w:val="center"/>
                    <w:rPr>
                      <w:color w:val="auto"/>
                      <w:szCs w:val="21"/>
                    </w:rPr>
                  </w:pPr>
                  <w:r>
                    <w:rPr>
                      <w:color w:val="auto"/>
                      <w:szCs w:val="21"/>
                    </w:rPr>
                    <w:t>45</w:t>
                  </w:r>
                </w:p>
              </w:tc>
            </w:tr>
            <w:tr w14:paraId="44A1BD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33" w:type="pct"/>
                  <w:gridSpan w:val="2"/>
                  <w:noWrap w:val="0"/>
                  <w:vAlign w:val="center"/>
                </w:tcPr>
                <w:p w14:paraId="239988D3">
                  <w:pPr>
                    <w:adjustRightInd w:val="0"/>
                    <w:snapToGrid w:val="0"/>
                    <w:spacing w:line="240" w:lineRule="auto"/>
                    <w:jc w:val="center"/>
                    <w:rPr>
                      <w:rFonts w:hint="default" w:eastAsia="宋体"/>
                      <w:color w:val="auto"/>
                      <w:szCs w:val="21"/>
                      <w:lang w:val="en-US" w:eastAsia="zh-CN"/>
                    </w:rPr>
                  </w:pPr>
                  <w:r>
                    <w:rPr>
                      <w:rFonts w:hint="eastAsia"/>
                      <w:color w:val="auto"/>
                      <w:szCs w:val="21"/>
                      <w:lang w:val="en-US" w:eastAsia="zh-CN"/>
                    </w:rPr>
                    <w:t>达标情况</w:t>
                  </w:r>
                </w:p>
              </w:tc>
              <w:tc>
                <w:tcPr>
                  <w:tcW w:w="477" w:type="pct"/>
                  <w:noWrap w:val="0"/>
                  <w:vAlign w:val="center"/>
                </w:tcPr>
                <w:p w14:paraId="2C64BD17">
                  <w:pPr>
                    <w:adjustRightInd w:val="0"/>
                    <w:snapToGrid w:val="0"/>
                    <w:spacing w:line="240" w:lineRule="auto"/>
                    <w:jc w:val="center"/>
                    <w:rPr>
                      <w:rFonts w:hint="eastAsia" w:eastAsia="宋体"/>
                      <w:color w:val="auto"/>
                      <w:szCs w:val="21"/>
                      <w:lang w:val="en-US" w:eastAsia="zh-CN"/>
                    </w:rPr>
                  </w:pPr>
                  <w:r>
                    <w:rPr>
                      <w:rFonts w:hint="eastAsia"/>
                      <w:color w:val="auto"/>
                      <w:szCs w:val="21"/>
                      <w:lang w:val="en-US" w:eastAsia="zh-CN"/>
                    </w:rPr>
                    <w:t>达标</w:t>
                  </w:r>
                </w:p>
              </w:tc>
              <w:tc>
                <w:tcPr>
                  <w:tcW w:w="458" w:type="pct"/>
                  <w:noWrap w:val="0"/>
                  <w:vAlign w:val="center"/>
                </w:tcPr>
                <w:p w14:paraId="6620F777">
                  <w:pPr>
                    <w:adjustRightInd w:val="0"/>
                    <w:snapToGrid w:val="0"/>
                    <w:spacing w:line="240" w:lineRule="auto"/>
                    <w:jc w:val="center"/>
                    <w:rPr>
                      <w:color w:val="auto"/>
                      <w:szCs w:val="21"/>
                    </w:rPr>
                  </w:pPr>
                  <w:r>
                    <w:rPr>
                      <w:rFonts w:hint="eastAsia"/>
                      <w:color w:val="auto"/>
                      <w:szCs w:val="21"/>
                      <w:lang w:val="en-US" w:eastAsia="zh-CN"/>
                    </w:rPr>
                    <w:t>达标</w:t>
                  </w:r>
                </w:p>
              </w:tc>
              <w:tc>
                <w:tcPr>
                  <w:tcW w:w="458" w:type="pct"/>
                  <w:noWrap w:val="0"/>
                  <w:vAlign w:val="center"/>
                </w:tcPr>
                <w:p w14:paraId="08397505">
                  <w:pPr>
                    <w:adjustRightInd w:val="0"/>
                    <w:snapToGrid w:val="0"/>
                    <w:spacing w:line="240" w:lineRule="auto"/>
                    <w:jc w:val="center"/>
                    <w:rPr>
                      <w:color w:val="auto"/>
                      <w:szCs w:val="21"/>
                    </w:rPr>
                  </w:pPr>
                  <w:r>
                    <w:rPr>
                      <w:rFonts w:hint="eastAsia"/>
                      <w:color w:val="auto"/>
                      <w:szCs w:val="21"/>
                      <w:lang w:val="en-US" w:eastAsia="zh-CN"/>
                    </w:rPr>
                    <w:t>达标</w:t>
                  </w:r>
                </w:p>
              </w:tc>
              <w:tc>
                <w:tcPr>
                  <w:tcW w:w="471" w:type="pct"/>
                  <w:noWrap w:val="0"/>
                  <w:vAlign w:val="center"/>
                </w:tcPr>
                <w:p w14:paraId="07FD0600">
                  <w:pPr>
                    <w:adjustRightInd w:val="0"/>
                    <w:snapToGrid w:val="0"/>
                    <w:spacing w:line="240" w:lineRule="auto"/>
                    <w:jc w:val="center"/>
                    <w:rPr>
                      <w:color w:val="auto"/>
                      <w:szCs w:val="21"/>
                    </w:rPr>
                  </w:pPr>
                  <w:r>
                    <w:rPr>
                      <w:rFonts w:hint="eastAsia"/>
                      <w:color w:val="auto"/>
                      <w:szCs w:val="21"/>
                      <w:lang w:val="en-US" w:eastAsia="zh-CN"/>
                    </w:rPr>
                    <w:t>达标</w:t>
                  </w:r>
                </w:p>
              </w:tc>
            </w:tr>
            <w:tr w14:paraId="7B351A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noWrap w:val="0"/>
                  <w:vAlign w:val="center"/>
                </w:tcPr>
                <w:p w14:paraId="36D588D3">
                  <w:pPr>
                    <w:adjustRightInd w:val="0"/>
                    <w:snapToGrid w:val="0"/>
                    <w:spacing w:line="240" w:lineRule="auto"/>
                    <w:jc w:val="left"/>
                    <w:rPr>
                      <w:color w:val="auto"/>
                      <w:szCs w:val="21"/>
                    </w:rPr>
                  </w:pPr>
                  <w:r>
                    <w:rPr>
                      <w:color w:val="auto"/>
                      <w:szCs w:val="21"/>
                    </w:rPr>
                    <w:t>监测位置：110</w:t>
                  </w:r>
                  <w:r>
                    <w:rPr>
                      <w:rFonts w:hint="eastAsia"/>
                      <w:color w:val="auto"/>
                      <w:szCs w:val="21"/>
                    </w:rPr>
                    <w:t>kV</w:t>
                  </w:r>
                  <w:r>
                    <w:rPr>
                      <w:rFonts w:hint="eastAsia"/>
                      <w:color w:val="auto"/>
                      <w:szCs w:val="21"/>
                      <w:lang w:val="en-US" w:eastAsia="zh-CN"/>
                    </w:rPr>
                    <w:t>线路N58~N59</w:t>
                  </w:r>
                  <w:r>
                    <w:rPr>
                      <w:color w:val="auto"/>
                      <w:szCs w:val="21"/>
                    </w:rPr>
                    <w:t>塔间</w:t>
                  </w:r>
                  <w:r>
                    <w:rPr>
                      <w:rFonts w:hint="eastAsia"/>
                      <w:color w:val="auto"/>
                      <w:szCs w:val="21"/>
                      <w:lang w:eastAsia="zh-CN"/>
                    </w:rPr>
                    <w:t>，</w:t>
                  </w:r>
                  <w:r>
                    <w:rPr>
                      <w:color w:val="auto"/>
                      <w:szCs w:val="21"/>
                    </w:rPr>
                    <w:t>周边地形：山地、</w:t>
                  </w:r>
                  <w:r>
                    <w:rPr>
                      <w:rFonts w:hint="eastAsia"/>
                      <w:color w:val="auto"/>
                      <w:szCs w:val="21"/>
                      <w:lang w:val="en-US" w:eastAsia="zh-CN"/>
                    </w:rPr>
                    <w:t>耕地</w:t>
                  </w:r>
                </w:p>
                <w:p w14:paraId="7F14966D">
                  <w:pPr>
                    <w:adjustRightInd w:val="0"/>
                    <w:snapToGrid w:val="0"/>
                    <w:spacing w:line="240" w:lineRule="auto"/>
                    <w:jc w:val="left"/>
                    <w:rPr>
                      <w:color w:val="auto"/>
                      <w:szCs w:val="21"/>
                    </w:rPr>
                  </w:pPr>
                  <w:r>
                    <w:rPr>
                      <w:color w:val="auto"/>
                      <w:szCs w:val="21"/>
                    </w:rPr>
                    <w:t>导线弧垂最低点高度：1</w:t>
                  </w:r>
                  <w:r>
                    <w:rPr>
                      <w:rFonts w:hint="eastAsia"/>
                      <w:color w:val="auto"/>
                      <w:szCs w:val="21"/>
                      <w:lang w:val="en-US" w:eastAsia="zh-CN"/>
                    </w:rPr>
                    <w:t>3</w:t>
                  </w:r>
                  <w:r>
                    <w:rPr>
                      <w:color w:val="auto"/>
                      <w:szCs w:val="21"/>
                    </w:rPr>
                    <w:t>m</w:t>
                  </w:r>
                </w:p>
                <w:p w14:paraId="3AE6C1DD">
                  <w:pPr>
                    <w:adjustRightInd w:val="0"/>
                    <w:snapToGrid w:val="0"/>
                    <w:spacing w:line="240" w:lineRule="auto"/>
                    <w:jc w:val="left"/>
                    <w:rPr>
                      <w:color w:val="auto"/>
                      <w:szCs w:val="21"/>
                    </w:rPr>
                  </w:pPr>
                  <w:r>
                    <w:rPr>
                      <w:color w:val="auto"/>
                      <w:szCs w:val="21"/>
                    </w:rPr>
                    <w:t>导线挂线方式：三角排列</w:t>
                  </w:r>
                </w:p>
              </w:tc>
            </w:tr>
          </w:tbl>
          <w:p w14:paraId="787A19A8">
            <w:pPr>
              <w:adjustRightInd w:val="0"/>
              <w:snapToGrid w:val="0"/>
              <w:spacing w:line="440" w:lineRule="exact"/>
              <w:ind w:firstLine="480" w:firstLineChars="200"/>
              <w:rPr>
                <w:color w:val="auto"/>
                <w:sz w:val="24"/>
              </w:rPr>
            </w:pPr>
            <w:r>
              <w:rPr>
                <w:color w:val="auto"/>
                <w:sz w:val="24"/>
              </w:rPr>
              <w:t>根据监测结果可知，110</w:t>
            </w:r>
            <w:r>
              <w:rPr>
                <w:rFonts w:hint="eastAsia"/>
                <w:color w:val="auto"/>
                <w:sz w:val="24"/>
              </w:rPr>
              <w:t>kV</w:t>
            </w:r>
            <w:r>
              <w:rPr>
                <w:color w:val="auto"/>
                <w:sz w:val="24"/>
              </w:rPr>
              <w:t>单回</w:t>
            </w:r>
            <w:r>
              <w:rPr>
                <w:rFonts w:hint="eastAsia"/>
                <w:color w:val="auto"/>
                <w:sz w:val="24"/>
                <w:lang w:val="en-US" w:eastAsia="zh-CN"/>
              </w:rPr>
              <w:t>架空</w:t>
            </w:r>
            <w:r>
              <w:rPr>
                <w:color w:val="auto"/>
                <w:sz w:val="24"/>
              </w:rPr>
              <w:t>线路昼间噪声值在</w:t>
            </w:r>
            <w:r>
              <w:rPr>
                <w:rFonts w:hint="eastAsia"/>
                <w:color w:val="auto"/>
                <w:sz w:val="24"/>
                <w:lang w:val="en-US" w:eastAsia="zh-CN"/>
              </w:rPr>
              <w:t>44.8</w:t>
            </w:r>
            <w:r>
              <w:rPr>
                <w:rFonts w:hint="eastAsia"/>
                <w:color w:val="auto"/>
                <w:sz w:val="24"/>
              </w:rPr>
              <w:t>~</w:t>
            </w:r>
            <w:r>
              <w:rPr>
                <w:rFonts w:hint="eastAsia"/>
                <w:color w:val="auto"/>
                <w:sz w:val="24"/>
                <w:lang w:val="en-US" w:eastAsia="zh-CN"/>
              </w:rPr>
              <w:t>49.6</w:t>
            </w:r>
            <w:r>
              <w:rPr>
                <w:color w:val="auto"/>
                <w:sz w:val="24"/>
              </w:rPr>
              <w:t>dB（A）之间，夜间噪声值在</w:t>
            </w:r>
            <w:r>
              <w:rPr>
                <w:rFonts w:hint="eastAsia"/>
                <w:color w:val="auto"/>
                <w:sz w:val="24"/>
                <w:lang w:val="en-US" w:eastAsia="zh-CN"/>
              </w:rPr>
              <w:t>36.6</w:t>
            </w:r>
            <w:r>
              <w:rPr>
                <w:rFonts w:hint="eastAsia"/>
                <w:color w:val="auto"/>
                <w:sz w:val="24"/>
              </w:rPr>
              <w:t>~</w:t>
            </w:r>
            <w:r>
              <w:rPr>
                <w:rFonts w:hint="eastAsia"/>
                <w:color w:val="auto"/>
                <w:sz w:val="24"/>
                <w:lang w:val="en-US" w:eastAsia="zh-CN"/>
              </w:rPr>
              <w:t>41.1</w:t>
            </w:r>
            <w:r>
              <w:rPr>
                <w:color w:val="auto"/>
                <w:sz w:val="24"/>
              </w:rPr>
              <w:t>dB（A）之间，满足《声环境质量标准》（GB3096-2008）中1类标准（即昼间</w:t>
            </w:r>
            <w:r>
              <w:rPr>
                <w:rFonts w:hint="eastAsia" w:ascii="宋体" w:hAnsi="宋体" w:eastAsia="宋体" w:cs="宋体"/>
                <w:color w:val="auto"/>
                <w:sz w:val="24"/>
              </w:rPr>
              <w:t>≤</w:t>
            </w:r>
            <w:r>
              <w:rPr>
                <w:color w:val="auto"/>
                <w:sz w:val="24"/>
              </w:rPr>
              <w:t>55dB（A）、夜间</w:t>
            </w:r>
            <w:r>
              <w:rPr>
                <w:rFonts w:hint="eastAsia" w:ascii="宋体" w:hAnsi="宋体" w:eastAsia="宋体" w:cs="宋体"/>
                <w:color w:val="auto"/>
                <w:sz w:val="24"/>
              </w:rPr>
              <w:t>≤</w:t>
            </w:r>
            <w:r>
              <w:rPr>
                <w:color w:val="auto"/>
                <w:sz w:val="24"/>
              </w:rPr>
              <w:t>45dB（A））限值要求。</w:t>
            </w:r>
          </w:p>
          <w:p w14:paraId="4C01064A">
            <w:pPr>
              <w:adjustRightInd w:val="0"/>
              <w:snapToGrid w:val="0"/>
              <w:spacing w:line="440" w:lineRule="exact"/>
              <w:ind w:firstLine="480" w:firstLineChars="200"/>
              <w:rPr>
                <w:color w:val="auto"/>
                <w:sz w:val="24"/>
              </w:rPr>
            </w:pPr>
            <w:r>
              <w:rPr>
                <w:rFonts w:hint="eastAsia"/>
                <w:color w:val="auto"/>
                <w:sz w:val="24"/>
                <w:lang w:val="en-US" w:eastAsia="zh-CN"/>
              </w:rPr>
              <w:t>架空</w:t>
            </w:r>
            <w:r>
              <w:rPr>
                <w:color w:val="auto"/>
                <w:sz w:val="24"/>
              </w:rPr>
              <w:t>线路</w:t>
            </w:r>
            <w:r>
              <w:rPr>
                <w:rFonts w:hint="eastAsia"/>
                <w:color w:val="auto"/>
                <w:sz w:val="24"/>
                <w:lang w:val="en-US" w:eastAsia="zh-CN"/>
              </w:rPr>
              <w:t>段</w:t>
            </w:r>
            <w:r>
              <w:rPr>
                <w:color w:val="auto"/>
                <w:sz w:val="24"/>
              </w:rPr>
              <w:t>噪声监测衰减断面位于乡村</w:t>
            </w:r>
            <w:r>
              <w:rPr>
                <w:rFonts w:hint="eastAsia"/>
                <w:color w:val="auto"/>
                <w:sz w:val="24"/>
              </w:rPr>
              <w:t>、山区</w:t>
            </w:r>
            <w:r>
              <w:rPr>
                <w:color w:val="auto"/>
                <w:sz w:val="24"/>
              </w:rPr>
              <w:t>区域，根据监测结果，</w:t>
            </w:r>
            <w:r>
              <w:rPr>
                <w:rFonts w:hint="eastAsia"/>
                <w:color w:val="auto"/>
                <w:sz w:val="24"/>
                <w:lang w:val="en-US" w:eastAsia="zh-CN"/>
              </w:rPr>
              <w:t>架空</w:t>
            </w:r>
            <w:r>
              <w:rPr>
                <w:color w:val="auto"/>
                <w:sz w:val="24"/>
              </w:rPr>
              <w:t>线路</w:t>
            </w:r>
            <w:r>
              <w:rPr>
                <w:rFonts w:hint="eastAsia"/>
                <w:color w:val="auto"/>
                <w:sz w:val="24"/>
                <w:lang w:val="en-US" w:eastAsia="zh-CN"/>
              </w:rPr>
              <w:t>段</w:t>
            </w:r>
            <w:r>
              <w:rPr>
                <w:color w:val="auto"/>
                <w:sz w:val="24"/>
              </w:rPr>
              <w:t>昼、夜</w:t>
            </w:r>
            <w:r>
              <w:rPr>
                <w:rFonts w:hint="eastAsia"/>
                <w:color w:val="auto"/>
                <w:sz w:val="24"/>
                <w:lang w:val="en-US" w:eastAsia="zh-CN"/>
              </w:rPr>
              <w:t>间</w:t>
            </w:r>
            <w:r>
              <w:rPr>
                <w:color w:val="auto"/>
                <w:sz w:val="24"/>
              </w:rPr>
              <w:t>噪声变化幅度不大，噪声水平随距离的增加而减小的趋势不明显，说明主要受背景噪声影响，输电线路的运行噪声对周围环境噪声的贡献很小，基本不构成增量贡献，对当地环境噪声水平不会有明显的改变。因此，本项目新建110kV</w:t>
            </w:r>
            <w:r>
              <w:rPr>
                <w:rFonts w:hint="eastAsia"/>
                <w:color w:val="auto"/>
                <w:sz w:val="24"/>
                <w:lang w:val="en-US" w:eastAsia="zh-CN"/>
              </w:rPr>
              <w:t>架空</w:t>
            </w:r>
            <w:r>
              <w:rPr>
                <w:color w:val="auto"/>
                <w:sz w:val="24"/>
              </w:rPr>
              <w:t>线路</w:t>
            </w:r>
            <w:r>
              <w:rPr>
                <w:rFonts w:hint="eastAsia"/>
                <w:color w:val="auto"/>
                <w:sz w:val="24"/>
                <w:lang w:val="en-US" w:eastAsia="zh-CN"/>
              </w:rPr>
              <w:t>段</w:t>
            </w:r>
            <w:r>
              <w:rPr>
                <w:color w:val="auto"/>
                <w:sz w:val="24"/>
              </w:rPr>
              <w:t>投运后产生的噪声对周围环境的影响程度也很小，线路沿线声环境能够满足《声环境质量标准》（GB3096-2008）中</w:t>
            </w:r>
            <w:r>
              <w:rPr>
                <w:rFonts w:hint="eastAsia"/>
                <w:color w:val="auto"/>
                <w:sz w:val="24"/>
              </w:rPr>
              <w:t>1类</w:t>
            </w:r>
            <w:r>
              <w:rPr>
                <w:color w:val="auto"/>
                <w:sz w:val="24"/>
              </w:rPr>
              <w:t>标准限值要求。</w:t>
            </w:r>
          </w:p>
          <w:p w14:paraId="5AB749F4">
            <w:pPr>
              <w:adjustRightInd w:val="0"/>
              <w:snapToGrid w:val="0"/>
              <w:spacing w:line="440" w:lineRule="exact"/>
              <w:ind w:firstLine="482" w:firstLineChars="200"/>
              <w:rPr>
                <w:rFonts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5）</w:t>
            </w:r>
            <w:r>
              <w:rPr>
                <w:rFonts w:ascii="Times New Roman" w:hAnsi="Times New Roman" w:eastAsia="宋体" w:cs="Times New Roman"/>
                <w:b/>
                <w:bCs/>
                <w:color w:val="auto"/>
                <w:sz w:val="24"/>
              </w:rPr>
              <w:t>声环境敏感点噪声评价</w:t>
            </w:r>
          </w:p>
          <w:p w14:paraId="73511FA4">
            <w:pPr>
              <w:adjustRightInd w:val="0"/>
              <w:snapToGrid w:val="0"/>
              <w:spacing w:line="440" w:lineRule="exact"/>
              <w:ind w:firstLine="480" w:firstLineChars="200"/>
              <w:rPr>
                <w:rFonts w:hint="eastAsia" w:ascii="Times New Roman" w:hAnsi="Times New Roman" w:eastAsia="宋体" w:cs="Times New Roman"/>
                <w:color w:val="auto"/>
                <w:sz w:val="24"/>
                <w:lang w:eastAsia="zh-CN"/>
              </w:rPr>
            </w:pPr>
            <w:r>
              <w:rPr>
                <w:rFonts w:ascii="Times New Roman" w:hAnsi="Times New Roman" w:eastAsia="宋体" w:cs="Times New Roman"/>
                <w:color w:val="auto"/>
                <w:sz w:val="24"/>
              </w:rPr>
              <w:t>根据现场踏勘，距离工程最近的</w:t>
            </w:r>
            <w:r>
              <w:rPr>
                <w:rFonts w:hint="eastAsia" w:ascii="Times New Roman" w:hAnsi="Times New Roman" w:eastAsia="宋体" w:cs="Times New Roman"/>
                <w:color w:val="auto"/>
                <w:sz w:val="24"/>
                <w:lang w:val="en-US" w:eastAsia="zh-CN"/>
              </w:rPr>
              <w:t>声环境</w:t>
            </w:r>
            <w:r>
              <w:rPr>
                <w:rFonts w:ascii="Times New Roman" w:hAnsi="Times New Roman" w:eastAsia="宋体" w:cs="Times New Roman"/>
                <w:color w:val="auto"/>
                <w:sz w:val="24"/>
              </w:rPr>
              <w:t>保护目标为</w:t>
            </w:r>
            <w:r>
              <w:rPr>
                <w:rFonts w:hint="eastAsia" w:ascii="Times New Roman" w:hAnsi="Times New Roman" w:eastAsia="宋体" w:cs="Times New Roman"/>
                <w:color w:val="auto"/>
                <w:sz w:val="24"/>
              </w:rPr>
              <w:t>N10-N11塔间线路</w:t>
            </w:r>
            <w:r>
              <w:rPr>
                <w:rFonts w:hint="eastAsia" w:ascii="Times New Roman" w:hAnsi="Times New Roman" w:eastAsia="宋体" w:cs="Times New Roman"/>
                <w:color w:val="auto"/>
                <w:sz w:val="24"/>
                <w:lang w:val="en-US" w:eastAsia="zh-CN"/>
              </w:rPr>
              <w:t>左</w:t>
            </w:r>
            <w:r>
              <w:rPr>
                <w:rFonts w:ascii="Times New Roman" w:hAnsi="Times New Roman" w:eastAsia="宋体" w:cs="Times New Roman"/>
                <w:color w:val="auto"/>
                <w:sz w:val="24"/>
              </w:rPr>
              <w:t>侧，距边导线投影最近距离</w:t>
            </w:r>
            <w:r>
              <w:rPr>
                <w:rFonts w:hint="eastAsia" w:ascii="Times New Roman" w:hAnsi="Times New Roman" w:eastAsia="宋体" w:cs="Times New Roman"/>
                <w:color w:val="auto"/>
                <w:sz w:val="24"/>
                <w:lang w:val="en-US" w:eastAsia="zh-CN"/>
              </w:rPr>
              <w:t>29</w:t>
            </w:r>
            <w:r>
              <w:rPr>
                <w:rFonts w:ascii="Times New Roman" w:hAnsi="Times New Roman" w:eastAsia="宋体" w:cs="Times New Roman"/>
                <w:color w:val="auto"/>
                <w:sz w:val="24"/>
              </w:rPr>
              <w:t>m</w:t>
            </w:r>
            <w:r>
              <w:rPr>
                <w:rFonts w:hint="eastAsia" w:ascii="Times New Roman" w:hAnsi="Times New Roman" w:eastAsia="宋体" w:cs="Times New Roman"/>
                <w:color w:val="auto"/>
                <w:sz w:val="24"/>
                <w:lang w:val="en-US" w:eastAsia="zh-CN"/>
              </w:rPr>
              <w:t>处的</w:t>
            </w:r>
            <w:r>
              <w:rPr>
                <w:rFonts w:hint="eastAsia" w:ascii="Times New Roman" w:hAnsi="Times New Roman" w:eastAsia="宋体" w:cs="Times New Roman"/>
                <w:color w:val="auto"/>
                <w:sz w:val="24"/>
              </w:rPr>
              <w:t>石碓窝居民</w:t>
            </w:r>
            <w:r>
              <w:rPr>
                <w:rFonts w:hint="eastAsia" w:ascii="Times New Roman" w:hAnsi="Times New Roman" w:eastAsia="宋体" w:cs="Times New Roman"/>
                <w:color w:val="auto"/>
                <w:sz w:val="24"/>
                <w:lang w:val="en-US" w:eastAsia="zh-CN"/>
              </w:rPr>
              <w:t>以及N22-N23塔间线路右侧，距边导线投影最近距离23m处的红地丫口散户</w:t>
            </w:r>
            <w:r>
              <w:rPr>
                <w:rFonts w:hint="eastAsia" w:ascii="Times New Roman" w:hAnsi="Times New Roman" w:eastAsia="宋体" w:cs="Times New Roman"/>
                <w:color w:val="auto"/>
                <w:sz w:val="24"/>
                <w:lang w:eastAsia="zh-CN"/>
              </w:rPr>
              <w:t>。</w:t>
            </w:r>
          </w:p>
          <w:p w14:paraId="50CC0DDB">
            <w:pPr>
              <w:adjustRightInd w:val="0"/>
              <w:snapToGrid w:val="0"/>
              <w:spacing w:line="440" w:lineRule="exact"/>
              <w:ind w:firstLine="480" w:firstLineChars="200"/>
              <w:rPr>
                <w:rFonts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经分析</w:t>
            </w:r>
            <w:r>
              <w:rPr>
                <w:rFonts w:ascii="Times New Roman" w:hAnsi="Times New Roman" w:eastAsia="宋体" w:cs="Times New Roman"/>
                <w:color w:val="auto"/>
                <w:sz w:val="24"/>
              </w:rPr>
              <w:t>已运行的</w:t>
            </w:r>
            <w:r>
              <w:rPr>
                <w:rFonts w:hint="eastAsia" w:ascii="Times New Roman" w:hAnsi="Times New Roman" w:eastAsia="宋体" w:cs="Times New Roman"/>
                <w:color w:val="auto"/>
                <w:sz w:val="24"/>
              </w:rPr>
              <w:t>大理大钢钢铁有限公司外部供电线路工程昼夜间噪声监测数据，无明显衰减趋势，因此110kV架空输电线运营期对声环境无明显贡献值影响。距离本工程最近的保护目标为N10-N11塔间线路</w:t>
            </w:r>
            <w:r>
              <w:rPr>
                <w:rFonts w:ascii="Times New Roman" w:hAnsi="Times New Roman" w:eastAsia="宋体" w:cs="Times New Roman"/>
                <w:color w:val="auto"/>
                <w:sz w:val="24"/>
              </w:rPr>
              <w:t>右侧，距边导线投影最近距离</w:t>
            </w:r>
            <w:r>
              <w:rPr>
                <w:rFonts w:hint="eastAsia" w:ascii="Times New Roman" w:hAnsi="Times New Roman" w:eastAsia="宋体" w:cs="Times New Roman"/>
                <w:color w:val="auto"/>
                <w:sz w:val="24"/>
                <w:lang w:val="en-US" w:eastAsia="zh-CN"/>
              </w:rPr>
              <w:t>29</w:t>
            </w:r>
            <w:r>
              <w:rPr>
                <w:rFonts w:ascii="Times New Roman" w:hAnsi="Times New Roman" w:eastAsia="宋体" w:cs="Times New Roman"/>
                <w:color w:val="auto"/>
                <w:sz w:val="24"/>
              </w:rPr>
              <w:t>m</w:t>
            </w:r>
            <w:r>
              <w:rPr>
                <w:rFonts w:hint="eastAsia" w:ascii="Times New Roman" w:hAnsi="Times New Roman" w:eastAsia="宋体" w:cs="Times New Roman"/>
                <w:color w:val="auto"/>
                <w:sz w:val="24"/>
                <w:lang w:val="en-US" w:eastAsia="zh-CN"/>
              </w:rPr>
              <w:t>处的</w:t>
            </w:r>
            <w:r>
              <w:rPr>
                <w:rFonts w:hint="eastAsia" w:ascii="Times New Roman" w:hAnsi="Times New Roman" w:eastAsia="宋体" w:cs="Times New Roman"/>
                <w:color w:val="auto"/>
                <w:sz w:val="24"/>
              </w:rPr>
              <w:t>石碓窝居民</w:t>
            </w:r>
            <w:r>
              <w:rPr>
                <w:rFonts w:hint="eastAsia" w:ascii="Times New Roman" w:hAnsi="Times New Roman" w:eastAsia="宋体" w:cs="Times New Roman"/>
                <w:color w:val="auto"/>
                <w:sz w:val="24"/>
                <w:lang w:val="en-US" w:eastAsia="zh-CN"/>
              </w:rPr>
              <w:t>以及N22-N23塔间线路右侧，距边导线投影最近距离23m处的红地丫口散户</w:t>
            </w:r>
            <w:r>
              <w:rPr>
                <w:rFonts w:hint="eastAsia" w:ascii="Times New Roman" w:hAnsi="Times New Roman" w:eastAsia="宋体" w:cs="Times New Roman"/>
                <w:color w:val="auto"/>
                <w:sz w:val="24"/>
              </w:rPr>
              <w:t>，根据现状监测，保护目标声环境现状可达到《声环境质量标准》（GB3096-2008）中1类标准，运营期声环境质量不会</w:t>
            </w:r>
            <w:r>
              <w:rPr>
                <w:rFonts w:hint="eastAsia" w:ascii="Times New Roman" w:hAnsi="Times New Roman" w:eastAsia="宋体" w:cs="Times New Roman"/>
                <w:color w:val="auto"/>
                <w:sz w:val="24"/>
                <w:lang w:val="en-US" w:eastAsia="zh-CN"/>
              </w:rPr>
              <w:t>受到</w:t>
            </w:r>
            <w:r>
              <w:rPr>
                <w:rFonts w:hint="eastAsia" w:ascii="Times New Roman" w:hAnsi="Times New Roman" w:eastAsia="宋体" w:cs="Times New Roman"/>
                <w:color w:val="auto"/>
                <w:sz w:val="24"/>
              </w:rPr>
              <w:t>较大影响。项目运营期对声环境影响可接受。</w:t>
            </w:r>
          </w:p>
          <w:p w14:paraId="2FC87D45">
            <w:pPr>
              <w:adjustRightInd w:val="0"/>
              <w:snapToGrid w:val="0"/>
              <w:spacing w:line="440" w:lineRule="exact"/>
              <w:ind w:firstLine="482" w:firstLineChars="200"/>
              <w:rPr>
                <w:rFonts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6）</w:t>
            </w:r>
            <w:r>
              <w:rPr>
                <w:rFonts w:ascii="Times New Roman" w:hAnsi="Times New Roman" w:eastAsia="宋体" w:cs="Times New Roman"/>
                <w:b/>
                <w:bCs/>
                <w:color w:val="auto"/>
                <w:sz w:val="24"/>
              </w:rPr>
              <w:t>结论</w:t>
            </w:r>
          </w:p>
          <w:p w14:paraId="0172B950">
            <w:pPr>
              <w:adjustRightInd w:val="0"/>
              <w:snapToGrid w:val="0"/>
              <w:spacing w:line="440" w:lineRule="exact"/>
              <w:ind w:firstLine="480" w:firstLineChars="200"/>
              <w:rPr>
                <w:rFonts w:ascii="Times New Roman" w:hAnsi="Times New Roman" w:eastAsia="宋体" w:cs="Times New Roman"/>
                <w:color w:val="auto"/>
                <w:sz w:val="24"/>
              </w:rPr>
            </w:pPr>
            <w:r>
              <w:rPr>
                <w:rFonts w:ascii="Times New Roman" w:hAnsi="Times New Roman" w:eastAsia="宋体" w:cs="Times New Roman"/>
                <w:color w:val="auto"/>
                <w:sz w:val="24"/>
              </w:rPr>
              <w:t>本工程输电线路投入运行后，产生的噪声对声环境敏感点和周围环境的影响均能控制在《声环境质量标准》（GB3096-2008）的1类标准要求内，输电线路运行对周边声环境影响较小。</w:t>
            </w:r>
          </w:p>
          <w:p w14:paraId="03CFAC41">
            <w:pPr>
              <w:adjustRightInd w:val="0"/>
              <w:snapToGrid w:val="0"/>
              <w:spacing w:line="440" w:lineRule="exact"/>
              <w:ind w:firstLine="482" w:firstLineChars="200"/>
              <w:rPr>
                <w:b/>
                <w:bCs/>
                <w:color w:val="auto"/>
                <w:sz w:val="24"/>
              </w:rPr>
            </w:pPr>
            <w:r>
              <w:rPr>
                <w:b/>
                <w:bCs/>
                <w:color w:val="auto"/>
                <w:sz w:val="24"/>
              </w:rPr>
              <w:t>（</w:t>
            </w:r>
            <w:r>
              <w:rPr>
                <w:rFonts w:hint="eastAsia"/>
                <w:b/>
                <w:bCs/>
                <w:color w:val="auto"/>
                <w:sz w:val="24"/>
                <w:lang w:val="en-US" w:eastAsia="zh-CN"/>
              </w:rPr>
              <w:t>3</w:t>
            </w:r>
            <w:r>
              <w:rPr>
                <w:b/>
                <w:bCs/>
                <w:color w:val="auto"/>
                <w:sz w:val="24"/>
              </w:rPr>
              <w:t>）声环境评价结论</w:t>
            </w:r>
          </w:p>
          <w:p w14:paraId="4F6D9880">
            <w:pPr>
              <w:adjustRightInd w:val="0"/>
              <w:snapToGrid w:val="0"/>
              <w:spacing w:line="440" w:lineRule="exact"/>
              <w:ind w:firstLine="480" w:firstLineChars="200"/>
              <w:rPr>
                <w:bCs/>
                <w:color w:val="auto"/>
                <w:sz w:val="24"/>
              </w:rPr>
            </w:pPr>
            <w:r>
              <w:rPr>
                <w:bCs/>
                <w:color w:val="auto"/>
                <w:sz w:val="24"/>
              </w:rPr>
              <w:t>根据</w:t>
            </w:r>
            <w:r>
              <w:rPr>
                <w:rFonts w:hint="eastAsia"/>
                <w:bCs/>
                <w:color w:val="auto"/>
                <w:sz w:val="24"/>
                <w:lang w:val="en-US" w:eastAsia="zh-CN"/>
              </w:rPr>
              <w:t>监测</w:t>
            </w:r>
            <w:r>
              <w:rPr>
                <w:bCs/>
                <w:color w:val="auto"/>
                <w:sz w:val="24"/>
              </w:rPr>
              <w:t>结果分析，项目</w:t>
            </w:r>
            <w:r>
              <w:rPr>
                <w:rFonts w:hint="eastAsia"/>
                <w:bCs/>
                <w:color w:val="auto"/>
                <w:sz w:val="24"/>
                <w:lang w:val="en-US" w:eastAsia="zh-CN"/>
              </w:rPr>
              <w:t>架空</w:t>
            </w:r>
            <w:r>
              <w:rPr>
                <w:bCs/>
                <w:color w:val="auto"/>
                <w:sz w:val="24"/>
              </w:rPr>
              <w:t>输电线路运营后，线下噪声</w:t>
            </w:r>
            <w:r>
              <w:rPr>
                <w:rFonts w:hint="eastAsia"/>
                <w:bCs/>
                <w:color w:val="auto"/>
                <w:sz w:val="24"/>
              </w:rPr>
              <w:t>可</w:t>
            </w:r>
            <w:r>
              <w:rPr>
                <w:bCs/>
                <w:color w:val="auto"/>
                <w:sz w:val="24"/>
              </w:rPr>
              <w:t>满足《声环境质量标准》（GB3096-2</w:t>
            </w:r>
            <w:r>
              <w:rPr>
                <w:rFonts w:hint="eastAsia"/>
                <w:bCs/>
                <w:color w:val="auto"/>
                <w:sz w:val="24"/>
                <w:lang w:val="en-US" w:eastAsia="zh-CN"/>
              </w:rPr>
              <w:t>0</w:t>
            </w:r>
            <w:r>
              <w:rPr>
                <w:bCs/>
                <w:color w:val="auto"/>
                <w:sz w:val="24"/>
              </w:rPr>
              <w:t>08）中</w:t>
            </w:r>
            <w:r>
              <w:rPr>
                <w:rFonts w:hint="eastAsia"/>
                <w:color w:val="auto"/>
                <w:sz w:val="24"/>
              </w:rPr>
              <w:t>1类</w:t>
            </w:r>
            <w:r>
              <w:rPr>
                <w:color w:val="auto"/>
                <w:sz w:val="24"/>
              </w:rPr>
              <w:t>标准限值要求</w:t>
            </w:r>
            <w:r>
              <w:rPr>
                <w:rFonts w:hint="eastAsia"/>
                <w:color w:val="auto"/>
                <w:sz w:val="24"/>
                <w:lang w:eastAsia="zh-CN"/>
              </w:rPr>
              <w:t>；</w:t>
            </w:r>
            <w:r>
              <w:rPr>
                <w:bCs/>
                <w:color w:val="auto"/>
                <w:sz w:val="24"/>
              </w:rPr>
              <w:t>沿线环境敏感保护目标处的声环境质量现状均能够满足《声环境质量标准》（GB3096-2008）中1类标准限值要求。项目</w:t>
            </w:r>
            <w:r>
              <w:rPr>
                <w:rFonts w:hint="eastAsia"/>
                <w:bCs/>
                <w:color w:val="auto"/>
                <w:sz w:val="24"/>
                <w:lang w:val="en-US" w:eastAsia="zh-CN"/>
              </w:rPr>
              <w:t>架空</w:t>
            </w:r>
            <w:r>
              <w:rPr>
                <w:bCs/>
                <w:color w:val="auto"/>
                <w:sz w:val="24"/>
              </w:rPr>
              <w:t>输电线路运行后，噪声经距离衰减后，到达线路沿线居民点的噪声值很小，线路沿线居民敏感目标处的噪声值基本为居民生活噪声现状值，项目输电线路的运行不会改变线路沿线居民敏感目标处的声环境功能。因此，项目建设不会影响区域声环境功能。</w:t>
            </w:r>
          </w:p>
          <w:p w14:paraId="2D81786F">
            <w:pPr>
              <w:adjustRightInd w:val="0"/>
              <w:snapToGrid w:val="0"/>
              <w:spacing w:line="440" w:lineRule="exact"/>
              <w:rPr>
                <w:rFonts w:hint="eastAsia"/>
                <w:b/>
                <w:color w:val="auto"/>
                <w:sz w:val="28"/>
                <w:szCs w:val="28"/>
              </w:rPr>
            </w:pPr>
            <w:r>
              <w:rPr>
                <w:rFonts w:hint="eastAsia"/>
                <w:b/>
                <w:color w:val="auto"/>
                <w:sz w:val="28"/>
                <w:szCs w:val="28"/>
              </w:rPr>
              <w:t>4.2.3运营期大气环境影响分析</w:t>
            </w:r>
          </w:p>
          <w:p w14:paraId="39D70B72">
            <w:pPr>
              <w:adjustRightInd w:val="0"/>
              <w:snapToGrid w:val="0"/>
              <w:spacing w:line="440" w:lineRule="exact"/>
              <w:ind w:firstLine="480" w:firstLineChars="200"/>
              <w:rPr>
                <w:color w:val="auto"/>
                <w:sz w:val="24"/>
              </w:rPr>
            </w:pPr>
            <w:r>
              <w:rPr>
                <w:color w:val="auto"/>
                <w:sz w:val="24"/>
              </w:rPr>
              <w:t>运行期间输电线路无废气排放，对周围环境空气不会造成影响。</w:t>
            </w:r>
          </w:p>
          <w:p w14:paraId="017EC68A">
            <w:pPr>
              <w:adjustRightInd w:val="0"/>
              <w:snapToGrid w:val="0"/>
              <w:spacing w:line="440" w:lineRule="exact"/>
              <w:rPr>
                <w:rFonts w:hint="eastAsia"/>
                <w:b/>
                <w:color w:val="auto"/>
                <w:sz w:val="28"/>
                <w:szCs w:val="28"/>
              </w:rPr>
            </w:pPr>
            <w:r>
              <w:rPr>
                <w:rFonts w:hint="eastAsia"/>
                <w:b/>
                <w:color w:val="auto"/>
                <w:sz w:val="28"/>
                <w:szCs w:val="28"/>
              </w:rPr>
              <w:t>4.2.4运营期地表水环境影响分析</w:t>
            </w:r>
          </w:p>
          <w:p w14:paraId="5A46346C">
            <w:pPr>
              <w:adjustRightInd w:val="0"/>
              <w:snapToGrid w:val="0"/>
              <w:spacing w:line="440" w:lineRule="exact"/>
              <w:ind w:firstLine="480" w:firstLineChars="200"/>
              <w:rPr>
                <w:color w:val="auto"/>
                <w:sz w:val="24"/>
              </w:rPr>
            </w:pPr>
            <w:r>
              <w:rPr>
                <w:color w:val="auto"/>
                <w:sz w:val="24"/>
              </w:rPr>
              <w:t>运行期间输电线路无废水产生，不会对附近水环境产生影响。</w:t>
            </w:r>
          </w:p>
          <w:p w14:paraId="340E7B2F">
            <w:pPr>
              <w:adjustRightInd w:val="0"/>
              <w:snapToGrid w:val="0"/>
              <w:spacing w:line="440" w:lineRule="exact"/>
              <w:rPr>
                <w:rFonts w:hint="eastAsia"/>
                <w:b/>
                <w:color w:val="auto"/>
                <w:sz w:val="28"/>
                <w:szCs w:val="28"/>
              </w:rPr>
            </w:pPr>
            <w:r>
              <w:rPr>
                <w:rFonts w:hint="eastAsia"/>
                <w:b/>
                <w:color w:val="auto"/>
                <w:sz w:val="28"/>
                <w:szCs w:val="28"/>
              </w:rPr>
              <w:t>4.2.5运营期固体废物影响分析</w:t>
            </w:r>
          </w:p>
          <w:p w14:paraId="457FF7D3">
            <w:pPr>
              <w:pStyle w:val="92"/>
              <w:snapToGrid w:val="0"/>
              <w:spacing w:line="440" w:lineRule="exact"/>
              <w:ind w:firstLine="480" w:firstLineChars="200"/>
              <w:jc w:val="both"/>
              <w:rPr>
                <w:color w:val="auto"/>
              </w:rPr>
            </w:pPr>
            <w:r>
              <w:rPr>
                <w:color w:val="auto"/>
              </w:rPr>
              <w:t>运营期产生的固体废弃物主</w:t>
            </w:r>
            <w:r>
              <w:rPr>
                <w:rFonts w:hint="eastAsia"/>
                <w:color w:val="auto"/>
                <w:lang w:eastAsia="zh-CN"/>
              </w:rPr>
              <w:t>要是</w:t>
            </w:r>
            <w:r>
              <w:rPr>
                <w:color w:val="auto"/>
              </w:rPr>
              <w:t>输电线路设备维修产生的废弃材料。</w:t>
            </w:r>
          </w:p>
          <w:p w14:paraId="3B9E8F6B">
            <w:pPr>
              <w:adjustRightInd w:val="0"/>
              <w:snapToGrid w:val="0"/>
              <w:spacing w:line="440" w:lineRule="exact"/>
              <w:ind w:firstLine="480" w:firstLineChars="200"/>
              <w:rPr>
                <w:color w:val="auto"/>
                <w:sz w:val="24"/>
              </w:rPr>
            </w:pPr>
            <w:r>
              <w:rPr>
                <w:color w:val="auto"/>
                <w:sz w:val="24"/>
              </w:rPr>
              <w:t>输电线路运行期间，将定期进行设备维修和更换，会产生一定量的电气设备零件、绝缘子等</w:t>
            </w:r>
            <w:r>
              <w:rPr>
                <w:rFonts w:hint="eastAsia"/>
                <w:color w:val="auto"/>
                <w:sz w:val="24"/>
                <w:lang w:eastAsia="zh-CN"/>
              </w:rPr>
              <w:t>金属</w:t>
            </w:r>
            <w:r>
              <w:rPr>
                <w:color w:val="auto"/>
                <w:sz w:val="24"/>
              </w:rPr>
              <w:t>等废旧材料，约0.</w:t>
            </w:r>
            <w:r>
              <w:rPr>
                <w:rFonts w:hint="eastAsia"/>
                <w:color w:val="auto"/>
                <w:sz w:val="24"/>
              </w:rPr>
              <w:t>5</w:t>
            </w:r>
            <w:r>
              <w:rPr>
                <w:color w:val="auto"/>
                <w:sz w:val="24"/>
              </w:rPr>
              <w:t>t/a，主要是铁质、钢质及绝缘材料的零部件，这些废弃物均可回收，集中收集后外售给废旧资源回收中心回收利用。</w:t>
            </w:r>
          </w:p>
          <w:p w14:paraId="4AC96D6F">
            <w:pPr>
              <w:adjustRightInd w:val="0"/>
              <w:snapToGrid w:val="0"/>
              <w:spacing w:line="240" w:lineRule="auto"/>
              <w:jc w:val="center"/>
              <w:rPr>
                <w:b/>
                <w:color w:val="auto"/>
                <w:sz w:val="24"/>
              </w:rPr>
            </w:pPr>
            <w:r>
              <w:rPr>
                <w:b/>
                <w:color w:val="auto"/>
                <w:sz w:val="24"/>
              </w:rPr>
              <w:t>表4-</w:t>
            </w:r>
            <w:r>
              <w:rPr>
                <w:rFonts w:hint="eastAsia"/>
                <w:b/>
                <w:color w:val="auto"/>
                <w:sz w:val="24"/>
              </w:rPr>
              <w:t>1</w:t>
            </w:r>
            <w:r>
              <w:rPr>
                <w:rFonts w:hint="eastAsia"/>
                <w:b/>
                <w:color w:val="auto"/>
                <w:sz w:val="24"/>
                <w:lang w:val="en-US" w:eastAsia="zh-CN"/>
              </w:rPr>
              <w:t>0</w:t>
            </w:r>
            <w:r>
              <w:rPr>
                <w:b/>
                <w:color w:val="auto"/>
                <w:sz w:val="24"/>
              </w:rPr>
              <w:t xml:space="preserve">  项目固废产生及处置情况</w:t>
            </w:r>
          </w:p>
          <w:tbl>
            <w:tblPr>
              <w:tblStyle w:val="30"/>
              <w:tblW w:w="4997" w:type="pct"/>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86"/>
              <w:gridCol w:w="977"/>
              <w:gridCol w:w="929"/>
              <w:gridCol w:w="1120"/>
              <w:gridCol w:w="588"/>
              <w:gridCol w:w="1102"/>
              <w:gridCol w:w="1253"/>
              <w:gridCol w:w="1742"/>
            </w:tblGrid>
            <w:tr w14:paraId="3967698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96" w:type="pct"/>
                  <w:noWrap w:val="0"/>
                  <w:vAlign w:val="center"/>
                </w:tcPr>
                <w:p w14:paraId="7D579D50">
                  <w:pPr>
                    <w:pStyle w:val="92"/>
                    <w:snapToGrid w:val="0"/>
                    <w:spacing w:line="240" w:lineRule="auto"/>
                    <w:jc w:val="center"/>
                    <w:rPr>
                      <w:b/>
                      <w:color w:val="auto"/>
                      <w:sz w:val="21"/>
                      <w:szCs w:val="21"/>
                    </w:rPr>
                  </w:pPr>
                  <w:r>
                    <w:rPr>
                      <w:b/>
                      <w:color w:val="auto"/>
                      <w:sz w:val="21"/>
                      <w:szCs w:val="21"/>
                    </w:rPr>
                    <w:t>序号</w:t>
                  </w:r>
                </w:p>
              </w:tc>
              <w:tc>
                <w:tcPr>
                  <w:tcW w:w="597" w:type="pct"/>
                  <w:noWrap w:val="0"/>
                  <w:vAlign w:val="center"/>
                </w:tcPr>
                <w:p w14:paraId="451EE174">
                  <w:pPr>
                    <w:pStyle w:val="92"/>
                    <w:snapToGrid w:val="0"/>
                    <w:spacing w:line="240" w:lineRule="auto"/>
                    <w:jc w:val="center"/>
                    <w:rPr>
                      <w:b/>
                      <w:color w:val="auto"/>
                      <w:sz w:val="21"/>
                      <w:szCs w:val="21"/>
                    </w:rPr>
                  </w:pPr>
                  <w:r>
                    <w:rPr>
                      <w:b/>
                      <w:color w:val="auto"/>
                      <w:sz w:val="21"/>
                      <w:szCs w:val="21"/>
                    </w:rPr>
                    <w:t>固废名称</w:t>
                  </w:r>
                </w:p>
              </w:tc>
              <w:tc>
                <w:tcPr>
                  <w:tcW w:w="566" w:type="pct"/>
                  <w:noWrap w:val="0"/>
                  <w:vAlign w:val="center"/>
                </w:tcPr>
                <w:p w14:paraId="6A337E0E">
                  <w:pPr>
                    <w:pStyle w:val="92"/>
                    <w:snapToGrid w:val="0"/>
                    <w:spacing w:line="240" w:lineRule="auto"/>
                    <w:jc w:val="center"/>
                    <w:rPr>
                      <w:b/>
                      <w:color w:val="auto"/>
                      <w:sz w:val="21"/>
                      <w:szCs w:val="21"/>
                    </w:rPr>
                  </w:pPr>
                  <w:r>
                    <w:rPr>
                      <w:b/>
                      <w:color w:val="auto"/>
                      <w:sz w:val="21"/>
                      <w:szCs w:val="21"/>
                    </w:rPr>
                    <w:t>属性</w:t>
                  </w:r>
                </w:p>
              </w:tc>
              <w:tc>
                <w:tcPr>
                  <w:tcW w:w="683" w:type="pct"/>
                  <w:noWrap w:val="0"/>
                  <w:vAlign w:val="center"/>
                </w:tcPr>
                <w:p w14:paraId="60689802">
                  <w:pPr>
                    <w:pStyle w:val="92"/>
                    <w:snapToGrid w:val="0"/>
                    <w:spacing w:line="240" w:lineRule="auto"/>
                    <w:jc w:val="center"/>
                    <w:rPr>
                      <w:b/>
                      <w:color w:val="auto"/>
                      <w:sz w:val="21"/>
                      <w:szCs w:val="21"/>
                    </w:rPr>
                  </w:pPr>
                  <w:r>
                    <w:rPr>
                      <w:b/>
                      <w:color w:val="auto"/>
                      <w:sz w:val="21"/>
                      <w:szCs w:val="21"/>
                    </w:rPr>
                    <w:t>产生工序</w:t>
                  </w:r>
                </w:p>
              </w:tc>
              <w:tc>
                <w:tcPr>
                  <w:tcW w:w="359" w:type="pct"/>
                  <w:noWrap w:val="0"/>
                  <w:vAlign w:val="center"/>
                </w:tcPr>
                <w:p w14:paraId="6AB4E583">
                  <w:pPr>
                    <w:pStyle w:val="92"/>
                    <w:snapToGrid w:val="0"/>
                    <w:spacing w:line="240" w:lineRule="auto"/>
                    <w:jc w:val="center"/>
                    <w:rPr>
                      <w:b/>
                      <w:color w:val="auto"/>
                      <w:sz w:val="21"/>
                      <w:szCs w:val="21"/>
                    </w:rPr>
                  </w:pPr>
                  <w:r>
                    <w:rPr>
                      <w:b/>
                      <w:color w:val="auto"/>
                      <w:sz w:val="21"/>
                      <w:szCs w:val="21"/>
                    </w:rPr>
                    <w:t>形态</w:t>
                  </w:r>
                </w:p>
              </w:tc>
              <w:tc>
                <w:tcPr>
                  <w:tcW w:w="671" w:type="pct"/>
                  <w:noWrap w:val="0"/>
                  <w:vAlign w:val="center"/>
                </w:tcPr>
                <w:p w14:paraId="574EF574">
                  <w:pPr>
                    <w:pStyle w:val="92"/>
                    <w:snapToGrid w:val="0"/>
                    <w:spacing w:line="240" w:lineRule="auto"/>
                    <w:jc w:val="center"/>
                    <w:rPr>
                      <w:b/>
                      <w:color w:val="auto"/>
                      <w:sz w:val="21"/>
                      <w:szCs w:val="21"/>
                    </w:rPr>
                  </w:pPr>
                  <w:r>
                    <w:rPr>
                      <w:b/>
                      <w:color w:val="auto"/>
                      <w:sz w:val="21"/>
                      <w:szCs w:val="21"/>
                    </w:rPr>
                    <w:t>主要成分</w:t>
                  </w:r>
                </w:p>
              </w:tc>
              <w:tc>
                <w:tcPr>
                  <w:tcW w:w="762" w:type="pct"/>
                  <w:noWrap w:val="0"/>
                  <w:vAlign w:val="center"/>
                </w:tcPr>
                <w:p w14:paraId="6E6FE1DA">
                  <w:pPr>
                    <w:pStyle w:val="92"/>
                    <w:snapToGrid w:val="0"/>
                    <w:spacing w:line="240" w:lineRule="auto"/>
                    <w:ind w:firstLine="105"/>
                    <w:jc w:val="center"/>
                    <w:rPr>
                      <w:b/>
                      <w:color w:val="auto"/>
                      <w:sz w:val="21"/>
                      <w:szCs w:val="21"/>
                    </w:rPr>
                  </w:pPr>
                  <w:r>
                    <w:rPr>
                      <w:b/>
                      <w:color w:val="auto"/>
                      <w:sz w:val="21"/>
                      <w:szCs w:val="21"/>
                    </w:rPr>
                    <w:t>估算产生量</w:t>
                  </w:r>
                </w:p>
              </w:tc>
              <w:tc>
                <w:tcPr>
                  <w:tcW w:w="1062" w:type="pct"/>
                  <w:noWrap w:val="0"/>
                  <w:vAlign w:val="center"/>
                </w:tcPr>
                <w:p w14:paraId="768E7C24">
                  <w:pPr>
                    <w:pStyle w:val="92"/>
                    <w:snapToGrid w:val="0"/>
                    <w:spacing w:line="240" w:lineRule="auto"/>
                    <w:jc w:val="center"/>
                    <w:rPr>
                      <w:b/>
                      <w:color w:val="auto"/>
                      <w:sz w:val="21"/>
                      <w:szCs w:val="21"/>
                    </w:rPr>
                  </w:pPr>
                  <w:r>
                    <w:rPr>
                      <w:b/>
                      <w:color w:val="auto"/>
                      <w:sz w:val="21"/>
                      <w:szCs w:val="21"/>
                    </w:rPr>
                    <w:t>处置方式</w:t>
                  </w:r>
                </w:p>
              </w:tc>
            </w:tr>
            <w:tr w14:paraId="53857E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96" w:type="pct"/>
                  <w:noWrap w:val="0"/>
                  <w:vAlign w:val="center"/>
                </w:tcPr>
                <w:p w14:paraId="71DA9FD2">
                  <w:pPr>
                    <w:pStyle w:val="92"/>
                    <w:snapToGrid w:val="0"/>
                    <w:spacing w:line="240" w:lineRule="auto"/>
                    <w:jc w:val="center"/>
                    <w:rPr>
                      <w:color w:val="auto"/>
                      <w:sz w:val="21"/>
                      <w:szCs w:val="21"/>
                    </w:rPr>
                  </w:pPr>
                  <w:r>
                    <w:rPr>
                      <w:color w:val="auto"/>
                      <w:w w:val="99"/>
                      <w:sz w:val="21"/>
                      <w:szCs w:val="21"/>
                    </w:rPr>
                    <w:t>1</w:t>
                  </w:r>
                </w:p>
              </w:tc>
              <w:tc>
                <w:tcPr>
                  <w:tcW w:w="597" w:type="pct"/>
                  <w:noWrap w:val="0"/>
                  <w:vAlign w:val="center"/>
                </w:tcPr>
                <w:p w14:paraId="70141C2B">
                  <w:pPr>
                    <w:pStyle w:val="92"/>
                    <w:snapToGrid w:val="0"/>
                    <w:spacing w:line="240" w:lineRule="auto"/>
                    <w:jc w:val="center"/>
                    <w:rPr>
                      <w:color w:val="auto"/>
                      <w:sz w:val="21"/>
                      <w:szCs w:val="21"/>
                    </w:rPr>
                  </w:pPr>
                  <w:r>
                    <w:rPr>
                      <w:color w:val="auto"/>
                      <w:sz w:val="21"/>
                      <w:szCs w:val="21"/>
                    </w:rPr>
                    <w:t>废旧材料</w:t>
                  </w:r>
                </w:p>
              </w:tc>
              <w:tc>
                <w:tcPr>
                  <w:tcW w:w="566" w:type="pct"/>
                  <w:noWrap w:val="0"/>
                  <w:vAlign w:val="center"/>
                </w:tcPr>
                <w:p w14:paraId="55E488A9">
                  <w:pPr>
                    <w:pStyle w:val="92"/>
                    <w:snapToGrid w:val="0"/>
                    <w:spacing w:line="240" w:lineRule="auto"/>
                    <w:jc w:val="center"/>
                    <w:rPr>
                      <w:color w:val="auto"/>
                      <w:sz w:val="21"/>
                      <w:szCs w:val="21"/>
                    </w:rPr>
                  </w:pPr>
                  <w:r>
                    <w:rPr>
                      <w:color w:val="auto"/>
                      <w:sz w:val="21"/>
                      <w:szCs w:val="21"/>
                    </w:rPr>
                    <w:t>一般固废</w:t>
                  </w:r>
                </w:p>
              </w:tc>
              <w:tc>
                <w:tcPr>
                  <w:tcW w:w="683" w:type="pct"/>
                  <w:noWrap w:val="0"/>
                  <w:vAlign w:val="center"/>
                </w:tcPr>
                <w:p w14:paraId="0C0056EB">
                  <w:pPr>
                    <w:pStyle w:val="92"/>
                    <w:snapToGrid w:val="0"/>
                    <w:spacing w:line="240" w:lineRule="auto"/>
                    <w:jc w:val="center"/>
                    <w:rPr>
                      <w:color w:val="auto"/>
                      <w:sz w:val="21"/>
                      <w:szCs w:val="21"/>
                    </w:rPr>
                  </w:pPr>
                  <w:r>
                    <w:rPr>
                      <w:color w:val="auto"/>
                      <w:sz w:val="21"/>
                      <w:szCs w:val="21"/>
                    </w:rPr>
                    <w:t>设备维修</w:t>
                  </w:r>
                </w:p>
              </w:tc>
              <w:tc>
                <w:tcPr>
                  <w:tcW w:w="359" w:type="pct"/>
                  <w:noWrap w:val="0"/>
                  <w:vAlign w:val="center"/>
                </w:tcPr>
                <w:p w14:paraId="506254B1">
                  <w:pPr>
                    <w:pStyle w:val="92"/>
                    <w:snapToGrid w:val="0"/>
                    <w:spacing w:line="240" w:lineRule="auto"/>
                    <w:jc w:val="center"/>
                    <w:rPr>
                      <w:color w:val="auto"/>
                      <w:sz w:val="21"/>
                      <w:szCs w:val="21"/>
                    </w:rPr>
                  </w:pPr>
                  <w:r>
                    <w:rPr>
                      <w:color w:val="auto"/>
                      <w:sz w:val="21"/>
                      <w:szCs w:val="21"/>
                    </w:rPr>
                    <w:t>固态</w:t>
                  </w:r>
                </w:p>
              </w:tc>
              <w:tc>
                <w:tcPr>
                  <w:tcW w:w="671" w:type="pct"/>
                  <w:noWrap w:val="0"/>
                  <w:vAlign w:val="center"/>
                </w:tcPr>
                <w:p w14:paraId="43DF60A0">
                  <w:pPr>
                    <w:pStyle w:val="92"/>
                    <w:snapToGrid w:val="0"/>
                    <w:spacing w:line="240" w:lineRule="auto"/>
                    <w:ind w:hanging="382"/>
                    <w:jc w:val="center"/>
                    <w:rPr>
                      <w:color w:val="auto"/>
                      <w:sz w:val="21"/>
                      <w:szCs w:val="21"/>
                    </w:rPr>
                  </w:pPr>
                  <w:r>
                    <w:rPr>
                      <w:color w:val="auto"/>
                      <w:spacing w:val="-19"/>
                      <w:sz w:val="21"/>
                      <w:szCs w:val="21"/>
                    </w:rPr>
                    <w:t>木质、金属</w:t>
                  </w:r>
                  <w:r>
                    <w:rPr>
                      <w:color w:val="auto"/>
                      <w:sz w:val="21"/>
                      <w:szCs w:val="21"/>
                    </w:rPr>
                    <w:t>等</w:t>
                  </w:r>
                </w:p>
              </w:tc>
              <w:tc>
                <w:tcPr>
                  <w:tcW w:w="762" w:type="pct"/>
                  <w:noWrap w:val="0"/>
                  <w:vAlign w:val="center"/>
                </w:tcPr>
                <w:p w14:paraId="09D554C3">
                  <w:pPr>
                    <w:pStyle w:val="92"/>
                    <w:snapToGrid w:val="0"/>
                    <w:spacing w:line="240" w:lineRule="auto"/>
                    <w:jc w:val="center"/>
                    <w:rPr>
                      <w:color w:val="auto"/>
                      <w:sz w:val="21"/>
                      <w:szCs w:val="21"/>
                    </w:rPr>
                  </w:pPr>
                  <w:r>
                    <w:rPr>
                      <w:color w:val="auto"/>
                      <w:sz w:val="21"/>
                      <w:szCs w:val="21"/>
                    </w:rPr>
                    <w:t>0.</w:t>
                  </w:r>
                  <w:r>
                    <w:rPr>
                      <w:rFonts w:hint="eastAsia"/>
                      <w:color w:val="auto"/>
                      <w:sz w:val="21"/>
                      <w:szCs w:val="21"/>
                    </w:rPr>
                    <w:t>5</w:t>
                  </w:r>
                  <w:r>
                    <w:rPr>
                      <w:color w:val="auto"/>
                      <w:sz w:val="21"/>
                      <w:szCs w:val="21"/>
                    </w:rPr>
                    <w:t>t/a</w:t>
                  </w:r>
                </w:p>
              </w:tc>
              <w:tc>
                <w:tcPr>
                  <w:tcW w:w="1062" w:type="pct"/>
                  <w:noWrap w:val="0"/>
                  <w:vAlign w:val="center"/>
                </w:tcPr>
                <w:p w14:paraId="1D2C42AE">
                  <w:pPr>
                    <w:pStyle w:val="92"/>
                    <w:snapToGrid w:val="0"/>
                    <w:spacing w:line="240" w:lineRule="auto"/>
                    <w:jc w:val="center"/>
                    <w:rPr>
                      <w:color w:val="auto"/>
                      <w:sz w:val="21"/>
                      <w:szCs w:val="21"/>
                    </w:rPr>
                  </w:pPr>
                  <w:r>
                    <w:rPr>
                      <w:color w:val="auto"/>
                      <w:sz w:val="21"/>
                      <w:szCs w:val="21"/>
                    </w:rPr>
                    <w:t>回收利用</w:t>
                  </w:r>
                </w:p>
              </w:tc>
            </w:tr>
          </w:tbl>
          <w:p w14:paraId="309B0A53">
            <w:pPr>
              <w:pStyle w:val="92"/>
              <w:snapToGrid w:val="0"/>
              <w:spacing w:line="440" w:lineRule="exact"/>
              <w:ind w:firstLine="480" w:firstLineChars="200"/>
              <w:jc w:val="both"/>
              <w:rPr>
                <w:color w:val="auto"/>
              </w:rPr>
            </w:pPr>
            <w:bookmarkStart w:id="61" w:name="①生活垃圾：本变电站投产运行后，正常运行期间仅2人值守，值守人员、检修及巡检产生"/>
            <w:bookmarkEnd w:id="61"/>
            <w:r>
              <w:rPr>
                <w:color w:val="auto"/>
              </w:rPr>
              <w:t>输电线路运行期间，将定期进行设备维修和更换，会产生一定量的电气设备零件、绝缘子等</w:t>
            </w:r>
            <w:r>
              <w:rPr>
                <w:rFonts w:hint="eastAsia"/>
                <w:color w:val="auto"/>
                <w:lang w:eastAsia="zh-CN"/>
              </w:rPr>
              <w:t>金属</w:t>
            </w:r>
            <w:r>
              <w:rPr>
                <w:color w:val="auto"/>
              </w:rPr>
              <w:t>等废旧材料，主要是铁质、钢质及绝缘材料的零部件，这些废弃物均可回收，集中收集后外售给废旧资源回收中心回收利用。</w:t>
            </w:r>
          </w:p>
          <w:p w14:paraId="4E1DE5B9">
            <w:pPr>
              <w:pStyle w:val="92"/>
              <w:snapToGrid w:val="0"/>
              <w:spacing w:line="440" w:lineRule="exact"/>
              <w:ind w:firstLine="480" w:firstLineChars="200"/>
              <w:jc w:val="both"/>
              <w:rPr>
                <w:color w:val="auto"/>
              </w:rPr>
            </w:pPr>
            <w:r>
              <w:rPr>
                <w:color w:val="auto"/>
              </w:rPr>
              <w:t>采取以上措施后，项目产生的固体废物均可得到妥善处置，不会对周围环境造成较大影响。</w:t>
            </w:r>
          </w:p>
          <w:p w14:paraId="73F199E8">
            <w:pPr>
              <w:adjustRightInd w:val="0"/>
              <w:snapToGrid w:val="0"/>
              <w:spacing w:line="440" w:lineRule="exact"/>
              <w:rPr>
                <w:rFonts w:hint="eastAsia"/>
                <w:b/>
                <w:color w:val="auto"/>
                <w:sz w:val="28"/>
                <w:szCs w:val="28"/>
                <w:highlight w:val="none"/>
              </w:rPr>
            </w:pPr>
            <w:r>
              <w:rPr>
                <w:rFonts w:hint="eastAsia"/>
                <w:b/>
                <w:color w:val="auto"/>
                <w:sz w:val="28"/>
                <w:szCs w:val="28"/>
                <w:highlight w:val="none"/>
              </w:rPr>
              <w:t>4.2.</w:t>
            </w:r>
            <w:r>
              <w:rPr>
                <w:rFonts w:hint="eastAsia"/>
                <w:b/>
                <w:color w:val="auto"/>
                <w:sz w:val="28"/>
                <w:szCs w:val="28"/>
                <w:highlight w:val="none"/>
                <w:lang w:val="en-US" w:eastAsia="zh-CN"/>
              </w:rPr>
              <w:t>6</w:t>
            </w:r>
            <w:r>
              <w:rPr>
                <w:rFonts w:hint="eastAsia"/>
                <w:b/>
                <w:color w:val="auto"/>
                <w:sz w:val="28"/>
                <w:szCs w:val="28"/>
                <w:highlight w:val="none"/>
              </w:rPr>
              <w:t>运营期生态影响分析</w:t>
            </w:r>
          </w:p>
          <w:p w14:paraId="2A1433DA">
            <w:pPr>
              <w:adjustRightInd w:val="0"/>
              <w:snapToGrid w:val="0"/>
              <w:spacing w:line="440" w:lineRule="exact"/>
              <w:ind w:firstLine="480" w:firstLineChars="200"/>
              <w:rPr>
                <w:color w:val="auto"/>
                <w:sz w:val="24"/>
                <w:highlight w:val="none"/>
              </w:rPr>
            </w:pPr>
            <w:r>
              <w:rPr>
                <w:color w:val="auto"/>
                <w:sz w:val="24"/>
                <w:highlight w:val="none"/>
              </w:rPr>
              <w:t>输变电项目在运行期内，对生态系统、动物及灌丛、</w:t>
            </w:r>
            <w:r>
              <w:rPr>
                <w:rFonts w:hint="eastAsia"/>
                <w:color w:val="auto"/>
                <w:sz w:val="24"/>
                <w:highlight w:val="none"/>
              </w:rPr>
              <w:t>园地</w:t>
            </w:r>
            <w:r>
              <w:rPr>
                <w:color w:val="auto"/>
                <w:sz w:val="24"/>
                <w:highlight w:val="none"/>
              </w:rPr>
              <w:t>植被等植物资源基本没有影响。</w:t>
            </w:r>
          </w:p>
          <w:p w14:paraId="5939D6EF">
            <w:pPr>
              <w:adjustRightInd w:val="0"/>
              <w:snapToGrid w:val="0"/>
              <w:spacing w:line="440" w:lineRule="exact"/>
              <w:ind w:firstLine="482" w:firstLineChars="200"/>
              <w:rPr>
                <w:b/>
                <w:bCs/>
                <w:color w:val="auto"/>
                <w:sz w:val="24"/>
                <w:highlight w:val="none"/>
              </w:rPr>
            </w:pPr>
            <w:r>
              <w:rPr>
                <w:b/>
                <w:bCs/>
                <w:color w:val="auto"/>
                <w:sz w:val="24"/>
                <w:highlight w:val="none"/>
              </w:rPr>
              <w:t>（1）对陆生植被的影响</w:t>
            </w:r>
            <w:r>
              <w:rPr>
                <w:rFonts w:hint="eastAsia"/>
                <w:b/>
                <w:bCs/>
                <w:color w:val="auto"/>
                <w:sz w:val="24"/>
                <w:highlight w:val="none"/>
              </w:rPr>
              <w:t>分析</w:t>
            </w:r>
          </w:p>
          <w:p w14:paraId="34CC3596">
            <w:pPr>
              <w:adjustRightInd w:val="0"/>
              <w:snapToGrid w:val="0"/>
              <w:spacing w:after="0" w:line="440" w:lineRule="exact"/>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项目永久占用的自然植被将永久改变土地利用性质，由</w:t>
            </w:r>
            <w:r>
              <w:rPr>
                <w:rFonts w:hint="eastAsia"/>
                <w:color w:val="auto"/>
                <w:lang w:val="en-US" w:eastAsia="zh-CN"/>
              </w:rPr>
              <w:t>林地、草地、耕地</w:t>
            </w:r>
            <w:r>
              <w:rPr>
                <w:rFonts w:hint="default" w:ascii="Times New Roman" w:hAnsi="Times New Roman" w:eastAsia="宋体" w:cs="Times New Roman"/>
                <w:color w:val="auto"/>
                <w:sz w:val="24"/>
                <w:szCs w:val="24"/>
              </w:rPr>
              <w:t>转变为工矿用地，临时占用的自然植被在竣工后将成为施工迹地，通过自然演替或者人工恢复，可以逐渐恢复成次生植被。施工迹地演替的次生植被类型质量将低于其对应的原生植被的质量。评价区线路竣工后，生态质量将比施工前下降。</w:t>
            </w:r>
          </w:p>
          <w:p w14:paraId="4AA78B5C">
            <w:pPr>
              <w:adjustRightInd w:val="0"/>
              <w:snapToGrid w:val="0"/>
              <w:spacing w:line="440" w:lineRule="exact"/>
              <w:ind w:firstLine="482" w:firstLineChars="200"/>
              <w:rPr>
                <w:b/>
                <w:bCs/>
                <w:color w:val="auto"/>
                <w:sz w:val="24"/>
                <w:highlight w:val="none"/>
              </w:rPr>
            </w:pPr>
            <w:r>
              <w:rPr>
                <w:b/>
                <w:bCs/>
                <w:color w:val="auto"/>
                <w:sz w:val="24"/>
                <w:highlight w:val="none"/>
              </w:rPr>
              <w:t>（2）对陆生植物的影响分析</w:t>
            </w:r>
          </w:p>
          <w:p w14:paraId="296DA476">
            <w:pPr>
              <w:autoSpaceDE w:val="0"/>
              <w:autoSpaceDN w:val="0"/>
              <w:adjustRightInd w:val="0"/>
              <w:snapToGrid w:val="0"/>
              <w:spacing w:line="440" w:lineRule="exact"/>
              <w:ind w:firstLine="480" w:firstLineChars="200"/>
              <w:rPr>
                <w:color w:val="auto"/>
                <w:kern w:val="0"/>
                <w:sz w:val="24"/>
                <w:highlight w:val="none"/>
              </w:rPr>
            </w:pPr>
            <w:r>
              <w:rPr>
                <w:color w:val="auto"/>
                <w:kern w:val="0"/>
                <w:sz w:val="24"/>
                <w:highlight w:val="none"/>
              </w:rPr>
              <w:t>本项目线路运行期不进行林木砍伐，仅按相关规定对导线下方与树木垂直距离小于4.5m的零星林木进行削枝，以保证线路安全运行，但总体削枝量小，不会对植物种类和数量产生明显影响；本项目运行期对植被的影响主要是线路维护人员踩踏植被和线路电磁环境影响；线路维护人员可能在运行维护过程中对植被造成一定踩踏和引入外来植物；通常线路维护检查1个月左右进行1次，运行及维护人员的数量和负重有限，对植被的破坏强度小，不会带来明显的持续不利影响；通过禁止维护人员引入外来物种，可避免人为引入外来物种对本土植物造成威胁。从区域类似环境状况来看，线路周围植物生长良好，输电线路电磁影响对周围植物生长无明显影响。同时，根据调查，评价区未发现古树名木，国家级、省级重点保护野生植物分布，项目运营期对植物影响较小。</w:t>
            </w:r>
          </w:p>
          <w:p w14:paraId="734BF4E8">
            <w:pPr>
              <w:adjustRightInd w:val="0"/>
              <w:snapToGrid w:val="0"/>
              <w:spacing w:line="440" w:lineRule="exact"/>
              <w:ind w:firstLine="482" w:firstLineChars="200"/>
              <w:rPr>
                <w:b/>
                <w:bCs/>
                <w:color w:val="auto"/>
                <w:sz w:val="24"/>
                <w:highlight w:val="none"/>
              </w:rPr>
            </w:pPr>
            <w:r>
              <w:rPr>
                <w:b/>
                <w:bCs/>
                <w:color w:val="auto"/>
                <w:sz w:val="24"/>
                <w:highlight w:val="none"/>
              </w:rPr>
              <w:t>（3）对陆生脊椎动物影响分析</w:t>
            </w:r>
          </w:p>
          <w:p w14:paraId="3B9433B3">
            <w:pPr>
              <w:adjustRightInd w:val="0"/>
              <w:snapToGrid w:val="0"/>
              <w:spacing w:line="440" w:lineRule="exact"/>
              <w:ind w:firstLine="480" w:firstLineChars="200"/>
              <w:rPr>
                <w:color w:val="auto"/>
                <w:sz w:val="24"/>
                <w:highlight w:val="none"/>
              </w:rPr>
            </w:pPr>
            <w:r>
              <w:rPr>
                <w:color w:val="auto"/>
                <w:sz w:val="24"/>
                <w:highlight w:val="none"/>
              </w:rPr>
              <w:t>工程运行对陆栖脊椎动物的影响主要体现在输电线路电场、磁场对鸟类迁徙的影响和碰撞影响和对栖息地连通性影响上。</w:t>
            </w:r>
          </w:p>
          <w:p w14:paraId="0A2F3445">
            <w:pPr>
              <w:adjustRightInd w:val="0"/>
              <w:snapToGrid w:val="0"/>
              <w:spacing w:line="440" w:lineRule="exact"/>
              <w:ind w:firstLine="480" w:firstLineChars="200"/>
              <w:rPr>
                <w:color w:val="auto"/>
                <w:sz w:val="24"/>
                <w:highlight w:val="none"/>
              </w:rPr>
            </w:pPr>
            <w:r>
              <w:rPr>
                <w:color w:val="auto"/>
                <w:sz w:val="24"/>
                <w:highlight w:val="none"/>
              </w:rPr>
              <w:t>输变电线路营运的噪声、电磁辐射会对鸟类造成潜在的威胁和影响，干扰鸟类的生殖活动和行为。但由于鸟类趋避能力较强，且工程输电线路电压等级较低，这种影响是较小的。</w:t>
            </w:r>
          </w:p>
          <w:p w14:paraId="7BB667F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color w:val="auto"/>
                <w:sz w:val="24"/>
                <w:highlight w:val="none"/>
              </w:rPr>
            </w:pPr>
            <w:r>
              <w:rPr>
                <w:color w:val="auto"/>
                <w:sz w:val="24"/>
                <w:highlight w:val="none"/>
              </w:rPr>
              <w:t>本项目线路定期维护和检查的人员会对线路及周边区域的动物造成惊扰，但这种干扰强度很低，时间很短，对动物活动影响极为有限。从区域类似环境条件下已运行的线路来看，线路运行时未出现工频电场、工频磁场和噪声对走廊附近的野生动物的生活习性、行为表现及生育率等产生明显影响的情况。本项目线路杆塔分散分布，塔基占地不会明显减少兽类的生境面积，线路杆塔档距大，不会阻断兽类活动通道，对兽类种群交流影响小。评价区域内的野生鸟类活动范围大、行动敏捷，且飞行高度一般高于线路架设高度，在飞行时碰撞杆塔的概率不大；从区域内已投运的线路运行情况来看，线路建成后并未对鸟类的飞行和生活习性造成影响。运营期对保护鸟类的影响主要是在不良气候条件下，飞行碰撞输电线的风险，但项目评价区保护鸟类均为猛禽</w:t>
            </w:r>
            <w:r>
              <w:rPr>
                <w:rFonts w:hint="eastAsia"/>
                <w:color w:val="auto"/>
                <w:sz w:val="24"/>
                <w:highlight w:val="none"/>
              </w:rPr>
              <w:t>和雉鸡类</w:t>
            </w:r>
            <w:r>
              <w:rPr>
                <w:color w:val="auto"/>
                <w:sz w:val="24"/>
                <w:highlight w:val="none"/>
              </w:rPr>
              <w:t>，</w:t>
            </w:r>
            <w:r>
              <w:rPr>
                <w:rFonts w:hint="eastAsia"/>
                <w:color w:val="auto"/>
                <w:sz w:val="24"/>
                <w:highlight w:val="none"/>
              </w:rPr>
              <w:t>猛禽</w:t>
            </w:r>
            <w:r>
              <w:rPr>
                <w:color w:val="auto"/>
                <w:sz w:val="24"/>
                <w:highlight w:val="none"/>
              </w:rPr>
              <w:t>飞行高度较高，</w:t>
            </w:r>
            <w:r>
              <w:rPr>
                <w:rFonts w:hint="eastAsia"/>
                <w:color w:val="auto"/>
                <w:sz w:val="24"/>
                <w:highlight w:val="none"/>
              </w:rPr>
              <w:t>而雉鸡类飞行高度一般不高，</w:t>
            </w:r>
            <w:r>
              <w:rPr>
                <w:color w:val="auto"/>
                <w:sz w:val="24"/>
                <w:highlight w:val="none"/>
              </w:rPr>
              <w:t>发生碰撞的可能性较小</w:t>
            </w:r>
            <w:r>
              <w:rPr>
                <w:rFonts w:hint="eastAsia"/>
                <w:color w:val="auto"/>
                <w:sz w:val="24"/>
                <w:highlight w:val="none"/>
              </w:rPr>
              <w:t>，影响不大。</w:t>
            </w:r>
          </w:p>
          <w:p w14:paraId="1EDE5968">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2" w:firstLineChars="200"/>
              <w:textAlignment w:val="auto"/>
              <w:rPr>
                <w:rFonts w:hint="eastAsia"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kern w:val="2"/>
                <w:sz w:val="24"/>
                <w:szCs w:val="24"/>
                <w:highlight w:val="none"/>
                <w:lang w:val="en-US" w:eastAsia="zh-CN" w:bidi="ar-SA"/>
              </w:rPr>
              <w:t>（4）对重要物种的影响分析</w:t>
            </w:r>
          </w:p>
          <w:p w14:paraId="035DD85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本项目评价区记录的陆栖脊椎动物中，</w:t>
            </w:r>
            <w:r>
              <w:rPr>
                <w:rFonts w:hint="default" w:ascii="Times New Roman" w:hAnsi="Times New Roman" w:eastAsia="宋体" w:cs="Times New Roman"/>
                <w:color w:val="auto"/>
                <w:kern w:val="0"/>
                <w:sz w:val="24"/>
                <w:szCs w:val="24"/>
              </w:rPr>
              <w:t>有国家二级保护动物</w:t>
            </w:r>
            <w:r>
              <w:rPr>
                <w:rFonts w:hint="eastAsia" w:ascii="Times New Roman" w:hAnsi="Times New Roman" w:eastAsia="宋体" w:cs="Times New Roman"/>
                <w:color w:val="auto"/>
                <w:kern w:val="0"/>
                <w:sz w:val="24"/>
                <w:szCs w:val="24"/>
                <w:lang w:val="en-US" w:eastAsia="zh-CN"/>
              </w:rPr>
              <w:t>5</w:t>
            </w:r>
            <w:r>
              <w:rPr>
                <w:rFonts w:hint="default" w:ascii="Times New Roman" w:hAnsi="Times New Roman" w:eastAsia="宋体" w:cs="Times New Roman"/>
                <w:color w:val="auto"/>
                <w:kern w:val="0"/>
                <w:sz w:val="24"/>
                <w:szCs w:val="24"/>
              </w:rPr>
              <w:t>种</w:t>
            </w:r>
            <w:r>
              <w:rPr>
                <w:rFonts w:hint="eastAsia"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sz w:val="24"/>
                <w:szCs w:val="24"/>
              </w:rPr>
              <w:t>鸟类</w:t>
            </w:r>
            <w:r>
              <w:rPr>
                <w:rFonts w:hint="eastAsia" w:ascii="Times New Roman" w:hAnsi="Times New Roman" w:eastAsia="宋体" w:cs="Times New Roman"/>
                <w:color w:val="auto"/>
                <w:sz w:val="24"/>
                <w:szCs w:val="24"/>
                <w:lang w:val="en-US" w:eastAsia="zh-CN"/>
              </w:rPr>
              <w:t>4种，哺乳类1种</w:t>
            </w:r>
            <w:r>
              <w:rPr>
                <w:rFonts w:hint="default" w:ascii="Times New Roman" w:hAnsi="Times New Roman" w:eastAsia="宋体" w:cs="Times New Roman"/>
                <w:color w:val="auto"/>
                <w:kern w:val="0"/>
                <w:sz w:val="24"/>
                <w:szCs w:val="24"/>
              </w:rPr>
              <w:t>。评价范围内会有上述重要物种活动，是因为其活动范围较大，它们在云南大部分地区均有分布，现场调查过程中没有发现其栖息地，根据访问调查及相关资料，评价区有该物种活动，但评价区不属于其主要栖息地。</w:t>
            </w:r>
          </w:p>
          <w:p w14:paraId="1CBDDB6B">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rPr>
              <w:t>工程建设对这些重要物种会有一定的不良影响，但这种不良影响有限，既不会造成这些动物当地种群数量显著下降，更不会因工程建设而导致这些动物在当地濒危或灭绝，总体影响很小。</w:t>
            </w:r>
          </w:p>
          <w:p w14:paraId="49DFF144">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2" w:firstLineChars="200"/>
              <w:textAlignment w:val="auto"/>
              <w:rPr>
                <w:rFonts w:hint="eastAsia"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（5）对生态保护红线的影响</w:t>
            </w:r>
          </w:p>
          <w:p w14:paraId="4A96FCB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highlight w:val="none"/>
                <w:lang w:val="en-US" w:eastAsia="zh-CN"/>
              </w:rPr>
              <w:t>拟建项目涉及跨越生态保护红线但用</w:t>
            </w:r>
            <w:r>
              <w:rPr>
                <w:rFonts w:hint="default" w:ascii="Times New Roman" w:hAnsi="Times New Roman" w:cs="Times New Roman"/>
                <w:color w:val="auto"/>
                <w:sz w:val="24"/>
                <w:szCs w:val="24"/>
                <w:lang w:val="en-US" w:eastAsia="zh-CN"/>
              </w:rPr>
              <w:t>地范围不涉及占用生态保护红线，项目生态环境影响范围内的生态保护红线区受人类生产活动干扰影响严重，本项目建设不会造成生态保护红线区内植被面积下降，不会导致植物种群数量减少。</w:t>
            </w:r>
          </w:p>
          <w:p w14:paraId="1872D63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szCs w:val="24"/>
                <w:lang w:val="en-US" w:eastAsia="zh-CN"/>
              </w:rPr>
              <w:t>本项目建设不会造成区域内物种的显著减少，更不会造成任何物种的濒危或灭绝。总之，本项目建设对项目评价范围生态保护红线内的植被多样性和分布格局、功能、生物多样性及景观影响较小，对生态保护红线区的总体影响较小。</w:t>
            </w:r>
            <w:r>
              <w:rPr>
                <w:rFonts w:hint="default" w:ascii="Times New Roman" w:hAnsi="Times New Roman" w:eastAsia="宋体" w:cs="Times New Roman"/>
                <w:color w:val="auto"/>
                <w:sz w:val="24"/>
                <w:highlight w:val="none"/>
                <w:lang w:val="en-US" w:eastAsia="zh-CN"/>
              </w:rPr>
              <w:t>运行期内，线路在空间上与灌丛植被相距较远，对灌丛植被及其植物物种多样性没有影响。根据已运行的同类项目可知，运行期输电线路下方农作物的色泽、产量与其他区域并无区别，项目运行期对其无影响。</w:t>
            </w:r>
          </w:p>
          <w:p w14:paraId="3FC19E0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color w:val="auto"/>
                <w:sz w:val="24"/>
                <w:szCs w:val="24"/>
                <w:lang w:val="en-US" w:eastAsia="zh-CN"/>
              </w:rPr>
            </w:pPr>
            <w:r>
              <w:rPr>
                <w:rFonts w:hint="default" w:ascii="Times New Roman" w:hAnsi="Times New Roman" w:eastAsia="宋体" w:cs="Times New Roman"/>
                <w:color w:val="auto"/>
                <w:sz w:val="24"/>
                <w:highlight w:val="none"/>
                <w:lang w:val="en-US" w:eastAsia="zh-CN"/>
              </w:rPr>
              <w:t>输电线路运行</w:t>
            </w:r>
            <w:r>
              <w:rPr>
                <w:rFonts w:hint="eastAsia" w:ascii="Times New Roman" w:hAnsi="Times New Roman" w:eastAsia="宋体" w:cs="Times New Roman"/>
                <w:color w:val="auto"/>
                <w:sz w:val="24"/>
                <w:highlight w:val="none"/>
                <w:lang w:val="en-US" w:eastAsia="zh-CN"/>
              </w:rPr>
              <w:t>期间</w:t>
            </w:r>
            <w:r>
              <w:rPr>
                <w:rFonts w:hint="default" w:ascii="Times New Roman" w:hAnsi="Times New Roman" w:eastAsia="宋体" w:cs="Times New Roman"/>
                <w:color w:val="auto"/>
                <w:sz w:val="24"/>
                <w:highlight w:val="none"/>
                <w:lang w:val="en-US" w:eastAsia="zh-CN"/>
              </w:rPr>
              <w:t>为保障线路安全运行配置有巡线计划，巡线工作一般采用无人机进行，且有一定的时间间隔，不会因为人类活动频繁而影响</w:t>
            </w:r>
            <w:r>
              <w:rPr>
                <w:rFonts w:hint="eastAsia" w:ascii="Times New Roman" w:hAnsi="Times New Roman" w:eastAsia="宋体" w:cs="Times New Roman"/>
                <w:color w:val="auto"/>
                <w:sz w:val="24"/>
                <w:highlight w:val="none"/>
                <w:lang w:val="en-US" w:eastAsia="zh-CN"/>
              </w:rPr>
              <w:t>生态保护红线</w:t>
            </w:r>
            <w:r>
              <w:rPr>
                <w:rFonts w:hint="default" w:ascii="Times New Roman" w:hAnsi="Times New Roman" w:eastAsia="宋体" w:cs="Times New Roman"/>
                <w:color w:val="auto"/>
                <w:sz w:val="24"/>
                <w:highlight w:val="none"/>
                <w:lang w:val="en-US" w:eastAsia="zh-CN"/>
              </w:rPr>
              <w:t>区域线路沿线植物的生长，同时采取规范巡线人员行为，不砍伐、攀折、践踏植物以及线路巡视时应避免带入火种等措施后，线路运行期巡线工作对</w:t>
            </w:r>
            <w:r>
              <w:rPr>
                <w:rFonts w:hint="eastAsia" w:ascii="Times New Roman" w:hAnsi="Times New Roman" w:eastAsia="宋体" w:cs="Times New Roman"/>
                <w:color w:val="auto"/>
                <w:sz w:val="24"/>
                <w:highlight w:val="none"/>
                <w:lang w:val="en-US" w:eastAsia="zh-CN"/>
              </w:rPr>
              <w:t>生态保护红线</w:t>
            </w:r>
            <w:r>
              <w:rPr>
                <w:rFonts w:hint="default" w:ascii="Times New Roman" w:hAnsi="Times New Roman" w:eastAsia="宋体" w:cs="Times New Roman"/>
                <w:color w:val="auto"/>
                <w:sz w:val="24"/>
                <w:highlight w:val="none"/>
                <w:lang w:val="en-US" w:eastAsia="zh-CN"/>
              </w:rPr>
              <w:t>区域内沿线植被、植物</w:t>
            </w:r>
            <w:r>
              <w:rPr>
                <w:rFonts w:hint="eastAsia" w:ascii="Times New Roman" w:hAnsi="Times New Roman" w:eastAsia="宋体" w:cs="Times New Roman"/>
                <w:color w:val="auto"/>
                <w:sz w:val="24"/>
                <w:highlight w:val="none"/>
                <w:lang w:val="en-US" w:eastAsia="zh-CN"/>
              </w:rPr>
              <w:t>多样性</w:t>
            </w:r>
            <w:r>
              <w:rPr>
                <w:rFonts w:hint="default" w:ascii="Times New Roman" w:hAnsi="Times New Roman" w:eastAsia="宋体" w:cs="Times New Roman"/>
                <w:color w:val="auto"/>
                <w:sz w:val="24"/>
                <w:highlight w:val="none"/>
                <w:lang w:val="en-US" w:eastAsia="zh-CN"/>
              </w:rPr>
              <w:t>很小。</w:t>
            </w:r>
          </w:p>
          <w:p w14:paraId="5F5D2C0D">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eastAsia"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（6）对公益林的影响分析</w:t>
            </w:r>
          </w:p>
          <w:p w14:paraId="54CB9C0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项目在运行期内，输</w:t>
            </w:r>
            <w:r>
              <w:rPr>
                <w:rFonts w:hint="eastAsia" w:ascii="Times New Roman" w:hAnsi="Times New Roman" w:eastAsia="宋体" w:cs="Times New Roman"/>
                <w:color w:val="auto"/>
                <w:sz w:val="24"/>
                <w:highlight w:val="none"/>
                <w:lang w:val="en-US" w:eastAsia="zh-CN"/>
              </w:rPr>
              <w:t>电线路工程</w:t>
            </w:r>
            <w:r>
              <w:rPr>
                <w:rFonts w:hint="default" w:ascii="Times New Roman" w:hAnsi="Times New Roman" w:eastAsia="宋体" w:cs="Times New Roman"/>
                <w:color w:val="auto"/>
                <w:sz w:val="24"/>
                <w:highlight w:val="none"/>
                <w:lang w:val="en-US" w:eastAsia="zh-CN"/>
              </w:rPr>
              <w:t>对公益林区基本没有影响。运营期期间仅维护检修人员会进入公益林区域内活动，对区域内动植物产生影响，但这种干扰强度很低，时间很短，对区域生态影响极为有限。</w:t>
            </w:r>
          </w:p>
          <w:p w14:paraId="5B94F200">
            <w:pPr>
              <w:adjustRightInd w:val="0"/>
              <w:snapToGrid w:val="0"/>
              <w:spacing w:line="440" w:lineRule="exact"/>
              <w:rPr>
                <w:b/>
                <w:color w:val="auto"/>
                <w:sz w:val="28"/>
                <w:szCs w:val="28"/>
              </w:rPr>
            </w:pPr>
            <w:r>
              <w:rPr>
                <w:b/>
                <w:color w:val="auto"/>
                <w:sz w:val="28"/>
                <w:szCs w:val="28"/>
              </w:rPr>
              <w:t>4.2.</w:t>
            </w:r>
            <w:r>
              <w:rPr>
                <w:rFonts w:hint="eastAsia"/>
                <w:b/>
                <w:color w:val="auto"/>
                <w:sz w:val="28"/>
                <w:szCs w:val="28"/>
                <w:lang w:val="en-US" w:eastAsia="zh-CN"/>
              </w:rPr>
              <w:t>7</w:t>
            </w:r>
            <w:r>
              <w:rPr>
                <w:b/>
                <w:color w:val="auto"/>
                <w:sz w:val="28"/>
                <w:szCs w:val="28"/>
              </w:rPr>
              <w:t>环境风险分析</w:t>
            </w:r>
          </w:p>
          <w:p w14:paraId="366E8A18">
            <w:pPr>
              <w:adjustRightInd w:val="0"/>
              <w:snapToGrid w:val="0"/>
              <w:spacing w:line="440" w:lineRule="exact"/>
              <w:ind w:firstLine="480" w:firstLineChars="200"/>
              <w:rPr>
                <w:color w:val="auto"/>
                <w:sz w:val="24"/>
              </w:rPr>
            </w:pPr>
            <w:r>
              <w:rPr>
                <w:color w:val="auto"/>
                <w:sz w:val="24"/>
              </w:rPr>
              <w:t>本项目不属于工业生产类项目</w:t>
            </w:r>
            <w:r>
              <w:rPr>
                <w:rFonts w:hint="eastAsia"/>
                <w:color w:val="auto"/>
                <w:sz w:val="24"/>
              </w:rPr>
              <w:t>，线路运营不产生危险废物。因此</w:t>
            </w:r>
            <w:r>
              <w:rPr>
                <w:color w:val="auto"/>
                <w:sz w:val="24"/>
              </w:rPr>
              <w:t>，运营期在加强环境管理的情况下，</w:t>
            </w:r>
            <w:r>
              <w:rPr>
                <w:rFonts w:hint="eastAsia"/>
                <w:color w:val="auto"/>
                <w:sz w:val="24"/>
              </w:rPr>
              <w:t>本项目</w:t>
            </w:r>
            <w:r>
              <w:rPr>
                <w:color w:val="auto"/>
                <w:sz w:val="24"/>
              </w:rPr>
              <w:t>发生环境风险的可能性较低，对周围环境影响不大，环境风险可控。</w:t>
            </w:r>
          </w:p>
          <w:p w14:paraId="0884F2D3">
            <w:pPr>
              <w:adjustRightInd w:val="0"/>
              <w:snapToGrid w:val="0"/>
              <w:spacing w:line="440" w:lineRule="exact"/>
              <w:ind w:firstLine="480" w:firstLineChars="200"/>
              <w:rPr>
                <w:color w:val="auto"/>
              </w:rPr>
            </w:pPr>
            <w:r>
              <w:rPr>
                <w:color w:val="auto"/>
                <w:sz w:val="24"/>
              </w:rPr>
              <w:t>综上，运营期在加强环境管理</w:t>
            </w:r>
            <w:r>
              <w:rPr>
                <w:rFonts w:hint="eastAsia"/>
                <w:color w:val="auto"/>
                <w:sz w:val="24"/>
              </w:rPr>
              <w:t>前提</w:t>
            </w:r>
            <w:r>
              <w:rPr>
                <w:color w:val="auto"/>
                <w:sz w:val="24"/>
              </w:rPr>
              <w:t>下，发生环境风险的可能性较低，对周围环境影响不大，环境风险可控，项目产生的环境风险可接受。</w:t>
            </w:r>
          </w:p>
        </w:tc>
      </w:tr>
      <w:tr w14:paraId="7980F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0"/>
            <w:tcMar>
              <w:left w:w="28" w:type="dxa"/>
              <w:right w:w="28" w:type="dxa"/>
            </w:tcMar>
            <w:vAlign w:val="center"/>
          </w:tcPr>
          <w:p w14:paraId="7EBB3AB3">
            <w:pPr>
              <w:jc w:val="center"/>
              <w:rPr>
                <w:bCs/>
                <w:color w:val="auto"/>
                <w:sz w:val="24"/>
              </w:rPr>
            </w:pPr>
            <w:r>
              <w:rPr>
                <w:b/>
                <w:color w:val="auto"/>
                <w:sz w:val="24"/>
              </w:rPr>
              <w:t>选址选线环境合理性分析</w:t>
            </w:r>
          </w:p>
        </w:tc>
        <w:tc>
          <w:tcPr>
            <w:tcW w:w="4765" w:type="pct"/>
            <w:noWrap w:val="0"/>
            <w:vAlign w:val="center"/>
          </w:tcPr>
          <w:p w14:paraId="2EF749E3">
            <w:pPr>
              <w:adjustRightInd w:val="0"/>
              <w:snapToGrid w:val="0"/>
              <w:spacing w:line="440" w:lineRule="exact"/>
              <w:rPr>
                <w:b/>
                <w:color w:val="auto"/>
                <w:sz w:val="28"/>
                <w:szCs w:val="28"/>
                <w:highlight w:val="none"/>
              </w:rPr>
            </w:pPr>
            <w:r>
              <w:rPr>
                <w:rFonts w:hint="eastAsia"/>
                <w:b/>
                <w:color w:val="auto"/>
                <w:sz w:val="28"/>
                <w:szCs w:val="28"/>
                <w:highlight w:val="none"/>
              </w:rPr>
              <w:t>4.3</w:t>
            </w:r>
            <w:r>
              <w:rPr>
                <w:b/>
                <w:color w:val="auto"/>
                <w:sz w:val="28"/>
                <w:szCs w:val="28"/>
                <w:highlight w:val="none"/>
              </w:rPr>
              <w:t>输电线路选线环境合理性分析</w:t>
            </w:r>
          </w:p>
          <w:p w14:paraId="5CE57975">
            <w:pPr>
              <w:adjustRightInd w:val="0"/>
              <w:snapToGrid w:val="0"/>
              <w:spacing w:line="440" w:lineRule="exact"/>
              <w:ind w:firstLine="482" w:firstLineChars="200"/>
              <w:rPr>
                <w:b/>
                <w:color w:val="auto"/>
                <w:sz w:val="24"/>
                <w:highlight w:val="none"/>
              </w:rPr>
            </w:pPr>
            <w:r>
              <w:rPr>
                <w:b/>
                <w:color w:val="auto"/>
                <w:sz w:val="24"/>
                <w:highlight w:val="none"/>
              </w:rPr>
              <w:t>4.3.1对跨越物的影响评价</w:t>
            </w:r>
          </w:p>
          <w:p w14:paraId="20DF09A8">
            <w:pPr>
              <w:adjustRightInd w:val="0"/>
              <w:snapToGrid w:val="0"/>
              <w:spacing w:line="440" w:lineRule="exact"/>
              <w:ind w:firstLine="480" w:firstLineChars="200"/>
              <w:rPr>
                <w:rFonts w:hint="eastAsia"/>
                <w:color w:val="auto"/>
                <w:sz w:val="24"/>
                <w:highlight w:val="yellow"/>
              </w:rPr>
            </w:pPr>
            <w:r>
              <w:rPr>
                <w:color w:val="auto"/>
                <w:sz w:val="24"/>
                <w:highlight w:val="none"/>
              </w:rPr>
              <w:t>本次线路工程在规划、设计时，对沿线的环境敏感目标进行了有效的避让，依据可行性研究报告及现场勘查，本线路架设路径无跨越居民楼情况。在跨越道路、输电线路、通信线路时均选择了合适的跨越高度和距离，并满足相关标准的要求。输电线路设计时，设计单位已按《110</w:t>
            </w:r>
            <w:r>
              <w:rPr>
                <w:rFonts w:hint="eastAsia"/>
                <w:color w:val="auto"/>
                <w:sz w:val="24"/>
                <w:highlight w:val="none"/>
              </w:rPr>
              <w:t>kV</w:t>
            </w:r>
            <w:r>
              <w:rPr>
                <w:color w:val="auto"/>
                <w:sz w:val="24"/>
                <w:highlight w:val="none"/>
              </w:rPr>
              <w:t>～750</w:t>
            </w:r>
            <w:r>
              <w:rPr>
                <w:rFonts w:hint="eastAsia"/>
                <w:color w:val="auto"/>
                <w:sz w:val="24"/>
                <w:highlight w:val="none"/>
              </w:rPr>
              <w:t>kV</w:t>
            </w:r>
            <w:r>
              <w:rPr>
                <w:color w:val="auto"/>
                <w:sz w:val="24"/>
                <w:highlight w:val="none"/>
              </w:rPr>
              <w:t>架空输电线路设计规范》（GB50545-2010）中规定要求，使输电线路与跨越电力线路、道路的间距满足设计规范中最小距离要求。输电线路在跨越现有道路时，塔基落点根据《</w:t>
            </w:r>
            <w:r>
              <w:rPr>
                <w:rFonts w:hint="eastAsia"/>
                <w:color w:val="auto"/>
                <w:sz w:val="24"/>
                <w:highlight w:val="none"/>
                <w:lang w:eastAsia="zh-CN"/>
              </w:rPr>
              <w:t>中华人民共和国公路法》《</w:t>
            </w:r>
            <w:r>
              <w:rPr>
                <w:color w:val="auto"/>
                <w:sz w:val="24"/>
                <w:highlight w:val="none"/>
              </w:rPr>
              <w:t>公路安全保护条例</w:t>
            </w:r>
            <w:r>
              <w:rPr>
                <w:rFonts w:hint="eastAsia"/>
                <w:color w:val="auto"/>
                <w:sz w:val="24"/>
                <w:highlight w:val="none"/>
                <w:lang w:eastAsia="zh-CN"/>
              </w:rPr>
              <w:t>》等</w:t>
            </w:r>
            <w:r>
              <w:rPr>
                <w:color w:val="auto"/>
                <w:sz w:val="24"/>
                <w:highlight w:val="none"/>
              </w:rPr>
              <w:t>相关规定进行选择，即经过现有公路（和现有公路有交叉处）的塔位建设应满足公路控制红线范围，国道控制红线20m，省道15m，县道10m，乡道5m，严格按照相关要求进行施工建设，不会影响现有道路的安全运行</w:t>
            </w:r>
            <w:r>
              <w:rPr>
                <w:rFonts w:hint="eastAsia"/>
                <w:color w:val="auto"/>
                <w:sz w:val="24"/>
                <w:highlight w:val="none"/>
              </w:rPr>
              <w:t>。</w:t>
            </w:r>
          </w:p>
          <w:p w14:paraId="5E38F87C">
            <w:pPr>
              <w:adjustRightInd w:val="0"/>
              <w:snapToGrid w:val="0"/>
              <w:spacing w:line="440" w:lineRule="exact"/>
              <w:ind w:firstLine="482" w:firstLineChars="200"/>
              <w:rPr>
                <w:b/>
                <w:color w:val="auto"/>
                <w:sz w:val="24"/>
                <w:highlight w:val="none"/>
              </w:rPr>
            </w:pPr>
            <w:r>
              <w:rPr>
                <w:b/>
                <w:color w:val="auto"/>
                <w:sz w:val="24"/>
                <w:highlight w:val="none"/>
              </w:rPr>
              <w:t>4.3.2架空线路路径</w:t>
            </w:r>
            <w:r>
              <w:rPr>
                <w:rFonts w:hint="eastAsia"/>
                <w:b/>
                <w:color w:val="auto"/>
                <w:sz w:val="24"/>
                <w:highlight w:val="none"/>
                <w:lang w:val="en-US" w:eastAsia="zh-CN"/>
              </w:rPr>
              <w:t>选线</w:t>
            </w:r>
            <w:r>
              <w:rPr>
                <w:b/>
                <w:color w:val="auto"/>
                <w:sz w:val="24"/>
                <w:highlight w:val="none"/>
              </w:rPr>
              <w:t>合理性分析</w:t>
            </w:r>
          </w:p>
          <w:p w14:paraId="5C871837">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jc w:val="both"/>
              <w:textAlignment w:val="auto"/>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（1）线路路径合理性分析</w:t>
            </w:r>
          </w:p>
          <w:p w14:paraId="6464190B">
            <w:pPr>
              <w:adjustRightInd w:val="0"/>
              <w:snapToGrid w:val="0"/>
              <w:spacing w:line="440" w:lineRule="exact"/>
              <w:ind w:firstLine="480" w:firstLineChars="200"/>
              <w:rPr>
                <w:color w:val="auto"/>
                <w:sz w:val="24"/>
                <w:highlight w:val="none"/>
              </w:rPr>
            </w:pPr>
            <w:r>
              <w:rPr>
                <w:color w:val="auto"/>
                <w:sz w:val="24"/>
                <w:highlight w:val="none"/>
              </w:rPr>
              <w:t>根据《工程</w:t>
            </w:r>
            <w:r>
              <w:rPr>
                <w:rFonts w:hint="eastAsia"/>
                <w:color w:val="auto"/>
                <w:sz w:val="24"/>
                <w:highlight w:val="none"/>
                <w:lang w:val="en-US" w:eastAsia="zh-CN"/>
              </w:rPr>
              <w:t>可研</w:t>
            </w:r>
            <w:r>
              <w:rPr>
                <w:color w:val="auto"/>
                <w:sz w:val="24"/>
                <w:highlight w:val="none"/>
              </w:rPr>
              <w:t>报告》，</w:t>
            </w:r>
            <w:r>
              <w:rPr>
                <w:rFonts w:hint="eastAsia"/>
                <w:color w:val="auto"/>
                <w:sz w:val="24"/>
                <w:highlight w:val="none"/>
              </w:rPr>
              <w:t>结合</w:t>
            </w:r>
            <w:r>
              <w:rPr>
                <w:color w:val="auto"/>
                <w:sz w:val="24"/>
                <w:highlight w:val="none"/>
              </w:rPr>
              <w:t>路径方案的拟定原则</w:t>
            </w:r>
            <w:r>
              <w:rPr>
                <w:rFonts w:hint="eastAsia"/>
                <w:color w:val="auto"/>
                <w:sz w:val="24"/>
                <w:highlight w:val="none"/>
              </w:rPr>
              <w:t>，</w:t>
            </w:r>
            <w:r>
              <w:rPr>
                <w:color w:val="auto"/>
                <w:sz w:val="24"/>
                <w:highlight w:val="none"/>
              </w:rPr>
              <w:t>项目输电线路设有2个比选方案，项目线路路径比选分析详见表2-</w:t>
            </w:r>
            <w:r>
              <w:rPr>
                <w:rFonts w:hint="eastAsia"/>
                <w:color w:val="auto"/>
                <w:sz w:val="24"/>
                <w:highlight w:val="none"/>
              </w:rPr>
              <w:t>7</w:t>
            </w:r>
            <w:r>
              <w:rPr>
                <w:color w:val="auto"/>
                <w:sz w:val="24"/>
                <w:highlight w:val="none"/>
              </w:rPr>
              <w:t>。</w:t>
            </w:r>
          </w:p>
          <w:p w14:paraId="3DBEC0D7">
            <w:pPr>
              <w:adjustRightInd w:val="0"/>
              <w:snapToGrid w:val="0"/>
              <w:spacing w:line="440" w:lineRule="exact"/>
              <w:ind w:firstLine="480" w:firstLineChars="200"/>
              <w:rPr>
                <w:color w:val="auto"/>
                <w:sz w:val="24"/>
                <w:highlight w:val="none"/>
              </w:rPr>
            </w:pPr>
            <w:r>
              <w:rPr>
                <w:rFonts w:hint="eastAsia"/>
                <w:color w:val="auto"/>
                <w:sz w:val="24"/>
                <w:highlight w:val="none"/>
              </w:rPr>
              <w:t>结合比选原则，</w:t>
            </w:r>
            <w:r>
              <w:rPr>
                <w:color w:val="auto"/>
                <w:sz w:val="24"/>
                <w:highlight w:val="none"/>
              </w:rPr>
              <w:t>综合比较两个方案，线路</w:t>
            </w:r>
            <w:r>
              <w:rPr>
                <w:rFonts w:hint="eastAsia"/>
                <w:color w:val="auto"/>
                <w:sz w:val="24"/>
                <w:highlight w:val="none"/>
              </w:rPr>
              <w:t>均</w:t>
            </w:r>
            <w:r>
              <w:rPr>
                <w:color w:val="auto"/>
                <w:sz w:val="24"/>
                <w:highlight w:val="none"/>
              </w:rPr>
              <w:t>位于山区，均能避让线路沿线居民点，在施工建设中避免了拆迁、补偿问题；线路沿线均有乡村道路和机耕道路，交通较为便利，材料运输、施工建设、运行检修较为方便</w:t>
            </w:r>
            <w:r>
              <w:rPr>
                <w:rFonts w:hint="eastAsia"/>
                <w:color w:val="auto"/>
                <w:sz w:val="24"/>
                <w:highlight w:val="none"/>
              </w:rPr>
              <w:t>。</w:t>
            </w:r>
          </w:p>
          <w:p w14:paraId="5CC9528D">
            <w:pPr>
              <w:adjustRightInd w:val="0"/>
              <w:snapToGrid w:val="0"/>
              <w:spacing w:line="440" w:lineRule="exact"/>
              <w:ind w:firstLine="480" w:firstLineChars="200"/>
              <w:rPr>
                <w:rFonts w:hint="eastAsia"/>
                <w:color w:val="auto"/>
                <w:sz w:val="24"/>
                <w:highlight w:val="none"/>
              </w:rPr>
            </w:pPr>
            <w:r>
              <w:rPr>
                <w:color w:val="auto"/>
                <w:sz w:val="24"/>
                <w:highlight w:val="none"/>
              </w:rPr>
              <w:t>从线路长短看，两个方案相差</w:t>
            </w:r>
            <w:r>
              <w:rPr>
                <w:rFonts w:hint="eastAsia"/>
                <w:color w:val="auto"/>
                <w:sz w:val="24"/>
                <w:highlight w:val="none"/>
              </w:rPr>
              <w:t>较小</w:t>
            </w:r>
            <w:r>
              <w:rPr>
                <w:color w:val="auto"/>
                <w:sz w:val="24"/>
                <w:highlight w:val="none"/>
              </w:rPr>
              <w:t>，</w:t>
            </w:r>
            <w:r>
              <w:rPr>
                <w:rFonts w:hint="eastAsia"/>
                <w:color w:val="auto"/>
                <w:sz w:val="24"/>
                <w:highlight w:val="none"/>
              </w:rPr>
              <w:t>比选方案较长，方案</w:t>
            </w:r>
            <w:r>
              <w:rPr>
                <w:rFonts w:hint="eastAsia"/>
                <w:color w:val="auto"/>
                <w:sz w:val="24"/>
                <w:highlight w:val="none"/>
                <w:lang w:val="en-US" w:eastAsia="zh-CN"/>
              </w:rPr>
              <w:t>一</w:t>
            </w:r>
            <w:r>
              <w:rPr>
                <w:rFonts w:hint="eastAsia"/>
                <w:color w:val="auto"/>
                <w:sz w:val="24"/>
                <w:highlight w:val="none"/>
              </w:rPr>
              <w:t>较方案</w:t>
            </w:r>
            <w:r>
              <w:rPr>
                <w:rFonts w:hint="eastAsia"/>
                <w:color w:val="auto"/>
                <w:sz w:val="24"/>
                <w:highlight w:val="none"/>
                <w:lang w:val="en-US" w:eastAsia="zh-CN"/>
              </w:rPr>
              <w:t>二</w:t>
            </w:r>
            <w:r>
              <w:rPr>
                <w:rFonts w:hint="eastAsia"/>
                <w:color w:val="auto"/>
                <w:sz w:val="24"/>
                <w:highlight w:val="none"/>
              </w:rPr>
              <w:t>线路短</w:t>
            </w:r>
            <w:r>
              <w:rPr>
                <w:rFonts w:hint="eastAsia"/>
                <w:color w:val="auto"/>
                <w:sz w:val="24"/>
                <w:highlight w:val="none"/>
                <w:lang w:val="en-US" w:eastAsia="zh-CN"/>
              </w:rPr>
              <w:t>2.24</w:t>
            </w:r>
            <w:r>
              <w:rPr>
                <w:rFonts w:hint="eastAsia"/>
                <w:color w:val="auto"/>
                <w:sz w:val="24"/>
                <w:highlight w:val="none"/>
              </w:rPr>
              <w:t>km。方案</w:t>
            </w:r>
            <w:r>
              <w:rPr>
                <w:rFonts w:hint="eastAsia"/>
                <w:color w:val="auto"/>
                <w:sz w:val="24"/>
                <w:highlight w:val="none"/>
                <w:lang w:val="en-US" w:eastAsia="zh-CN"/>
              </w:rPr>
              <w:t>二</w:t>
            </w:r>
            <w:r>
              <w:rPr>
                <w:color w:val="auto"/>
                <w:sz w:val="24"/>
                <w:highlight w:val="none"/>
              </w:rPr>
              <w:t>线路路径长，曲折系数高，投资大，运行维护投资较大</w:t>
            </w:r>
            <w:r>
              <w:rPr>
                <w:rFonts w:hint="eastAsia"/>
                <w:color w:val="auto"/>
                <w:sz w:val="24"/>
                <w:highlight w:val="none"/>
              </w:rPr>
              <w:t>。</w:t>
            </w:r>
          </w:p>
          <w:p w14:paraId="1C291A20">
            <w:pPr>
              <w:pStyle w:val="29"/>
              <w:adjustRightInd w:val="0"/>
              <w:snapToGrid w:val="0"/>
              <w:spacing w:after="0" w:line="440" w:lineRule="exact"/>
              <w:ind w:left="0" w:leftChars="0" w:firstLine="480"/>
              <w:rPr>
                <w:rFonts w:hint="eastAsia"/>
                <w:bCs/>
                <w:color w:val="auto"/>
                <w:sz w:val="24"/>
                <w:highlight w:val="none"/>
              </w:rPr>
            </w:pPr>
            <w:r>
              <w:rPr>
                <w:rFonts w:hint="eastAsia"/>
                <w:color w:val="auto"/>
                <w:sz w:val="24"/>
                <w:highlight w:val="none"/>
              </w:rPr>
              <w:t>线路不可避让的穿越生态保护红线，</w:t>
            </w:r>
            <w:r>
              <w:rPr>
                <w:rFonts w:hint="eastAsia"/>
                <w:bCs/>
                <w:color w:val="auto"/>
                <w:sz w:val="24"/>
                <w:highlight w:val="none"/>
              </w:rPr>
              <w:t>若线路完全避让生态保护红线，则线路路径增长，线路塔基增多，占地面积大，进入基本农田区域，永久占地占用基本农田，线路跨越居民区，村民反对意见大，难以协调，增加居民区敏感点因素，对周边环境影响明显增大。路径内森林密集，需砍伐大量林木，对生态保护红线范围内植被进行砍伐，对生态破坏大，居民类敏感目标多，社会影响大，环保投资较高。</w:t>
            </w:r>
          </w:p>
          <w:p w14:paraId="13D24D34">
            <w:pPr>
              <w:pStyle w:val="29"/>
              <w:adjustRightInd w:val="0"/>
              <w:snapToGrid w:val="0"/>
              <w:spacing w:after="0" w:line="440" w:lineRule="exact"/>
              <w:ind w:left="0" w:leftChars="0" w:firstLine="480"/>
              <w:rPr>
                <w:rFonts w:hint="eastAsia"/>
                <w:bCs/>
                <w:color w:val="auto"/>
                <w:sz w:val="24"/>
                <w:highlight w:val="none"/>
              </w:rPr>
            </w:pPr>
            <w:r>
              <w:rPr>
                <w:rFonts w:hint="eastAsia"/>
                <w:bCs/>
                <w:color w:val="auto"/>
                <w:sz w:val="24"/>
                <w:highlight w:val="none"/>
              </w:rPr>
              <w:t>综上，线路穿越生态保护红线路径方案具有唯一性和不可避让性。</w:t>
            </w:r>
          </w:p>
          <w:p w14:paraId="4278C0F0">
            <w:pPr>
              <w:adjustRightInd w:val="0"/>
              <w:snapToGrid w:val="0"/>
              <w:spacing w:line="440" w:lineRule="exact"/>
              <w:ind w:firstLine="480" w:firstLineChars="200"/>
              <w:rPr>
                <w:rFonts w:hint="eastAsia"/>
                <w:color w:val="auto"/>
                <w:sz w:val="24"/>
                <w:highlight w:val="none"/>
              </w:rPr>
            </w:pPr>
            <w:r>
              <w:rPr>
                <w:color w:val="auto"/>
                <w:sz w:val="24"/>
                <w:highlight w:val="none"/>
              </w:rPr>
              <w:t>同时，本工程线路路径选择时已充分征得了当地政府、</w:t>
            </w:r>
            <w:r>
              <w:rPr>
                <w:rFonts w:hint="eastAsia"/>
                <w:color w:val="auto"/>
                <w:sz w:val="24"/>
                <w:highlight w:val="none"/>
              </w:rPr>
              <w:t>发改、</w:t>
            </w:r>
            <w:r>
              <w:rPr>
                <w:color w:val="auto"/>
                <w:sz w:val="24"/>
                <w:highlight w:val="none"/>
              </w:rPr>
              <w:t>林业等行政部门的支持与同意</w:t>
            </w:r>
            <w:r>
              <w:rPr>
                <w:rFonts w:hint="eastAsia"/>
                <w:color w:val="auto"/>
                <w:sz w:val="24"/>
                <w:highlight w:val="none"/>
              </w:rPr>
              <w:t>。</w:t>
            </w:r>
          </w:p>
          <w:p w14:paraId="7B73E8E3">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jc w:val="both"/>
              <w:textAlignment w:val="auto"/>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（2）临时工程选址合理性分析</w:t>
            </w:r>
          </w:p>
          <w:p w14:paraId="2A2B8563">
            <w:pPr>
              <w:adjustRightInd w:val="0"/>
              <w:snapToGrid w:val="0"/>
              <w:spacing w:line="440" w:lineRule="exact"/>
              <w:ind w:firstLine="480" w:firstLineChars="200"/>
              <w:rPr>
                <w:color w:val="auto"/>
                <w:sz w:val="24"/>
                <w:highlight w:val="none"/>
              </w:rPr>
            </w:pPr>
            <w:r>
              <w:rPr>
                <w:rFonts w:hint="default" w:ascii="Times New Roman" w:hAnsi="Times New Roman" w:cs="Times New Roman"/>
                <w:color w:val="auto"/>
                <w:sz w:val="24"/>
                <w:lang w:val="en-US" w:eastAsia="zh-CN"/>
              </w:rPr>
              <w:t>根据施工布置，项目线路布置45个塔基施工场地、牵张场3处、跨越施工场地1</w:t>
            </w:r>
            <w:r>
              <w:rPr>
                <w:rFonts w:hint="eastAsia" w:ascii="Times New Roman" w:hAnsi="Times New Roman" w:cs="Times New Roman"/>
                <w:color w:val="auto"/>
                <w:sz w:val="24"/>
                <w:lang w:val="en-US" w:eastAsia="zh-CN"/>
              </w:rPr>
              <w:t>0</w:t>
            </w:r>
            <w:r>
              <w:rPr>
                <w:rFonts w:hint="default" w:ascii="Times New Roman" w:hAnsi="Times New Roman" w:cs="Times New Roman"/>
                <w:color w:val="auto"/>
                <w:sz w:val="24"/>
                <w:lang w:val="en-US" w:eastAsia="zh-CN"/>
              </w:rPr>
              <w:t>个及人抬道路</w:t>
            </w:r>
            <w:r>
              <w:rPr>
                <w:rFonts w:hint="eastAsia" w:ascii="Times New Roman" w:hAnsi="Times New Roman" w:cs="Times New Roman"/>
                <w:color w:val="auto"/>
                <w:sz w:val="24"/>
                <w:lang w:val="en-US" w:eastAsia="zh-CN"/>
              </w:rPr>
              <w:t>860</w:t>
            </w:r>
            <w:r>
              <w:rPr>
                <w:rFonts w:hint="default" w:ascii="Times New Roman" w:hAnsi="Times New Roman" w:cs="Times New Roman"/>
                <w:color w:val="auto"/>
                <w:sz w:val="24"/>
                <w:lang w:val="en-US" w:eastAsia="zh-CN"/>
              </w:rPr>
              <w:t>m，不单独设置表土堆场。项目临时工程布置充分考虑了主体工程施工便利，同时兼顾了水土流失治理与防护，降低对环境的不利影响，项目塔基施工场地均设置在项目占地范围内，不占用自然保护区、自然公园、世界自然遗产、重要生境、饮用水水源保护区、基本农田等敏感区域，在施工过程中采取防尘措施，降低对环境的不利影响，因此，从生态环境保护的角度出发，项目临时工程占地的选址可行。</w:t>
            </w:r>
          </w:p>
          <w:p w14:paraId="3C37F44C">
            <w:pPr>
              <w:adjustRightInd w:val="0"/>
              <w:snapToGrid w:val="0"/>
              <w:spacing w:line="440" w:lineRule="exact"/>
              <w:ind w:firstLine="480" w:firstLineChars="200"/>
              <w:rPr>
                <w:color w:val="auto"/>
                <w:sz w:val="24"/>
                <w:highlight w:val="none"/>
              </w:rPr>
            </w:pPr>
            <w:r>
              <w:rPr>
                <w:color w:val="auto"/>
                <w:sz w:val="24"/>
                <w:highlight w:val="none"/>
              </w:rPr>
              <w:t>综上所述，本次线路工程在规划、设计时，对沿线的环境敏感目标进行了有效的避让，在跨越道路、输电线路、通信线路时均选择了合适的跨越高度和距离</w:t>
            </w:r>
            <w:r>
              <w:rPr>
                <w:rFonts w:hint="eastAsia"/>
                <w:color w:val="auto"/>
                <w:sz w:val="24"/>
                <w:highlight w:val="none"/>
              </w:rPr>
              <w:t>；</w:t>
            </w:r>
            <w:r>
              <w:rPr>
                <w:color w:val="auto"/>
                <w:kern w:val="0"/>
                <w:sz w:val="24"/>
                <w:szCs w:val="20"/>
                <w:highlight w:val="none"/>
              </w:rPr>
              <w:t>本项目</w:t>
            </w:r>
            <w:r>
              <w:rPr>
                <w:color w:val="auto"/>
                <w:sz w:val="24"/>
                <w:highlight w:val="none"/>
              </w:rPr>
              <w:t>选址选线不涉及风景名胜区、自然保护区等</w:t>
            </w:r>
            <w:r>
              <w:rPr>
                <w:rFonts w:hint="eastAsia"/>
                <w:color w:val="auto"/>
                <w:sz w:val="24"/>
                <w:highlight w:val="none"/>
              </w:rPr>
              <w:t>生态敏感区</w:t>
            </w:r>
            <w:r>
              <w:rPr>
                <w:color w:val="auto"/>
                <w:sz w:val="24"/>
                <w:highlight w:val="none"/>
              </w:rPr>
              <w:t>，</w:t>
            </w:r>
            <w:r>
              <w:rPr>
                <w:rFonts w:hint="eastAsia"/>
                <w:color w:val="auto"/>
                <w:sz w:val="24"/>
                <w:highlight w:val="none"/>
              </w:rPr>
              <w:t>涉及占用生态保护红线，</w:t>
            </w:r>
            <w:r>
              <w:rPr>
                <w:rFonts w:hint="eastAsia"/>
                <w:bCs/>
                <w:color w:val="auto"/>
                <w:sz w:val="24"/>
                <w:highlight w:val="none"/>
              </w:rPr>
              <w:t>满足相关法律法规的管控要求和技术规范要求</w:t>
            </w:r>
            <w:r>
              <w:rPr>
                <w:rFonts w:hint="eastAsia"/>
                <w:color w:val="auto"/>
                <w:sz w:val="24"/>
                <w:highlight w:val="none"/>
              </w:rPr>
              <w:t>。</w:t>
            </w:r>
            <w:r>
              <w:rPr>
                <w:color w:val="auto"/>
                <w:sz w:val="24"/>
                <w:highlight w:val="none"/>
              </w:rPr>
              <w:t>线路沿线有公路、乡村道路和机耕道路，交通较为便利，材料运输、施工建设、运行检修较为方便。项目的选址选线符合《输变电建设项目环境保护技术要求》（HJ1113-2020）中建设项目环境保护的选址选线的环境保护要求。</w:t>
            </w:r>
          </w:p>
          <w:p w14:paraId="2B9C9187">
            <w:pPr>
              <w:adjustRightInd w:val="0"/>
              <w:snapToGrid w:val="0"/>
              <w:spacing w:line="440" w:lineRule="exact"/>
              <w:ind w:firstLine="480" w:firstLineChars="200"/>
              <w:rPr>
                <w:color w:val="auto"/>
                <w:sz w:val="24"/>
                <w:highlight w:val="none"/>
              </w:rPr>
            </w:pPr>
            <w:r>
              <w:rPr>
                <w:color w:val="auto"/>
                <w:sz w:val="24"/>
                <w:highlight w:val="none"/>
              </w:rPr>
              <w:t>严格落实本次评价提出的各项措施后，项目施工建设、运营对生态环境的影响是可接受的。本工程线路路径选择时已充分征得了当地政府、</w:t>
            </w:r>
            <w:r>
              <w:rPr>
                <w:rFonts w:hint="eastAsia"/>
                <w:color w:val="auto"/>
                <w:sz w:val="24"/>
                <w:highlight w:val="none"/>
              </w:rPr>
              <w:t>发改、</w:t>
            </w:r>
            <w:r>
              <w:rPr>
                <w:color w:val="auto"/>
                <w:sz w:val="24"/>
                <w:highlight w:val="none"/>
              </w:rPr>
              <w:t>林业等行政部门的支持与同意。</w:t>
            </w:r>
          </w:p>
          <w:p w14:paraId="54978954">
            <w:pPr>
              <w:adjustRightInd w:val="0"/>
              <w:snapToGrid w:val="0"/>
              <w:spacing w:line="440" w:lineRule="exact"/>
              <w:ind w:firstLine="480" w:firstLineChars="200"/>
              <w:rPr>
                <w:color w:val="auto"/>
                <w:sz w:val="24"/>
                <w:highlight w:val="none"/>
              </w:rPr>
            </w:pPr>
            <w:r>
              <w:rPr>
                <w:color w:val="auto"/>
                <w:sz w:val="24"/>
                <w:highlight w:val="none"/>
              </w:rPr>
              <w:t>从环境保护角度分析，项目选址选线合理。</w:t>
            </w:r>
          </w:p>
          <w:p w14:paraId="3EC1AB7B">
            <w:pPr>
              <w:pStyle w:val="28"/>
              <w:ind w:firstLine="240"/>
              <w:rPr>
                <w:color w:val="auto"/>
                <w:sz w:val="24"/>
              </w:rPr>
            </w:pPr>
          </w:p>
          <w:p w14:paraId="22E8C8C6">
            <w:pPr>
              <w:rPr>
                <w:color w:val="auto"/>
                <w:sz w:val="24"/>
              </w:rPr>
            </w:pPr>
          </w:p>
          <w:p w14:paraId="0A7D9CFB">
            <w:pPr>
              <w:rPr>
                <w:color w:val="auto"/>
                <w:sz w:val="24"/>
              </w:rPr>
            </w:pPr>
          </w:p>
          <w:p w14:paraId="5DD85F1F">
            <w:pPr>
              <w:pStyle w:val="2"/>
              <w:rPr>
                <w:color w:val="auto"/>
                <w:sz w:val="24"/>
              </w:rPr>
            </w:pPr>
          </w:p>
          <w:p w14:paraId="17F45200">
            <w:pPr>
              <w:pStyle w:val="2"/>
              <w:rPr>
                <w:color w:val="auto"/>
                <w:sz w:val="24"/>
              </w:rPr>
            </w:pPr>
          </w:p>
          <w:p w14:paraId="227CB1E8">
            <w:pPr>
              <w:pStyle w:val="2"/>
              <w:rPr>
                <w:color w:val="auto"/>
                <w:sz w:val="24"/>
              </w:rPr>
            </w:pPr>
          </w:p>
          <w:p w14:paraId="7EC73025">
            <w:pPr>
              <w:pStyle w:val="2"/>
              <w:rPr>
                <w:color w:val="auto"/>
                <w:sz w:val="24"/>
              </w:rPr>
            </w:pPr>
          </w:p>
          <w:p w14:paraId="0341F43C">
            <w:pPr>
              <w:pStyle w:val="2"/>
              <w:rPr>
                <w:color w:val="auto"/>
                <w:sz w:val="24"/>
              </w:rPr>
            </w:pPr>
          </w:p>
          <w:p w14:paraId="1CAE1490">
            <w:pPr>
              <w:pStyle w:val="2"/>
              <w:rPr>
                <w:color w:val="auto"/>
                <w:sz w:val="24"/>
              </w:rPr>
            </w:pPr>
          </w:p>
          <w:p w14:paraId="0576C547">
            <w:pPr>
              <w:pStyle w:val="2"/>
              <w:rPr>
                <w:color w:val="auto"/>
                <w:sz w:val="24"/>
              </w:rPr>
            </w:pPr>
          </w:p>
          <w:p w14:paraId="42E9222B">
            <w:pPr>
              <w:pStyle w:val="2"/>
              <w:rPr>
                <w:color w:val="auto"/>
                <w:sz w:val="24"/>
              </w:rPr>
            </w:pPr>
          </w:p>
          <w:p w14:paraId="6B1C6EFF">
            <w:pPr>
              <w:pStyle w:val="2"/>
              <w:rPr>
                <w:color w:val="auto"/>
                <w:sz w:val="24"/>
              </w:rPr>
            </w:pPr>
          </w:p>
          <w:p w14:paraId="5E3B547D">
            <w:pPr>
              <w:pStyle w:val="2"/>
              <w:rPr>
                <w:color w:val="auto"/>
                <w:sz w:val="24"/>
              </w:rPr>
            </w:pPr>
          </w:p>
          <w:p w14:paraId="618AE0F0">
            <w:pPr>
              <w:pStyle w:val="2"/>
              <w:rPr>
                <w:color w:val="auto"/>
                <w:sz w:val="24"/>
              </w:rPr>
            </w:pPr>
          </w:p>
          <w:p w14:paraId="1B6D7926">
            <w:pPr>
              <w:pStyle w:val="2"/>
              <w:rPr>
                <w:color w:val="auto"/>
                <w:sz w:val="24"/>
              </w:rPr>
            </w:pPr>
          </w:p>
          <w:p w14:paraId="5F105D71">
            <w:pPr>
              <w:pStyle w:val="2"/>
              <w:rPr>
                <w:color w:val="auto"/>
                <w:sz w:val="24"/>
              </w:rPr>
            </w:pPr>
          </w:p>
          <w:p w14:paraId="2E964EE0">
            <w:pPr>
              <w:pStyle w:val="2"/>
              <w:rPr>
                <w:color w:val="auto"/>
                <w:sz w:val="24"/>
              </w:rPr>
            </w:pPr>
          </w:p>
          <w:p w14:paraId="039B7786">
            <w:pPr>
              <w:pStyle w:val="2"/>
              <w:rPr>
                <w:color w:val="auto"/>
                <w:sz w:val="24"/>
              </w:rPr>
            </w:pPr>
          </w:p>
          <w:p w14:paraId="1B4B5717">
            <w:pPr>
              <w:pStyle w:val="2"/>
              <w:rPr>
                <w:color w:val="auto"/>
                <w:sz w:val="24"/>
              </w:rPr>
            </w:pPr>
          </w:p>
          <w:p w14:paraId="3872371D">
            <w:pPr>
              <w:pStyle w:val="2"/>
              <w:rPr>
                <w:color w:val="auto"/>
                <w:sz w:val="24"/>
              </w:rPr>
            </w:pPr>
          </w:p>
          <w:p w14:paraId="32C20520">
            <w:pPr>
              <w:rPr>
                <w:color w:val="auto"/>
                <w:sz w:val="24"/>
              </w:rPr>
            </w:pPr>
          </w:p>
          <w:p w14:paraId="319582BE">
            <w:pPr>
              <w:rPr>
                <w:color w:val="auto"/>
                <w:sz w:val="24"/>
              </w:rPr>
            </w:pPr>
          </w:p>
          <w:p w14:paraId="7EEAE646">
            <w:pPr>
              <w:rPr>
                <w:color w:val="auto"/>
                <w:sz w:val="24"/>
              </w:rPr>
            </w:pPr>
          </w:p>
          <w:p w14:paraId="65BB5BCC">
            <w:pPr>
              <w:rPr>
                <w:color w:val="auto"/>
                <w:sz w:val="24"/>
              </w:rPr>
            </w:pPr>
          </w:p>
          <w:p w14:paraId="56F5DF49">
            <w:pPr>
              <w:pStyle w:val="28"/>
              <w:ind w:firstLine="210"/>
              <w:rPr>
                <w:color w:val="auto"/>
              </w:rPr>
            </w:pPr>
          </w:p>
          <w:p w14:paraId="7245C7BD">
            <w:pPr>
              <w:pStyle w:val="16"/>
              <w:spacing w:after="0" w:line="360" w:lineRule="auto"/>
              <w:ind w:left="0" w:leftChars="0"/>
              <w:rPr>
                <w:color w:val="auto"/>
                <w:sz w:val="24"/>
              </w:rPr>
            </w:pPr>
          </w:p>
        </w:tc>
      </w:tr>
    </w:tbl>
    <w:p w14:paraId="18A11F5C">
      <w:pPr>
        <w:ind w:firstLine="562"/>
        <w:rPr>
          <w:b/>
          <w:color w:val="auto"/>
          <w:kern w:val="0"/>
          <w:sz w:val="28"/>
          <w:szCs w:val="28"/>
        </w:rPr>
        <w:sectPr>
          <w:pgSz w:w="11907" w:h="16840"/>
          <w:pgMar w:top="1440" w:right="1684" w:bottom="1440" w:left="1684" w:header="794" w:footer="851" w:gutter="0"/>
          <w:pgBorders>
            <w:top w:val="none" w:sz="0" w:space="0"/>
            <w:left w:val="none" w:sz="0" w:space="0"/>
            <w:bottom w:val="none" w:sz="0" w:space="0"/>
            <w:right w:val="none" w:sz="0" w:space="0"/>
          </w:pgBorders>
          <w:pgNumType w:fmt="decimal"/>
          <w:cols w:space="720" w:num="1"/>
          <w:docGrid w:linePitch="312" w:charSpace="0"/>
        </w:sectPr>
      </w:pPr>
    </w:p>
    <w:p w14:paraId="634CC0F5">
      <w:pPr>
        <w:pStyle w:val="25"/>
        <w:spacing w:before="0" w:beforeAutospacing="0" w:after="0" w:afterAutospacing="0" w:line="240" w:lineRule="auto"/>
        <w:jc w:val="center"/>
        <w:outlineLvl w:val="0"/>
        <w:rPr>
          <w:rFonts w:ascii="Times New Roman" w:hAnsi="Times New Roman"/>
          <w:b/>
          <w:snapToGrid w:val="0"/>
          <w:color w:val="auto"/>
          <w:sz w:val="30"/>
          <w:szCs w:val="30"/>
        </w:rPr>
      </w:pPr>
      <w:bookmarkStart w:id="62" w:name="_Toc5001"/>
      <w:bookmarkStart w:id="63" w:name="_Toc21518"/>
      <w:r>
        <w:rPr>
          <w:rFonts w:ascii="Times New Roman" w:hAnsi="Times New Roman"/>
          <w:b/>
          <w:snapToGrid w:val="0"/>
          <w:color w:val="auto"/>
          <w:sz w:val="30"/>
          <w:szCs w:val="30"/>
        </w:rPr>
        <w:t>五、主要生态环境保护措施</w:t>
      </w:r>
      <w:bookmarkEnd w:id="62"/>
      <w:bookmarkEnd w:id="63"/>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8215"/>
      </w:tblGrid>
      <w:tr w14:paraId="216C5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noWrap w:val="0"/>
            <w:tcMar>
              <w:top w:w="0" w:type="dxa"/>
              <w:left w:w="28" w:type="dxa"/>
              <w:bottom w:w="0" w:type="dxa"/>
              <w:right w:w="28" w:type="dxa"/>
            </w:tcMar>
            <w:vAlign w:val="center"/>
          </w:tcPr>
          <w:p w14:paraId="339C4483">
            <w:pPr>
              <w:jc w:val="center"/>
              <w:rPr>
                <w:bCs/>
                <w:color w:val="auto"/>
                <w:sz w:val="24"/>
              </w:rPr>
            </w:pPr>
            <w:r>
              <w:rPr>
                <w:b/>
                <w:color w:val="auto"/>
                <w:spacing w:val="10"/>
                <w:sz w:val="24"/>
              </w:rPr>
              <w:t>施工期生态环境保护措施</w:t>
            </w:r>
          </w:p>
        </w:tc>
        <w:tc>
          <w:tcPr>
            <w:tcW w:w="4745" w:type="pct"/>
            <w:noWrap w:val="0"/>
            <w:vAlign w:val="center"/>
          </w:tcPr>
          <w:p w14:paraId="70235C50">
            <w:pPr>
              <w:adjustRightInd w:val="0"/>
              <w:snapToGrid w:val="0"/>
              <w:spacing w:line="440" w:lineRule="exact"/>
              <w:rPr>
                <w:b/>
                <w:color w:val="auto"/>
                <w:kern w:val="0"/>
                <w:sz w:val="28"/>
                <w:szCs w:val="28"/>
              </w:rPr>
            </w:pPr>
            <w:r>
              <w:rPr>
                <w:rFonts w:hint="eastAsia"/>
                <w:b/>
                <w:color w:val="auto"/>
                <w:kern w:val="0"/>
                <w:sz w:val="28"/>
                <w:szCs w:val="28"/>
              </w:rPr>
              <w:t>5.</w:t>
            </w:r>
            <w:r>
              <w:rPr>
                <w:b/>
                <w:color w:val="auto"/>
                <w:kern w:val="0"/>
                <w:sz w:val="28"/>
                <w:szCs w:val="28"/>
              </w:rPr>
              <w:t>1施工期生态环境保护措施</w:t>
            </w:r>
          </w:p>
          <w:p w14:paraId="34AC7E5E">
            <w:pPr>
              <w:adjustRightInd w:val="0"/>
              <w:snapToGrid w:val="0"/>
              <w:spacing w:line="440" w:lineRule="exact"/>
              <w:ind w:firstLine="482" w:firstLineChars="200"/>
              <w:rPr>
                <w:b/>
                <w:color w:val="auto"/>
                <w:sz w:val="24"/>
              </w:rPr>
            </w:pPr>
            <w:r>
              <w:rPr>
                <w:b/>
                <w:color w:val="auto"/>
                <w:sz w:val="24"/>
              </w:rPr>
              <w:t>5.1.1生态环境保护措施</w:t>
            </w:r>
          </w:p>
          <w:p w14:paraId="4CA24291">
            <w:pPr>
              <w:adjustRightInd w:val="0"/>
              <w:snapToGrid w:val="0"/>
              <w:spacing w:line="440" w:lineRule="exact"/>
              <w:ind w:firstLine="482" w:firstLineChars="200"/>
              <w:rPr>
                <w:rFonts w:hint="eastAsia"/>
                <w:b/>
                <w:color w:val="auto"/>
                <w:sz w:val="24"/>
              </w:rPr>
            </w:pPr>
            <w:r>
              <w:rPr>
                <w:rFonts w:hint="eastAsia"/>
                <w:b/>
                <w:color w:val="auto"/>
                <w:sz w:val="24"/>
              </w:rPr>
              <w:t>（1）土地占用保护措施</w:t>
            </w:r>
          </w:p>
          <w:p w14:paraId="13BFFAB5">
            <w:pPr>
              <w:pStyle w:val="92"/>
              <w:keepNext w:val="0"/>
              <w:keepLines w:val="0"/>
              <w:pageBreakBefore w:val="0"/>
              <w:widowControl w:val="0"/>
              <w:kinsoku/>
              <w:wordWrap/>
              <w:overflowPunct/>
              <w:topLinePunct w:val="0"/>
              <w:bidi w:val="0"/>
              <w:adjustRightInd w:val="0"/>
              <w:snapToGrid w:val="0"/>
              <w:spacing w:line="440" w:lineRule="exact"/>
              <w:ind w:left="0" w:leftChars="0" w:right="0" w:firstLine="480"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1）建议建设单位以合同形式要求施工单位在施工过程中必须按照设计要求，严格控制开挖范围及开挖量，输电线路施工限制在事先划定的施工区内。</w:t>
            </w:r>
          </w:p>
          <w:p w14:paraId="0C173B0E">
            <w:pPr>
              <w:pStyle w:val="92"/>
              <w:keepNext w:val="0"/>
              <w:keepLines w:val="0"/>
              <w:pageBreakBefore w:val="0"/>
              <w:widowControl w:val="0"/>
              <w:kinsoku/>
              <w:wordWrap/>
              <w:overflowPunct/>
              <w:topLinePunct w:val="0"/>
              <w:bidi w:val="0"/>
              <w:adjustRightInd w:val="0"/>
              <w:snapToGrid w:val="0"/>
              <w:spacing w:line="440" w:lineRule="exact"/>
              <w:ind w:left="0" w:leftChars="0" w:right="0" w:firstLine="480"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对开挖后的裸露开挖面用苫布覆盖，避免降雨时水流直接冲刷；施工时开挖的土石方不允许就地倾倒，应采取回填等方式妥善处置，临时堆土应采取围护拦挡措施，并在土体表面覆上苫布防止雨水冲刷造成水土流失。</w:t>
            </w:r>
          </w:p>
          <w:p w14:paraId="4776B779">
            <w:pPr>
              <w:pStyle w:val="92"/>
              <w:keepNext w:val="0"/>
              <w:keepLines w:val="0"/>
              <w:pageBreakBefore w:val="0"/>
              <w:widowControl w:val="0"/>
              <w:kinsoku/>
              <w:wordWrap/>
              <w:overflowPunct/>
              <w:topLinePunct w:val="0"/>
              <w:bidi w:val="0"/>
              <w:adjustRightInd w:val="0"/>
              <w:snapToGrid w:val="0"/>
              <w:spacing w:line="440" w:lineRule="exact"/>
              <w:ind w:left="0" w:leftChars="0" w:right="0" w:firstLine="480"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3）优化塔基布置，避开旱地和林地，确实无法避让的，应尽量布置在边角处，减少对农业耕作的影响。优化铁塔设计，减少永久占地和对林木的砍伐量。</w:t>
            </w:r>
          </w:p>
          <w:p w14:paraId="19BCC34A">
            <w:pPr>
              <w:pStyle w:val="92"/>
              <w:keepNext w:val="0"/>
              <w:keepLines w:val="0"/>
              <w:pageBreakBefore w:val="0"/>
              <w:widowControl w:val="0"/>
              <w:kinsoku/>
              <w:wordWrap/>
              <w:overflowPunct/>
              <w:topLinePunct w:val="0"/>
              <w:bidi w:val="0"/>
              <w:adjustRightInd w:val="0"/>
              <w:snapToGrid w:val="0"/>
              <w:spacing w:line="440" w:lineRule="exact"/>
              <w:ind w:left="0" w:leftChars="0" w:right="0" w:firstLine="480"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4）塔基已避让永久基本农田，施工占用旱地、林地时，施工前应进行表土剥离，将表土单独堆存并做好覆盖、拦挡等防护措施，施工结束后用于项目区植被恢复或耕作区域表层覆土。</w:t>
            </w:r>
          </w:p>
          <w:p w14:paraId="1C1941D4">
            <w:pPr>
              <w:pStyle w:val="92"/>
              <w:keepNext w:val="0"/>
              <w:keepLines w:val="0"/>
              <w:pageBreakBefore w:val="0"/>
              <w:widowControl w:val="0"/>
              <w:kinsoku/>
              <w:wordWrap/>
              <w:overflowPunct/>
              <w:topLinePunct w:val="0"/>
              <w:bidi w:val="0"/>
              <w:adjustRightInd w:val="0"/>
              <w:snapToGrid w:val="0"/>
              <w:spacing w:line="440" w:lineRule="exact"/>
              <w:ind w:left="0" w:leftChars="0" w:right="0" w:firstLine="480"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5）合理规划施工临时道路、牵张场等临时场地，合理划定施工范围和人员、车辆的行走路线，避免对施工范围之外区域的动植物造成碾压和破坏。</w:t>
            </w:r>
          </w:p>
          <w:p w14:paraId="731D195B">
            <w:pPr>
              <w:pStyle w:val="92"/>
              <w:keepNext w:val="0"/>
              <w:keepLines w:val="0"/>
              <w:pageBreakBefore w:val="0"/>
              <w:widowControl w:val="0"/>
              <w:kinsoku/>
              <w:wordWrap/>
              <w:overflowPunct/>
              <w:topLinePunct w:val="0"/>
              <w:bidi w:val="0"/>
              <w:adjustRightInd w:val="0"/>
              <w:snapToGrid w:val="0"/>
              <w:spacing w:line="440" w:lineRule="exact"/>
              <w:ind w:left="0" w:leftChars="0" w:right="0" w:firstLine="480"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6）种植植物应选择本地物种，避免引入外来物种，造林严格按造林施工作业设计，以达到尽快覆盖的目的。</w:t>
            </w:r>
          </w:p>
          <w:p w14:paraId="4C56BE00">
            <w:pPr>
              <w:adjustRightInd w:val="0"/>
              <w:snapToGrid w:val="0"/>
              <w:spacing w:line="440" w:lineRule="exact"/>
              <w:ind w:firstLine="482" w:firstLineChars="200"/>
              <w:rPr>
                <w:rFonts w:hint="eastAsia"/>
                <w:b/>
                <w:color w:val="auto"/>
                <w:sz w:val="24"/>
              </w:rPr>
            </w:pPr>
            <w:r>
              <w:rPr>
                <w:rFonts w:hint="eastAsia"/>
                <w:b/>
                <w:color w:val="auto"/>
                <w:sz w:val="24"/>
              </w:rPr>
              <w:t>（2）植被及植物保护措施</w:t>
            </w:r>
          </w:p>
          <w:p w14:paraId="31296738">
            <w:pPr>
              <w:pStyle w:val="92"/>
              <w:keepNext w:val="0"/>
              <w:keepLines w:val="0"/>
              <w:pageBreakBefore w:val="0"/>
              <w:widowControl w:val="0"/>
              <w:kinsoku/>
              <w:wordWrap/>
              <w:overflowPunct/>
              <w:topLinePunct w:val="0"/>
              <w:autoSpaceDE w:val="0"/>
              <w:autoSpaceDN w:val="0"/>
              <w:bidi w:val="0"/>
              <w:adjustRightInd w:val="0"/>
              <w:snapToGrid w:val="0"/>
              <w:spacing w:after="0" w:line="440" w:lineRule="exact"/>
              <w:ind w:leftChars="0" w:firstLine="480" w:firstLineChars="200"/>
              <w:jc w:val="both"/>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1</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rPr>
              <w:t>施工应在</w:t>
            </w:r>
            <w:r>
              <w:rPr>
                <w:rFonts w:hint="eastAsia" w:ascii="Times New Roman" w:hAnsi="Times New Roman" w:cs="Times New Roman"/>
                <w:color w:val="auto"/>
                <w:sz w:val="24"/>
                <w:szCs w:val="24"/>
                <w:lang w:val="en-US" w:eastAsia="zh-CN"/>
              </w:rPr>
              <w:t>红线</w:t>
            </w:r>
            <w:r>
              <w:rPr>
                <w:rFonts w:hint="eastAsia" w:ascii="Times New Roman" w:hAnsi="Times New Roman" w:cs="Times New Roman"/>
                <w:color w:val="auto"/>
                <w:sz w:val="24"/>
                <w:szCs w:val="24"/>
              </w:rPr>
              <w:t>区范围内进行，文明施工，集中堆放材料，严禁踩踏施工区域外地表植被。</w:t>
            </w:r>
          </w:p>
          <w:p w14:paraId="6B51275C">
            <w:pPr>
              <w:pStyle w:val="92"/>
              <w:keepNext w:val="0"/>
              <w:keepLines w:val="0"/>
              <w:pageBreakBefore w:val="0"/>
              <w:widowControl w:val="0"/>
              <w:kinsoku/>
              <w:wordWrap/>
              <w:overflowPunct/>
              <w:topLinePunct w:val="0"/>
              <w:autoSpaceDE w:val="0"/>
              <w:autoSpaceDN w:val="0"/>
              <w:bidi w:val="0"/>
              <w:adjustRightInd w:val="0"/>
              <w:snapToGrid w:val="0"/>
              <w:spacing w:after="0" w:line="440" w:lineRule="exact"/>
              <w:ind w:leftChars="0" w:firstLine="480" w:firstLineChars="200"/>
              <w:jc w:val="both"/>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2）输电线路塔基施工时，建设单位应划定施工活动范围，避免对周边区域植被造成破坏。</w:t>
            </w:r>
            <w:r>
              <w:rPr>
                <w:rFonts w:ascii="Times New Roman" w:hAnsi="Times New Roman" w:cs="Times New Roman"/>
                <w:color w:val="auto"/>
                <w:sz w:val="24"/>
                <w:szCs w:val="24"/>
              </w:rPr>
              <w:t>线路根据地形条件采用全方位高低腿铁塔，基础开挖时选用掏挖基础影响较小开挖方式，少占土地，减少土石方开挖量及水土流失，保护生态环境；基础开挖临时堆土应采用临时拦挡措施，用苫布覆盖，回填多余土石方选择合适地点堆放，并采取措施进行防护，塔基周围其他区域采取铺垫措施减少扰动破坏。</w:t>
            </w:r>
          </w:p>
          <w:p w14:paraId="7AF6827E">
            <w:pPr>
              <w:pStyle w:val="92"/>
              <w:keepNext w:val="0"/>
              <w:keepLines w:val="0"/>
              <w:pageBreakBefore w:val="0"/>
              <w:widowControl w:val="0"/>
              <w:kinsoku/>
              <w:wordWrap/>
              <w:overflowPunct/>
              <w:topLinePunct w:val="0"/>
              <w:autoSpaceDE w:val="0"/>
              <w:autoSpaceDN w:val="0"/>
              <w:bidi w:val="0"/>
              <w:adjustRightInd w:val="0"/>
              <w:snapToGrid w:val="0"/>
              <w:spacing w:after="0" w:line="440" w:lineRule="exact"/>
              <w:ind w:leftChars="0" w:firstLine="480" w:firstLineChars="200"/>
              <w:jc w:val="both"/>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3）塔基施工开挖时应分层开挖，分层堆放，注意表土保护，施工结束后按原土层顺序分层回填，以利于后期植被恢复。</w:t>
            </w:r>
          </w:p>
          <w:p w14:paraId="6B53DD3B">
            <w:pPr>
              <w:pStyle w:val="92"/>
              <w:keepNext w:val="0"/>
              <w:keepLines w:val="0"/>
              <w:pageBreakBefore w:val="0"/>
              <w:widowControl w:val="0"/>
              <w:kinsoku/>
              <w:wordWrap/>
              <w:overflowPunct/>
              <w:topLinePunct w:val="0"/>
              <w:autoSpaceDE w:val="0"/>
              <w:autoSpaceDN w:val="0"/>
              <w:bidi w:val="0"/>
              <w:adjustRightInd w:val="0"/>
              <w:snapToGrid w:val="0"/>
              <w:spacing w:after="0" w:line="440" w:lineRule="exact"/>
              <w:ind w:leftChars="0" w:firstLine="480" w:firstLineChars="200"/>
              <w:jc w:val="both"/>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4）对线路经过林地，采取高跨方式通过，严禁砍伐通道；输电线路采用先进的架线工艺，如无人机等展放线，减少对线路走廊下方植被的破坏。</w:t>
            </w:r>
          </w:p>
          <w:p w14:paraId="609EF15E">
            <w:pPr>
              <w:pStyle w:val="92"/>
              <w:keepNext w:val="0"/>
              <w:keepLines w:val="0"/>
              <w:pageBreakBefore w:val="0"/>
              <w:widowControl w:val="0"/>
              <w:kinsoku/>
              <w:wordWrap/>
              <w:overflowPunct/>
              <w:topLinePunct w:val="0"/>
              <w:autoSpaceDE w:val="0"/>
              <w:autoSpaceDN w:val="0"/>
              <w:bidi w:val="0"/>
              <w:adjustRightInd w:val="0"/>
              <w:snapToGrid w:val="0"/>
              <w:spacing w:after="0" w:line="440" w:lineRule="exact"/>
              <w:ind w:leftChars="0" w:firstLine="480" w:firstLineChars="200"/>
              <w:jc w:val="both"/>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5）建设单位应根据林业用地的管理规定，对于永久占地造成的植被破坏，应严格按照有关规定向政府和主管部门办理征占用林地审核审批手续，缴纳相关青苗补偿费、林木赔偿费，并由相关部门统一安排。严禁超计划占用林地，严禁随意扩大占地范围。</w:t>
            </w:r>
          </w:p>
          <w:p w14:paraId="24AA46D0">
            <w:pPr>
              <w:pStyle w:val="92"/>
              <w:keepNext w:val="0"/>
              <w:keepLines w:val="0"/>
              <w:pageBreakBefore w:val="0"/>
              <w:widowControl w:val="0"/>
              <w:kinsoku/>
              <w:wordWrap/>
              <w:overflowPunct/>
              <w:topLinePunct w:val="0"/>
              <w:autoSpaceDE w:val="0"/>
              <w:autoSpaceDN w:val="0"/>
              <w:bidi w:val="0"/>
              <w:adjustRightInd w:val="0"/>
              <w:snapToGrid w:val="0"/>
              <w:spacing w:after="0" w:line="440" w:lineRule="exact"/>
              <w:ind w:leftChars="0" w:firstLine="480" w:firstLineChars="200"/>
              <w:jc w:val="both"/>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rPr>
              <w:t>6）施工结束后，尽快清理施工场地，及时清理残留在原场地的混凝土、土石方，并对施工扰动区域进行植被恢复。施工结束后，选择区域本土物种对施工占地进行绿化恢复，尽可能减少项目建设对植被的影响；输电线路施工期，</w:t>
            </w:r>
            <w:r>
              <w:rPr>
                <w:rFonts w:hint="eastAsia" w:ascii="Times New Roman" w:hAnsi="Times New Roman" w:cs="Times New Roman"/>
                <w:color w:val="auto"/>
                <w:sz w:val="24"/>
                <w:szCs w:val="24"/>
                <w:lang w:eastAsia="zh-CN"/>
              </w:rPr>
              <w:t>牵张场</w:t>
            </w:r>
            <w:r>
              <w:rPr>
                <w:rFonts w:hint="eastAsia" w:ascii="Times New Roman" w:hAnsi="Times New Roman" w:cs="Times New Roman"/>
                <w:color w:val="auto"/>
                <w:sz w:val="24"/>
                <w:szCs w:val="24"/>
              </w:rPr>
              <w:t>尽量选择地势平缓、植被稀疏的场地，主动避让植被覆盖度高、林木茂盛的区域</w:t>
            </w:r>
            <w:r>
              <w:rPr>
                <w:rFonts w:hint="eastAsia" w:ascii="Times New Roman" w:hAnsi="Times New Roman" w:cs="Times New Roman"/>
                <w:color w:val="auto"/>
                <w:sz w:val="24"/>
                <w:szCs w:val="24"/>
                <w:lang w:eastAsia="zh-CN"/>
              </w:rPr>
              <w:t>。</w:t>
            </w:r>
          </w:p>
          <w:p w14:paraId="470B7F13">
            <w:pPr>
              <w:pStyle w:val="92"/>
              <w:keepNext w:val="0"/>
              <w:keepLines w:val="0"/>
              <w:pageBreakBefore w:val="0"/>
              <w:widowControl w:val="0"/>
              <w:kinsoku/>
              <w:wordWrap/>
              <w:overflowPunct/>
              <w:topLinePunct w:val="0"/>
              <w:autoSpaceDE w:val="0"/>
              <w:autoSpaceDN w:val="0"/>
              <w:bidi w:val="0"/>
              <w:adjustRightInd w:val="0"/>
              <w:snapToGrid w:val="0"/>
              <w:spacing w:after="0" w:line="440" w:lineRule="exact"/>
              <w:ind w:leftChars="0" w:firstLine="480" w:firstLineChars="200"/>
              <w:jc w:val="both"/>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lang w:val="en-US" w:eastAsia="zh-CN"/>
              </w:rPr>
              <w:t>7）</w:t>
            </w:r>
            <w:r>
              <w:rPr>
                <w:rFonts w:hint="eastAsia" w:ascii="Times New Roman" w:hAnsi="Times New Roman" w:cs="Times New Roman"/>
                <w:color w:val="auto"/>
                <w:sz w:val="24"/>
                <w:szCs w:val="24"/>
              </w:rPr>
              <w:t>工程施工过程中强化管理，</w:t>
            </w:r>
            <w:r>
              <w:rPr>
                <w:rFonts w:hint="eastAsia" w:ascii="Times New Roman" w:hAnsi="Times New Roman" w:cs="Times New Roman"/>
                <w:color w:val="auto"/>
                <w:sz w:val="24"/>
                <w:szCs w:val="24"/>
                <w:lang w:eastAsia="zh-CN"/>
              </w:rPr>
              <w:t>增强</w:t>
            </w:r>
            <w:r>
              <w:rPr>
                <w:rFonts w:hint="eastAsia" w:ascii="Times New Roman" w:hAnsi="Times New Roman" w:cs="Times New Roman"/>
                <w:color w:val="auto"/>
                <w:sz w:val="24"/>
                <w:szCs w:val="24"/>
              </w:rPr>
              <w:t>管理者的消防意识，注意管理巡查，避免森林火灾的发生。对施工人员进行环保教育及有关</w:t>
            </w:r>
            <w:r>
              <w:rPr>
                <w:rFonts w:hint="eastAsia" w:ascii="Times New Roman" w:hAnsi="Times New Roman" w:cs="Times New Roman"/>
                <w:color w:val="auto"/>
                <w:sz w:val="24"/>
                <w:szCs w:val="24"/>
                <w:lang w:eastAsia="zh-CN"/>
              </w:rPr>
              <w:t>法律法规</w:t>
            </w:r>
            <w:r>
              <w:rPr>
                <w:rFonts w:hint="eastAsia" w:ascii="Times New Roman" w:hAnsi="Times New Roman" w:cs="Times New Roman"/>
                <w:color w:val="auto"/>
                <w:sz w:val="24"/>
                <w:szCs w:val="24"/>
              </w:rPr>
              <w:t>的宣传教育，让</w:t>
            </w:r>
            <w:r>
              <w:rPr>
                <w:rFonts w:hint="eastAsia" w:ascii="Times New Roman" w:hAnsi="Times New Roman" w:eastAsia="宋体" w:cs="Times New Roman"/>
                <w:color w:val="auto"/>
                <w:sz w:val="24"/>
                <w:szCs w:val="24"/>
                <w:lang w:eastAsia="zh-CN"/>
              </w:rPr>
              <w:t>施工人员知道生物多样性受国家法律保护，破坏生物多样性时要承担相应的法律责任。</w:t>
            </w:r>
          </w:p>
          <w:p w14:paraId="50B30C4B">
            <w:pPr>
              <w:pStyle w:val="92"/>
              <w:keepNext w:val="0"/>
              <w:keepLines w:val="0"/>
              <w:pageBreakBefore w:val="0"/>
              <w:widowControl w:val="0"/>
              <w:kinsoku/>
              <w:wordWrap/>
              <w:overflowPunct/>
              <w:topLinePunct w:val="0"/>
              <w:autoSpaceDE w:val="0"/>
              <w:autoSpaceDN w:val="0"/>
              <w:bidi w:val="0"/>
              <w:adjustRightInd w:val="0"/>
              <w:snapToGrid w:val="0"/>
              <w:spacing w:after="0" w:line="440" w:lineRule="exact"/>
              <w:ind w:left="0" w:leftChars="0" w:firstLine="480" w:firstLineChars="200"/>
              <w:jc w:val="both"/>
              <w:textAlignment w:val="auto"/>
              <w:rPr>
                <w:rFonts w:hint="eastAsia" w:ascii="Times New Roman" w:hAnsi="Times New Roman" w:cs="Times New Roman"/>
                <w:color w:val="auto"/>
                <w:sz w:val="24"/>
                <w:szCs w:val="24"/>
                <w:lang w:eastAsia="zh-CN"/>
              </w:rPr>
            </w:pPr>
            <w:r>
              <w:rPr>
                <w:rFonts w:hint="eastAsia" w:ascii="Times New Roman" w:hAnsi="Times New Roman" w:eastAsia="宋体" w:cs="Times New Roman"/>
                <w:color w:val="auto"/>
                <w:sz w:val="24"/>
                <w:szCs w:val="24"/>
                <w:lang w:val="en-US" w:eastAsia="zh-CN"/>
              </w:rPr>
              <w:t>8</w:t>
            </w:r>
            <w:r>
              <w:rPr>
                <w:rFonts w:hint="eastAsia" w:ascii="Times New Roman" w:hAnsi="Times New Roman" w:eastAsia="宋体" w:cs="Times New Roman"/>
                <w:color w:val="auto"/>
                <w:sz w:val="24"/>
                <w:szCs w:val="24"/>
                <w:lang w:eastAsia="zh-CN"/>
              </w:rPr>
              <w:t>）完善林地手续，严格按照签订的补偿协议缴纳补偿费用。对工程临时占地及时进行植被恢复，选择当地的常见生态林种，如云南松等进行植被恢复。对塔基占地沿线坡度较缓的地带实施补种栽培，促进植被恢复。对较陡的边坡可考虑采用围栏及其他工程措施进行特殊管护以促进其尽快恢复。</w:t>
            </w:r>
          </w:p>
          <w:p w14:paraId="638C44DE">
            <w:pPr>
              <w:pStyle w:val="5"/>
              <w:numPr>
                <w:ilvl w:val="2"/>
                <w:numId w:val="0"/>
              </w:numPr>
              <w:adjustRightInd w:val="0"/>
              <w:snapToGrid w:val="0"/>
              <w:spacing w:line="440" w:lineRule="exact"/>
              <w:ind w:firstLine="482" w:firstLineChars="200"/>
              <w:rPr>
                <w:color w:val="auto"/>
              </w:rPr>
            </w:pPr>
            <w:r>
              <w:rPr>
                <w:rFonts w:hint="eastAsia"/>
                <w:color w:val="auto"/>
              </w:rPr>
              <w:t>（3）陆生野生脊椎动物保护措施</w:t>
            </w:r>
          </w:p>
          <w:p w14:paraId="0CA58163">
            <w:pPr>
              <w:pStyle w:val="92"/>
              <w:pageBreakBefore w:val="0"/>
              <w:widowControl w:val="0"/>
              <w:kinsoku/>
              <w:wordWrap/>
              <w:overflowPunct/>
              <w:topLinePunct w:val="0"/>
              <w:bidi w:val="0"/>
              <w:adjustRightInd w:val="0"/>
              <w:snapToGrid w:val="0"/>
              <w:spacing w:after="0" w:line="440" w:lineRule="exact"/>
              <w:ind w:left="0" w:leftChars="0"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1）加强施工人员的环境保护教育，提高施工人员和相关管理人员的环保意识，严禁捕杀野生动物的行为。</w:t>
            </w:r>
          </w:p>
          <w:p w14:paraId="6E0772AE">
            <w:pPr>
              <w:pStyle w:val="92"/>
              <w:pageBreakBefore w:val="0"/>
              <w:widowControl w:val="0"/>
              <w:kinsoku/>
              <w:wordWrap/>
              <w:overflowPunct/>
              <w:topLinePunct w:val="0"/>
              <w:bidi w:val="0"/>
              <w:adjustRightInd w:val="0"/>
              <w:snapToGrid w:val="0"/>
              <w:spacing w:after="0" w:line="440" w:lineRule="exact"/>
              <w:ind w:left="0" w:leftChars="0"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2）采用低噪声的机械等施工设备，减少施工活动噪声对野生动物的驱赶效应。</w:t>
            </w:r>
          </w:p>
          <w:p w14:paraId="526DE5E9">
            <w:pPr>
              <w:pStyle w:val="92"/>
              <w:pageBreakBefore w:val="0"/>
              <w:widowControl w:val="0"/>
              <w:kinsoku/>
              <w:wordWrap/>
              <w:overflowPunct/>
              <w:topLinePunct w:val="0"/>
              <w:bidi w:val="0"/>
              <w:adjustRightInd w:val="0"/>
              <w:snapToGrid w:val="0"/>
              <w:spacing w:after="0" w:line="440" w:lineRule="exact"/>
              <w:ind w:left="0" w:leftChars="0"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3）尽量利用原有田间道路、机耕路等现有道路作为施工道路，减小施工道路开辟对野生动物生活环境的破坏范围和强度。尽可能利用已建硬化道路、机耕路、林区小路等现有道路和人抬马驮相结合的方式进行材料运输。施工中控制声源，选取低噪声设备，并合理安排强噪声施工行为的时间，减少施工噪声对野生动物的干扰，合理制定施工计划，避免在夜间以及鸟类繁殖季节进行施工。</w:t>
            </w:r>
          </w:p>
          <w:p w14:paraId="767C30FC">
            <w:pPr>
              <w:pStyle w:val="92"/>
              <w:pageBreakBefore w:val="0"/>
              <w:widowControl w:val="0"/>
              <w:kinsoku/>
              <w:wordWrap/>
              <w:overflowPunct/>
              <w:topLinePunct w:val="0"/>
              <w:bidi w:val="0"/>
              <w:adjustRightInd w:val="0"/>
              <w:snapToGrid w:val="0"/>
              <w:spacing w:after="0" w:line="440" w:lineRule="exact"/>
              <w:ind w:left="0" w:leftChars="0"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4）施工结束后，对施工扰动区域及临时占地区域进行原生态恢复，恢复野生动物生境。科学规划、精心组织、强化教育、缩短工期，减少工程施工期对鸟类栖息地的扰动和破坏，降低施工噪声对鸟类的惊扰和驱赶，避免捕鸟、掏蛋等对鸟类直接伤害的行为。</w:t>
            </w:r>
          </w:p>
          <w:p w14:paraId="3ABF85FC">
            <w:pPr>
              <w:pStyle w:val="92"/>
              <w:pageBreakBefore w:val="0"/>
              <w:widowControl w:val="0"/>
              <w:kinsoku/>
              <w:wordWrap/>
              <w:overflowPunct/>
              <w:topLinePunct w:val="0"/>
              <w:bidi w:val="0"/>
              <w:adjustRightInd w:val="0"/>
              <w:snapToGrid w:val="0"/>
              <w:spacing w:after="0" w:line="440" w:lineRule="exact"/>
              <w:ind w:left="0" w:leftChars="0"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5）经过植被较好的区域时应采用高塔架设和无人机放线等施工架线工艺；穿越天然植被（云南松林）基塔施工减少开挖，使用无人机布线。施工现场使用带油料的机械器具，应铺设彩条布防止油料跑、冒、滴、漏，防止对土壤和水体造成污染。除施工必要的砍伐外，禁止乱砍滥伐，禁止砍伐非施工用地范围内的植物。</w:t>
            </w:r>
          </w:p>
          <w:p w14:paraId="237FE2AD">
            <w:pPr>
              <w:pStyle w:val="92"/>
              <w:pageBreakBefore w:val="0"/>
              <w:widowControl w:val="0"/>
              <w:kinsoku/>
              <w:wordWrap/>
              <w:overflowPunct/>
              <w:topLinePunct w:val="0"/>
              <w:bidi w:val="0"/>
              <w:adjustRightInd w:val="0"/>
              <w:snapToGrid w:val="0"/>
              <w:spacing w:after="0" w:line="440" w:lineRule="exact"/>
              <w:ind w:left="0" w:leftChars="0"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6）对保护物种的影响减缓措施：禁止超范围占地，要有效地限制施工活动范围，减少人为活动对动物的影响；禁止施工人员猎捕野生动物，禁止乱砍滥伐，破坏野生动物生境；选用低噪声机械设备进行施工，控制施工噪声、施工扬尘、固体废弃物等，减少施工人员、设备与污染对周边野生动物的干扰；另外，施工噪声较大的环节建议避让评价区内保护动物的繁殖季节（3-4月），施工结束后，应立即对临时用地进行植被恢复，恢复动物的栖息环境。</w:t>
            </w:r>
          </w:p>
          <w:p w14:paraId="7F95D36C">
            <w:pPr>
              <w:adjustRightInd w:val="0"/>
              <w:snapToGrid w:val="0"/>
              <w:spacing w:line="440" w:lineRule="exact"/>
              <w:ind w:firstLine="480" w:firstLineChars="200"/>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7）建设单位应成立监督管理机构，制定相应的管理、奖惩制度，配备专职人员对工程施工的全过程进行监督管理。杜绝乱砍滥伐、捕猎行为的发生；加强林业管理，严禁捕猎鸟类、兽类、砍伐非施工区域的植物，违者应依法处理。</w:t>
            </w:r>
          </w:p>
          <w:p w14:paraId="58548647">
            <w:pPr>
              <w:adjustRightInd w:val="0"/>
              <w:snapToGrid w:val="0"/>
              <w:spacing w:line="440" w:lineRule="exact"/>
              <w:ind w:firstLine="482" w:firstLineChars="200"/>
              <w:rPr>
                <w:rFonts w:hint="eastAsia"/>
                <w:b/>
                <w:color w:val="auto"/>
                <w:sz w:val="24"/>
              </w:rPr>
            </w:pPr>
            <w:r>
              <w:rPr>
                <w:rFonts w:hint="eastAsia"/>
                <w:b/>
                <w:color w:val="auto"/>
                <w:sz w:val="24"/>
              </w:rPr>
              <w:t>（4）生态保护红线环境保护措施</w:t>
            </w:r>
          </w:p>
          <w:p w14:paraId="2AD0E246">
            <w:pPr>
              <w:adjustRightInd w:val="0"/>
              <w:snapToGrid w:val="0"/>
              <w:spacing w:after="0" w:line="440" w:lineRule="exact"/>
              <w:ind w:firstLine="480"/>
              <w:rPr>
                <w:rFonts w:hint="default" w:ascii="Times New Roman" w:hAnsi="Times New Roman" w:eastAsia="宋体" w:cs="Times New Roman"/>
                <w:color w:val="auto"/>
                <w:sz w:val="24"/>
                <w:szCs w:val="32"/>
                <w:lang w:val="zh-CN"/>
              </w:rPr>
            </w:pPr>
            <w:r>
              <w:rPr>
                <w:rFonts w:hint="default" w:ascii="Times New Roman" w:hAnsi="Times New Roman" w:eastAsia="宋体" w:cs="Times New Roman"/>
                <w:color w:val="auto"/>
                <w:sz w:val="24"/>
                <w:szCs w:val="32"/>
                <w:lang w:val="zh-CN"/>
              </w:rPr>
              <w:t>1）建设过程中严格落实生态保护红线的管控要求，实施源头严防、过程严管、后果严惩的全周期管控。跨越生态保护红线段采用无人机放线的施工方式，严格落实各项环境保护措施，保证生态保护红线内污染物排放满足国家的地方的相关规定。</w:t>
            </w:r>
          </w:p>
          <w:p w14:paraId="16671F54">
            <w:pPr>
              <w:adjustRightInd w:val="0"/>
              <w:snapToGrid w:val="0"/>
              <w:spacing w:after="0" w:line="440" w:lineRule="exact"/>
              <w:ind w:firstLine="480"/>
              <w:rPr>
                <w:rFonts w:hint="default" w:ascii="Times New Roman" w:hAnsi="Times New Roman" w:eastAsia="宋体" w:cs="Times New Roman"/>
                <w:color w:val="auto"/>
                <w:sz w:val="24"/>
                <w:szCs w:val="32"/>
                <w:lang w:val="zh-CN"/>
              </w:rPr>
            </w:pPr>
            <w:r>
              <w:rPr>
                <w:rFonts w:hint="default" w:ascii="Times New Roman" w:hAnsi="Times New Roman" w:eastAsia="宋体" w:cs="Times New Roman"/>
                <w:color w:val="auto"/>
                <w:sz w:val="24"/>
                <w:szCs w:val="32"/>
                <w:lang w:val="zh-CN"/>
              </w:rPr>
              <w:t>2）项目线路跨越生态保护红线段施工区，禁止在红线范围内及</w:t>
            </w:r>
            <w:r>
              <w:rPr>
                <w:rFonts w:hint="eastAsia" w:ascii="Times New Roman" w:hAnsi="Times New Roman" w:cs="Times New Roman"/>
                <w:color w:val="auto"/>
                <w:sz w:val="24"/>
                <w:szCs w:val="32"/>
                <w:lang w:val="zh-CN"/>
              </w:rPr>
              <w:t>邻近</w:t>
            </w:r>
            <w:r>
              <w:rPr>
                <w:rFonts w:hint="default" w:ascii="Times New Roman" w:hAnsi="Times New Roman" w:eastAsia="宋体" w:cs="Times New Roman"/>
                <w:color w:val="auto"/>
                <w:sz w:val="24"/>
                <w:szCs w:val="32"/>
                <w:lang w:val="zh-CN"/>
              </w:rPr>
              <w:t>区域设置施工场地，严格控制施工场地范围和施工作业带宽度，明确施工作业范围，减少施工活动对生态保护红线的扰动。施工时要严格按照施工工序进行施工，对临时堆放的砂石材料进行遮盖，防止扬尘，施工</w:t>
            </w:r>
            <w:r>
              <w:rPr>
                <w:rFonts w:hint="eastAsia" w:ascii="Times New Roman" w:hAnsi="Times New Roman" w:cs="Times New Roman"/>
                <w:color w:val="auto"/>
                <w:sz w:val="24"/>
                <w:szCs w:val="32"/>
                <w:lang w:val="zh-CN"/>
              </w:rPr>
              <w:t>期间</w:t>
            </w:r>
            <w:r>
              <w:rPr>
                <w:rFonts w:hint="default" w:ascii="Times New Roman" w:hAnsi="Times New Roman" w:eastAsia="宋体" w:cs="Times New Roman"/>
                <w:color w:val="auto"/>
                <w:sz w:val="24"/>
                <w:szCs w:val="32"/>
                <w:lang w:val="zh-CN"/>
              </w:rPr>
              <w:t>做好洒水降尘工作，严格控制工程破坏植被的面积，增加对植被的保护措施，严禁超范围开挖，工程完工后应迅速对开挖区、边坡等区域进行水土流失防治和植被绿化。跨越区域施工</w:t>
            </w:r>
            <w:r>
              <w:rPr>
                <w:rFonts w:hint="eastAsia" w:ascii="Times New Roman" w:hAnsi="Times New Roman" w:cs="Times New Roman"/>
                <w:color w:val="auto"/>
                <w:sz w:val="24"/>
                <w:szCs w:val="32"/>
                <w:lang w:val="en-US" w:eastAsia="zh-CN"/>
              </w:rPr>
              <w:t>必须</w:t>
            </w:r>
            <w:r>
              <w:rPr>
                <w:rFonts w:hint="default" w:ascii="Times New Roman" w:hAnsi="Times New Roman" w:eastAsia="宋体" w:cs="Times New Roman"/>
                <w:color w:val="auto"/>
                <w:sz w:val="24"/>
                <w:szCs w:val="32"/>
                <w:lang w:val="zh-CN"/>
              </w:rPr>
              <w:t>采用无人机布线，减少对</w:t>
            </w:r>
            <w:r>
              <w:rPr>
                <w:rFonts w:hint="eastAsia" w:ascii="Times New Roman" w:hAnsi="Times New Roman" w:cs="Times New Roman"/>
                <w:color w:val="auto"/>
                <w:sz w:val="24"/>
                <w:szCs w:val="32"/>
                <w:lang w:val="zh-CN"/>
              </w:rPr>
              <w:t>生态保护红线</w:t>
            </w:r>
            <w:r>
              <w:rPr>
                <w:rFonts w:hint="default" w:ascii="Times New Roman" w:hAnsi="Times New Roman" w:eastAsia="宋体" w:cs="Times New Roman"/>
                <w:color w:val="auto"/>
                <w:sz w:val="24"/>
                <w:szCs w:val="32"/>
                <w:lang w:val="zh-CN"/>
              </w:rPr>
              <w:t>的影响。</w:t>
            </w:r>
          </w:p>
          <w:p w14:paraId="6F4CC989">
            <w:pPr>
              <w:adjustRightInd w:val="0"/>
              <w:snapToGrid w:val="0"/>
              <w:spacing w:after="0" w:line="440" w:lineRule="exact"/>
              <w:ind w:firstLine="480"/>
              <w:rPr>
                <w:rFonts w:hint="default" w:ascii="Times New Roman" w:hAnsi="Times New Roman" w:eastAsia="宋体" w:cs="Times New Roman"/>
                <w:color w:val="auto"/>
                <w:sz w:val="24"/>
                <w:szCs w:val="32"/>
                <w:lang w:val="zh-CN"/>
              </w:rPr>
            </w:pPr>
            <w:r>
              <w:rPr>
                <w:rFonts w:hint="default" w:ascii="Times New Roman" w:hAnsi="Times New Roman" w:eastAsia="宋体" w:cs="Times New Roman"/>
                <w:color w:val="auto"/>
                <w:sz w:val="24"/>
                <w:szCs w:val="32"/>
                <w:lang w:val="zh-CN"/>
              </w:rPr>
              <w:t>3）加强施工期间的监督管理，确保各项生态保护措施落实到位。建设单位应制定施工期环境管理实施方案，明确施工单位的环境保护责任。</w:t>
            </w:r>
          </w:p>
          <w:p w14:paraId="2167C07B">
            <w:pPr>
              <w:adjustRightInd w:val="0"/>
              <w:snapToGrid w:val="0"/>
              <w:spacing w:after="0" w:line="440" w:lineRule="exact"/>
              <w:ind w:firstLine="480"/>
              <w:rPr>
                <w:rFonts w:hint="default" w:ascii="Times New Roman" w:hAnsi="Times New Roman" w:eastAsia="宋体" w:cs="Times New Roman"/>
                <w:color w:val="auto"/>
                <w:sz w:val="24"/>
                <w:szCs w:val="32"/>
                <w:lang w:val="zh-CN"/>
              </w:rPr>
            </w:pPr>
            <w:r>
              <w:rPr>
                <w:rFonts w:hint="eastAsia" w:ascii="Times New Roman" w:hAnsi="Times New Roman" w:cs="Times New Roman"/>
                <w:color w:val="auto"/>
                <w:sz w:val="24"/>
                <w:szCs w:val="32"/>
                <w:lang w:val="en-US" w:eastAsia="zh-CN"/>
              </w:rPr>
              <w:t>4</w:t>
            </w:r>
            <w:r>
              <w:rPr>
                <w:rFonts w:hint="default" w:ascii="Times New Roman" w:hAnsi="Times New Roman" w:eastAsia="宋体" w:cs="Times New Roman"/>
                <w:color w:val="auto"/>
                <w:sz w:val="24"/>
                <w:szCs w:val="32"/>
                <w:lang w:val="zh-CN"/>
              </w:rPr>
              <w:t>）加强施工人员的环境保护宣传工作，严格规范施工行为</w:t>
            </w:r>
            <w:r>
              <w:rPr>
                <w:rFonts w:hint="eastAsia" w:ascii="Times New Roman" w:hAnsi="Times New Roman" w:cs="Times New Roman"/>
                <w:color w:val="auto"/>
                <w:sz w:val="24"/>
                <w:szCs w:val="32"/>
                <w:lang w:val="zh-CN"/>
              </w:rPr>
              <w:t>，</w:t>
            </w:r>
            <w:r>
              <w:rPr>
                <w:rFonts w:hint="eastAsia" w:ascii="Times New Roman" w:hAnsi="Times New Roman" w:cs="Times New Roman"/>
                <w:color w:val="auto"/>
                <w:sz w:val="24"/>
                <w:szCs w:val="32"/>
                <w:lang w:val="en-US" w:eastAsia="zh-CN"/>
              </w:rPr>
              <w:t>禁止</w:t>
            </w:r>
            <w:r>
              <w:rPr>
                <w:rFonts w:hint="eastAsia" w:ascii="Times New Roman" w:hAnsi="Times New Roman" w:cs="Times New Roman"/>
                <w:color w:val="auto"/>
                <w:sz w:val="24"/>
                <w:szCs w:val="32"/>
                <w:lang w:val="zh-CN"/>
              </w:rPr>
              <w:t>在</w:t>
            </w:r>
            <w:r>
              <w:rPr>
                <w:rFonts w:hint="default" w:ascii="Times New Roman" w:hAnsi="Times New Roman" w:eastAsia="宋体" w:cs="Times New Roman"/>
                <w:color w:val="auto"/>
                <w:sz w:val="24"/>
                <w:szCs w:val="32"/>
                <w:lang w:val="zh-CN"/>
              </w:rPr>
              <w:t>生态保护红线范围内随意破坏林木，排放污水，倾倒废弃物。</w:t>
            </w:r>
          </w:p>
          <w:p w14:paraId="704F36F6">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eastAsia="宋体" w:cs="Times New Roman"/>
                <w:color w:val="auto"/>
                <w:sz w:val="24"/>
                <w:szCs w:val="32"/>
                <w:lang w:val="zh-CN"/>
              </w:rPr>
            </w:pPr>
            <w:r>
              <w:rPr>
                <w:rFonts w:hint="eastAsia" w:ascii="Times New Roman" w:hAnsi="Times New Roman" w:cs="Times New Roman"/>
                <w:color w:val="auto"/>
                <w:sz w:val="24"/>
                <w:szCs w:val="32"/>
                <w:lang w:val="en-US" w:eastAsia="zh-CN"/>
              </w:rPr>
              <w:t>5</w:t>
            </w:r>
            <w:r>
              <w:rPr>
                <w:rFonts w:hint="default" w:ascii="Times New Roman" w:hAnsi="Times New Roman" w:eastAsia="宋体" w:cs="Times New Roman"/>
                <w:color w:val="auto"/>
                <w:sz w:val="24"/>
                <w:szCs w:val="32"/>
                <w:lang w:val="zh-CN"/>
              </w:rPr>
              <w:t>）施工期，在施工区周边设置生态保护警示牌，在生态保护红线区边界设置警戒线，减少施工人员进入生态保护红线区范围内活动，严禁随意破坏植被、植物。加强消防安全管理，严禁发生森林火灾。加强宣传教育和管理，认真</w:t>
            </w:r>
            <w:r>
              <w:rPr>
                <w:rFonts w:hint="eastAsia" w:ascii="Times New Roman" w:hAnsi="Times New Roman" w:cs="Times New Roman"/>
                <w:color w:val="auto"/>
                <w:sz w:val="24"/>
                <w:szCs w:val="32"/>
                <w:lang w:val="zh-CN"/>
              </w:rPr>
              <w:t>全面</w:t>
            </w:r>
            <w:r>
              <w:rPr>
                <w:rFonts w:hint="default" w:ascii="Times New Roman" w:hAnsi="Times New Roman" w:eastAsia="宋体" w:cs="Times New Roman"/>
                <w:color w:val="auto"/>
                <w:sz w:val="24"/>
                <w:szCs w:val="32"/>
                <w:lang w:val="zh-CN"/>
              </w:rPr>
              <w:t>贯彻执行野生动植物保护</w:t>
            </w:r>
            <w:r>
              <w:rPr>
                <w:rFonts w:hint="eastAsia" w:ascii="Times New Roman" w:hAnsi="Times New Roman" w:eastAsia="宋体" w:cs="Times New Roman"/>
                <w:color w:val="auto"/>
                <w:sz w:val="24"/>
                <w:szCs w:val="32"/>
                <w:lang w:val="zh-CN"/>
              </w:rPr>
              <w:t>法律法规</w:t>
            </w:r>
            <w:r>
              <w:rPr>
                <w:rFonts w:hint="default" w:ascii="Times New Roman" w:hAnsi="Times New Roman" w:eastAsia="宋体" w:cs="Times New Roman"/>
                <w:color w:val="auto"/>
                <w:sz w:val="24"/>
                <w:szCs w:val="32"/>
                <w:lang w:val="zh-CN"/>
              </w:rPr>
              <w:t>，严禁非法猎捕野生动物。通过发放宣传册、张贴宣传画报等措施，增强人们的生态环境保护意识。</w:t>
            </w:r>
          </w:p>
          <w:p w14:paraId="526027A2">
            <w:pPr>
              <w:keepNext w:val="0"/>
              <w:keepLines w:val="0"/>
              <w:pageBreakBefore w:val="0"/>
              <w:widowControl w:val="0"/>
              <w:kinsoku/>
              <w:wordWrap/>
              <w:overflowPunct/>
              <w:topLinePunct w:val="0"/>
              <w:bidi w:val="0"/>
              <w:adjustRightInd w:val="0"/>
              <w:snapToGrid w:val="0"/>
              <w:spacing w:line="440" w:lineRule="exact"/>
              <w:ind w:left="0" w:right="0" w:firstLine="482" w:firstLineChars="200"/>
              <w:jc w:val="both"/>
              <w:textAlignment w:val="auto"/>
              <w:rPr>
                <w:rFonts w:hint="eastAsia" w:ascii="Times New Roman" w:hAnsi="Times New Roman" w:cs="Times New Roman"/>
                <w:b/>
                <w:color w:val="auto"/>
                <w:sz w:val="24"/>
                <w:szCs w:val="24"/>
                <w:lang w:val="en-US" w:eastAsia="zh-CN"/>
              </w:rPr>
            </w:pPr>
            <w:r>
              <w:rPr>
                <w:rFonts w:hint="eastAsia" w:ascii="Times New Roman" w:hAnsi="Times New Roman" w:cs="Times New Roman"/>
                <w:b/>
                <w:color w:val="auto"/>
                <w:sz w:val="24"/>
                <w:szCs w:val="24"/>
                <w:lang w:eastAsia="zh-CN"/>
              </w:rPr>
              <w:t>（</w:t>
            </w:r>
            <w:r>
              <w:rPr>
                <w:rFonts w:hint="eastAsia" w:ascii="Times New Roman" w:hAnsi="Times New Roman" w:cs="Times New Roman"/>
                <w:b/>
                <w:color w:val="auto"/>
                <w:sz w:val="24"/>
                <w:szCs w:val="24"/>
                <w:lang w:val="en-US" w:eastAsia="zh-CN"/>
              </w:rPr>
              <w:t>5</w:t>
            </w:r>
            <w:r>
              <w:rPr>
                <w:rFonts w:hint="eastAsia" w:ascii="Times New Roman" w:hAnsi="Times New Roman" w:cs="Times New Roman"/>
                <w:b/>
                <w:color w:val="auto"/>
                <w:sz w:val="24"/>
                <w:szCs w:val="24"/>
                <w:lang w:eastAsia="zh-CN"/>
              </w:rPr>
              <w:t>）</w:t>
            </w:r>
            <w:r>
              <w:rPr>
                <w:rFonts w:hint="eastAsia" w:ascii="Times New Roman" w:hAnsi="Times New Roman" w:cs="Times New Roman"/>
                <w:b/>
                <w:color w:val="auto"/>
                <w:sz w:val="24"/>
                <w:szCs w:val="24"/>
                <w:lang w:val="en-US" w:eastAsia="zh-CN"/>
              </w:rPr>
              <w:t>公益林保护措施</w:t>
            </w:r>
          </w:p>
          <w:p w14:paraId="52C2C4EB">
            <w:pPr>
              <w:keepNext w:val="0"/>
              <w:keepLines w:val="0"/>
              <w:pageBreakBefore w:val="0"/>
              <w:widowControl w:val="0"/>
              <w:kinsoku/>
              <w:wordWrap/>
              <w:overflowPunct/>
              <w:topLinePunct w:val="0"/>
              <w:bidi w:val="0"/>
              <w:adjustRightInd w:val="0"/>
              <w:snapToGrid w:val="0"/>
              <w:spacing w:line="440" w:lineRule="exact"/>
              <w:ind w:left="0" w:right="0" w:firstLine="480"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①按照《云南省公益林管理办法》和《建设项目使用林地审核审批管理规范》的相关要求，办理林业手续，落实公益林补偿和保护工作。</w:t>
            </w:r>
          </w:p>
          <w:p w14:paraId="3A136036">
            <w:pPr>
              <w:keepNext w:val="0"/>
              <w:keepLines w:val="0"/>
              <w:pageBreakBefore w:val="0"/>
              <w:widowControl w:val="0"/>
              <w:kinsoku/>
              <w:wordWrap/>
              <w:overflowPunct/>
              <w:topLinePunct w:val="0"/>
              <w:bidi w:val="0"/>
              <w:adjustRightInd w:val="0"/>
              <w:snapToGrid w:val="0"/>
              <w:spacing w:line="440" w:lineRule="exact"/>
              <w:ind w:left="0" w:right="0" w:firstLine="480"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②线路采取高塔跨越架设，仅对超高树枝进行修剪，临时用地避开林木密集区域，尽量选择林间斑块无树木、稀树荒草地处，减少对公益林的影响。</w:t>
            </w:r>
          </w:p>
          <w:p w14:paraId="50E269E3">
            <w:pPr>
              <w:keepNext w:val="0"/>
              <w:keepLines w:val="0"/>
              <w:pageBreakBefore w:val="0"/>
              <w:widowControl w:val="0"/>
              <w:kinsoku/>
              <w:wordWrap/>
              <w:overflowPunct/>
              <w:topLinePunct w:val="0"/>
              <w:bidi w:val="0"/>
              <w:adjustRightInd w:val="0"/>
              <w:snapToGrid w:val="0"/>
              <w:spacing w:line="440" w:lineRule="exact"/>
              <w:ind w:left="0" w:right="0" w:firstLine="480"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③项目对公益林的影响主要集中在施工期，为此，根据占用的公益林区域的地形地貌及扰动情况，对临时占用的公益林区域内采取植物恢复措施；对于植物物种的选取，应以乡土树种为主，并且注意乔灌草的合理搭配；植被恢复主要从生态修复的角度出发，着重考虑植被的水土保持、涵养水源和保护生态环境的作用。</w:t>
            </w:r>
          </w:p>
          <w:p w14:paraId="29F187F5">
            <w:pPr>
              <w:keepNext w:val="0"/>
              <w:keepLines w:val="0"/>
              <w:pageBreakBefore w:val="0"/>
              <w:widowControl w:val="0"/>
              <w:kinsoku/>
              <w:wordWrap/>
              <w:overflowPunct/>
              <w:topLinePunct w:val="0"/>
              <w:bidi w:val="0"/>
              <w:adjustRightInd w:val="0"/>
              <w:snapToGrid w:val="0"/>
              <w:spacing w:line="440" w:lineRule="exact"/>
              <w:ind w:left="0" w:right="0" w:firstLine="480"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④根据林业用地的管理规定，缴纳森林资源补偿费，并对临时占用的部分进行施工后的恢复，避免超计划占用林地，严禁随意扩大占地范围。</w:t>
            </w:r>
          </w:p>
          <w:p w14:paraId="79D2A474">
            <w:pPr>
              <w:keepNext w:val="0"/>
              <w:keepLines w:val="0"/>
              <w:pageBreakBefore w:val="0"/>
              <w:widowControl w:val="0"/>
              <w:kinsoku/>
              <w:wordWrap/>
              <w:overflowPunct/>
              <w:topLinePunct w:val="0"/>
              <w:bidi w:val="0"/>
              <w:adjustRightInd w:val="0"/>
              <w:snapToGrid w:val="0"/>
              <w:spacing w:line="440" w:lineRule="exact"/>
              <w:ind w:left="0" w:right="0" w:firstLine="480" w:firstLineChars="200"/>
              <w:jc w:val="both"/>
              <w:textAlignment w:val="auto"/>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val="en-US" w:eastAsia="zh-CN"/>
              </w:rPr>
              <w:t>⑤</w:t>
            </w:r>
            <w:r>
              <w:rPr>
                <w:rFonts w:hint="eastAsia" w:ascii="Times New Roman" w:hAnsi="Times New Roman" w:eastAsia="宋体" w:cs="Times New Roman"/>
                <w:color w:val="auto"/>
                <w:sz w:val="24"/>
                <w:szCs w:val="24"/>
                <w:lang w:eastAsia="zh-CN"/>
              </w:rPr>
              <w:t>涉及占用公益林地，严格控制施工范围，施工过程中除占地范围内必须除去的树木外，不破坏塔基占地周围的树木，严禁</w:t>
            </w:r>
            <w:r>
              <w:rPr>
                <w:rFonts w:hint="eastAsia" w:ascii="Times New Roman" w:hAnsi="Times New Roman" w:cs="Times New Roman"/>
                <w:color w:val="auto"/>
                <w:sz w:val="24"/>
                <w:szCs w:val="24"/>
                <w:lang w:eastAsia="zh-CN"/>
              </w:rPr>
              <w:t>乱砍滥伐</w:t>
            </w:r>
            <w:r>
              <w:rPr>
                <w:rFonts w:hint="eastAsia" w:ascii="Times New Roman" w:hAnsi="Times New Roman" w:eastAsia="宋体" w:cs="Times New Roman"/>
                <w:color w:val="auto"/>
                <w:sz w:val="24"/>
                <w:szCs w:val="24"/>
                <w:lang w:eastAsia="zh-CN"/>
              </w:rPr>
              <w:t>。塔基基础弃渣全部回填，施工中未随意开辟施工便道。</w:t>
            </w:r>
          </w:p>
          <w:p w14:paraId="06729DE3">
            <w:pPr>
              <w:keepNext w:val="0"/>
              <w:keepLines w:val="0"/>
              <w:pageBreakBefore w:val="0"/>
              <w:widowControl w:val="0"/>
              <w:kinsoku/>
              <w:wordWrap/>
              <w:overflowPunct/>
              <w:topLinePunct w:val="0"/>
              <w:bidi w:val="0"/>
              <w:adjustRightInd w:val="0"/>
              <w:snapToGrid w:val="0"/>
              <w:spacing w:line="440" w:lineRule="exact"/>
              <w:ind w:left="0" w:right="0" w:firstLine="482" w:firstLineChars="200"/>
              <w:jc w:val="both"/>
              <w:textAlignment w:val="auto"/>
              <w:rPr>
                <w:rFonts w:hint="default" w:ascii="Times New Roman" w:hAnsi="Times New Roman" w:eastAsia="宋体" w:cs="Times New Roman"/>
                <w:b/>
                <w:color w:val="auto"/>
                <w:sz w:val="24"/>
                <w:szCs w:val="24"/>
                <w:lang w:eastAsia="zh-CN"/>
              </w:rPr>
            </w:pPr>
            <w:r>
              <w:rPr>
                <w:rFonts w:hint="eastAsia" w:ascii="Times New Roman" w:hAnsi="Times New Roman" w:eastAsia="宋体" w:cs="Times New Roman"/>
                <w:b/>
                <w:color w:val="auto"/>
                <w:sz w:val="24"/>
                <w:szCs w:val="24"/>
                <w:lang w:eastAsia="zh-CN"/>
              </w:rPr>
              <w:t>（</w:t>
            </w:r>
            <w:r>
              <w:rPr>
                <w:rFonts w:hint="eastAsia" w:ascii="Times New Roman" w:hAnsi="Times New Roman" w:eastAsia="宋体" w:cs="Times New Roman"/>
                <w:b/>
                <w:color w:val="auto"/>
                <w:sz w:val="24"/>
                <w:szCs w:val="24"/>
                <w:lang w:val="en-US" w:eastAsia="zh-CN"/>
              </w:rPr>
              <w:t>6</w:t>
            </w:r>
            <w:r>
              <w:rPr>
                <w:rFonts w:hint="eastAsia" w:ascii="Times New Roman" w:hAnsi="Times New Roman" w:eastAsia="宋体" w:cs="Times New Roman"/>
                <w:b/>
                <w:color w:val="auto"/>
                <w:sz w:val="24"/>
                <w:szCs w:val="24"/>
                <w:lang w:eastAsia="zh-CN"/>
              </w:rPr>
              <w:t>）</w:t>
            </w:r>
            <w:r>
              <w:rPr>
                <w:rFonts w:hint="default" w:ascii="Times New Roman" w:hAnsi="Times New Roman" w:eastAsia="宋体" w:cs="Times New Roman"/>
                <w:b/>
                <w:color w:val="auto"/>
                <w:sz w:val="24"/>
                <w:szCs w:val="24"/>
                <w:lang w:eastAsia="zh-CN"/>
              </w:rPr>
              <w:t>重要物种环境保护措施</w:t>
            </w:r>
          </w:p>
          <w:p w14:paraId="5773490E">
            <w:pPr>
              <w:keepNext w:val="0"/>
              <w:keepLines w:val="0"/>
              <w:pageBreakBefore w:val="0"/>
              <w:widowControl w:val="0"/>
              <w:kinsoku/>
              <w:wordWrap/>
              <w:overflowPunct/>
              <w:topLinePunct w:val="0"/>
              <w:bidi w:val="0"/>
              <w:adjustRightInd w:val="0"/>
              <w:snapToGrid w:val="0"/>
              <w:spacing w:line="440" w:lineRule="exact"/>
              <w:ind w:left="0" w:leftChars="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①加强施工单位和施工人员的宣传教育，通过标志牌、法律宣传等措施进行宣传，严禁猎杀野生动物，并通过对违法活动进行举报奖励的措施以制止偷猎活动。对于评价区内的</w:t>
            </w: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种重要动物，严禁施工人员捕猎，并以展板形式对施工人员进行宣传教育；施工时要合理安排施工作业的时间，尽量缩短工期。</w:t>
            </w:r>
          </w:p>
          <w:p w14:paraId="5ED37A78">
            <w:pPr>
              <w:keepNext w:val="0"/>
              <w:keepLines w:val="0"/>
              <w:pageBreakBefore w:val="0"/>
              <w:widowControl w:val="0"/>
              <w:kinsoku/>
              <w:wordWrap/>
              <w:overflowPunct/>
              <w:topLinePunct w:val="0"/>
              <w:bidi w:val="0"/>
              <w:adjustRightInd w:val="0"/>
              <w:snapToGrid w:val="0"/>
              <w:spacing w:line="440" w:lineRule="exact"/>
              <w:ind w:left="0" w:leftChars="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②项目在施工过程中若遇到重点保护动物，按照《输变电建设项目环境保护技术要求》（HJ1113-2020）中相关要求“施工区发现有保护动物时应暂停施工，并实施保护方案”，禁止挑衅、捕猎，待保护动物自行离开施工区后方可恢复施工，若动物因受伤等原因无法自行离开需汇报当地林业部门；对受伤的珍稀动物应及时联系野生动物保护部门，及时救治。</w:t>
            </w:r>
          </w:p>
          <w:p w14:paraId="5F8A2152">
            <w:pPr>
              <w:keepNext w:val="0"/>
              <w:keepLines w:val="0"/>
              <w:pageBreakBefore w:val="0"/>
              <w:widowControl w:val="0"/>
              <w:kinsoku/>
              <w:wordWrap/>
              <w:overflowPunct/>
              <w:topLinePunct w:val="0"/>
              <w:bidi w:val="0"/>
              <w:adjustRightInd w:val="0"/>
              <w:snapToGrid w:val="0"/>
              <w:spacing w:line="440" w:lineRule="exact"/>
              <w:ind w:left="0" w:leftChars="0" w:right="0" w:firstLine="480" w:firstLineChars="200"/>
              <w:jc w:val="both"/>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③合理安排，科学组织施工。野生鸟类和兽类大多是晨昏外出觅食，正午休息。为了减少工程施工噪声对野生动物的惊扰，应做好施工方式和时间的计划，并力求避免在晨昏和正午进行噪声较大的施工活动，禁止夜间施工。</w:t>
            </w:r>
          </w:p>
          <w:p w14:paraId="2D4BA394">
            <w:pPr>
              <w:keepNext w:val="0"/>
              <w:keepLines w:val="0"/>
              <w:pageBreakBefore w:val="0"/>
              <w:widowControl w:val="0"/>
              <w:kinsoku/>
              <w:wordWrap/>
              <w:overflowPunct/>
              <w:topLinePunct w:val="0"/>
              <w:bidi w:val="0"/>
              <w:adjustRightInd w:val="0"/>
              <w:snapToGrid w:val="0"/>
              <w:spacing w:line="440" w:lineRule="exact"/>
              <w:ind w:left="0" w:right="0" w:firstLine="482" w:firstLineChars="200"/>
              <w:jc w:val="both"/>
              <w:textAlignment w:val="auto"/>
              <w:rPr>
                <w:rFonts w:hint="default" w:ascii="Times New Roman" w:hAnsi="Times New Roman" w:eastAsia="宋体" w:cs="Times New Roman"/>
                <w:b/>
                <w:color w:val="auto"/>
                <w:sz w:val="24"/>
                <w:szCs w:val="24"/>
              </w:rPr>
            </w:pPr>
            <w:r>
              <w:rPr>
                <w:rFonts w:hint="eastAsia" w:ascii="Times New Roman" w:hAnsi="Times New Roman" w:cs="Times New Roman"/>
                <w:b/>
                <w:color w:val="auto"/>
                <w:sz w:val="24"/>
                <w:szCs w:val="24"/>
                <w:lang w:eastAsia="zh-CN"/>
              </w:rPr>
              <w:t>（</w:t>
            </w:r>
            <w:r>
              <w:rPr>
                <w:rFonts w:hint="eastAsia" w:ascii="Times New Roman" w:hAnsi="Times New Roman" w:cs="Times New Roman"/>
                <w:b/>
                <w:color w:val="auto"/>
                <w:sz w:val="24"/>
                <w:szCs w:val="24"/>
                <w:lang w:val="en-US" w:eastAsia="zh-CN"/>
              </w:rPr>
              <w:t>7</w:t>
            </w:r>
            <w:r>
              <w:rPr>
                <w:rFonts w:hint="eastAsia" w:ascii="Times New Roman" w:hAnsi="Times New Roman" w:cs="Times New Roman"/>
                <w:b/>
                <w:color w:val="auto"/>
                <w:sz w:val="24"/>
                <w:szCs w:val="24"/>
                <w:lang w:eastAsia="zh-CN"/>
              </w:rPr>
              <w:t>）</w:t>
            </w:r>
            <w:r>
              <w:rPr>
                <w:rFonts w:hint="default" w:ascii="Times New Roman" w:hAnsi="Times New Roman" w:eastAsia="宋体" w:cs="Times New Roman"/>
                <w:b/>
                <w:color w:val="auto"/>
                <w:sz w:val="24"/>
                <w:szCs w:val="24"/>
              </w:rPr>
              <w:t>管理措施</w:t>
            </w:r>
          </w:p>
          <w:p w14:paraId="1D15619B">
            <w:pPr>
              <w:keepNext w:val="0"/>
              <w:keepLines w:val="0"/>
              <w:pageBreakBefore w:val="0"/>
              <w:widowControl w:val="0"/>
              <w:kinsoku/>
              <w:wordWrap/>
              <w:overflowPunct/>
              <w:topLinePunct w:val="0"/>
              <w:bidi w:val="0"/>
              <w:adjustRightInd w:val="0"/>
              <w:snapToGrid w:val="0"/>
              <w:spacing w:line="440" w:lineRule="exact"/>
              <w:ind w:left="0" w:leftChars="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①在施工过程中，如发现受保护的野生动植物，要及时报告当地林业部门。</w:t>
            </w:r>
          </w:p>
          <w:p w14:paraId="5154AED2">
            <w:pPr>
              <w:keepNext w:val="0"/>
              <w:keepLines w:val="0"/>
              <w:pageBreakBefore w:val="0"/>
              <w:widowControl w:val="0"/>
              <w:kinsoku/>
              <w:wordWrap/>
              <w:overflowPunct/>
              <w:topLinePunct w:val="0"/>
              <w:bidi w:val="0"/>
              <w:adjustRightInd w:val="0"/>
              <w:snapToGrid w:val="0"/>
              <w:spacing w:line="440" w:lineRule="exact"/>
              <w:ind w:left="0" w:leftChars="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②施工前，施工单位应做好施工</w:t>
            </w:r>
            <w:r>
              <w:rPr>
                <w:rFonts w:hint="eastAsia" w:ascii="Times New Roman" w:hAnsi="Times New Roman" w:eastAsia="宋体" w:cs="Times New Roman"/>
                <w:color w:val="auto"/>
                <w:sz w:val="24"/>
                <w:szCs w:val="24"/>
                <w:lang w:eastAsia="zh-CN"/>
              </w:rPr>
              <w:t>期间</w:t>
            </w:r>
            <w:r>
              <w:rPr>
                <w:rFonts w:hint="default" w:ascii="Times New Roman" w:hAnsi="Times New Roman" w:eastAsia="宋体" w:cs="Times New Roman"/>
                <w:color w:val="auto"/>
                <w:sz w:val="24"/>
                <w:szCs w:val="24"/>
              </w:rPr>
              <w:t>环境管理与教育培训、印发环境保护手册，组织专业人员对施工人员进行环保宣传教育</w:t>
            </w:r>
            <w:r>
              <w:rPr>
                <w:rFonts w:hint="eastAsia" w:ascii="Times New Roman" w:hAnsi="Times New Roman" w:eastAsia="宋体" w:cs="Times New Roman"/>
                <w:color w:val="auto"/>
                <w:sz w:val="24"/>
                <w:szCs w:val="24"/>
                <w:lang w:eastAsia="zh-CN"/>
              </w:rPr>
              <w:t>，在</w:t>
            </w:r>
            <w:r>
              <w:rPr>
                <w:rFonts w:hint="default" w:ascii="Times New Roman" w:hAnsi="Times New Roman" w:eastAsia="宋体" w:cs="Times New Roman"/>
                <w:color w:val="auto"/>
                <w:sz w:val="24"/>
                <w:szCs w:val="24"/>
              </w:rPr>
              <w:t>施工</w:t>
            </w:r>
            <w:r>
              <w:rPr>
                <w:rFonts w:hint="eastAsia" w:ascii="Times New Roman" w:hAnsi="Times New Roman" w:eastAsia="宋体" w:cs="Times New Roman"/>
                <w:color w:val="auto"/>
                <w:sz w:val="24"/>
                <w:szCs w:val="24"/>
                <w:lang w:eastAsia="zh-CN"/>
              </w:rPr>
              <w:t>期间</w:t>
            </w:r>
            <w:r>
              <w:rPr>
                <w:rFonts w:hint="default" w:ascii="Times New Roman" w:hAnsi="Times New Roman" w:eastAsia="宋体" w:cs="Times New Roman"/>
                <w:color w:val="auto"/>
                <w:sz w:val="24"/>
                <w:szCs w:val="24"/>
              </w:rPr>
              <w:t>严格施工红线，严格行为规范，进行必要的管理监督。</w:t>
            </w:r>
          </w:p>
          <w:p w14:paraId="36CE8DF4">
            <w:pPr>
              <w:keepNext w:val="0"/>
              <w:keepLines w:val="0"/>
              <w:pageBreakBefore w:val="0"/>
              <w:widowControl w:val="0"/>
              <w:kinsoku/>
              <w:wordWrap/>
              <w:overflowPunct/>
              <w:topLinePunct w:val="0"/>
              <w:bidi w:val="0"/>
              <w:adjustRightInd w:val="0"/>
              <w:snapToGrid w:val="0"/>
              <w:spacing w:line="440" w:lineRule="exact"/>
              <w:ind w:left="0" w:leftChars="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③在施工设计文件中应说明施工期需注意的环保问题，如对沿线树木砍伐，野生动植物保护、植被恢复等情况均应按设计文件执行；严格要求施工单位按环保设计要求施工。</w:t>
            </w:r>
          </w:p>
          <w:p w14:paraId="0E0D52B6">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④在人员活动较多和较集中的区域，如生产区域、项目部附近，粘贴和设置环境保护方面的警示牌，提醒人们依法保护自然环境。</w:t>
            </w:r>
          </w:p>
          <w:p w14:paraId="1F1339FC">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⑤加强生态入侵风险管理，加强项目区危险性林业有害生物的预防和控制，强化森林资源及其附近森林资源的保护，确保区域生态安全。</w:t>
            </w:r>
          </w:p>
          <w:p w14:paraId="7AB7E435">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通过采取以上生态保护措施，可最大限度</w:t>
            </w:r>
            <w:r>
              <w:rPr>
                <w:rFonts w:hint="eastAsia" w:ascii="Times New Roman" w:hAnsi="Times New Roman" w:eastAsia="宋体" w:cs="Times New Roman"/>
                <w:color w:val="auto"/>
                <w:sz w:val="24"/>
                <w:szCs w:val="24"/>
                <w:lang w:eastAsia="zh-CN"/>
              </w:rPr>
              <w:t>地</w:t>
            </w:r>
            <w:r>
              <w:rPr>
                <w:rFonts w:hint="default" w:ascii="Times New Roman" w:hAnsi="Times New Roman" w:eastAsia="宋体" w:cs="Times New Roman"/>
                <w:color w:val="auto"/>
                <w:sz w:val="24"/>
                <w:szCs w:val="24"/>
              </w:rPr>
              <w:t>保护好项目区域的生态环境。</w:t>
            </w:r>
          </w:p>
          <w:p w14:paraId="521C23CD">
            <w:pPr>
              <w:adjustRightInd w:val="0"/>
              <w:snapToGrid w:val="0"/>
              <w:spacing w:line="440" w:lineRule="exact"/>
              <w:ind w:firstLine="482" w:firstLineChars="200"/>
              <w:rPr>
                <w:b/>
                <w:color w:val="auto"/>
                <w:sz w:val="24"/>
              </w:rPr>
            </w:pPr>
            <w:r>
              <w:rPr>
                <w:b/>
                <w:color w:val="auto"/>
                <w:sz w:val="24"/>
              </w:rPr>
              <w:t>5.1.2声环境防治措施</w:t>
            </w:r>
          </w:p>
          <w:p w14:paraId="3F98EAE5">
            <w:pPr>
              <w:keepNext w:val="0"/>
              <w:keepLines w:val="0"/>
              <w:pageBreakBefore w:val="0"/>
              <w:widowControl w:val="0"/>
              <w:kinsoku/>
              <w:wordWrap/>
              <w:overflowPunct/>
              <w:topLinePunct w:val="0"/>
              <w:autoSpaceDE/>
              <w:autoSpaceDN/>
              <w:bidi w:val="0"/>
              <w:adjustRightInd w:val="0"/>
              <w:snapToGrid w:val="0"/>
              <w:spacing w:line="440" w:lineRule="exact"/>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（1）要求施工单位文明施工，加强施工</w:t>
            </w:r>
            <w:r>
              <w:rPr>
                <w:rFonts w:hint="eastAsia" w:ascii="Times New Roman" w:hAnsi="Times New Roman" w:eastAsia="宋体" w:cs="Times New Roman"/>
                <w:color w:val="auto"/>
                <w:sz w:val="24"/>
                <w:szCs w:val="24"/>
                <w:lang w:eastAsia="zh-CN"/>
              </w:rPr>
              <w:t>期间</w:t>
            </w:r>
            <w:r>
              <w:rPr>
                <w:rFonts w:hint="default" w:ascii="Times New Roman" w:hAnsi="Times New Roman" w:eastAsia="宋体" w:cs="Times New Roman"/>
                <w:color w:val="auto"/>
                <w:sz w:val="24"/>
                <w:szCs w:val="24"/>
              </w:rPr>
              <w:t>的环境管理和环境监控工作，并接受环境保护部门的监督管理。</w:t>
            </w:r>
          </w:p>
          <w:p w14:paraId="3A535A5B">
            <w:pPr>
              <w:keepNext w:val="0"/>
              <w:keepLines w:val="0"/>
              <w:pageBreakBefore w:val="0"/>
              <w:widowControl w:val="0"/>
              <w:kinsoku/>
              <w:wordWrap/>
              <w:overflowPunct/>
              <w:topLinePunct w:val="0"/>
              <w:autoSpaceDE/>
              <w:autoSpaceDN/>
              <w:bidi w:val="0"/>
              <w:adjustRightInd w:val="0"/>
              <w:snapToGrid w:val="0"/>
              <w:spacing w:line="440" w:lineRule="exact"/>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（2）施工单位应采用噪声水平满足国家相应标准的施工机械设备，并在施工场地周围设置围栏以减小施工噪声影响。</w:t>
            </w:r>
          </w:p>
          <w:p w14:paraId="7710EE02">
            <w:pPr>
              <w:keepNext w:val="0"/>
              <w:keepLines w:val="0"/>
              <w:pageBreakBefore w:val="0"/>
              <w:widowControl w:val="0"/>
              <w:kinsoku/>
              <w:wordWrap/>
              <w:overflowPunct/>
              <w:topLinePunct w:val="0"/>
              <w:autoSpaceDE/>
              <w:autoSpaceDN/>
              <w:bidi w:val="0"/>
              <w:adjustRightInd w:val="0"/>
              <w:snapToGrid w:val="0"/>
              <w:spacing w:line="440" w:lineRule="exact"/>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（3）施工车辆经过居民区时减缓行驶速度，减少鸣笛。</w:t>
            </w:r>
          </w:p>
          <w:p w14:paraId="47C01761">
            <w:pPr>
              <w:keepNext w:val="0"/>
              <w:keepLines w:val="0"/>
              <w:pageBreakBefore w:val="0"/>
              <w:widowControl w:val="0"/>
              <w:kinsoku/>
              <w:wordWrap/>
              <w:overflowPunct/>
              <w:topLinePunct w:val="0"/>
              <w:autoSpaceDE/>
              <w:autoSpaceDN/>
              <w:bidi w:val="0"/>
              <w:adjustRightInd w:val="0"/>
              <w:snapToGrid w:val="0"/>
              <w:spacing w:line="440" w:lineRule="exact"/>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（4）限制夜间高噪声施工。施工单位应尽量减少产生高噪声污染的施工内容，尽量避免使用高噪声设备。</w:t>
            </w:r>
          </w:p>
          <w:p w14:paraId="3F19C015">
            <w:pPr>
              <w:keepNext w:val="0"/>
              <w:keepLines w:val="0"/>
              <w:pageBreakBefore w:val="0"/>
              <w:widowControl w:val="0"/>
              <w:kinsoku/>
              <w:wordWrap/>
              <w:overflowPunct/>
              <w:topLinePunct w:val="0"/>
              <w:autoSpaceDE/>
              <w:autoSpaceDN/>
              <w:bidi w:val="0"/>
              <w:adjustRightInd w:val="0"/>
              <w:snapToGrid w:val="0"/>
              <w:spacing w:line="440" w:lineRule="exact"/>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（5）加强设备的运行管理，使其保持良好的运行状态，从</w:t>
            </w:r>
            <w:r>
              <w:rPr>
                <w:rFonts w:hint="eastAsia" w:ascii="Times New Roman" w:hAnsi="Times New Roman" w:eastAsia="宋体" w:cs="Times New Roman"/>
                <w:color w:val="auto"/>
                <w:sz w:val="24"/>
                <w:szCs w:val="24"/>
                <w:lang w:eastAsia="zh-CN"/>
              </w:rPr>
              <w:t>源头</w:t>
            </w:r>
            <w:r>
              <w:rPr>
                <w:rFonts w:hint="default" w:ascii="Times New Roman" w:hAnsi="Times New Roman" w:eastAsia="宋体" w:cs="Times New Roman"/>
                <w:color w:val="auto"/>
                <w:sz w:val="24"/>
                <w:szCs w:val="24"/>
              </w:rPr>
              <w:t>上控制施工噪声对周边环境的影响。</w:t>
            </w:r>
          </w:p>
          <w:p w14:paraId="7BD88A3E">
            <w:pPr>
              <w:adjustRightInd w:val="0"/>
              <w:snapToGrid w:val="0"/>
              <w:spacing w:line="440" w:lineRule="exact"/>
              <w:ind w:firstLine="480" w:firstLineChars="200"/>
              <w:rPr>
                <w:rFonts w:ascii="Times New Roman" w:hAnsi="Times New Roman"/>
                <w:color w:val="auto"/>
                <w:sz w:val="24"/>
                <w:szCs w:val="24"/>
              </w:rPr>
            </w:pPr>
            <w:r>
              <w:rPr>
                <w:rFonts w:ascii="Times New Roman" w:hAnsi="Times New Roman"/>
                <w:color w:val="auto"/>
                <w:sz w:val="24"/>
                <w:szCs w:val="24"/>
              </w:rPr>
              <w:t>在采取依法限制产生噪声的夜间作业等噪声污染控制措施后，本项目在施工期的噪声对周边环境保护目标声环境的影响能满足法规和标准的要求，并且施工结束后施工噪声影响即可消失。</w:t>
            </w:r>
          </w:p>
          <w:p w14:paraId="45295A85">
            <w:pPr>
              <w:adjustRightInd w:val="0"/>
              <w:snapToGrid w:val="0"/>
              <w:spacing w:line="440" w:lineRule="exact"/>
              <w:ind w:firstLine="482" w:firstLineChars="200"/>
              <w:rPr>
                <w:b/>
                <w:color w:val="auto"/>
                <w:sz w:val="24"/>
              </w:rPr>
            </w:pPr>
            <w:r>
              <w:rPr>
                <w:b/>
                <w:color w:val="auto"/>
                <w:sz w:val="24"/>
              </w:rPr>
              <w:t>5.1.3地表水环境保护措施</w:t>
            </w:r>
          </w:p>
          <w:p w14:paraId="15A5B43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（1）施工场地四周应修建截水排水沟，并在出口设置沉砂池和拦砂网，将含泥沙的雨水、泥浆经沉砂池沉淀后回用于施工路段路面洒水、</w:t>
            </w:r>
            <w:r>
              <w:rPr>
                <w:rFonts w:hint="default" w:ascii="Times New Roman" w:hAnsi="Times New Roman" w:cs="Times New Roman"/>
                <w:color w:val="auto"/>
                <w:sz w:val="24"/>
                <w:szCs w:val="24"/>
                <w:lang w:val="en-US" w:eastAsia="zh-CN"/>
              </w:rPr>
              <w:t>施工环节</w:t>
            </w:r>
            <w:r>
              <w:rPr>
                <w:rFonts w:hint="default" w:ascii="Times New Roman" w:hAnsi="Times New Roman" w:cs="Times New Roman"/>
                <w:color w:val="auto"/>
                <w:sz w:val="24"/>
                <w:szCs w:val="24"/>
              </w:rPr>
              <w:t>。</w:t>
            </w:r>
          </w:p>
          <w:p w14:paraId="31342FC4">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（2）输电线路施工人员租住周边民房，施工人员生活污水依托租用民房已建设施收集处理，施工过程中产生的少量洗手废水经收集沉淀后回用于施工环节，不外排。</w:t>
            </w:r>
          </w:p>
          <w:p w14:paraId="6813CE1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（3）严格按设计要求，采取一档跨越河流，不在河流水域内和河道中立塔，不对跨越河流构成影响。</w:t>
            </w:r>
          </w:p>
          <w:p w14:paraId="55853DA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（4）施工期间禁止向水体排放、倾倒垃圾、弃土、弃渣。应加强对含油设施（包括车辆和线路施工设备）的管理，严禁在水体及其附近冲洗含油器械及车辆，避免油类物质进入水体。</w:t>
            </w:r>
          </w:p>
          <w:p w14:paraId="47BD65A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（5）施工现场如使用带油料的机械器具，应采取措施防止油料跑、冒、滴、漏，防止对土壤和水体造成污染。</w:t>
            </w:r>
          </w:p>
          <w:p w14:paraId="74062FDC">
            <w:pPr>
              <w:keepNext w:val="0"/>
              <w:keepLines w:val="0"/>
              <w:pageBreakBefore w:val="0"/>
              <w:widowControl w:val="0"/>
              <w:kinsoku/>
              <w:wordWrap/>
              <w:overflowPunct/>
              <w:topLinePunct w:val="0"/>
              <w:autoSpaceDE/>
              <w:autoSpaceDN/>
              <w:bidi w:val="0"/>
              <w:adjustRightInd w:val="0"/>
              <w:snapToGrid w:val="0"/>
              <w:spacing w:line="440" w:lineRule="exact"/>
              <w:ind w:left="0" w:right="0" w:firstLine="470" w:firstLineChars="200"/>
              <w:jc w:val="both"/>
              <w:textAlignment w:val="auto"/>
              <w:rPr>
                <w:rFonts w:hint="default" w:ascii="Times New Roman" w:hAnsi="Times New Roman" w:eastAsia="宋体" w:cs="Times New Roman"/>
                <w:b/>
                <w:bCs/>
                <w:color w:val="auto"/>
                <w:spacing w:val="-3"/>
                <w:sz w:val="24"/>
                <w:szCs w:val="24"/>
              </w:rPr>
            </w:pPr>
            <w:r>
              <w:rPr>
                <w:rFonts w:hint="default" w:ascii="Times New Roman" w:hAnsi="Times New Roman" w:eastAsia="宋体" w:cs="Times New Roman"/>
                <w:b/>
                <w:bCs/>
                <w:color w:val="auto"/>
                <w:spacing w:val="-3"/>
                <w:sz w:val="24"/>
                <w:szCs w:val="24"/>
              </w:rPr>
              <w:t>对跨越水体还需采取如下水环境保护措施：</w:t>
            </w:r>
          </w:p>
          <w:p w14:paraId="32719F67">
            <w:pPr>
              <w:keepNext w:val="0"/>
              <w:keepLines w:val="0"/>
              <w:pageBreakBefore w:val="0"/>
              <w:widowControl w:val="0"/>
              <w:kinsoku/>
              <w:wordWrap/>
              <w:overflowPunct/>
              <w:topLinePunct w:val="0"/>
              <w:autoSpaceDE/>
              <w:autoSpaceDN/>
              <w:bidi w:val="0"/>
              <w:adjustRightInd w:val="0"/>
              <w:snapToGrid w:val="0"/>
              <w:spacing w:line="440" w:lineRule="exact"/>
              <w:ind w:left="0" w:right="0" w:firstLine="468" w:firstLineChars="200"/>
              <w:jc w:val="both"/>
              <w:textAlignment w:val="auto"/>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（1）合理选择架线位置，采取一档跨越，不在水中立塔，塔基位置应尽可能远离河岸，减少塔基对河流的影响。</w:t>
            </w:r>
          </w:p>
          <w:p w14:paraId="372D2A8C">
            <w:pPr>
              <w:keepNext w:val="0"/>
              <w:keepLines w:val="0"/>
              <w:pageBreakBefore w:val="0"/>
              <w:widowControl w:val="0"/>
              <w:kinsoku/>
              <w:wordWrap/>
              <w:overflowPunct/>
              <w:topLinePunct w:val="0"/>
              <w:autoSpaceDE/>
              <w:autoSpaceDN/>
              <w:bidi w:val="0"/>
              <w:adjustRightInd w:val="0"/>
              <w:snapToGrid w:val="0"/>
              <w:spacing w:line="440" w:lineRule="exact"/>
              <w:ind w:left="0" w:right="0" w:firstLine="468" w:firstLineChars="200"/>
              <w:jc w:val="both"/>
              <w:textAlignment w:val="auto"/>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（2）禁止向水体排放油类，禁止在水体冲洗贮油类车辆，禁止向水体排放、倾倒废水、垃圾等。</w:t>
            </w:r>
          </w:p>
          <w:p w14:paraId="50AB9278">
            <w:pPr>
              <w:keepNext w:val="0"/>
              <w:keepLines w:val="0"/>
              <w:pageBreakBefore w:val="0"/>
              <w:widowControl w:val="0"/>
              <w:kinsoku/>
              <w:wordWrap/>
              <w:overflowPunct/>
              <w:topLinePunct w:val="0"/>
              <w:autoSpaceDE/>
              <w:autoSpaceDN/>
              <w:bidi w:val="0"/>
              <w:adjustRightInd w:val="0"/>
              <w:snapToGrid w:val="0"/>
              <w:spacing w:line="440" w:lineRule="exact"/>
              <w:ind w:left="0" w:right="0" w:firstLine="468" w:firstLineChars="200"/>
              <w:jc w:val="both"/>
              <w:textAlignment w:val="auto"/>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（3）邻近河流的塔基施工时，施工人员不得在靠近水域附近搭建临时施工生活设施，严禁施工废水、生活污水、生活垃圾等排入水体，影响水体水质，施工场地尽可能远离河流。</w:t>
            </w:r>
          </w:p>
          <w:p w14:paraId="03530232">
            <w:pPr>
              <w:keepNext w:val="0"/>
              <w:keepLines w:val="0"/>
              <w:pageBreakBefore w:val="0"/>
              <w:widowControl w:val="0"/>
              <w:kinsoku/>
              <w:wordWrap/>
              <w:overflowPunct/>
              <w:topLinePunct w:val="0"/>
              <w:autoSpaceDE/>
              <w:autoSpaceDN/>
              <w:bidi w:val="0"/>
              <w:adjustRightInd w:val="0"/>
              <w:snapToGrid w:val="0"/>
              <w:spacing w:line="440" w:lineRule="exact"/>
              <w:ind w:firstLine="468" w:firstLineChars="200"/>
              <w:textAlignment w:val="auto"/>
              <w:rPr>
                <w:rFonts w:ascii="Times New Roman" w:hAnsi="Times New Roman"/>
                <w:color w:val="auto"/>
                <w:spacing w:val="-3"/>
                <w:sz w:val="24"/>
                <w:szCs w:val="24"/>
              </w:rPr>
            </w:pPr>
            <w:r>
              <w:rPr>
                <w:rFonts w:ascii="Times New Roman" w:hAnsi="Times New Roman"/>
                <w:color w:val="auto"/>
                <w:spacing w:val="-3"/>
                <w:sz w:val="24"/>
                <w:szCs w:val="24"/>
              </w:rPr>
              <w:t>采取上述措施后，可以有效地防治施工期生产废水、生活污水对地表水的污染，加之施工活动周期较短，因此不会导致施工场地周围水环境的污染。</w:t>
            </w:r>
          </w:p>
          <w:p w14:paraId="1D5D686D">
            <w:pPr>
              <w:adjustRightInd w:val="0"/>
              <w:snapToGrid w:val="0"/>
              <w:spacing w:line="440" w:lineRule="exact"/>
              <w:ind w:firstLine="482" w:firstLineChars="200"/>
              <w:rPr>
                <w:b/>
                <w:color w:val="auto"/>
                <w:sz w:val="24"/>
              </w:rPr>
            </w:pPr>
            <w:r>
              <w:rPr>
                <w:b/>
                <w:color w:val="auto"/>
                <w:sz w:val="24"/>
              </w:rPr>
              <w:t>5.1.4环境空气环境保护措施</w:t>
            </w:r>
          </w:p>
          <w:p w14:paraId="4B20723E">
            <w:pPr>
              <w:pStyle w:val="92"/>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（1）施工过程中，应当加强对施工现场和物料运输的管理，在施工工地设置硬质围挡，保持道路清洁，管控料堆和渣土堆放，防治扬尘污染。</w:t>
            </w:r>
          </w:p>
          <w:p w14:paraId="6E88C9BA">
            <w:pPr>
              <w:pStyle w:val="92"/>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（2）施工过程中，对易起尘的临时堆土等应采用密闭式防尘布（网）进行苫盖，施工面集中且有条件的地方宜采取洒水降尘等有效措施，减少易造成大气污染的施工作业。</w:t>
            </w:r>
          </w:p>
          <w:p w14:paraId="5C3341F1">
            <w:pPr>
              <w:pStyle w:val="92"/>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（3）施工过程中，建设单位应当对裸露地面进行覆盖；暂时不能开工的建设用地超过三个月的，应当进行绿化、铺装或者遮盖。</w:t>
            </w:r>
          </w:p>
          <w:p w14:paraId="2FF0B57F">
            <w:pPr>
              <w:pStyle w:val="92"/>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（4）进出场地的车辆限制车速，场内道路、堆场及车辆进出时洒水，保持湿润，减少或避免产生扬尘。</w:t>
            </w:r>
          </w:p>
          <w:p w14:paraId="4AE31EDD">
            <w:pPr>
              <w:pStyle w:val="92"/>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（5）施工现场禁止将包装物、可燃垃圾等固体废弃物就地焚烧。</w:t>
            </w:r>
          </w:p>
          <w:p w14:paraId="0CFBE855">
            <w:pPr>
              <w:pStyle w:val="92"/>
              <w:adjustRightInd w:val="0"/>
              <w:snapToGrid w:val="0"/>
              <w:spacing w:line="440" w:lineRule="exact"/>
              <w:ind w:firstLine="480" w:firstLineChars="200"/>
              <w:jc w:val="both"/>
              <w:rPr>
                <w:rFonts w:ascii="Times New Roman" w:hAnsi="Times New Roman" w:cs="Times New Roman"/>
                <w:color w:val="auto"/>
                <w:sz w:val="24"/>
                <w:szCs w:val="24"/>
              </w:rPr>
            </w:pPr>
            <w:r>
              <w:rPr>
                <w:rFonts w:hint="eastAsia" w:ascii="Times New Roman" w:hAnsi="Times New Roman" w:cs="Times New Roman"/>
                <w:color w:val="auto"/>
                <w:sz w:val="24"/>
                <w:szCs w:val="24"/>
              </w:rPr>
              <w:t>经采取以上措施后，项目施工期对大气环境的影响较小。</w:t>
            </w:r>
          </w:p>
          <w:p w14:paraId="1BE4004B">
            <w:pPr>
              <w:adjustRightInd w:val="0"/>
              <w:snapToGrid w:val="0"/>
              <w:spacing w:line="440" w:lineRule="exact"/>
              <w:ind w:firstLine="482" w:firstLineChars="200"/>
              <w:rPr>
                <w:rFonts w:ascii="Times New Roman" w:hAnsi="Times New Roman"/>
                <w:b/>
                <w:color w:val="auto"/>
                <w:sz w:val="24"/>
                <w:szCs w:val="24"/>
              </w:rPr>
            </w:pPr>
            <w:r>
              <w:rPr>
                <w:rFonts w:ascii="Times New Roman" w:hAnsi="Times New Roman"/>
                <w:b/>
                <w:color w:val="auto"/>
                <w:sz w:val="24"/>
                <w:szCs w:val="24"/>
              </w:rPr>
              <w:t>5.1.5固体废物防治措施</w:t>
            </w:r>
          </w:p>
          <w:p w14:paraId="373B78CF">
            <w:pPr>
              <w:pStyle w:val="92"/>
              <w:keepNext w:val="0"/>
              <w:keepLines w:val="0"/>
              <w:pageBreakBefore w:val="0"/>
              <w:widowControl w:val="0"/>
              <w:kinsoku/>
              <w:wordWrap/>
              <w:overflowPunct/>
              <w:topLinePunct w:val="0"/>
              <w:autoSpaceDE w:val="0"/>
              <w:autoSpaceDN w:val="0"/>
              <w:bidi w:val="0"/>
              <w:adjustRightInd w:val="0"/>
              <w:snapToGrid w:val="0"/>
              <w:spacing w:line="440" w:lineRule="exact"/>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r>
              <w:rPr>
                <w:rFonts w:hint="default" w:ascii="Times New Roman" w:hAnsi="Times New Roman" w:cs="Times New Roman"/>
                <w:color w:val="auto"/>
                <w:sz w:val="24"/>
              </w:rPr>
              <w:t>施工人员食宿依托租用民房，施工现场产生的生活垃圾集中收集后清运至附近集镇垃圾收集点由当地环卫部门处置。</w:t>
            </w:r>
          </w:p>
          <w:p w14:paraId="0B87F864">
            <w:pPr>
              <w:pStyle w:val="92"/>
              <w:keepNext w:val="0"/>
              <w:keepLines w:val="0"/>
              <w:pageBreakBefore w:val="0"/>
              <w:widowControl w:val="0"/>
              <w:kinsoku/>
              <w:wordWrap/>
              <w:overflowPunct/>
              <w:topLinePunct w:val="0"/>
              <w:autoSpaceDE w:val="0"/>
              <w:autoSpaceDN w:val="0"/>
              <w:bidi w:val="0"/>
              <w:adjustRightInd w:val="0"/>
              <w:snapToGrid w:val="0"/>
              <w:spacing w:line="440" w:lineRule="exact"/>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（2）施工过程中产生</w:t>
            </w:r>
            <w:r>
              <w:rPr>
                <w:rFonts w:hint="eastAsia" w:ascii="Times New Roman" w:hAnsi="Times New Roman" w:eastAsia="宋体" w:cs="Times New Roman"/>
                <w:color w:val="auto"/>
                <w:sz w:val="24"/>
                <w:szCs w:val="24"/>
                <w:lang w:eastAsia="zh-CN"/>
              </w:rPr>
              <w:t>的</w:t>
            </w:r>
            <w:r>
              <w:rPr>
                <w:rFonts w:hint="default" w:ascii="Times New Roman" w:hAnsi="Times New Roman" w:eastAsia="宋体" w:cs="Times New Roman"/>
                <w:color w:val="auto"/>
                <w:sz w:val="24"/>
                <w:szCs w:val="24"/>
              </w:rPr>
              <w:t>废混凝土、</w:t>
            </w:r>
            <w:r>
              <w:rPr>
                <w:rFonts w:hint="eastAsia" w:ascii="Times New Roman" w:hAnsi="Times New Roman" w:cs="Times New Roman"/>
                <w:color w:val="auto"/>
                <w:sz w:val="24"/>
                <w:szCs w:val="24"/>
                <w:lang w:val="en-US" w:eastAsia="zh-CN"/>
              </w:rPr>
              <w:t>砂</w:t>
            </w:r>
            <w:r>
              <w:rPr>
                <w:rFonts w:hint="default" w:ascii="Times New Roman" w:hAnsi="Times New Roman" w:eastAsia="宋体" w:cs="Times New Roman"/>
                <w:color w:val="auto"/>
                <w:sz w:val="24"/>
                <w:szCs w:val="24"/>
              </w:rPr>
              <w:t>浆、废钢材配件、废包装等建筑垃圾，经集中收集、充分回收利用后清运至相关部门指定场所规范处置</w:t>
            </w:r>
            <w:r>
              <w:rPr>
                <w:rFonts w:hint="default" w:ascii="Times New Roman" w:hAnsi="Times New Roman" w:eastAsia="宋体" w:cs="Times New Roman"/>
                <w:color w:val="auto"/>
                <w:sz w:val="24"/>
                <w:szCs w:val="24"/>
                <w:lang w:eastAsia="zh-CN"/>
              </w:rPr>
              <w:t>。</w:t>
            </w:r>
          </w:p>
          <w:p w14:paraId="6AEC131B">
            <w:pPr>
              <w:pStyle w:val="92"/>
              <w:keepNext w:val="0"/>
              <w:keepLines w:val="0"/>
              <w:pageBreakBefore w:val="0"/>
              <w:widowControl w:val="0"/>
              <w:kinsoku/>
              <w:wordWrap/>
              <w:overflowPunct/>
              <w:topLinePunct w:val="0"/>
              <w:autoSpaceDE w:val="0"/>
              <w:autoSpaceDN w:val="0"/>
              <w:bidi w:val="0"/>
              <w:adjustRightInd w:val="0"/>
              <w:snapToGrid w:val="0"/>
              <w:spacing w:line="440" w:lineRule="exact"/>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（3）架空线路基础开挖产生的余土分别在各塔基占地范围内就地回填压实、综合利用；塔基施工剥离表土按规范要求集中堆放，施工完毕后用于复垦或植被恢复。</w:t>
            </w:r>
          </w:p>
          <w:p w14:paraId="064E0318">
            <w:pPr>
              <w:pStyle w:val="92"/>
              <w:keepNext w:val="0"/>
              <w:keepLines w:val="0"/>
              <w:pageBreakBefore w:val="0"/>
              <w:widowControl w:val="0"/>
              <w:kinsoku/>
              <w:wordWrap/>
              <w:overflowPunct/>
              <w:topLinePunct w:val="0"/>
              <w:autoSpaceDE w:val="0"/>
              <w:autoSpaceDN w:val="0"/>
              <w:bidi w:val="0"/>
              <w:adjustRightInd w:val="0"/>
              <w:snapToGrid w:val="0"/>
              <w:spacing w:line="440" w:lineRule="exact"/>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（4）在林地、草地和农田施工时，施工临时占地宜采取隔离保护措施，施工结束后应将混凝土余料和残渣及时清除。</w:t>
            </w:r>
          </w:p>
          <w:p w14:paraId="0F31ACB7">
            <w:pPr>
              <w:pStyle w:val="92"/>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both"/>
              <w:textAlignment w:val="auto"/>
              <w:rPr>
                <w:rFonts w:ascii="Times New Roman" w:hAnsi="Times New Roman" w:cs="Times New Roman"/>
                <w:color w:val="auto"/>
                <w:sz w:val="24"/>
                <w:szCs w:val="24"/>
              </w:rPr>
            </w:pP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5</w:t>
            </w:r>
            <w:r>
              <w:rPr>
                <w:rFonts w:hint="eastAsia" w:ascii="Times New Roman" w:hAnsi="Times New Roman" w:cs="Times New Roman"/>
                <w:color w:val="auto"/>
                <w:sz w:val="24"/>
                <w:szCs w:val="24"/>
                <w:lang w:eastAsia="zh-CN"/>
              </w:rPr>
              <w:t>）</w:t>
            </w:r>
            <w:r>
              <w:rPr>
                <w:rFonts w:hint="default" w:ascii="Times New Roman" w:hAnsi="Times New Roman" w:cs="Times New Roman"/>
                <w:color w:val="auto"/>
                <w:sz w:val="24"/>
              </w:rPr>
              <w:t>严禁随意倾倒，建筑垃圾在装运过程中应避免混合，运输过程中应采取必要的防扬散、防遗撒、防渗漏、防</w:t>
            </w:r>
            <w:r>
              <w:rPr>
                <w:rFonts w:hint="eastAsia" w:ascii="Times New Roman" w:hAnsi="Times New Roman" w:cs="Times New Roman"/>
                <w:color w:val="auto"/>
                <w:sz w:val="24"/>
                <w:lang w:val="en-US" w:eastAsia="zh-CN"/>
              </w:rPr>
              <w:t>噪声</w:t>
            </w:r>
            <w:r>
              <w:rPr>
                <w:rFonts w:hint="default" w:ascii="Times New Roman" w:hAnsi="Times New Roman" w:cs="Times New Roman"/>
                <w:color w:val="auto"/>
                <w:sz w:val="24"/>
              </w:rPr>
              <w:t>措施，运输过程中宜使用新能源车和机械</w:t>
            </w:r>
            <w:r>
              <w:rPr>
                <w:rFonts w:ascii="Times New Roman" w:hAnsi="Times New Roman" w:cs="Times New Roman"/>
                <w:color w:val="auto"/>
                <w:sz w:val="24"/>
                <w:szCs w:val="24"/>
              </w:rPr>
              <w:t>。</w:t>
            </w:r>
          </w:p>
          <w:p w14:paraId="4391CACD">
            <w:pPr>
              <w:pStyle w:val="92"/>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both"/>
              <w:textAlignment w:val="auto"/>
              <w:rPr>
                <w:rFonts w:ascii="Times New Roman" w:hAnsi="Times New Roman" w:cs="Times New Roman"/>
                <w:color w:val="auto"/>
                <w:sz w:val="24"/>
                <w:szCs w:val="24"/>
              </w:rPr>
            </w:pPr>
            <w:r>
              <w:rPr>
                <w:rFonts w:ascii="Times New Roman" w:hAnsi="Times New Roman" w:cs="Times New Roman"/>
                <w:color w:val="auto"/>
                <w:sz w:val="24"/>
                <w:szCs w:val="24"/>
              </w:rPr>
              <w:t>在采取以上环保措施后，施工期产生的固体废弃物对周边环境的影响较小。</w:t>
            </w:r>
          </w:p>
          <w:p w14:paraId="48A60CB2">
            <w:pPr>
              <w:adjustRightInd w:val="0"/>
              <w:snapToGrid w:val="0"/>
              <w:spacing w:line="440" w:lineRule="exact"/>
              <w:ind w:firstLine="482" w:firstLineChars="200"/>
              <w:rPr>
                <w:rFonts w:ascii="Times New Roman" w:hAnsi="Times New Roman"/>
                <w:b/>
                <w:color w:val="auto"/>
                <w:sz w:val="24"/>
                <w:szCs w:val="24"/>
              </w:rPr>
            </w:pPr>
            <w:r>
              <w:rPr>
                <w:rFonts w:hint="eastAsia" w:ascii="Times New Roman" w:hAnsi="Times New Roman"/>
                <w:b/>
                <w:color w:val="auto"/>
                <w:sz w:val="24"/>
                <w:szCs w:val="24"/>
              </w:rPr>
              <w:t>5.1.6电磁环境保护措施</w:t>
            </w:r>
          </w:p>
          <w:p w14:paraId="1547E9DF">
            <w:pPr>
              <w:pStyle w:val="92"/>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both"/>
              <w:textAlignment w:val="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rPr>
              <w:t>输电线路在交叉跨越时对地距离，在严格按</w:t>
            </w:r>
            <w:r>
              <w:rPr>
                <w:rFonts w:hint="eastAsia" w:ascii="Times New Roman" w:hAnsi="Times New Roman" w:cs="Times New Roman"/>
                <w:color w:val="auto"/>
                <w:sz w:val="24"/>
                <w:szCs w:val="24"/>
                <w:highlight w:val="none"/>
              </w:rPr>
              <w:t>照《110</w:t>
            </w:r>
            <w:r>
              <w:rPr>
                <w:rFonts w:hint="eastAsia" w:ascii="Times New Roman" w:hAnsi="Times New Roman" w:cs="Times New Roman"/>
                <w:color w:val="auto"/>
                <w:sz w:val="24"/>
                <w:szCs w:val="24"/>
                <w:highlight w:val="none"/>
                <w:lang w:eastAsia="zh-CN"/>
              </w:rPr>
              <w:t>kV</w:t>
            </w:r>
            <w:r>
              <w:rPr>
                <w:rFonts w:hint="eastAsia" w:ascii="Times New Roman" w:hAnsi="Times New Roman" w:cs="Times New Roman"/>
                <w:color w:val="auto"/>
                <w:sz w:val="24"/>
                <w:szCs w:val="24"/>
                <w:highlight w:val="none"/>
              </w:rPr>
              <w:t>～750</w:t>
            </w:r>
            <w:r>
              <w:rPr>
                <w:rFonts w:hint="eastAsia" w:ascii="Times New Roman" w:hAnsi="Times New Roman" w:cs="Times New Roman"/>
                <w:color w:val="auto"/>
                <w:sz w:val="24"/>
                <w:szCs w:val="24"/>
                <w:highlight w:val="none"/>
                <w:lang w:eastAsia="zh-CN"/>
              </w:rPr>
              <w:t>kV</w:t>
            </w:r>
            <w:r>
              <w:rPr>
                <w:rFonts w:hint="eastAsia" w:ascii="Times New Roman" w:hAnsi="Times New Roman" w:cs="Times New Roman"/>
                <w:color w:val="auto"/>
                <w:sz w:val="24"/>
                <w:szCs w:val="24"/>
                <w:highlight w:val="none"/>
              </w:rPr>
              <w:t>架空输电线路设计规范》（GB50545-2010）进行设计的基础上</w:t>
            </w:r>
            <w:r>
              <w:rPr>
                <w:rFonts w:hint="eastAsia" w:ascii="Times New Roman" w:hAnsi="Times New Roman" w:cs="Times New Roman"/>
                <w:color w:val="auto"/>
                <w:sz w:val="24"/>
                <w:szCs w:val="24"/>
                <w:highlight w:val="none"/>
                <w:lang w:eastAsia="zh-CN"/>
              </w:rPr>
              <w:t>，</w:t>
            </w:r>
            <w:r>
              <w:rPr>
                <w:rFonts w:ascii="Times New Roman" w:hAnsi="Times New Roman" w:cs="Times New Roman"/>
                <w:color w:val="auto"/>
                <w:sz w:val="24"/>
                <w:szCs w:val="24"/>
                <w:highlight w:val="none"/>
              </w:rPr>
              <w:t>根据预测计算结果，</w:t>
            </w:r>
            <w:r>
              <w:rPr>
                <w:rFonts w:hint="eastAsia" w:ascii="Times New Roman" w:hAnsi="Times New Roman" w:cs="Times New Roman"/>
                <w:color w:val="auto"/>
                <w:sz w:val="24"/>
                <w:szCs w:val="24"/>
                <w:highlight w:val="none"/>
              </w:rPr>
              <w:t>本项目架空线路采用</w:t>
            </w:r>
            <w:r>
              <w:rPr>
                <w:rFonts w:hint="eastAsia" w:ascii="Times New Roman" w:hAnsi="Times New Roman" w:cs="Times New Roman"/>
                <w:color w:val="auto"/>
                <w:sz w:val="24"/>
                <w:szCs w:val="24"/>
                <w:highlight w:val="none"/>
                <w:lang w:val="en-US" w:eastAsia="zh-CN"/>
              </w:rPr>
              <w:t>11</w:t>
            </w:r>
            <w:r>
              <w:rPr>
                <w:rFonts w:hint="eastAsia" w:ascii="Times New Roman" w:hAnsi="Times New Roman" w:cs="Times New Roman"/>
                <w:color w:val="auto"/>
                <w:sz w:val="24"/>
                <w:szCs w:val="24"/>
                <w:highlight w:val="none"/>
              </w:rPr>
              <w:t>0kV单回架设时对地高度不低于</w:t>
            </w:r>
            <w:r>
              <w:rPr>
                <w:rFonts w:hint="eastAsia" w:ascii="Times New Roman" w:hAnsi="Times New Roman" w:cs="Times New Roman"/>
                <w:color w:val="auto"/>
                <w:sz w:val="24"/>
                <w:szCs w:val="24"/>
                <w:highlight w:val="none"/>
                <w:lang w:val="en-US" w:eastAsia="zh-CN"/>
              </w:rPr>
              <w:t>6</w:t>
            </w:r>
            <w:r>
              <w:rPr>
                <w:rFonts w:hint="eastAsia" w:ascii="Times New Roman" w:hAnsi="Times New Roman" w:cs="Times New Roman"/>
                <w:color w:val="auto"/>
                <w:sz w:val="24"/>
                <w:szCs w:val="24"/>
                <w:highlight w:val="none"/>
              </w:rPr>
              <w:t>m，线路下方距地面1.5m处的工频电场、工频磁场能同时满足《电磁环境控制限值》（</w:t>
            </w:r>
            <w:r>
              <w:rPr>
                <w:rFonts w:ascii="Times New Roman" w:hAnsi="Times New Roman" w:cs="Times New Roman"/>
                <w:color w:val="auto"/>
                <w:sz w:val="24"/>
                <w:szCs w:val="24"/>
                <w:highlight w:val="none"/>
              </w:rPr>
              <w:t>GB8702-2014</w:t>
            </w:r>
            <w:r>
              <w:rPr>
                <w:rFonts w:hint="eastAsia" w:ascii="Times New Roman" w:hAnsi="Times New Roman" w:cs="Times New Roman"/>
                <w:color w:val="auto"/>
                <w:sz w:val="24"/>
                <w:szCs w:val="24"/>
                <w:highlight w:val="none"/>
              </w:rPr>
              <w:t>）表</w:t>
            </w:r>
            <w:r>
              <w:rPr>
                <w:rFonts w:ascii="Times New Roman" w:hAnsi="Times New Roman" w:cs="Times New Roman"/>
                <w:color w:val="auto"/>
                <w:sz w:val="24"/>
                <w:szCs w:val="24"/>
                <w:highlight w:val="none"/>
              </w:rPr>
              <w:t>1</w:t>
            </w:r>
            <w:r>
              <w:rPr>
                <w:rFonts w:hint="eastAsia" w:ascii="Times New Roman" w:hAnsi="Times New Roman" w:cs="Times New Roman"/>
                <w:color w:val="auto"/>
                <w:sz w:val="24"/>
                <w:szCs w:val="24"/>
                <w:highlight w:val="none"/>
              </w:rPr>
              <w:t>中工频电场</w:t>
            </w:r>
            <w:r>
              <w:rPr>
                <w:rFonts w:ascii="Times New Roman" w:hAnsi="Times New Roman" w:cs="Times New Roman"/>
                <w:color w:val="auto"/>
                <w:sz w:val="24"/>
                <w:szCs w:val="24"/>
                <w:highlight w:val="none"/>
              </w:rPr>
              <w:t>4000V/m</w:t>
            </w:r>
            <w:r>
              <w:rPr>
                <w:rFonts w:hint="eastAsia" w:ascii="Times New Roman" w:hAnsi="Times New Roman" w:cs="Times New Roman"/>
                <w:color w:val="auto"/>
                <w:sz w:val="24"/>
                <w:szCs w:val="24"/>
                <w:highlight w:val="none"/>
              </w:rPr>
              <w:t>、工频磁场</w:t>
            </w:r>
            <w:r>
              <w:rPr>
                <w:rFonts w:ascii="Times New Roman" w:hAnsi="Times New Roman" w:cs="Times New Roman"/>
                <w:color w:val="auto"/>
                <w:sz w:val="24"/>
                <w:szCs w:val="24"/>
                <w:highlight w:val="none"/>
              </w:rPr>
              <w:t>100μT</w:t>
            </w:r>
            <w:r>
              <w:rPr>
                <w:rFonts w:hint="eastAsia" w:ascii="Times New Roman" w:hAnsi="Times New Roman" w:cs="Times New Roman"/>
                <w:color w:val="auto"/>
                <w:sz w:val="24"/>
                <w:szCs w:val="24"/>
                <w:highlight w:val="none"/>
              </w:rPr>
              <w:t>公众曝露限值要求。</w:t>
            </w:r>
            <w:r>
              <w:rPr>
                <w:rFonts w:hint="eastAsia" w:ascii="Times New Roman" w:hAnsi="Times New Roman" w:cs="Times New Roman"/>
                <w:color w:val="auto"/>
                <w:sz w:val="24"/>
                <w:szCs w:val="24"/>
                <w:highlight w:val="none"/>
                <w:lang w:val="en-US" w:eastAsia="zh-CN"/>
              </w:rPr>
              <w:t>具体措施：</w:t>
            </w:r>
          </w:p>
          <w:p w14:paraId="50332166">
            <w:pPr>
              <w:pStyle w:val="92"/>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（1）选址选线合理，进行线路路径协调工作，避开城镇规划区、开发区、居民区、军事设施、厂矿、大型采石场，将区域环境影响控制在最低程度。</w:t>
            </w:r>
          </w:p>
          <w:p w14:paraId="3A697E19">
            <w:pPr>
              <w:pStyle w:val="92"/>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2）严格按照相关规范进行设计、施工。线路经过农田时，适当增加导线对地距离，以保证农田等环境中工频电场强度符合《电磁环境控制限值》（GB8702-2014）的限值要求；在经过有林地段时抬高导线对地高度，以减少电磁场的影响。</w:t>
            </w:r>
          </w:p>
          <w:p w14:paraId="25331296">
            <w:pPr>
              <w:pStyle w:val="92"/>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（3）采用更为先进的导线，减轻工频电磁场强度，架设导线时清理导线表面的毛刺，减轻因此而引起的工频电磁场畸变等。</w:t>
            </w:r>
          </w:p>
          <w:p w14:paraId="3A2527E6">
            <w:pPr>
              <w:pStyle w:val="92"/>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（4）架设线路时，应在杆塔及线路周边设置警告牌和标语。</w:t>
            </w:r>
          </w:p>
          <w:p w14:paraId="61FA6A46">
            <w:pPr>
              <w:pStyle w:val="92"/>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（5）线路架设时，对邻近的通信线路采取适当有效的保护措施，如线路与通信线路之间的距离应满足《110-750kV架空送电线路设计技术规程》（GB 50545-2010）的相关要求。</w:t>
            </w:r>
          </w:p>
          <w:p w14:paraId="28BA5880">
            <w:pPr>
              <w:pStyle w:val="92"/>
              <w:keepNext w:val="0"/>
              <w:keepLines w:val="0"/>
              <w:pageBreakBefore w:val="0"/>
              <w:kinsoku/>
              <w:wordWrap/>
              <w:overflowPunct/>
              <w:topLinePunct w:val="0"/>
              <w:bidi w:val="0"/>
              <w:adjustRightInd w:val="0"/>
              <w:snapToGrid w:val="0"/>
              <w:spacing w:line="440" w:lineRule="exact"/>
              <w:ind w:firstLine="480" w:firstLineChars="200"/>
              <w:jc w:val="both"/>
              <w:textAlignment w:val="auto"/>
              <w:rPr>
                <w:color w:val="auto"/>
              </w:rPr>
            </w:pPr>
            <w:r>
              <w:rPr>
                <w:rFonts w:hint="eastAsia" w:ascii="Times New Roman" w:hAnsi="Times New Roman" w:cs="Times New Roman"/>
                <w:color w:val="auto"/>
                <w:sz w:val="24"/>
                <w:szCs w:val="24"/>
              </w:rPr>
              <w:t>采取上述措施后，可以有效地减小电磁环境的影响。</w:t>
            </w:r>
          </w:p>
        </w:tc>
      </w:tr>
      <w:tr w14:paraId="26B1A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noWrap w:val="0"/>
            <w:tcMar>
              <w:top w:w="0" w:type="dxa"/>
              <w:left w:w="28" w:type="dxa"/>
              <w:bottom w:w="0" w:type="dxa"/>
              <w:right w:w="28" w:type="dxa"/>
            </w:tcMar>
            <w:vAlign w:val="center"/>
          </w:tcPr>
          <w:p w14:paraId="59C948E7">
            <w:pPr>
              <w:jc w:val="center"/>
              <w:rPr>
                <w:bCs/>
                <w:color w:val="auto"/>
                <w:spacing w:val="10"/>
                <w:sz w:val="24"/>
              </w:rPr>
            </w:pPr>
            <w:r>
              <w:rPr>
                <w:b/>
                <w:color w:val="auto"/>
                <w:spacing w:val="10"/>
                <w:sz w:val="24"/>
              </w:rPr>
              <w:t>运营期生态环境保护措施</w:t>
            </w:r>
          </w:p>
        </w:tc>
        <w:tc>
          <w:tcPr>
            <w:tcW w:w="4745" w:type="pct"/>
            <w:noWrap w:val="0"/>
            <w:vAlign w:val="center"/>
          </w:tcPr>
          <w:p w14:paraId="6B7050D0">
            <w:pPr>
              <w:adjustRightInd w:val="0"/>
              <w:snapToGrid w:val="0"/>
              <w:spacing w:line="440" w:lineRule="exact"/>
              <w:jc w:val="left"/>
              <w:rPr>
                <w:b/>
                <w:bCs/>
                <w:color w:val="auto"/>
                <w:sz w:val="24"/>
              </w:rPr>
            </w:pPr>
            <w:r>
              <w:rPr>
                <w:b/>
                <w:bCs/>
                <w:color w:val="auto"/>
                <w:sz w:val="24"/>
              </w:rPr>
              <w:t>5.2运营期生态环境保护措施</w:t>
            </w:r>
          </w:p>
          <w:p w14:paraId="1B3B93F3">
            <w:pPr>
              <w:adjustRightInd w:val="0"/>
              <w:snapToGrid w:val="0"/>
              <w:spacing w:line="440" w:lineRule="exact"/>
              <w:ind w:firstLine="482" w:firstLineChars="200"/>
              <w:rPr>
                <w:b/>
                <w:bCs/>
                <w:color w:val="auto"/>
                <w:sz w:val="24"/>
              </w:rPr>
            </w:pPr>
            <w:r>
              <w:rPr>
                <w:b/>
                <w:bCs/>
                <w:color w:val="auto"/>
                <w:sz w:val="24"/>
              </w:rPr>
              <w:t>5.2.1生态环境影响</w:t>
            </w:r>
            <w:r>
              <w:rPr>
                <w:rFonts w:hint="eastAsia"/>
                <w:b/>
                <w:bCs/>
                <w:color w:val="auto"/>
                <w:sz w:val="24"/>
                <w:lang w:val="en-US" w:eastAsia="zh-CN"/>
              </w:rPr>
              <w:t>保护</w:t>
            </w:r>
            <w:r>
              <w:rPr>
                <w:b/>
                <w:bCs/>
                <w:color w:val="auto"/>
                <w:sz w:val="24"/>
              </w:rPr>
              <w:t>措施</w:t>
            </w:r>
          </w:p>
          <w:p w14:paraId="3EA14E22">
            <w:pPr>
              <w:adjustRightInd w:val="0"/>
              <w:snapToGrid w:val="0"/>
              <w:spacing w:line="440" w:lineRule="exact"/>
              <w:ind w:firstLine="480" w:firstLineChars="200"/>
              <w:rPr>
                <w:rFonts w:hint="eastAsia"/>
                <w:color w:val="auto"/>
                <w:sz w:val="24"/>
              </w:rPr>
            </w:pPr>
            <w:r>
              <w:rPr>
                <w:rFonts w:hint="eastAsia"/>
                <w:color w:val="auto"/>
                <w:sz w:val="24"/>
              </w:rPr>
              <w:t>（1）在项目运行期需对线路沿线及塔基进行定期巡查及检修，应对线路运行维护人员进行生态环境保护，尤其是野生动植物保护相关知识的培训，</w:t>
            </w:r>
            <w:r>
              <w:rPr>
                <w:rFonts w:hint="eastAsia"/>
                <w:color w:val="auto"/>
                <w:sz w:val="24"/>
                <w:lang w:eastAsia="zh-CN"/>
              </w:rPr>
              <w:t>增强</w:t>
            </w:r>
            <w:r>
              <w:rPr>
                <w:rFonts w:hint="eastAsia"/>
                <w:color w:val="auto"/>
                <w:sz w:val="24"/>
              </w:rPr>
              <w:t>他们的环境保护意识，不对工程周边区域的动植物及生态环境造成破坏。</w:t>
            </w:r>
          </w:p>
          <w:p w14:paraId="7123307C">
            <w:pPr>
              <w:adjustRightInd w:val="0"/>
              <w:snapToGrid w:val="0"/>
              <w:spacing w:line="440" w:lineRule="exact"/>
              <w:ind w:firstLine="480" w:firstLineChars="200"/>
              <w:rPr>
                <w:rFonts w:hint="eastAsia"/>
                <w:color w:val="auto"/>
                <w:sz w:val="24"/>
              </w:rPr>
            </w:pPr>
            <w:r>
              <w:rPr>
                <w:rFonts w:hint="eastAsia"/>
                <w:color w:val="auto"/>
                <w:sz w:val="24"/>
              </w:rPr>
              <w:t>（2）强化对设备检修维护人员的生态保护意识教育，加强管理，禁止滥采滥伐和捕猎野生动物，避免因此</w:t>
            </w:r>
            <w:r>
              <w:rPr>
                <w:rFonts w:hint="eastAsia"/>
                <w:color w:val="auto"/>
                <w:sz w:val="24"/>
                <w:lang w:eastAsia="zh-CN"/>
              </w:rPr>
              <w:t>导致</w:t>
            </w:r>
            <w:r>
              <w:rPr>
                <w:rFonts w:hint="eastAsia"/>
                <w:color w:val="auto"/>
                <w:sz w:val="24"/>
              </w:rPr>
              <w:t>沿线自然植被破坏和野生动物的影响；</w:t>
            </w:r>
          </w:p>
          <w:p w14:paraId="42FABA92">
            <w:pPr>
              <w:adjustRightInd w:val="0"/>
              <w:snapToGrid w:val="0"/>
              <w:spacing w:line="440" w:lineRule="exact"/>
              <w:ind w:firstLine="480" w:firstLineChars="200"/>
              <w:rPr>
                <w:rFonts w:hint="eastAsia"/>
                <w:color w:val="auto"/>
                <w:sz w:val="24"/>
              </w:rPr>
            </w:pPr>
            <w:r>
              <w:rPr>
                <w:rFonts w:hint="eastAsia"/>
                <w:color w:val="auto"/>
                <w:sz w:val="24"/>
              </w:rPr>
              <w:t>（3）定期对线路沿线生态保护和防护措施及设施进行检查，跟踪生态保护与恢复效果，以便及时采取后续措施。输电线路使用警示色。根据鸟类的视觉特征，将高压输电线路导线设置成对鸟类具有警示作用的颜色，提醒鸟类对障碍物的识别，减少碰撞几率。</w:t>
            </w:r>
          </w:p>
          <w:p w14:paraId="17F5B8EF">
            <w:pPr>
              <w:adjustRightInd w:val="0"/>
              <w:snapToGrid w:val="0"/>
              <w:spacing w:line="440" w:lineRule="exact"/>
              <w:ind w:firstLine="480" w:firstLineChars="200"/>
              <w:rPr>
                <w:rFonts w:hint="eastAsia"/>
                <w:color w:val="auto"/>
                <w:sz w:val="24"/>
              </w:rPr>
            </w:pPr>
            <w:r>
              <w:rPr>
                <w:rFonts w:hint="eastAsia"/>
                <w:color w:val="auto"/>
                <w:sz w:val="24"/>
              </w:rPr>
              <w:t>（4）对于永久占地造成的植被破坏，建设单位应严格按照有关规定向政府和主管部门缴纳相关青苗补偿费、林木赔偿费等，并由相关部门统一安排植被恢复。</w:t>
            </w:r>
          </w:p>
          <w:p w14:paraId="60FF274D">
            <w:pPr>
              <w:adjustRightInd w:val="0"/>
              <w:snapToGrid w:val="0"/>
              <w:spacing w:line="440" w:lineRule="exact"/>
              <w:ind w:firstLine="480" w:firstLineChars="200"/>
              <w:rPr>
                <w:rFonts w:hint="eastAsia"/>
                <w:color w:val="auto"/>
                <w:sz w:val="24"/>
              </w:rPr>
            </w:pPr>
            <w:r>
              <w:rPr>
                <w:rFonts w:hint="eastAsia"/>
                <w:color w:val="auto"/>
                <w:sz w:val="24"/>
              </w:rPr>
              <w:t>（5）严格遵循《110kV～750kV架空输电线路施工及验收规范》（GB50233-2014），为保护评价区内天然植被，禁止砍伐通道，仅对运营后期生长到21m以上的林冠进行修剪。</w:t>
            </w:r>
          </w:p>
          <w:p w14:paraId="05180FEA">
            <w:pPr>
              <w:adjustRightInd w:val="0"/>
              <w:snapToGrid w:val="0"/>
              <w:spacing w:line="440" w:lineRule="exact"/>
              <w:ind w:firstLine="480" w:firstLineChars="200"/>
              <w:rPr>
                <w:rFonts w:hint="eastAsia"/>
                <w:color w:val="auto"/>
                <w:sz w:val="24"/>
              </w:rPr>
            </w:pPr>
            <w:r>
              <w:rPr>
                <w:rFonts w:hint="eastAsia"/>
                <w:color w:val="auto"/>
                <w:sz w:val="24"/>
              </w:rPr>
              <w:t>（6）线路运行后，进行维护或巡视时不得新开道路。设置告示牌和警示牌。运行后制定相关的工作规则，避免维护人员伤害野生动物。</w:t>
            </w:r>
          </w:p>
          <w:p w14:paraId="4599EF70">
            <w:pPr>
              <w:adjustRightInd w:val="0"/>
              <w:snapToGrid w:val="0"/>
              <w:spacing w:line="440" w:lineRule="exact"/>
              <w:ind w:firstLine="482" w:firstLineChars="200"/>
              <w:rPr>
                <w:b/>
                <w:bCs/>
                <w:color w:val="auto"/>
                <w:sz w:val="24"/>
              </w:rPr>
            </w:pPr>
            <w:r>
              <w:rPr>
                <w:b/>
                <w:bCs/>
                <w:color w:val="auto"/>
                <w:sz w:val="24"/>
              </w:rPr>
              <w:t>5.2.2声环境防治措施</w:t>
            </w:r>
          </w:p>
          <w:p w14:paraId="0DA7F5D2">
            <w:pPr>
              <w:adjustRightInd w:val="0"/>
              <w:snapToGrid w:val="0"/>
              <w:spacing w:line="440" w:lineRule="exact"/>
              <w:ind w:firstLine="480" w:firstLineChars="200"/>
              <w:rPr>
                <w:color w:val="auto"/>
                <w:sz w:val="24"/>
              </w:rPr>
            </w:pPr>
            <w:r>
              <w:rPr>
                <w:color w:val="auto"/>
                <w:sz w:val="24"/>
              </w:rPr>
              <w:t>架空</w:t>
            </w:r>
            <w:r>
              <w:rPr>
                <w:rFonts w:hint="eastAsia"/>
                <w:color w:val="auto"/>
                <w:sz w:val="24"/>
              </w:rPr>
              <w:t>线路</w:t>
            </w:r>
            <w:r>
              <w:rPr>
                <w:color w:val="auto"/>
                <w:sz w:val="24"/>
              </w:rPr>
              <w:t>，通过采取选用低噪设备</w:t>
            </w:r>
            <w:r>
              <w:rPr>
                <w:rFonts w:hint="eastAsia"/>
                <w:color w:val="auto"/>
                <w:sz w:val="24"/>
              </w:rPr>
              <w:t>等</w:t>
            </w:r>
            <w:r>
              <w:rPr>
                <w:color w:val="auto"/>
                <w:sz w:val="24"/>
              </w:rPr>
              <w:t>，项目输电线路在运营后无明显噪声产生，输电线路合理选择送电导线结构，确保导线对地高度，降低送电线路的可听噪声水平。定期巡检设线路各类接口，确保接触良好，减少火花及电晕放电产生的噪声。</w:t>
            </w:r>
          </w:p>
          <w:p w14:paraId="355DC6EA">
            <w:pPr>
              <w:adjustRightInd w:val="0"/>
              <w:snapToGrid w:val="0"/>
              <w:spacing w:line="440" w:lineRule="exact"/>
              <w:ind w:firstLine="480" w:firstLineChars="200"/>
              <w:rPr>
                <w:color w:val="auto"/>
                <w:sz w:val="24"/>
              </w:rPr>
            </w:pPr>
            <w:r>
              <w:rPr>
                <w:color w:val="auto"/>
                <w:sz w:val="24"/>
              </w:rPr>
              <w:t>采取上述措施后，运营期环境敏感目标声环境质量满足相应标准要求。</w:t>
            </w:r>
          </w:p>
          <w:p w14:paraId="096ED759">
            <w:pPr>
              <w:adjustRightInd w:val="0"/>
              <w:snapToGrid w:val="0"/>
              <w:spacing w:line="440" w:lineRule="exact"/>
              <w:ind w:firstLine="482" w:firstLineChars="200"/>
              <w:rPr>
                <w:b/>
                <w:bCs/>
                <w:color w:val="auto"/>
                <w:sz w:val="24"/>
              </w:rPr>
            </w:pPr>
            <w:r>
              <w:rPr>
                <w:b/>
                <w:bCs/>
                <w:color w:val="auto"/>
                <w:sz w:val="24"/>
              </w:rPr>
              <w:t>5.2.3地表水环境保护措施</w:t>
            </w:r>
          </w:p>
          <w:p w14:paraId="34CF6F6C">
            <w:pPr>
              <w:adjustRightInd w:val="0"/>
              <w:snapToGrid w:val="0"/>
              <w:spacing w:line="440" w:lineRule="exact"/>
              <w:ind w:firstLine="480" w:firstLineChars="200"/>
              <w:rPr>
                <w:color w:val="auto"/>
                <w:sz w:val="24"/>
              </w:rPr>
            </w:pPr>
            <w:r>
              <w:rPr>
                <w:color w:val="auto"/>
                <w:sz w:val="24"/>
              </w:rPr>
              <w:t>项目输电线路运行期不产生废水。线路运维人员定期巡线过程中，应避免在河流附近甚至向水域随意丢弃废弃物，防止对水质产生影响。</w:t>
            </w:r>
          </w:p>
          <w:p w14:paraId="2C552768">
            <w:pPr>
              <w:adjustRightInd w:val="0"/>
              <w:snapToGrid w:val="0"/>
              <w:spacing w:line="440" w:lineRule="exact"/>
              <w:ind w:firstLine="480" w:firstLineChars="200"/>
              <w:rPr>
                <w:color w:val="auto"/>
                <w:sz w:val="24"/>
              </w:rPr>
            </w:pPr>
            <w:r>
              <w:rPr>
                <w:color w:val="auto"/>
                <w:sz w:val="24"/>
              </w:rPr>
              <w:t>采取上述措施后，项目运营期对周边地表水环境不会产生影响。</w:t>
            </w:r>
          </w:p>
          <w:p w14:paraId="062751C6">
            <w:pPr>
              <w:adjustRightInd w:val="0"/>
              <w:snapToGrid w:val="0"/>
              <w:spacing w:line="440" w:lineRule="exact"/>
              <w:ind w:firstLine="482" w:firstLineChars="200"/>
              <w:rPr>
                <w:b/>
                <w:bCs/>
                <w:color w:val="auto"/>
                <w:sz w:val="24"/>
              </w:rPr>
            </w:pPr>
            <w:r>
              <w:rPr>
                <w:b/>
                <w:bCs/>
                <w:color w:val="auto"/>
                <w:sz w:val="24"/>
              </w:rPr>
              <w:t>5.2.4固体废物防治措施</w:t>
            </w:r>
          </w:p>
          <w:p w14:paraId="0C01FC04">
            <w:pPr>
              <w:pStyle w:val="92"/>
              <w:snapToGrid w:val="0"/>
              <w:spacing w:line="440" w:lineRule="exact"/>
              <w:ind w:firstLine="480" w:firstLineChars="200"/>
              <w:jc w:val="both"/>
              <w:rPr>
                <w:color w:val="auto"/>
              </w:rPr>
            </w:pPr>
            <w:r>
              <w:rPr>
                <w:color w:val="auto"/>
              </w:rPr>
              <w:t>架空线路运营期间产生的固体废物主要为运行维护更换下来的绝缘子等金具，统一回收处理。</w:t>
            </w:r>
          </w:p>
          <w:p w14:paraId="0887A022">
            <w:pPr>
              <w:pStyle w:val="92"/>
              <w:snapToGrid w:val="0"/>
              <w:spacing w:line="440" w:lineRule="exact"/>
              <w:ind w:firstLine="480" w:firstLineChars="200"/>
              <w:jc w:val="both"/>
              <w:rPr>
                <w:color w:val="auto"/>
              </w:rPr>
            </w:pPr>
            <w:r>
              <w:rPr>
                <w:color w:val="auto"/>
              </w:rPr>
              <w:t>采取上述措施后，本项目运营期固体废物对外环境无影响。</w:t>
            </w:r>
          </w:p>
          <w:p w14:paraId="44ADA5BF">
            <w:pPr>
              <w:adjustRightInd w:val="0"/>
              <w:snapToGrid w:val="0"/>
              <w:spacing w:line="440" w:lineRule="exact"/>
              <w:ind w:firstLine="482" w:firstLineChars="200"/>
              <w:rPr>
                <w:b/>
                <w:bCs/>
                <w:color w:val="auto"/>
                <w:sz w:val="24"/>
              </w:rPr>
            </w:pPr>
            <w:r>
              <w:rPr>
                <w:b/>
                <w:bCs/>
                <w:color w:val="auto"/>
                <w:sz w:val="24"/>
              </w:rPr>
              <w:t>5.2.5电磁环境防治措施</w:t>
            </w:r>
          </w:p>
          <w:p w14:paraId="2D6C55D8">
            <w:pPr>
              <w:adjustRightInd w:val="0"/>
              <w:snapToGrid w:val="0"/>
              <w:spacing w:line="440" w:lineRule="exact"/>
              <w:ind w:firstLine="480" w:firstLineChars="200"/>
              <w:rPr>
                <w:rFonts w:hint="default"/>
                <w:color w:val="auto"/>
                <w:sz w:val="24"/>
                <w:lang w:val="en-US" w:eastAsia="zh-CN"/>
              </w:rPr>
            </w:pPr>
            <w:r>
              <w:rPr>
                <w:rFonts w:hint="default"/>
                <w:color w:val="auto"/>
                <w:sz w:val="24"/>
                <w:lang w:val="en-US" w:eastAsia="zh-CN"/>
              </w:rPr>
              <w:t>（1）安全警示标志：依据《电力安全设施配置技术规范 第2部分：线路》（GB/T 36291.2-2018）及《架空输电线路标识配置及制作安装规范》（Q/GDW11451-2025）执行。</w:t>
            </w:r>
          </w:p>
          <w:p w14:paraId="6942FF27">
            <w:pPr>
              <w:adjustRightInd w:val="0"/>
              <w:snapToGrid w:val="0"/>
              <w:spacing w:line="440" w:lineRule="exact"/>
              <w:ind w:firstLine="480" w:firstLineChars="200"/>
              <w:rPr>
                <w:rFonts w:hint="default"/>
                <w:color w:val="auto"/>
                <w:sz w:val="24"/>
                <w:lang w:val="en-US" w:eastAsia="zh-CN"/>
              </w:rPr>
            </w:pPr>
            <w:r>
              <w:rPr>
                <w:rFonts w:hint="default"/>
                <w:color w:val="auto"/>
                <w:sz w:val="24"/>
                <w:lang w:val="en-US" w:eastAsia="zh-CN"/>
              </w:rPr>
              <w:t>（2）净空距离：线路在与其他电力线、通信线、公路、建筑物等交叉跨越时，净空距离严格执行《110kV～750kV架空输电线路设计规范》（GB 50545-2010）及《35kV及以下架空电力线路设计规范》（GB 50061-2010）的规定要求。</w:t>
            </w:r>
          </w:p>
          <w:p w14:paraId="49A26DDA">
            <w:pPr>
              <w:adjustRightInd w:val="0"/>
              <w:snapToGrid w:val="0"/>
              <w:spacing w:line="440" w:lineRule="exact"/>
              <w:ind w:firstLine="480" w:firstLineChars="200"/>
              <w:rPr>
                <w:rFonts w:hint="default"/>
                <w:color w:val="auto"/>
                <w:sz w:val="24"/>
                <w:lang w:val="en-US" w:eastAsia="zh-CN"/>
              </w:rPr>
            </w:pPr>
            <w:r>
              <w:rPr>
                <w:rFonts w:hint="default"/>
                <w:color w:val="auto"/>
                <w:sz w:val="24"/>
                <w:lang w:val="en-US" w:eastAsia="zh-CN"/>
              </w:rPr>
              <w:t>（3）依据《国家电网有限公司输变电工程通用设计35～110kV输电线路绝缘子及金具分册（2024年版）》及相关行业规范执行。结合输电线路外绝缘配置及所经区域的污秽等级，选择适宜的绝缘子串型。</w:t>
            </w:r>
          </w:p>
          <w:p w14:paraId="170878E7">
            <w:pPr>
              <w:adjustRightInd w:val="0"/>
              <w:snapToGrid w:val="0"/>
              <w:spacing w:line="440" w:lineRule="exact"/>
              <w:ind w:firstLine="480" w:firstLineChars="200"/>
              <w:rPr>
                <w:rFonts w:hint="default"/>
                <w:color w:val="auto"/>
                <w:sz w:val="24"/>
                <w:lang w:val="en-US" w:eastAsia="zh-CN"/>
              </w:rPr>
            </w:pPr>
            <w:r>
              <w:rPr>
                <w:rFonts w:hint="default"/>
                <w:color w:val="auto"/>
                <w:sz w:val="24"/>
                <w:lang w:val="en-US" w:eastAsia="zh-CN"/>
              </w:rPr>
              <w:t>（4）接地设计：依据GB/T 50065-2011《交流电气装置的接地设计规范》和GB 50169-2016《电气装置安装工程接地装置施工及验收规范》执行。</w:t>
            </w:r>
          </w:p>
          <w:p w14:paraId="25766D92">
            <w:pPr>
              <w:adjustRightInd w:val="0"/>
              <w:snapToGrid w:val="0"/>
              <w:spacing w:line="440" w:lineRule="exact"/>
              <w:ind w:firstLine="480" w:firstLineChars="200"/>
              <w:rPr>
                <w:rFonts w:hint="default"/>
                <w:color w:val="auto"/>
                <w:sz w:val="24"/>
                <w:lang w:val="en-US" w:eastAsia="zh-CN"/>
              </w:rPr>
            </w:pPr>
            <w:r>
              <w:rPr>
                <w:rFonts w:hint="default"/>
                <w:color w:val="auto"/>
                <w:sz w:val="24"/>
                <w:lang w:val="en-US" w:eastAsia="zh-CN"/>
              </w:rPr>
              <w:t>（5）导线排列优化：平行跨导线的相序排列避免同相布置，减少同相母线交叉与相同转角布置，以降低线路下方的工频电场强度和工频磁感应强度。设计阶段由设计单位出具相序排列方案图，经校核签字确认后实施。</w:t>
            </w:r>
          </w:p>
          <w:p w14:paraId="63603F69">
            <w:pPr>
              <w:adjustRightInd w:val="0"/>
              <w:snapToGrid w:val="0"/>
              <w:spacing w:line="440" w:lineRule="exact"/>
              <w:ind w:firstLine="480" w:firstLineChars="200"/>
              <w:rPr>
                <w:rFonts w:hint="default"/>
                <w:color w:val="auto"/>
                <w:sz w:val="24"/>
                <w:lang w:val="en-US" w:eastAsia="zh-CN"/>
              </w:rPr>
            </w:pPr>
            <w:r>
              <w:rPr>
                <w:rFonts w:hint="default"/>
                <w:color w:val="auto"/>
                <w:sz w:val="24"/>
                <w:lang w:val="en-US" w:eastAsia="zh-CN"/>
              </w:rPr>
              <w:t>（6）巡检及违建管控：运行期委托专业巡线单位按DL/T741-2019《架空输电线路运行规程》要求，110kV及35kV线路巡视频次一月一次、10kV线路一季度一次，重点检查线路通道内是否存在新建违章建筑，一经发现应立即通知当事人整改并报告当地电力管理部门。同步建立巡线巡查台账，保存影像资料备查。</w:t>
            </w:r>
          </w:p>
          <w:p w14:paraId="3A837DB7">
            <w:pPr>
              <w:adjustRightInd w:val="0"/>
              <w:snapToGrid w:val="0"/>
              <w:spacing w:line="440" w:lineRule="exact"/>
              <w:ind w:firstLine="480" w:firstLineChars="200"/>
              <w:rPr>
                <w:color w:val="auto"/>
                <w:sz w:val="24"/>
              </w:rPr>
            </w:pPr>
            <w:r>
              <w:rPr>
                <w:color w:val="auto"/>
                <w:sz w:val="24"/>
              </w:rPr>
              <w:t>采取上述措施后，项目运营期对周边生态影响较小。</w:t>
            </w:r>
          </w:p>
          <w:p w14:paraId="51E91D21">
            <w:pPr>
              <w:pStyle w:val="92"/>
              <w:snapToGrid w:val="0"/>
              <w:spacing w:line="440" w:lineRule="exact"/>
              <w:ind w:firstLine="482" w:firstLineChars="200"/>
              <w:jc w:val="both"/>
              <w:rPr>
                <w:b/>
                <w:bCs/>
                <w:color w:val="auto"/>
              </w:rPr>
            </w:pPr>
            <w:r>
              <w:rPr>
                <w:rFonts w:hint="eastAsia"/>
                <w:b/>
                <w:bCs/>
                <w:color w:val="auto"/>
              </w:rPr>
              <w:t>5.2.6</w:t>
            </w:r>
            <w:r>
              <w:rPr>
                <w:b/>
                <w:bCs/>
                <w:color w:val="auto"/>
              </w:rPr>
              <w:t>大气环境保护措施</w:t>
            </w:r>
          </w:p>
          <w:p w14:paraId="544F6A77">
            <w:pPr>
              <w:pStyle w:val="92"/>
              <w:snapToGrid w:val="0"/>
              <w:spacing w:line="440" w:lineRule="exact"/>
              <w:ind w:firstLine="480" w:firstLineChars="200"/>
              <w:jc w:val="both"/>
              <w:rPr>
                <w:color w:val="auto"/>
              </w:rPr>
            </w:pPr>
            <w:r>
              <w:rPr>
                <w:color w:val="auto"/>
              </w:rPr>
              <w:t>项目输电线路运行，不产生</w:t>
            </w:r>
            <w:r>
              <w:rPr>
                <w:rFonts w:hint="eastAsia"/>
                <w:color w:val="auto"/>
              </w:rPr>
              <w:t>废气</w:t>
            </w:r>
            <w:r>
              <w:rPr>
                <w:color w:val="auto"/>
              </w:rPr>
              <w:t>污染物，不会对大气产生影响。</w:t>
            </w:r>
          </w:p>
          <w:p w14:paraId="4B024FEB">
            <w:pPr>
              <w:pStyle w:val="92"/>
              <w:snapToGrid w:val="0"/>
              <w:spacing w:line="440" w:lineRule="exact"/>
              <w:ind w:firstLine="482" w:firstLineChars="200"/>
              <w:jc w:val="both"/>
              <w:rPr>
                <w:b/>
                <w:color w:val="auto"/>
              </w:rPr>
            </w:pPr>
            <w:r>
              <w:rPr>
                <w:rFonts w:hint="eastAsia"/>
                <w:b/>
                <w:color w:val="auto"/>
              </w:rPr>
              <w:t>5.2.7对生态保护红线保护措施</w:t>
            </w:r>
          </w:p>
          <w:p w14:paraId="255AA9DF">
            <w:pPr>
              <w:pStyle w:val="92"/>
              <w:snapToGrid w:val="0"/>
              <w:spacing w:line="440" w:lineRule="exact"/>
              <w:ind w:firstLine="480" w:firstLineChars="200"/>
              <w:jc w:val="both"/>
              <w:rPr>
                <w:rFonts w:hint="eastAsia"/>
                <w:color w:val="auto"/>
              </w:rPr>
            </w:pPr>
            <w:r>
              <w:rPr>
                <w:rFonts w:hint="eastAsia"/>
                <w:color w:val="auto"/>
              </w:rPr>
              <w:t>（1）塔基施工完成后，对施工现场塔基区、塔基施工场地、人抬道路区进行清理平整并及时进行植被恢复，人工恢复以当地植物为主，禁止引进外来入侵物种。</w:t>
            </w:r>
          </w:p>
          <w:p w14:paraId="016548FE">
            <w:pPr>
              <w:pStyle w:val="92"/>
              <w:snapToGrid w:val="0"/>
              <w:spacing w:line="440" w:lineRule="exact"/>
              <w:ind w:firstLine="480" w:firstLineChars="200"/>
              <w:jc w:val="both"/>
              <w:rPr>
                <w:rFonts w:hint="eastAsia"/>
                <w:color w:val="auto"/>
              </w:rPr>
            </w:pPr>
            <w:r>
              <w:rPr>
                <w:rFonts w:hint="eastAsia"/>
                <w:color w:val="auto"/>
              </w:rPr>
              <w:t>（2）加强对植被恢复区域绿化植物的抚育管理，提高恢复植物成活率及植被覆盖率。</w:t>
            </w:r>
          </w:p>
          <w:p w14:paraId="5B963EB3">
            <w:pPr>
              <w:pStyle w:val="92"/>
              <w:snapToGrid w:val="0"/>
              <w:spacing w:line="440" w:lineRule="exact"/>
              <w:ind w:firstLine="480" w:firstLineChars="200"/>
              <w:jc w:val="both"/>
              <w:rPr>
                <w:rFonts w:hint="eastAsia"/>
                <w:color w:val="auto"/>
              </w:rPr>
            </w:pPr>
            <w:r>
              <w:rPr>
                <w:rFonts w:hint="eastAsia"/>
                <w:color w:val="auto"/>
              </w:rPr>
              <w:t>（3）定期对生态保护红线内生态保护措施进行检查，跟踪生态保护与恢复效果，以便及时采取后续措施。</w:t>
            </w:r>
          </w:p>
          <w:p w14:paraId="7BB02831">
            <w:pPr>
              <w:pStyle w:val="92"/>
              <w:snapToGrid w:val="0"/>
              <w:spacing w:line="440" w:lineRule="exact"/>
              <w:ind w:firstLine="480" w:firstLineChars="200"/>
              <w:jc w:val="both"/>
              <w:rPr>
                <w:rFonts w:hint="eastAsia"/>
                <w:color w:val="auto"/>
                <w:lang w:eastAsia="zh-CN"/>
              </w:rPr>
            </w:pPr>
            <w:r>
              <w:rPr>
                <w:rFonts w:hint="eastAsia"/>
                <w:color w:val="auto"/>
                <w:lang w:eastAsia="zh-CN"/>
              </w:rPr>
              <w:t>（</w:t>
            </w:r>
            <w:r>
              <w:rPr>
                <w:rFonts w:hint="eastAsia"/>
                <w:color w:val="auto"/>
                <w:lang w:val="en-US" w:eastAsia="zh-CN"/>
              </w:rPr>
              <w:t>4</w:t>
            </w:r>
            <w:r>
              <w:rPr>
                <w:rFonts w:hint="eastAsia"/>
                <w:color w:val="auto"/>
                <w:lang w:eastAsia="zh-CN"/>
              </w:rPr>
              <w:t>）</w:t>
            </w:r>
            <w:r>
              <w:rPr>
                <w:rFonts w:hint="eastAsia"/>
                <w:color w:val="auto"/>
              </w:rPr>
              <w:t>对电站工作人员加强管理，在项目区周边设置生态保护警示牌，告知工作人员生态保护红线区的位置及范围，减少工作人员进入生态保护红线区内活动。</w:t>
            </w:r>
          </w:p>
          <w:p w14:paraId="0C1244AE">
            <w:pPr>
              <w:pStyle w:val="92"/>
              <w:snapToGrid w:val="0"/>
              <w:spacing w:line="440" w:lineRule="exact"/>
              <w:ind w:firstLine="482" w:firstLineChars="200"/>
              <w:jc w:val="both"/>
              <w:rPr>
                <w:rFonts w:hint="default"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5.2.8公益林保护措施</w:t>
            </w:r>
          </w:p>
          <w:p w14:paraId="7A2873E3">
            <w:pPr>
              <w:pStyle w:val="92"/>
              <w:snapToGrid w:val="0"/>
              <w:spacing w:line="440" w:lineRule="exact"/>
              <w:ind w:firstLine="480" w:firstLineChars="200"/>
              <w:jc w:val="both"/>
              <w:rPr>
                <w:rFonts w:hint="eastAsia" w:ascii="Times New Roman" w:hAnsi="Times New Roman" w:eastAsia="宋体" w:cs="Times New Roman"/>
                <w:color w:val="auto"/>
                <w:lang w:eastAsia="zh-CN"/>
              </w:rPr>
            </w:pPr>
            <w:r>
              <w:rPr>
                <w:rFonts w:hint="default" w:ascii="Times New Roman" w:hAnsi="Times New Roman" w:eastAsia="宋体" w:cs="Times New Roman"/>
                <w:color w:val="auto"/>
                <w:lang w:val="en-US" w:eastAsia="zh-CN"/>
              </w:rPr>
              <w:t>运营期建设单位须对工作人员加强管理，在项目区周边设置生态保护警示牌，告知工作人员公益林的位置及范围，减少工作人员进入公益林内活动；同时加强工作人员的宣传教育，不对公</w:t>
            </w:r>
            <w:r>
              <w:rPr>
                <w:rFonts w:hint="eastAsia" w:ascii="Times New Roman" w:hAnsi="Times New Roman" w:eastAsia="宋体" w:cs="Times New Roman"/>
                <w:color w:val="auto"/>
                <w:lang w:val="en-US" w:eastAsia="zh-CN"/>
              </w:rPr>
              <w:t>益林</w:t>
            </w:r>
            <w:r>
              <w:rPr>
                <w:rFonts w:hint="default" w:ascii="Times New Roman" w:hAnsi="Times New Roman" w:eastAsia="宋体" w:cs="Times New Roman"/>
                <w:color w:val="auto"/>
                <w:lang w:val="en-US" w:eastAsia="zh-CN"/>
              </w:rPr>
              <w:t>进行砍伐破坏。</w:t>
            </w:r>
          </w:p>
          <w:p w14:paraId="5B32C731">
            <w:pPr>
              <w:pStyle w:val="92"/>
              <w:snapToGrid w:val="0"/>
              <w:spacing w:line="440" w:lineRule="exact"/>
              <w:ind w:firstLine="482" w:firstLineChars="200"/>
              <w:jc w:val="both"/>
              <w:rPr>
                <w:rFonts w:hint="eastAsia" w:ascii="Times New Roman" w:hAnsi="Times New Roman" w:eastAsia="宋体" w:cs="Times New Roman"/>
                <w:b/>
                <w:color w:val="auto"/>
              </w:rPr>
            </w:pPr>
            <w:r>
              <w:rPr>
                <w:rFonts w:hint="eastAsia" w:ascii="Times New Roman" w:hAnsi="Times New Roman" w:eastAsia="宋体" w:cs="Times New Roman"/>
                <w:b/>
                <w:color w:val="auto"/>
                <w:lang w:val="en-US" w:eastAsia="zh-CN"/>
              </w:rPr>
              <w:t>5.2.9</w:t>
            </w:r>
            <w:r>
              <w:rPr>
                <w:rFonts w:hint="eastAsia" w:ascii="Times New Roman" w:hAnsi="Times New Roman" w:eastAsia="宋体" w:cs="Times New Roman"/>
                <w:b/>
                <w:color w:val="auto"/>
                <w:lang w:eastAsia="zh-CN"/>
              </w:rPr>
              <w:t>其他</w:t>
            </w:r>
            <w:r>
              <w:rPr>
                <w:rFonts w:hint="eastAsia" w:ascii="Times New Roman" w:hAnsi="Times New Roman" w:eastAsia="宋体" w:cs="Times New Roman"/>
                <w:b/>
                <w:color w:val="auto"/>
              </w:rPr>
              <w:t>措施</w:t>
            </w:r>
          </w:p>
          <w:p w14:paraId="51964A14">
            <w:pPr>
              <w:pStyle w:val="92"/>
              <w:snapToGrid w:val="0"/>
              <w:spacing w:line="440" w:lineRule="exact"/>
              <w:ind w:firstLine="480" w:firstLineChars="200"/>
              <w:jc w:val="both"/>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1）建设单位应按照《电力设施保护条例》《电力设施保护条例实施细则》《云南省电力设施保护条例》等规定要求，在架空电力线路保护区的区界上，设立标志，并标明保护区的宽度和保护规定；项目跨越高速公路、国道、省道等重要公路区设立标志，并标明导线距穿越物体之间的安全距离。</w:t>
            </w:r>
          </w:p>
          <w:p w14:paraId="1B432826">
            <w:pPr>
              <w:pStyle w:val="92"/>
              <w:snapToGrid w:val="0"/>
              <w:spacing w:line="440" w:lineRule="exact"/>
              <w:ind w:firstLine="480" w:firstLineChars="200"/>
              <w:jc w:val="both"/>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（2）加强对周边居民、相关单位开展电力设施安全培训和教育，避免可能危害电力线路设施的禁止行为发生。</w:t>
            </w:r>
          </w:p>
          <w:p w14:paraId="729C5888">
            <w:pPr>
              <w:pStyle w:val="92"/>
              <w:snapToGrid w:val="0"/>
              <w:spacing w:line="440" w:lineRule="exact"/>
              <w:ind w:firstLine="480" w:firstLineChars="200"/>
              <w:jc w:val="both"/>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（3）加强安全警示教育，加强线路巡视，告知沿线居民及政府部门不得在线路下方新建房屋。</w:t>
            </w:r>
          </w:p>
          <w:p w14:paraId="49289125">
            <w:pPr>
              <w:pStyle w:val="92"/>
              <w:snapToGrid w:val="0"/>
              <w:spacing w:line="440" w:lineRule="exact"/>
              <w:ind w:firstLine="480" w:firstLineChars="200"/>
              <w:jc w:val="both"/>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（4）项目线路跨越公路、特殊管线等区域时，线路与跨越物之间的最小距离应按照《110kV~750kV架空输电线路设计规范》（GB50545-2010）要求设置。</w:t>
            </w:r>
          </w:p>
          <w:p w14:paraId="58A74E24">
            <w:pPr>
              <w:pStyle w:val="92"/>
              <w:snapToGrid w:val="0"/>
              <w:spacing w:line="440" w:lineRule="exact"/>
              <w:ind w:firstLine="482" w:firstLineChars="200"/>
              <w:jc w:val="both"/>
              <w:rPr>
                <w:rFonts w:hint="eastAsia"/>
                <w:b/>
                <w:color w:val="auto"/>
              </w:rPr>
            </w:pPr>
            <w:r>
              <w:rPr>
                <w:rFonts w:hint="eastAsia"/>
                <w:b/>
                <w:color w:val="auto"/>
                <w:lang w:val="en-US" w:eastAsia="zh-CN"/>
              </w:rPr>
              <w:t>5.2.9</w:t>
            </w:r>
            <w:r>
              <w:rPr>
                <w:rFonts w:hint="eastAsia"/>
                <w:b/>
                <w:color w:val="auto"/>
              </w:rPr>
              <w:t>措施的责任主体及实施效果</w:t>
            </w:r>
          </w:p>
          <w:p w14:paraId="5A6D849C">
            <w:pPr>
              <w:adjustRightInd w:val="0"/>
              <w:snapToGrid w:val="0"/>
              <w:spacing w:line="440" w:lineRule="exact"/>
              <w:ind w:firstLine="464" w:firstLineChars="200"/>
              <w:rPr>
                <w:color w:val="auto"/>
                <w:sz w:val="24"/>
              </w:rPr>
            </w:pPr>
            <w:r>
              <w:rPr>
                <w:rFonts w:hint="eastAsia"/>
                <w:color w:val="auto"/>
                <w:spacing w:val="-4"/>
                <w:sz w:val="24"/>
              </w:rPr>
              <w:t>本项目运营期采取的生态环境保护措施和噪声、地表水、固废污染防治措施的责任主体为建设单位，建设单位应严格依照相关要求确保措施有效落实；经分析，以上措施具有技术可行性、经济合理性、运行稳定性、生态保护的可达性，在认真落实各项污染防治措施后，本项目运营期对生态、地表水环境影响较小，电磁及声环境影响能满足标准要求，固体废弃物能妥善处理。</w:t>
            </w:r>
          </w:p>
        </w:tc>
      </w:tr>
      <w:tr w14:paraId="64D1E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254" w:type="pct"/>
            <w:noWrap w:val="0"/>
            <w:vAlign w:val="center"/>
          </w:tcPr>
          <w:p w14:paraId="3317A098">
            <w:pPr>
              <w:jc w:val="center"/>
              <w:rPr>
                <w:bCs/>
                <w:color w:val="auto"/>
                <w:spacing w:val="10"/>
                <w:sz w:val="24"/>
              </w:rPr>
            </w:pPr>
            <w:r>
              <w:rPr>
                <w:b/>
                <w:color w:val="auto"/>
                <w:sz w:val="24"/>
              </w:rPr>
              <w:t>其他</w:t>
            </w:r>
          </w:p>
        </w:tc>
        <w:tc>
          <w:tcPr>
            <w:tcW w:w="4745" w:type="pct"/>
            <w:noWrap w:val="0"/>
            <w:vAlign w:val="center"/>
          </w:tcPr>
          <w:p w14:paraId="5EB5A004">
            <w:pPr>
              <w:adjustRightInd w:val="0"/>
              <w:snapToGrid w:val="0"/>
              <w:spacing w:line="440" w:lineRule="exact"/>
              <w:rPr>
                <w:b/>
                <w:color w:val="auto"/>
                <w:sz w:val="24"/>
              </w:rPr>
            </w:pPr>
            <w:r>
              <w:rPr>
                <w:b/>
                <w:color w:val="auto"/>
                <w:sz w:val="24"/>
              </w:rPr>
              <w:t>5.3 环境管理监测计划及环境保护设施</w:t>
            </w:r>
          </w:p>
          <w:p w14:paraId="60C16110">
            <w:pPr>
              <w:pStyle w:val="92"/>
              <w:snapToGrid w:val="0"/>
              <w:spacing w:line="440" w:lineRule="exact"/>
              <w:ind w:firstLine="482" w:firstLineChars="200"/>
              <w:jc w:val="both"/>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5.3.1环保管理</w:t>
            </w:r>
          </w:p>
          <w:p w14:paraId="37339A8E">
            <w:pPr>
              <w:pStyle w:val="92"/>
              <w:snapToGrid w:val="0"/>
              <w:spacing w:line="440" w:lineRule="exact"/>
              <w:ind w:firstLine="480" w:firstLineChars="200"/>
              <w:jc w:val="both"/>
              <w:rPr>
                <w:color w:val="auto"/>
              </w:rPr>
            </w:pPr>
            <w:r>
              <w:rPr>
                <w:color w:val="auto"/>
              </w:rPr>
              <w:t>为加强对输变电项目环境监管，建设单位应设1名兼职的环保工作人员，并着重做好环境管理工作，加强环保法规教育和技术培训，提高各级领导及广大职工的环保意识，组织落实各项环境监测计划、各项环境保护措施，积累环境资料，规范各项环境管理制度。按照环境行政管理部门要求开展环境监察工作，环境监察主要工作内容如表</w:t>
            </w:r>
            <w:r>
              <w:rPr>
                <w:rFonts w:hint="eastAsia"/>
                <w:color w:val="auto"/>
                <w:lang w:val="en-US" w:eastAsia="zh-CN"/>
              </w:rPr>
              <w:t>5-1</w:t>
            </w:r>
            <w:r>
              <w:rPr>
                <w:color w:val="auto"/>
              </w:rPr>
              <w:t>所示。</w:t>
            </w:r>
          </w:p>
          <w:p w14:paraId="14F0F9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 xml:space="preserve">5--1 </w:t>
            </w:r>
            <w:r>
              <w:rPr>
                <w:rFonts w:hint="eastAsia" w:ascii="Times New Roman" w:hAnsi="Times New Roman" w:eastAsia="宋体" w:cs="Times New Roman"/>
                <w:b/>
                <w:bCs/>
                <w:color w:val="auto"/>
                <w:sz w:val="24"/>
                <w:szCs w:val="24"/>
                <w:lang w:val="en-US" w:eastAsia="zh-CN"/>
              </w:rPr>
              <w:t xml:space="preserve"> </w:t>
            </w:r>
            <w:r>
              <w:rPr>
                <w:rFonts w:hint="default" w:ascii="Times New Roman" w:hAnsi="Times New Roman" w:eastAsia="宋体" w:cs="Times New Roman"/>
                <w:b/>
                <w:bCs/>
                <w:color w:val="auto"/>
                <w:sz w:val="24"/>
                <w:szCs w:val="24"/>
              </w:rPr>
              <w:t>环境监察一览表</w:t>
            </w:r>
          </w:p>
          <w:tbl>
            <w:tblPr>
              <w:tblStyle w:val="30"/>
              <w:tblW w:w="4999" w:type="pct"/>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077"/>
              <w:gridCol w:w="1715"/>
              <w:gridCol w:w="4021"/>
              <w:gridCol w:w="1184"/>
            </w:tblGrid>
            <w:tr w14:paraId="143DF5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673" w:type="pct"/>
                  <w:noWrap w:val="0"/>
                  <w:vAlign w:val="center"/>
                </w:tcPr>
                <w:p w14:paraId="308A6A34">
                  <w:pPr>
                    <w:pStyle w:val="92"/>
                    <w:snapToGrid w:val="0"/>
                    <w:spacing w:line="240" w:lineRule="auto"/>
                    <w:jc w:val="center"/>
                    <w:rPr>
                      <w:b/>
                      <w:color w:val="auto"/>
                      <w:sz w:val="21"/>
                      <w:szCs w:val="21"/>
                    </w:rPr>
                  </w:pPr>
                  <w:r>
                    <w:rPr>
                      <w:b/>
                      <w:color w:val="auto"/>
                      <w:sz w:val="21"/>
                      <w:szCs w:val="21"/>
                    </w:rPr>
                    <w:t>时期</w:t>
                  </w:r>
                </w:p>
              </w:tc>
              <w:tc>
                <w:tcPr>
                  <w:tcW w:w="1072" w:type="pct"/>
                  <w:noWrap w:val="0"/>
                  <w:vAlign w:val="center"/>
                </w:tcPr>
                <w:p w14:paraId="6B776982">
                  <w:pPr>
                    <w:pStyle w:val="92"/>
                    <w:snapToGrid w:val="0"/>
                    <w:spacing w:line="240" w:lineRule="auto"/>
                    <w:jc w:val="center"/>
                    <w:rPr>
                      <w:b/>
                      <w:color w:val="auto"/>
                      <w:sz w:val="21"/>
                      <w:szCs w:val="21"/>
                    </w:rPr>
                  </w:pPr>
                  <w:r>
                    <w:rPr>
                      <w:b/>
                      <w:color w:val="auto"/>
                      <w:sz w:val="21"/>
                      <w:szCs w:val="21"/>
                    </w:rPr>
                    <w:t>环境问题</w:t>
                  </w:r>
                </w:p>
              </w:tc>
              <w:tc>
                <w:tcPr>
                  <w:tcW w:w="2513" w:type="pct"/>
                  <w:noWrap w:val="0"/>
                  <w:vAlign w:val="center"/>
                </w:tcPr>
                <w:p w14:paraId="79E91F94">
                  <w:pPr>
                    <w:pStyle w:val="92"/>
                    <w:snapToGrid w:val="0"/>
                    <w:spacing w:line="240" w:lineRule="auto"/>
                    <w:jc w:val="center"/>
                    <w:rPr>
                      <w:b/>
                      <w:color w:val="auto"/>
                      <w:sz w:val="21"/>
                      <w:szCs w:val="21"/>
                    </w:rPr>
                  </w:pPr>
                  <w:r>
                    <w:rPr>
                      <w:b/>
                      <w:color w:val="auto"/>
                      <w:sz w:val="21"/>
                      <w:szCs w:val="21"/>
                    </w:rPr>
                    <w:t>环境保护措施</w:t>
                  </w:r>
                </w:p>
              </w:tc>
              <w:tc>
                <w:tcPr>
                  <w:tcW w:w="740" w:type="pct"/>
                  <w:noWrap w:val="0"/>
                  <w:vAlign w:val="center"/>
                </w:tcPr>
                <w:p w14:paraId="66A49C5B">
                  <w:pPr>
                    <w:pStyle w:val="92"/>
                    <w:snapToGrid w:val="0"/>
                    <w:spacing w:line="240" w:lineRule="auto"/>
                    <w:jc w:val="center"/>
                    <w:rPr>
                      <w:b/>
                      <w:color w:val="auto"/>
                      <w:sz w:val="21"/>
                      <w:szCs w:val="21"/>
                    </w:rPr>
                  </w:pPr>
                  <w:r>
                    <w:rPr>
                      <w:b/>
                      <w:color w:val="auto"/>
                      <w:w w:val="95"/>
                      <w:sz w:val="21"/>
                      <w:szCs w:val="21"/>
                    </w:rPr>
                    <w:t>负责部门</w:t>
                  </w:r>
                </w:p>
              </w:tc>
            </w:tr>
            <w:tr w14:paraId="04D1A9D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673" w:type="pct"/>
                  <w:noWrap w:val="0"/>
                  <w:vAlign w:val="center"/>
                </w:tcPr>
                <w:p w14:paraId="36BF45EF">
                  <w:pPr>
                    <w:pStyle w:val="92"/>
                    <w:snapToGrid w:val="0"/>
                    <w:spacing w:line="240" w:lineRule="auto"/>
                    <w:jc w:val="center"/>
                    <w:rPr>
                      <w:color w:val="auto"/>
                      <w:sz w:val="21"/>
                      <w:szCs w:val="21"/>
                    </w:rPr>
                  </w:pPr>
                  <w:r>
                    <w:rPr>
                      <w:color w:val="auto"/>
                      <w:sz w:val="21"/>
                      <w:szCs w:val="21"/>
                    </w:rPr>
                    <w:t>环保验收</w:t>
                  </w:r>
                </w:p>
              </w:tc>
              <w:tc>
                <w:tcPr>
                  <w:tcW w:w="1072" w:type="pct"/>
                  <w:noWrap w:val="0"/>
                  <w:vAlign w:val="center"/>
                </w:tcPr>
                <w:p w14:paraId="478B4C7F">
                  <w:pPr>
                    <w:pStyle w:val="92"/>
                    <w:snapToGrid w:val="0"/>
                    <w:spacing w:line="240" w:lineRule="auto"/>
                    <w:jc w:val="center"/>
                    <w:rPr>
                      <w:color w:val="auto"/>
                      <w:sz w:val="21"/>
                      <w:szCs w:val="21"/>
                    </w:rPr>
                  </w:pPr>
                  <w:r>
                    <w:rPr>
                      <w:color w:val="auto"/>
                      <w:sz w:val="21"/>
                      <w:szCs w:val="21"/>
                    </w:rPr>
                    <w:t>检查环保设施及效果</w:t>
                  </w:r>
                </w:p>
              </w:tc>
              <w:tc>
                <w:tcPr>
                  <w:tcW w:w="2513" w:type="pct"/>
                  <w:noWrap w:val="0"/>
                  <w:vAlign w:val="center"/>
                </w:tcPr>
                <w:p w14:paraId="45B5525A">
                  <w:pPr>
                    <w:pStyle w:val="92"/>
                    <w:snapToGrid w:val="0"/>
                    <w:spacing w:line="240" w:lineRule="auto"/>
                    <w:jc w:val="center"/>
                    <w:rPr>
                      <w:color w:val="auto"/>
                      <w:sz w:val="21"/>
                      <w:szCs w:val="21"/>
                    </w:rPr>
                  </w:pPr>
                  <w:r>
                    <w:rPr>
                      <w:color w:val="auto"/>
                      <w:sz w:val="21"/>
                      <w:szCs w:val="21"/>
                    </w:rPr>
                    <w:t>按照</w:t>
                  </w:r>
                  <w:r>
                    <w:rPr>
                      <w:rFonts w:hint="eastAsia"/>
                      <w:color w:val="auto"/>
                      <w:sz w:val="21"/>
                      <w:szCs w:val="21"/>
                      <w:lang w:val="en-US" w:eastAsia="zh-CN"/>
                    </w:rPr>
                    <w:t>生态</w:t>
                  </w:r>
                  <w:r>
                    <w:rPr>
                      <w:color w:val="auto"/>
                      <w:sz w:val="21"/>
                      <w:szCs w:val="21"/>
                    </w:rPr>
                    <w:t>环境影响报告表的批复进行监测或调查</w:t>
                  </w:r>
                </w:p>
              </w:tc>
              <w:tc>
                <w:tcPr>
                  <w:tcW w:w="740" w:type="pct"/>
                  <w:noWrap w:val="0"/>
                  <w:vAlign w:val="center"/>
                </w:tcPr>
                <w:p w14:paraId="4BF4928F">
                  <w:pPr>
                    <w:pStyle w:val="92"/>
                    <w:snapToGrid w:val="0"/>
                    <w:spacing w:line="240" w:lineRule="auto"/>
                    <w:jc w:val="center"/>
                    <w:rPr>
                      <w:color w:val="auto"/>
                      <w:sz w:val="21"/>
                      <w:szCs w:val="21"/>
                    </w:rPr>
                  </w:pPr>
                  <w:r>
                    <w:rPr>
                      <w:color w:val="auto"/>
                      <w:sz w:val="21"/>
                      <w:szCs w:val="21"/>
                    </w:rPr>
                    <w:t>建设单位</w:t>
                  </w:r>
                </w:p>
              </w:tc>
            </w:tr>
          </w:tbl>
          <w:p w14:paraId="0EEED9A3">
            <w:pPr>
              <w:pStyle w:val="92"/>
              <w:snapToGrid w:val="0"/>
              <w:spacing w:line="440" w:lineRule="exact"/>
              <w:ind w:firstLine="482" w:firstLineChars="200"/>
              <w:jc w:val="both"/>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5.3.2环境管理部门职责</w:t>
            </w:r>
          </w:p>
          <w:p w14:paraId="28851015">
            <w:pPr>
              <w:adjustRightInd w:val="0"/>
              <w:snapToGrid w:val="0"/>
              <w:spacing w:line="440" w:lineRule="exact"/>
              <w:ind w:firstLine="480" w:firstLineChars="200"/>
              <w:rPr>
                <w:color w:val="auto"/>
                <w:sz w:val="24"/>
              </w:rPr>
            </w:pPr>
            <w:r>
              <w:rPr>
                <w:color w:val="auto"/>
                <w:sz w:val="24"/>
              </w:rPr>
              <w:t>根据项目所在区域的环境特点，在运行主管单位宜设环境管理部门，配备相应专业的管理人员。环保管理机构及其人员分工应按照前文风险分析的内容成立，环保管理人员应在各自的岗位责任中明确所负的环保责任，并加强日常环保管理。环境管理的职能为：</w:t>
            </w:r>
          </w:p>
          <w:p w14:paraId="5CD9390C">
            <w:pPr>
              <w:adjustRightInd w:val="0"/>
              <w:snapToGrid w:val="0"/>
              <w:spacing w:line="440" w:lineRule="exact"/>
              <w:ind w:firstLine="480" w:firstLineChars="200"/>
              <w:rPr>
                <w:color w:val="auto"/>
                <w:sz w:val="24"/>
              </w:rPr>
            </w:pPr>
            <w:r>
              <w:rPr>
                <w:color w:val="auto"/>
                <w:sz w:val="24"/>
              </w:rPr>
              <w:t>（1）制定和实施各项环境管理计划。</w:t>
            </w:r>
          </w:p>
          <w:p w14:paraId="3400FADF">
            <w:pPr>
              <w:adjustRightInd w:val="0"/>
              <w:snapToGrid w:val="0"/>
              <w:spacing w:line="440" w:lineRule="exact"/>
              <w:ind w:firstLine="480" w:firstLineChars="200"/>
              <w:rPr>
                <w:color w:val="auto"/>
                <w:sz w:val="24"/>
              </w:rPr>
            </w:pPr>
            <w:r>
              <w:rPr>
                <w:color w:val="auto"/>
                <w:sz w:val="24"/>
              </w:rPr>
              <w:t>（2）建立工频电场、工频磁场、噪声环境监测、生态环境现状数据档案，并定期向当地环境保护行政主管部门申报。</w:t>
            </w:r>
          </w:p>
          <w:p w14:paraId="18933828">
            <w:pPr>
              <w:adjustRightInd w:val="0"/>
              <w:snapToGrid w:val="0"/>
              <w:spacing w:line="440" w:lineRule="exact"/>
              <w:ind w:firstLine="480" w:firstLineChars="200"/>
              <w:rPr>
                <w:color w:val="auto"/>
                <w:sz w:val="24"/>
              </w:rPr>
            </w:pPr>
            <w:r>
              <w:rPr>
                <w:color w:val="auto"/>
                <w:sz w:val="24"/>
              </w:rPr>
              <w:t>（3）掌握项目所在地周围的环境特征和重点环境保护目标情况。建立环境管理和环境监测技术文件，包括：污染源的监测记</w:t>
            </w:r>
            <w:r>
              <w:rPr>
                <w:rFonts w:hint="eastAsia"/>
                <w:color w:val="auto"/>
                <w:sz w:val="24"/>
                <w:lang w:eastAsia="zh-CN"/>
              </w:rPr>
              <w:t>录和</w:t>
            </w:r>
            <w:r>
              <w:rPr>
                <w:color w:val="auto"/>
                <w:sz w:val="24"/>
              </w:rPr>
              <w:t>技术文件；污染控制、环境保护设施的设计和运行管理文件；导致严重环境影响事件的分析报告和监测数据资料等，并定期向当地环保主管部门申报。</w:t>
            </w:r>
          </w:p>
          <w:p w14:paraId="14520AD4">
            <w:pPr>
              <w:adjustRightInd w:val="0"/>
              <w:snapToGrid w:val="0"/>
              <w:spacing w:line="440" w:lineRule="exact"/>
              <w:ind w:firstLine="480" w:firstLineChars="200"/>
              <w:rPr>
                <w:color w:val="auto"/>
                <w:sz w:val="24"/>
              </w:rPr>
            </w:pPr>
            <w:r>
              <w:rPr>
                <w:color w:val="auto"/>
                <w:sz w:val="24"/>
              </w:rPr>
              <w:t>（4）检查治理设施运行情况，及时处理出现的问题，保证治理设施的正常运行。</w:t>
            </w:r>
          </w:p>
          <w:p w14:paraId="3F22F157">
            <w:pPr>
              <w:adjustRightInd w:val="0"/>
              <w:snapToGrid w:val="0"/>
              <w:spacing w:line="440" w:lineRule="exact"/>
              <w:ind w:firstLine="480" w:firstLineChars="200"/>
              <w:rPr>
                <w:color w:val="auto"/>
                <w:sz w:val="24"/>
              </w:rPr>
            </w:pPr>
            <w:r>
              <w:rPr>
                <w:color w:val="auto"/>
                <w:sz w:val="24"/>
              </w:rPr>
              <w:t>（5）不定期地巡查线路各段，特别是各环境保护对象，保护生态环境不被破坏，保证保护生态与工程运行相协调。</w:t>
            </w:r>
          </w:p>
          <w:p w14:paraId="048CC6A8">
            <w:pPr>
              <w:adjustRightInd w:val="0"/>
              <w:snapToGrid w:val="0"/>
              <w:spacing w:line="440" w:lineRule="exact"/>
              <w:ind w:firstLine="480" w:firstLineChars="200"/>
              <w:rPr>
                <w:color w:val="auto"/>
                <w:sz w:val="24"/>
              </w:rPr>
            </w:pPr>
            <w:r>
              <w:rPr>
                <w:color w:val="auto"/>
                <w:sz w:val="24"/>
              </w:rPr>
              <w:t>（6）协调配合上级环保主管部门所进行的环境调查、生态调查等活动。</w:t>
            </w:r>
          </w:p>
          <w:p w14:paraId="16F85F45">
            <w:pPr>
              <w:pStyle w:val="92"/>
              <w:snapToGrid w:val="0"/>
              <w:spacing w:line="440" w:lineRule="exact"/>
              <w:ind w:firstLine="482" w:firstLineChars="200"/>
              <w:jc w:val="both"/>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5.3.3环境监测方案</w:t>
            </w:r>
          </w:p>
          <w:p w14:paraId="73FEBC9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color w:val="auto"/>
                <w:sz w:val="24"/>
              </w:rPr>
            </w:pPr>
            <w:r>
              <w:rPr>
                <w:color w:val="auto"/>
                <w:sz w:val="24"/>
              </w:rPr>
              <w:t>开展运行期工频电磁场环境监测工作，对与项目有关的主要人员，包括工程影响区域居民，进行环境保护技术、政策方面的培训、电磁辐射知识的宣传，从而进一步</w:t>
            </w:r>
            <w:r>
              <w:rPr>
                <w:rFonts w:hint="eastAsia"/>
                <w:color w:val="auto"/>
                <w:sz w:val="24"/>
                <w:lang w:eastAsia="zh-CN"/>
              </w:rPr>
              <w:t>增强</w:t>
            </w:r>
            <w:r>
              <w:rPr>
                <w:color w:val="auto"/>
                <w:sz w:val="24"/>
              </w:rPr>
              <w:t>人们的环保意识，增强环保管理的能力，尤其要使公众</w:t>
            </w:r>
            <w:r>
              <w:rPr>
                <w:rFonts w:hint="eastAsia"/>
                <w:color w:val="auto"/>
                <w:sz w:val="24"/>
                <w:lang w:eastAsia="zh-CN"/>
              </w:rPr>
              <w:t>增强</w:t>
            </w:r>
            <w:r>
              <w:rPr>
                <w:color w:val="auto"/>
                <w:sz w:val="24"/>
              </w:rPr>
              <w:t>对环境污染的自我保护意识，并能更好地参与和监督项目的环保管理，减少项目施工和运行产生的环境影响。各输变电建设项目建成后应按照国家环境保护</w:t>
            </w:r>
            <w:r>
              <w:rPr>
                <w:rFonts w:hint="eastAsia"/>
                <w:color w:val="auto"/>
                <w:sz w:val="24"/>
                <w:lang w:eastAsia="zh-CN"/>
              </w:rPr>
              <w:t>法律法规</w:t>
            </w:r>
            <w:r>
              <w:rPr>
                <w:color w:val="auto"/>
                <w:sz w:val="24"/>
              </w:rPr>
              <w:t>，进行项目竣工环保验收，对工频电场、磁场、噪声等项目进行定期监测。运行期环境监测计划见表5-</w:t>
            </w:r>
            <w:r>
              <w:rPr>
                <w:rFonts w:hint="eastAsia"/>
                <w:color w:val="auto"/>
                <w:sz w:val="24"/>
                <w:lang w:val="en-US" w:eastAsia="zh-CN"/>
              </w:rPr>
              <w:t>2</w:t>
            </w:r>
            <w:r>
              <w:rPr>
                <w:color w:val="auto"/>
                <w:sz w:val="24"/>
              </w:rPr>
              <w:t>。</w:t>
            </w:r>
          </w:p>
          <w:p w14:paraId="30030D4B">
            <w:pPr>
              <w:spacing w:line="240" w:lineRule="auto"/>
              <w:jc w:val="center"/>
              <w:rPr>
                <w:b/>
                <w:color w:val="auto"/>
                <w:sz w:val="24"/>
              </w:rPr>
            </w:pPr>
            <w:r>
              <w:rPr>
                <w:b/>
                <w:color w:val="auto"/>
                <w:sz w:val="24"/>
              </w:rPr>
              <w:t>表5-</w:t>
            </w:r>
            <w:r>
              <w:rPr>
                <w:rFonts w:hint="eastAsia"/>
                <w:b/>
                <w:color w:val="auto"/>
                <w:sz w:val="24"/>
                <w:lang w:val="en-US" w:eastAsia="zh-CN"/>
              </w:rPr>
              <w:t>2</w:t>
            </w:r>
            <w:r>
              <w:rPr>
                <w:b/>
                <w:color w:val="auto"/>
                <w:sz w:val="24"/>
              </w:rPr>
              <w:t xml:space="preserve">  环境监测计划</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1"/>
              <w:gridCol w:w="735"/>
              <w:gridCol w:w="2045"/>
              <w:gridCol w:w="227"/>
              <w:gridCol w:w="1799"/>
              <w:gridCol w:w="2579"/>
            </w:tblGrid>
            <w:tr w14:paraId="49382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noWrap w:val="0"/>
                  <w:vAlign w:val="center"/>
                </w:tcPr>
                <w:p w14:paraId="5E58D8E2">
                  <w:pPr>
                    <w:adjustRightInd w:val="0"/>
                    <w:snapToGrid w:val="0"/>
                    <w:spacing w:line="240" w:lineRule="auto"/>
                    <w:jc w:val="center"/>
                    <w:rPr>
                      <w:rFonts w:ascii="Times New Roman" w:hAnsi="Times New Roman" w:eastAsia="宋体" w:cs="Times New Roman"/>
                      <w:b/>
                      <w:color w:val="auto"/>
                      <w:szCs w:val="21"/>
                    </w:rPr>
                  </w:pPr>
                  <w:r>
                    <w:rPr>
                      <w:rFonts w:ascii="Times New Roman" w:hAnsi="Times New Roman" w:eastAsia="宋体" w:cs="Times New Roman"/>
                      <w:b/>
                      <w:color w:val="auto"/>
                      <w:szCs w:val="21"/>
                    </w:rPr>
                    <w:t>时段</w:t>
                  </w:r>
                </w:p>
              </w:tc>
              <w:tc>
                <w:tcPr>
                  <w:tcW w:w="460" w:type="pct"/>
                  <w:noWrap w:val="0"/>
                  <w:vAlign w:val="center"/>
                </w:tcPr>
                <w:p w14:paraId="7A67682E">
                  <w:pPr>
                    <w:adjustRightInd w:val="0"/>
                    <w:snapToGrid w:val="0"/>
                    <w:spacing w:line="240" w:lineRule="auto"/>
                    <w:jc w:val="center"/>
                    <w:rPr>
                      <w:rFonts w:ascii="Times New Roman" w:hAnsi="Times New Roman" w:eastAsia="宋体" w:cs="Times New Roman"/>
                      <w:b/>
                      <w:color w:val="auto"/>
                      <w:szCs w:val="21"/>
                    </w:rPr>
                  </w:pPr>
                  <w:r>
                    <w:rPr>
                      <w:rFonts w:ascii="Times New Roman" w:hAnsi="Times New Roman" w:eastAsia="宋体" w:cs="Times New Roman"/>
                      <w:b/>
                      <w:color w:val="auto"/>
                      <w:szCs w:val="21"/>
                    </w:rPr>
                    <w:t>项目</w:t>
                  </w:r>
                </w:p>
              </w:tc>
              <w:tc>
                <w:tcPr>
                  <w:tcW w:w="1422" w:type="pct"/>
                  <w:gridSpan w:val="2"/>
                  <w:noWrap w:val="0"/>
                  <w:vAlign w:val="center"/>
                </w:tcPr>
                <w:p w14:paraId="31840D4E">
                  <w:pPr>
                    <w:adjustRightInd w:val="0"/>
                    <w:snapToGrid w:val="0"/>
                    <w:spacing w:line="240" w:lineRule="auto"/>
                    <w:jc w:val="center"/>
                    <w:rPr>
                      <w:rFonts w:ascii="Times New Roman" w:hAnsi="Times New Roman" w:eastAsia="宋体" w:cs="Times New Roman"/>
                      <w:b/>
                      <w:color w:val="auto"/>
                      <w:szCs w:val="21"/>
                    </w:rPr>
                  </w:pPr>
                  <w:r>
                    <w:rPr>
                      <w:rFonts w:ascii="Times New Roman" w:hAnsi="Times New Roman" w:eastAsia="宋体" w:cs="Times New Roman"/>
                      <w:b/>
                      <w:color w:val="auto"/>
                      <w:szCs w:val="21"/>
                    </w:rPr>
                    <w:t>工程减缓措施</w:t>
                  </w:r>
                </w:p>
              </w:tc>
              <w:tc>
                <w:tcPr>
                  <w:tcW w:w="1126" w:type="pct"/>
                  <w:noWrap w:val="0"/>
                  <w:vAlign w:val="center"/>
                </w:tcPr>
                <w:p w14:paraId="1AE7F1C4">
                  <w:pPr>
                    <w:adjustRightInd w:val="0"/>
                    <w:snapToGrid w:val="0"/>
                    <w:spacing w:line="240" w:lineRule="auto"/>
                    <w:jc w:val="center"/>
                    <w:rPr>
                      <w:rFonts w:ascii="Times New Roman" w:hAnsi="Times New Roman" w:eastAsia="宋体" w:cs="Times New Roman"/>
                      <w:b/>
                      <w:color w:val="auto"/>
                      <w:szCs w:val="21"/>
                    </w:rPr>
                  </w:pPr>
                  <w:r>
                    <w:rPr>
                      <w:rFonts w:ascii="Times New Roman" w:hAnsi="Times New Roman" w:eastAsia="宋体" w:cs="Times New Roman"/>
                      <w:b/>
                      <w:color w:val="auto"/>
                      <w:szCs w:val="21"/>
                    </w:rPr>
                    <w:t>监测项目</w:t>
                  </w:r>
                </w:p>
              </w:tc>
              <w:tc>
                <w:tcPr>
                  <w:tcW w:w="1613" w:type="pct"/>
                  <w:noWrap w:val="0"/>
                  <w:vAlign w:val="center"/>
                </w:tcPr>
                <w:p w14:paraId="398442CF">
                  <w:pPr>
                    <w:adjustRightInd w:val="0"/>
                    <w:snapToGrid w:val="0"/>
                    <w:spacing w:line="240" w:lineRule="auto"/>
                    <w:jc w:val="center"/>
                    <w:rPr>
                      <w:rFonts w:ascii="Times New Roman" w:hAnsi="Times New Roman" w:eastAsia="宋体" w:cs="Times New Roman"/>
                      <w:b/>
                      <w:color w:val="auto"/>
                      <w:szCs w:val="21"/>
                    </w:rPr>
                  </w:pPr>
                  <w:r>
                    <w:rPr>
                      <w:rFonts w:ascii="Times New Roman" w:hAnsi="Times New Roman" w:eastAsia="宋体" w:cs="Times New Roman"/>
                      <w:b/>
                      <w:color w:val="auto"/>
                      <w:szCs w:val="21"/>
                    </w:rPr>
                    <w:t>监测时间</w:t>
                  </w:r>
                </w:p>
              </w:tc>
            </w:tr>
            <w:tr w14:paraId="79754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vMerge w:val="restart"/>
                  <w:noWrap w:val="0"/>
                  <w:vAlign w:val="center"/>
                </w:tcPr>
                <w:p w14:paraId="01A14C8F">
                  <w:pPr>
                    <w:adjustRightInd w:val="0"/>
                    <w:snapToGrid w:val="0"/>
                    <w:spacing w:line="240" w:lineRule="auto"/>
                    <w:jc w:val="center"/>
                    <w:rPr>
                      <w:rFonts w:ascii="Times New Roman" w:hAnsi="Times New Roman" w:eastAsia="宋体" w:cs="Times New Roman"/>
                      <w:b w:val="0"/>
                      <w:bCs/>
                      <w:color w:val="auto"/>
                      <w:szCs w:val="21"/>
                    </w:rPr>
                  </w:pPr>
                  <w:r>
                    <w:rPr>
                      <w:rFonts w:ascii="Times New Roman" w:hAnsi="Times New Roman" w:eastAsia="宋体" w:cs="Times New Roman"/>
                      <w:b w:val="0"/>
                      <w:bCs/>
                      <w:color w:val="auto"/>
                      <w:szCs w:val="21"/>
                    </w:rPr>
                    <w:t>运行期</w:t>
                  </w:r>
                </w:p>
              </w:tc>
              <w:tc>
                <w:tcPr>
                  <w:tcW w:w="460" w:type="pct"/>
                  <w:noWrap w:val="0"/>
                  <w:vAlign w:val="center"/>
                </w:tcPr>
                <w:p w14:paraId="3E4B4B0D">
                  <w:pPr>
                    <w:adjustRightInd w:val="0"/>
                    <w:snapToGrid w:val="0"/>
                    <w:spacing w:line="240" w:lineRule="auto"/>
                    <w:jc w:val="center"/>
                    <w:rPr>
                      <w:rFonts w:ascii="Times New Roman" w:hAnsi="Times New Roman" w:eastAsia="宋体" w:cs="Times New Roman"/>
                      <w:b w:val="0"/>
                      <w:bCs/>
                      <w:color w:val="auto"/>
                      <w:szCs w:val="21"/>
                    </w:rPr>
                  </w:pPr>
                  <w:r>
                    <w:rPr>
                      <w:rFonts w:ascii="Times New Roman" w:hAnsi="Times New Roman" w:eastAsia="宋体" w:cs="Times New Roman"/>
                      <w:b w:val="0"/>
                      <w:bCs/>
                      <w:color w:val="auto"/>
                      <w:szCs w:val="21"/>
                    </w:rPr>
                    <w:t>工频电、磁场</w:t>
                  </w:r>
                </w:p>
              </w:tc>
              <w:tc>
                <w:tcPr>
                  <w:tcW w:w="1422" w:type="pct"/>
                  <w:gridSpan w:val="2"/>
                  <w:noWrap w:val="0"/>
                  <w:vAlign w:val="center"/>
                </w:tcPr>
                <w:p w14:paraId="73838538">
                  <w:pPr>
                    <w:adjustRightInd w:val="0"/>
                    <w:snapToGrid w:val="0"/>
                    <w:spacing w:line="240" w:lineRule="auto"/>
                    <w:jc w:val="center"/>
                    <w:rPr>
                      <w:rFonts w:ascii="Times New Roman" w:hAnsi="Times New Roman" w:eastAsia="宋体" w:cs="Times New Roman"/>
                      <w:b w:val="0"/>
                      <w:bCs/>
                      <w:color w:val="auto"/>
                      <w:szCs w:val="21"/>
                    </w:rPr>
                  </w:pPr>
                  <w:r>
                    <w:rPr>
                      <w:rFonts w:ascii="Times New Roman" w:hAnsi="Times New Roman" w:eastAsia="宋体" w:cs="Times New Roman"/>
                      <w:b w:val="0"/>
                      <w:bCs/>
                      <w:color w:val="auto"/>
                      <w:szCs w:val="21"/>
                    </w:rPr>
                    <w:t>采用良好的屏蔽防护，牢固各接头。控制架线高度。</w:t>
                  </w:r>
                </w:p>
              </w:tc>
              <w:tc>
                <w:tcPr>
                  <w:tcW w:w="1126" w:type="pct"/>
                  <w:noWrap w:val="0"/>
                  <w:vAlign w:val="center"/>
                </w:tcPr>
                <w:p w14:paraId="71345D78">
                  <w:pPr>
                    <w:adjustRightInd w:val="0"/>
                    <w:snapToGrid w:val="0"/>
                    <w:spacing w:line="240" w:lineRule="auto"/>
                    <w:jc w:val="center"/>
                    <w:rPr>
                      <w:rFonts w:ascii="Times New Roman" w:hAnsi="Times New Roman" w:eastAsia="宋体" w:cs="Times New Roman"/>
                      <w:b w:val="0"/>
                      <w:bCs/>
                      <w:color w:val="auto"/>
                      <w:szCs w:val="21"/>
                    </w:rPr>
                  </w:pPr>
                  <w:r>
                    <w:rPr>
                      <w:rFonts w:ascii="Times New Roman" w:hAnsi="Times New Roman" w:eastAsia="宋体" w:cs="Times New Roman"/>
                      <w:b w:val="0"/>
                      <w:bCs/>
                      <w:color w:val="auto"/>
                      <w:szCs w:val="21"/>
                    </w:rPr>
                    <w:t>工频电场、磁感应强度</w:t>
                  </w:r>
                </w:p>
              </w:tc>
              <w:tc>
                <w:tcPr>
                  <w:tcW w:w="1613" w:type="pct"/>
                  <w:vMerge w:val="restart"/>
                  <w:noWrap w:val="0"/>
                  <w:vAlign w:val="center"/>
                </w:tcPr>
                <w:p w14:paraId="10579BE5">
                  <w:pPr>
                    <w:adjustRightInd w:val="0"/>
                    <w:snapToGrid w:val="0"/>
                    <w:spacing w:line="240" w:lineRule="auto"/>
                    <w:jc w:val="center"/>
                    <w:rPr>
                      <w:rFonts w:ascii="Times New Roman" w:hAnsi="Times New Roman" w:eastAsia="宋体" w:cs="Times New Roman"/>
                      <w:b w:val="0"/>
                      <w:bCs/>
                      <w:color w:val="auto"/>
                      <w:szCs w:val="21"/>
                    </w:rPr>
                  </w:pPr>
                  <w:r>
                    <w:rPr>
                      <w:rFonts w:ascii="Times New Roman" w:hAnsi="Times New Roman" w:eastAsia="宋体" w:cs="Times New Roman"/>
                      <w:b w:val="0"/>
                      <w:bCs/>
                      <w:color w:val="auto"/>
                      <w:szCs w:val="21"/>
                    </w:rPr>
                    <w:t>本工程建成试运行投产后，结合竣工环境保护验收监测一次。正常运行后主要针对环保投诉情况和工程运行工况的变化进行监测。</w:t>
                  </w:r>
                </w:p>
              </w:tc>
            </w:tr>
            <w:tr w14:paraId="322D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vMerge w:val="continue"/>
                  <w:noWrap w:val="0"/>
                  <w:vAlign w:val="center"/>
                </w:tcPr>
                <w:p w14:paraId="0E0575F4">
                  <w:pPr>
                    <w:adjustRightInd w:val="0"/>
                    <w:snapToGrid w:val="0"/>
                    <w:spacing w:line="240" w:lineRule="auto"/>
                    <w:jc w:val="center"/>
                    <w:rPr>
                      <w:rFonts w:ascii="Times New Roman" w:hAnsi="Times New Roman" w:eastAsia="宋体" w:cs="Times New Roman"/>
                      <w:b w:val="0"/>
                      <w:bCs/>
                      <w:color w:val="auto"/>
                      <w:szCs w:val="21"/>
                    </w:rPr>
                  </w:pPr>
                </w:p>
              </w:tc>
              <w:tc>
                <w:tcPr>
                  <w:tcW w:w="460" w:type="pct"/>
                  <w:noWrap w:val="0"/>
                  <w:vAlign w:val="center"/>
                </w:tcPr>
                <w:p w14:paraId="33AE167E">
                  <w:pPr>
                    <w:adjustRightInd w:val="0"/>
                    <w:snapToGrid w:val="0"/>
                    <w:spacing w:line="240" w:lineRule="auto"/>
                    <w:jc w:val="center"/>
                    <w:rPr>
                      <w:rFonts w:ascii="Times New Roman" w:hAnsi="Times New Roman" w:eastAsia="宋体" w:cs="Times New Roman"/>
                      <w:b w:val="0"/>
                      <w:bCs/>
                      <w:color w:val="auto"/>
                      <w:szCs w:val="21"/>
                    </w:rPr>
                  </w:pPr>
                  <w:r>
                    <w:rPr>
                      <w:rFonts w:ascii="Times New Roman" w:hAnsi="Times New Roman" w:eastAsia="宋体" w:cs="Times New Roman"/>
                      <w:b w:val="0"/>
                      <w:bCs/>
                      <w:color w:val="auto"/>
                      <w:szCs w:val="21"/>
                    </w:rPr>
                    <w:t>噪声</w:t>
                  </w:r>
                </w:p>
              </w:tc>
              <w:tc>
                <w:tcPr>
                  <w:tcW w:w="1422" w:type="pct"/>
                  <w:gridSpan w:val="2"/>
                  <w:noWrap w:val="0"/>
                  <w:vAlign w:val="center"/>
                </w:tcPr>
                <w:p w14:paraId="27696033">
                  <w:pPr>
                    <w:adjustRightInd w:val="0"/>
                    <w:snapToGrid w:val="0"/>
                    <w:spacing w:line="240" w:lineRule="auto"/>
                    <w:jc w:val="center"/>
                    <w:rPr>
                      <w:rFonts w:ascii="Times New Roman" w:hAnsi="Times New Roman" w:eastAsia="宋体" w:cs="Times New Roman"/>
                      <w:b w:val="0"/>
                      <w:bCs/>
                      <w:color w:val="auto"/>
                      <w:szCs w:val="21"/>
                    </w:rPr>
                  </w:pPr>
                  <w:r>
                    <w:rPr>
                      <w:rFonts w:ascii="Times New Roman" w:hAnsi="Times New Roman" w:eastAsia="宋体" w:cs="Times New Roman"/>
                      <w:b w:val="0"/>
                      <w:bCs/>
                      <w:color w:val="auto"/>
                      <w:szCs w:val="21"/>
                    </w:rPr>
                    <w:t>采用低噪声设备等</w:t>
                  </w:r>
                </w:p>
              </w:tc>
              <w:tc>
                <w:tcPr>
                  <w:tcW w:w="1126" w:type="pct"/>
                  <w:noWrap w:val="0"/>
                  <w:vAlign w:val="center"/>
                </w:tcPr>
                <w:p w14:paraId="7C3B8CAD">
                  <w:pPr>
                    <w:adjustRightInd w:val="0"/>
                    <w:snapToGrid w:val="0"/>
                    <w:spacing w:line="240" w:lineRule="auto"/>
                    <w:jc w:val="center"/>
                    <w:rPr>
                      <w:rFonts w:ascii="Times New Roman" w:hAnsi="Times New Roman" w:eastAsia="宋体" w:cs="Times New Roman"/>
                      <w:b w:val="0"/>
                      <w:bCs/>
                      <w:color w:val="auto"/>
                      <w:szCs w:val="21"/>
                    </w:rPr>
                  </w:pPr>
                  <w:r>
                    <w:rPr>
                      <w:rFonts w:ascii="Times New Roman" w:hAnsi="Times New Roman" w:eastAsia="宋体" w:cs="Times New Roman"/>
                      <w:b w:val="0"/>
                      <w:bCs/>
                      <w:color w:val="auto"/>
                      <w:szCs w:val="21"/>
                    </w:rPr>
                    <w:t>线路沿线环境敏感点噪声</w:t>
                  </w:r>
                </w:p>
              </w:tc>
              <w:tc>
                <w:tcPr>
                  <w:tcW w:w="1613" w:type="pct"/>
                  <w:vMerge w:val="continue"/>
                  <w:noWrap w:val="0"/>
                  <w:vAlign w:val="center"/>
                </w:tcPr>
                <w:p w14:paraId="556C3451">
                  <w:pPr>
                    <w:adjustRightInd w:val="0"/>
                    <w:snapToGrid w:val="0"/>
                    <w:spacing w:line="240" w:lineRule="auto"/>
                    <w:jc w:val="center"/>
                    <w:rPr>
                      <w:rFonts w:ascii="Times New Roman" w:hAnsi="Times New Roman" w:eastAsia="宋体" w:cs="Times New Roman"/>
                      <w:b w:val="0"/>
                      <w:bCs/>
                      <w:color w:val="auto"/>
                      <w:szCs w:val="21"/>
                    </w:rPr>
                  </w:pPr>
                </w:p>
              </w:tc>
            </w:tr>
            <w:tr w14:paraId="22BE4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7" w:type="pct"/>
                  <w:gridSpan w:val="2"/>
                  <w:noWrap w:val="0"/>
                  <w:vAlign w:val="center"/>
                </w:tcPr>
                <w:p w14:paraId="0690BBCC">
                  <w:pPr>
                    <w:adjustRightInd w:val="0"/>
                    <w:snapToGrid w:val="0"/>
                    <w:spacing w:line="240" w:lineRule="auto"/>
                    <w:jc w:val="center"/>
                    <w:rPr>
                      <w:rFonts w:ascii="Times New Roman" w:hAnsi="Times New Roman" w:eastAsia="宋体" w:cs="Times New Roman"/>
                      <w:b w:val="0"/>
                      <w:bCs/>
                      <w:color w:val="auto"/>
                      <w:szCs w:val="21"/>
                    </w:rPr>
                  </w:pPr>
                  <w:r>
                    <w:rPr>
                      <w:rFonts w:ascii="Times New Roman" w:hAnsi="Times New Roman" w:eastAsia="宋体" w:cs="Times New Roman"/>
                      <w:b w:val="0"/>
                      <w:bCs/>
                      <w:color w:val="auto"/>
                      <w:szCs w:val="21"/>
                    </w:rPr>
                    <w:t>监测布点位置及频次</w:t>
                  </w:r>
                </w:p>
              </w:tc>
              <w:tc>
                <w:tcPr>
                  <w:tcW w:w="4162" w:type="pct"/>
                  <w:gridSpan w:val="4"/>
                  <w:noWrap w:val="0"/>
                  <w:vAlign w:val="center"/>
                </w:tcPr>
                <w:p w14:paraId="74172D0F">
                  <w:pPr>
                    <w:adjustRightInd w:val="0"/>
                    <w:snapToGrid w:val="0"/>
                    <w:spacing w:line="240" w:lineRule="auto"/>
                    <w:jc w:val="left"/>
                    <w:rPr>
                      <w:rFonts w:hint="eastAsia" w:ascii="Times New Roman" w:hAnsi="Times New Roman" w:eastAsia="宋体" w:cs="Times New Roman"/>
                      <w:b w:val="0"/>
                      <w:bCs/>
                      <w:color w:val="auto"/>
                      <w:szCs w:val="21"/>
                    </w:rPr>
                  </w:pPr>
                  <w:r>
                    <w:rPr>
                      <w:rFonts w:hint="eastAsia" w:ascii="Times New Roman" w:hAnsi="Times New Roman" w:eastAsia="宋体" w:cs="Times New Roman"/>
                      <w:b w:val="0"/>
                      <w:bCs/>
                      <w:color w:val="auto"/>
                      <w:szCs w:val="21"/>
                    </w:rPr>
                    <w:t>监测点位：架空线路起点、线路终点处，各监测高度在1.5m，测量工频电场及磁场；同步测量噪声</w:t>
                  </w:r>
                  <w:r>
                    <w:rPr>
                      <w:rFonts w:ascii="Times New Roman" w:hAnsi="Times New Roman" w:eastAsia="宋体" w:cs="Times New Roman"/>
                      <w:b w:val="0"/>
                      <w:bCs/>
                      <w:color w:val="auto"/>
                      <w:szCs w:val="21"/>
                    </w:rPr>
                    <w:t>。</w:t>
                  </w:r>
                </w:p>
                <w:p w14:paraId="092E03F4">
                  <w:pPr>
                    <w:adjustRightInd w:val="0"/>
                    <w:snapToGrid w:val="0"/>
                    <w:spacing w:line="240" w:lineRule="auto"/>
                    <w:jc w:val="left"/>
                    <w:rPr>
                      <w:rFonts w:hint="eastAsia" w:ascii="Times New Roman" w:hAnsi="Times New Roman" w:eastAsia="宋体" w:cs="Times New Roman"/>
                      <w:b w:val="0"/>
                      <w:bCs/>
                      <w:color w:val="auto"/>
                      <w:szCs w:val="21"/>
                      <w:lang w:eastAsia="zh-CN"/>
                    </w:rPr>
                  </w:pPr>
                  <w:r>
                    <w:rPr>
                      <w:rFonts w:hint="eastAsia" w:ascii="Times New Roman" w:hAnsi="Times New Roman" w:eastAsia="宋体" w:cs="Times New Roman"/>
                      <w:b w:val="0"/>
                      <w:bCs/>
                      <w:color w:val="auto"/>
                      <w:szCs w:val="21"/>
                    </w:rPr>
                    <w:t>架空线路边导线垂线下布置监测点位，监测点距离为5m，顺序测至距离边导线对地投影外50m为止，各测点监测高度在1.5m，测量工频电场及磁场</w:t>
                  </w:r>
                  <w:r>
                    <w:rPr>
                      <w:rFonts w:hint="eastAsia" w:ascii="Times New Roman" w:hAnsi="Times New Roman" w:eastAsia="宋体" w:cs="Times New Roman"/>
                      <w:b w:val="0"/>
                      <w:bCs/>
                      <w:color w:val="auto"/>
                      <w:szCs w:val="21"/>
                      <w:lang w:eastAsia="zh-CN"/>
                    </w:rPr>
                    <w:t>，</w:t>
                  </w:r>
                  <w:r>
                    <w:rPr>
                      <w:rFonts w:ascii="Times New Roman" w:hAnsi="Times New Roman" w:eastAsia="宋体" w:cs="Times New Roman"/>
                      <w:b w:val="0"/>
                      <w:bCs/>
                      <w:color w:val="auto"/>
                      <w:szCs w:val="21"/>
                    </w:rPr>
                    <w:t>各测点监测高度为1.2m以上，测量噪声。</w:t>
                  </w:r>
                </w:p>
                <w:p w14:paraId="3843F840">
                  <w:pPr>
                    <w:adjustRightInd w:val="0"/>
                    <w:snapToGrid w:val="0"/>
                    <w:spacing w:line="240" w:lineRule="auto"/>
                    <w:jc w:val="left"/>
                    <w:rPr>
                      <w:rFonts w:hint="eastAsia" w:ascii="Times New Roman" w:hAnsi="Times New Roman" w:eastAsia="宋体" w:cs="Times New Roman"/>
                      <w:b w:val="0"/>
                      <w:bCs/>
                      <w:color w:val="auto"/>
                      <w:szCs w:val="21"/>
                      <w:lang w:eastAsia="zh-CN"/>
                    </w:rPr>
                  </w:pPr>
                  <w:r>
                    <w:rPr>
                      <w:rFonts w:hint="eastAsia" w:ascii="Times New Roman" w:hAnsi="Times New Roman" w:eastAsia="宋体" w:cs="Times New Roman"/>
                      <w:b w:val="0"/>
                      <w:bCs/>
                      <w:color w:val="auto"/>
                      <w:szCs w:val="21"/>
                    </w:rPr>
                    <w:t>输电线路运行期，评价范围内环境敏感点</w:t>
                  </w:r>
                  <w:r>
                    <w:rPr>
                      <w:rFonts w:hint="eastAsia" w:ascii="Times New Roman" w:hAnsi="Times New Roman" w:eastAsia="宋体" w:cs="Times New Roman"/>
                      <w:b w:val="0"/>
                      <w:bCs/>
                      <w:color w:val="auto"/>
                      <w:szCs w:val="21"/>
                      <w:lang w:val="en-US" w:eastAsia="zh-CN"/>
                    </w:rPr>
                    <w:t>红地丫口</w:t>
                  </w:r>
                  <w:r>
                    <w:rPr>
                      <w:rFonts w:hint="eastAsia" w:ascii="Times New Roman" w:hAnsi="Times New Roman" w:eastAsia="宋体" w:cs="Times New Roman"/>
                      <w:b w:val="0"/>
                      <w:bCs/>
                      <w:color w:val="auto"/>
                      <w:szCs w:val="21"/>
                      <w:lang w:eastAsia="zh-CN"/>
                    </w:rPr>
                    <w:t>、</w:t>
                  </w:r>
                  <w:r>
                    <w:rPr>
                      <w:rFonts w:hint="eastAsia" w:ascii="Times New Roman" w:hAnsi="Times New Roman" w:eastAsia="宋体" w:cs="Times New Roman"/>
                      <w:b w:val="0"/>
                      <w:bCs/>
                      <w:color w:val="auto"/>
                      <w:szCs w:val="21"/>
                      <w:lang w:val="en-US" w:eastAsia="zh-CN"/>
                    </w:rPr>
                    <w:t>石碓窝</w:t>
                  </w:r>
                  <w:r>
                    <w:rPr>
                      <w:rFonts w:hint="eastAsia" w:ascii="Times New Roman" w:hAnsi="Times New Roman" w:eastAsia="宋体" w:cs="Times New Roman"/>
                      <w:b w:val="0"/>
                      <w:bCs/>
                      <w:color w:val="auto"/>
                      <w:szCs w:val="21"/>
                    </w:rPr>
                    <w:t>等布置</w:t>
                  </w:r>
                  <w:r>
                    <w:rPr>
                      <w:rFonts w:hint="eastAsia" w:ascii="Times New Roman" w:hAnsi="Times New Roman" w:eastAsia="宋体" w:cs="Times New Roman"/>
                      <w:b w:val="0"/>
                      <w:bCs/>
                      <w:color w:val="auto"/>
                      <w:szCs w:val="21"/>
                      <w:lang w:val="en-US" w:eastAsia="zh-CN"/>
                    </w:rPr>
                    <w:t>2</w:t>
                  </w:r>
                  <w:r>
                    <w:rPr>
                      <w:rFonts w:hint="eastAsia" w:ascii="Times New Roman" w:hAnsi="Times New Roman" w:eastAsia="宋体" w:cs="Times New Roman"/>
                      <w:b w:val="0"/>
                      <w:bCs/>
                      <w:color w:val="auto"/>
                      <w:szCs w:val="21"/>
                    </w:rPr>
                    <w:t>个点，各测点的监测高度1.5m，测量工频电场及磁场</w:t>
                  </w:r>
                  <w:r>
                    <w:rPr>
                      <w:rFonts w:hint="eastAsia" w:ascii="Times New Roman" w:hAnsi="Times New Roman" w:eastAsia="宋体" w:cs="Times New Roman"/>
                      <w:b w:val="0"/>
                      <w:bCs/>
                      <w:color w:val="auto"/>
                      <w:szCs w:val="21"/>
                      <w:lang w:eastAsia="zh-CN"/>
                    </w:rPr>
                    <w:t>；</w:t>
                  </w:r>
                  <w:r>
                    <w:rPr>
                      <w:rFonts w:ascii="Times New Roman" w:hAnsi="Times New Roman" w:eastAsia="宋体" w:cs="Times New Roman"/>
                      <w:b w:val="0"/>
                      <w:bCs/>
                      <w:color w:val="auto"/>
                      <w:szCs w:val="21"/>
                    </w:rPr>
                    <w:t>各测点监测高度为1.2m以上，测量噪声。</w:t>
                  </w:r>
                </w:p>
                <w:p w14:paraId="41245F3F">
                  <w:pPr>
                    <w:adjustRightInd w:val="0"/>
                    <w:snapToGrid w:val="0"/>
                    <w:spacing w:line="240" w:lineRule="auto"/>
                    <w:jc w:val="left"/>
                    <w:rPr>
                      <w:rFonts w:hint="eastAsia" w:ascii="Times New Roman" w:hAnsi="Times New Roman" w:eastAsia="宋体" w:cs="Times New Roman"/>
                      <w:b w:val="0"/>
                      <w:bCs/>
                      <w:color w:val="auto"/>
                      <w:szCs w:val="21"/>
                      <w:lang w:eastAsia="zh-CN"/>
                    </w:rPr>
                  </w:pPr>
                  <w:r>
                    <w:rPr>
                      <w:rFonts w:hint="eastAsia" w:ascii="Times New Roman" w:hAnsi="Times New Roman" w:eastAsia="宋体" w:cs="Times New Roman"/>
                      <w:b w:val="0"/>
                      <w:bCs/>
                      <w:color w:val="auto"/>
                      <w:szCs w:val="21"/>
                    </w:rPr>
                    <w:t>监测频率：工频电场及磁场监测1次</w:t>
                  </w:r>
                  <w:r>
                    <w:rPr>
                      <w:rFonts w:hint="eastAsia" w:ascii="Times New Roman" w:hAnsi="Times New Roman" w:eastAsia="宋体" w:cs="Times New Roman"/>
                      <w:b w:val="0"/>
                      <w:bCs/>
                      <w:color w:val="auto"/>
                      <w:szCs w:val="21"/>
                      <w:lang w:eastAsia="zh-CN"/>
                    </w:rPr>
                    <w:t>；</w:t>
                  </w:r>
                  <w:r>
                    <w:rPr>
                      <w:rFonts w:ascii="Times New Roman" w:hAnsi="Times New Roman" w:eastAsia="宋体" w:cs="Times New Roman"/>
                      <w:b w:val="0"/>
                      <w:bCs/>
                      <w:color w:val="auto"/>
                      <w:szCs w:val="21"/>
                    </w:rPr>
                    <w:t>噪声</w:t>
                  </w:r>
                  <w:r>
                    <w:rPr>
                      <w:rFonts w:hint="eastAsia" w:ascii="Times New Roman" w:hAnsi="Times New Roman" w:eastAsia="宋体" w:cs="Times New Roman"/>
                      <w:b w:val="0"/>
                      <w:bCs/>
                      <w:color w:val="auto"/>
                      <w:szCs w:val="21"/>
                    </w:rPr>
                    <w:t>各监测点</w:t>
                  </w:r>
                  <w:r>
                    <w:rPr>
                      <w:rFonts w:ascii="Times New Roman" w:hAnsi="Times New Roman" w:eastAsia="宋体" w:cs="Times New Roman"/>
                      <w:b w:val="0"/>
                      <w:bCs/>
                      <w:color w:val="auto"/>
                      <w:szCs w:val="21"/>
                    </w:rPr>
                    <w:t>监测2天，昼、夜各1次。</w:t>
                  </w:r>
                </w:p>
              </w:tc>
            </w:tr>
            <w:tr w14:paraId="3C5A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7" w:type="pct"/>
                  <w:gridSpan w:val="2"/>
                  <w:noWrap w:val="0"/>
                  <w:vAlign w:val="center"/>
                </w:tcPr>
                <w:p w14:paraId="0E69736C">
                  <w:pPr>
                    <w:adjustRightInd w:val="0"/>
                    <w:snapToGrid w:val="0"/>
                    <w:spacing w:line="240" w:lineRule="auto"/>
                    <w:jc w:val="center"/>
                    <w:rPr>
                      <w:rFonts w:hint="default" w:ascii="Times New Roman" w:hAnsi="Times New Roman" w:eastAsia="宋体" w:cs="Times New Roman"/>
                      <w:b w:val="0"/>
                      <w:bCs/>
                      <w:color w:val="auto"/>
                      <w:szCs w:val="21"/>
                      <w:lang w:val="en-US" w:eastAsia="zh-CN"/>
                    </w:rPr>
                  </w:pPr>
                  <w:r>
                    <w:rPr>
                      <w:rFonts w:hint="eastAsia" w:ascii="Times New Roman" w:hAnsi="Times New Roman" w:eastAsia="宋体" w:cs="Times New Roman"/>
                      <w:b w:val="0"/>
                      <w:bCs/>
                      <w:color w:val="auto"/>
                      <w:szCs w:val="21"/>
                      <w:lang w:val="en-US" w:eastAsia="zh-CN"/>
                    </w:rPr>
                    <w:t>生态保护红线</w:t>
                  </w:r>
                </w:p>
              </w:tc>
              <w:tc>
                <w:tcPr>
                  <w:tcW w:w="1280" w:type="pct"/>
                  <w:noWrap w:val="0"/>
                  <w:vAlign w:val="center"/>
                </w:tcPr>
                <w:p w14:paraId="7117DD39">
                  <w:pPr>
                    <w:adjustRightInd w:val="0"/>
                    <w:snapToGrid w:val="0"/>
                    <w:spacing w:line="240" w:lineRule="auto"/>
                    <w:jc w:val="center"/>
                    <w:rPr>
                      <w:rFonts w:hint="default" w:ascii="Times New Roman" w:hAnsi="Times New Roman" w:eastAsia="宋体" w:cs="Times New Roman"/>
                      <w:b w:val="0"/>
                      <w:bCs/>
                      <w:color w:val="auto"/>
                      <w:szCs w:val="21"/>
                      <w:lang w:val="en-US" w:eastAsia="zh-CN"/>
                    </w:rPr>
                  </w:pPr>
                  <w:r>
                    <w:rPr>
                      <w:rFonts w:hint="eastAsia" w:ascii="Times New Roman" w:hAnsi="Times New Roman" w:eastAsia="宋体" w:cs="Times New Roman"/>
                      <w:b w:val="0"/>
                      <w:bCs/>
                      <w:color w:val="auto"/>
                      <w:szCs w:val="21"/>
                      <w:lang w:val="en-US" w:eastAsia="zh-CN"/>
                    </w:rPr>
                    <w:t>加强管理严格控制施工范围，减少生态保护红线内人员活动</w:t>
                  </w:r>
                </w:p>
              </w:tc>
              <w:tc>
                <w:tcPr>
                  <w:tcW w:w="1267" w:type="pct"/>
                  <w:gridSpan w:val="2"/>
                  <w:noWrap w:val="0"/>
                  <w:vAlign w:val="center"/>
                </w:tcPr>
                <w:p w14:paraId="7083B654">
                  <w:pPr>
                    <w:adjustRightInd w:val="0"/>
                    <w:snapToGrid w:val="0"/>
                    <w:spacing w:line="240" w:lineRule="auto"/>
                    <w:jc w:val="center"/>
                    <w:rPr>
                      <w:rFonts w:ascii="Times New Roman" w:hAnsi="Times New Roman" w:eastAsia="宋体" w:cs="Times New Roman"/>
                      <w:b w:val="0"/>
                      <w:bCs/>
                      <w:color w:val="auto"/>
                      <w:szCs w:val="21"/>
                    </w:rPr>
                  </w:pPr>
                  <w:r>
                    <w:rPr>
                      <w:rFonts w:hint="default" w:ascii="Times New Roman" w:hAnsi="Times New Roman" w:eastAsia="宋体" w:cs="Times New Roman"/>
                      <w:b w:val="0"/>
                      <w:bCs/>
                      <w:color w:val="auto"/>
                      <w:szCs w:val="21"/>
                      <w:lang w:val="en-US" w:eastAsia="zh-CN"/>
                    </w:rPr>
                    <w:t>监测生态系统的整体性和稳定性、植物和植被类型、重点保护动物的数量、出现频率等</w:t>
                  </w:r>
                  <w:r>
                    <w:rPr>
                      <w:rFonts w:hint="eastAsia" w:ascii="Times New Roman" w:hAnsi="Times New Roman" w:eastAsia="宋体" w:cs="Times New Roman"/>
                      <w:b w:val="0"/>
                      <w:bCs/>
                      <w:color w:val="auto"/>
                      <w:szCs w:val="21"/>
                      <w:lang w:val="en-US" w:eastAsia="zh-CN"/>
                    </w:rPr>
                    <w:t>；建成后的植被恢复及演替状况</w:t>
                  </w:r>
                </w:p>
              </w:tc>
              <w:tc>
                <w:tcPr>
                  <w:tcW w:w="1613" w:type="pct"/>
                  <w:noWrap w:val="0"/>
                  <w:vAlign w:val="center"/>
                </w:tcPr>
                <w:p w14:paraId="4B04719B">
                  <w:pPr>
                    <w:adjustRightInd w:val="0"/>
                    <w:snapToGrid w:val="0"/>
                    <w:spacing w:line="240" w:lineRule="auto"/>
                    <w:jc w:val="center"/>
                    <w:rPr>
                      <w:rFonts w:ascii="Times New Roman" w:hAnsi="Times New Roman" w:eastAsia="宋体" w:cs="Times New Roman"/>
                      <w:b w:val="0"/>
                      <w:bCs/>
                      <w:color w:val="auto"/>
                      <w:szCs w:val="21"/>
                    </w:rPr>
                  </w:pPr>
                  <w:r>
                    <w:rPr>
                      <w:rFonts w:hint="eastAsia" w:ascii="Times New Roman" w:hAnsi="Times New Roman" w:eastAsia="宋体" w:cs="Times New Roman"/>
                      <w:b w:val="0"/>
                      <w:bCs/>
                      <w:color w:val="auto"/>
                      <w:szCs w:val="21"/>
                      <w:lang w:val="en-US" w:eastAsia="zh-CN"/>
                    </w:rPr>
                    <w:t>施工期、建设完成运行后的第1年，共2期</w:t>
                  </w:r>
                  <w:r>
                    <w:rPr>
                      <w:rFonts w:hint="eastAsia" w:ascii="Times New Roman" w:hAnsi="Times New Roman" w:eastAsia="宋体" w:cs="Times New Roman"/>
                      <w:b w:val="0"/>
                      <w:bCs/>
                      <w:color w:val="auto"/>
                      <w:szCs w:val="21"/>
                    </w:rPr>
                    <w:t>，</w:t>
                  </w:r>
                  <w:r>
                    <w:rPr>
                      <w:rFonts w:hint="eastAsia" w:ascii="Times New Roman" w:hAnsi="Times New Roman" w:eastAsia="宋体" w:cs="Times New Roman"/>
                      <w:b w:val="0"/>
                      <w:bCs/>
                      <w:color w:val="auto"/>
                      <w:szCs w:val="21"/>
                      <w:lang w:val="en-US" w:eastAsia="zh-CN"/>
                    </w:rPr>
                    <w:t>针对</w:t>
                  </w:r>
                  <w:r>
                    <w:rPr>
                      <w:rFonts w:hint="eastAsia" w:ascii="Times New Roman" w:hAnsi="Times New Roman" w:eastAsia="宋体" w:cs="Times New Roman"/>
                      <w:b w:val="0"/>
                      <w:bCs/>
                      <w:color w:val="auto"/>
                      <w:szCs w:val="21"/>
                    </w:rPr>
                    <w:t>跨越区域进行生态跟踪监测</w:t>
                  </w:r>
                </w:p>
              </w:tc>
            </w:tr>
          </w:tbl>
          <w:p w14:paraId="273D4295">
            <w:pPr>
              <w:pStyle w:val="92"/>
              <w:snapToGrid w:val="0"/>
              <w:spacing w:line="440" w:lineRule="exact"/>
              <w:ind w:firstLine="482" w:firstLineChars="200"/>
              <w:jc w:val="both"/>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5.3.4建设项目竣工“环境保护验收”</w:t>
            </w:r>
          </w:p>
          <w:p w14:paraId="3248CCB4">
            <w:pPr>
              <w:pStyle w:val="92"/>
              <w:snapToGrid w:val="0"/>
              <w:spacing w:line="440" w:lineRule="exact"/>
              <w:ind w:firstLine="480" w:firstLineChars="200"/>
              <w:jc w:val="both"/>
              <w:rPr>
                <w:color w:val="auto"/>
              </w:rPr>
            </w:pPr>
            <w:r>
              <w:rPr>
                <w:color w:val="auto"/>
              </w:rPr>
              <w:t>根据《国务院关于修改</w:t>
            </w:r>
            <w:r>
              <w:rPr>
                <w:rFonts w:hint="eastAsia"/>
                <w:color w:val="auto"/>
                <w:lang w:eastAsia="zh-CN"/>
              </w:rPr>
              <w:t>〈</w:t>
            </w:r>
            <w:r>
              <w:rPr>
                <w:color w:val="auto"/>
              </w:rPr>
              <w:t>建设项目环境保护管理条例</w:t>
            </w:r>
            <w:r>
              <w:rPr>
                <w:rFonts w:hint="eastAsia"/>
                <w:color w:val="auto"/>
                <w:lang w:eastAsia="zh-CN"/>
              </w:rPr>
              <w:t>〉</w:t>
            </w:r>
            <w:r>
              <w:rPr>
                <w:color w:val="auto"/>
              </w:rPr>
              <w:t>的决定》（国务院682号令），工程建设执行污染治理设施与主体工程同时设计、同时施工、同时投产使用的“三同时”制度。项目投入运行后，建设单位应当按照国务院环境保护行政主管部门规定的标准和程序，自行对配套建设的环境保护设施进行验收，编制验收报告，并依法向社会公开验收报告。</w:t>
            </w:r>
          </w:p>
          <w:p w14:paraId="23407AF9">
            <w:pPr>
              <w:pStyle w:val="92"/>
              <w:snapToGrid w:val="0"/>
              <w:spacing w:line="440" w:lineRule="exact"/>
              <w:ind w:firstLine="480" w:firstLineChars="200"/>
              <w:jc w:val="both"/>
              <w:rPr>
                <w:color w:val="auto"/>
              </w:rPr>
            </w:pPr>
            <w:r>
              <w:rPr>
                <w:color w:val="auto"/>
              </w:rPr>
              <w:t>建设单位根据《建设项目环境保护管理条例》及《建设项目竣工环境保护验收暂行办法</w:t>
            </w:r>
            <w:r>
              <w:rPr>
                <w:rFonts w:hint="eastAsia"/>
                <w:color w:val="auto"/>
                <w:lang w:eastAsia="zh-CN"/>
              </w:rPr>
              <w:t>》等</w:t>
            </w:r>
            <w:r>
              <w:rPr>
                <w:color w:val="auto"/>
              </w:rPr>
              <w:t>有关规定进行环境保护竣工验收，项目环保措施竣工验收一览表见表</w:t>
            </w:r>
            <w:r>
              <w:rPr>
                <w:rFonts w:hint="eastAsia"/>
                <w:color w:val="auto"/>
                <w:lang w:val="en-US" w:eastAsia="zh-CN"/>
              </w:rPr>
              <w:t>5-3</w:t>
            </w:r>
            <w:r>
              <w:rPr>
                <w:color w:val="auto"/>
              </w:rPr>
              <w:t>。</w:t>
            </w:r>
          </w:p>
          <w:p w14:paraId="69250234">
            <w:pPr>
              <w:adjustRightInd w:val="0"/>
              <w:snapToGrid w:val="0"/>
              <w:spacing w:line="240" w:lineRule="auto"/>
              <w:jc w:val="center"/>
              <w:rPr>
                <w:color w:val="auto"/>
                <w:szCs w:val="21"/>
              </w:rPr>
            </w:pPr>
            <w:r>
              <w:rPr>
                <w:b/>
                <w:color w:val="auto"/>
                <w:sz w:val="24"/>
              </w:rPr>
              <w:t>表</w:t>
            </w:r>
            <w:r>
              <w:rPr>
                <w:rFonts w:hint="eastAsia"/>
                <w:b/>
                <w:color w:val="auto"/>
                <w:sz w:val="24"/>
                <w:lang w:val="en-US" w:eastAsia="zh-CN"/>
              </w:rPr>
              <w:t>5-3</w:t>
            </w:r>
            <w:r>
              <w:rPr>
                <w:b/>
                <w:color w:val="auto"/>
                <w:sz w:val="24"/>
              </w:rPr>
              <w:t xml:space="preserve">  项目竣工环境保护验收一览表</w:t>
            </w:r>
          </w:p>
          <w:tbl>
            <w:tblPr>
              <w:tblStyle w:val="30"/>
              <w:tblW w:w="4996" w:type="pct"/>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538"/>
              <w:gridCol w:w="1618"/>
              <w:gridCol w:w="2020"/>
              <w:gridCol w:w="3817"/>
            </w:tblGrid>
            <w:tr w14:paraId="01F9FA0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37" w:type="pct"/>
                  <w:noWrap w:val="0"/>
                  <w:vAlign w:val="center"/>
                </w:tcPr>
                <w:p w14:paraId="1850CD88">
                  <w:pPr>
                    <w:adjustRightInd w:val="0"/>
                    <w:snapToGrid w:val="0"/>
                    <w:spacing w:line="240" w:lineRule="auto"/>
                    <w:jc w:val="center"/>
                    <w:rPr>
                      <w:b/>
                      <w:bCs/>
                      <w:color w:val="auto"/>
                      <w:szCs w:val="21"/>
                    </w:rPr>
                  </w:pPr>
                  <w:r>
                    <w:rPr>
                      <w:b/>
                      <w:bCs/>
                      <w:color w:val="auto"/>
                      <w:szCs w:val="21"/>
                    </w:rPr>
                    <w:t>序号</w:t>
                  </w:r>
                </w:p>
              </w:tc>
              <w:tc>
                <w:tcPr>
                  <w:tcW w:w="1012" w:type="pct"/>
                  <w:noWrap w:val="0"/>
                  <w:vAlign w:val="center"/>
                </w:tcPr>
                <w:p w14:paraId="35F113E4">
                  <w:pPr>
                    <w:adjustRightInd w:val="0"/>
                    <w:snapToGrid w:val="0"/>
                    <w:spacing w:line="240" w:lineRule="auto"/>
                    <w:jc w:val="center"/>
                    <w:rPr>
                      <w:b/>
                      <w:bCs/>
                      <w:color w:val="auto"/>
                      <w:szCs w:val="21"/>
                    </w:rPr>
                  </w:pPr>
                  <w:r>
                    <w:rPr>
                      <w:b/>
                      <w:bCs/>
                      <w:color w:val="auto"/>
                      <w:szCs w:val="21"/>
                    </w:rPr>
                    <w:t>验收对象</w:t>
                  </w:r>
                </w:p>
              </w:tc>
              <w:tc>
                <w:tcPr>
                  <w:tcW w:w="1263" w:type="pct"/>
                  <w:noWrap w:val="0"/>
                  <w:vAlign w:val="center"/>
                </w:tcPr>
                <w:p w14:paraId="3833D6BB">
                  <w:pPr>
                    <w:adjustRightInd w:val="0"/>
                    <w:snapToGrid w:val="0"/>
                    <w:spacing w:line="240" w:lineRule="auto"/>
                    <w:jc w:val="center"/>
                    <w:rPr>
                      <w:b/>
                      <w:bCs/>
                      <w:color w:val="auto"/>
                      <w:szCs w:val="21"/>
                    </w:rPr>
                  </w:pPr>
                  <w:r>
                    <w:rPr>
                      <w:b/>
                      <w:bCs/>
                      <w:color w:val="auto"/>
                      <w:szCs w:val="21"/>
                    </w:rPr>
                    <w:t>验收内容</w:t>
                  </w:r>
                </w:p>
              </w:tc>
              <w:tc>
                <w:tcPr>
                  <w:tcW w:w="2386" w:type="pct"/>
                  <w:noWrap w:val="0"/>
                  <w:vAlign w:val="center"/>
                </w:tcPr>
                <w:p w14:paraId="72CC81AE">
                  <w:pPr>
                    <w:adjustRightInd w:val="0"/>
                    <w:snapToGrid w:val="0"/>
                    <w:spacing w:line="240" w:lineRule="auto"/>
                    <w:jc w:val="center"/>
                    <w:rPr>
                      <w:b/>
                      <w:bCs/>
                      <w:color w:val="auto"/>
                      <w:szCs w:val="21"/>
                    </w:rPr>
                  </w:pPr>
                  <w:r>
                    <w:rPr>
                      <w:b/>
                      <w:bCs/>
                      <w:color w:val="auto"/>
                      <w:szCs w:val="21"/>
                    </w:rPr>
                    <w:t>验收标准</w:t>
                  </w:r>
                </w:p>
              </w:tc>
            </w:tr>
            <w:tr w14:paraId="7A65826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37" w:type="pct"/>
                  <w:noWrap w:val="0"/>
                  <w:vAlign w:val="center"/>
                </w:tcPr>
                <w:p w14:paraId="160137B0">
                  <w:pPr>
                    <w:adjustRightInd w:val="0"/>
                    <w:snapToGrid w:val="0"/>
                    <w:spacing w:line="240" w:lineRule="auto"/>
                    <w:jc w:val="center"/>
                    <w:rPr>
                      <w:color w:val="auto"/>
                      <w:szCs w:val="21"/>
                    </w:rPr>
                  </w:pPr>
                  <w:r>
                    <w:rPr>
                      <w:color w:val="auto"/>
                      <w:szCs w:val="21"/>
                    </w:rPr>
                    <w:t>1</w:t>
                  </w:r>
                </w:p>
              </w:tc>
              <w:tc>
                <w:tcPr>
                  <w:tcW w:w="1012" w:type="pct"/>
                  <w:noWrap w:val="0"/>
                  <w:vAlign w:val="center"/>
                </w:tcPr>
                <w:p w14:paraId="0DA70441">
                  <w:pPr>
                    <w:adjustRightInd w:val="0"/>
                    <w:snapToGrid w:val="0"/>
                    <w:spacing w:line="240" w:lineRule="auto"/>
                    <w:jc w:val="center"/>
                    <w:rPr>
                      <w:color w:val="auto"/>
                      <w:szCs w:val="21"/>
                    </w:rPr>
                  </w:pPr>
                  <w:r>
                    <w:rPr>
                      <w:color w:val="auto"/>
                      <w:szCs w:val="21"/>
                    </w:rPr>
                    <w:t>环保手续履行情况</w:t>
                  </w:r>
                </w:p>
              </w:tc>
              <w:tc>
                <w:tcPr>
                  <w:tcW w:w="3650" w:type="pct"/>
                  <w:gridSpan w:val="2"/>
                  <w:noWrap w:val="0"/>
                  <w:vAlign w:val="center"/>
                </w:tcPr>
                <w:p w14:paraId="2A342A36">
                  <w:pPr>
                    <w:adjustRightInd w:val="0"/>
                    <w:snapToGrid w:val="0"/>
                    <w:spacing w:line="240" w:lineRule="auto"/>
                    <w:jc w:val="center"/>
                    <w:rPr>
                      <w:color w:val="auto"/>
                      <w:szCs w:val="21"/>
                    </w:rPr>
                  </w:pPr>
                  <w:r>
                    <w:rPr>
                      <w:color w:val="auto"/>
                      <w:szCs w:val="21"/>
                    </w:rPr>
                    <w:t>项目环评批复文件是否齐备，环境保护档案是否齐全。</w:t>
                  </w:r>
                </w:p>
              </w:tc>
            </w:tr>
            <w:tr w14:paraId="029A30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37" w:type="pct"/>
                  <w:noWrap w:val="0"/>
                  <w:vAlign w:val="center"/>
                </w:tcPr>
                <w:p w14:paraId="0B225B14">
                  <w:pPr>
                    <w:adjustRightInd w:val="0"/>
                    <w:snapToGrid w:val="0"/>
                    <w:spacing w:line="240" w:lineRule="auto"/>
                    <w:jc w:val="center"/>
                    <w:rPr>
                      <w:color w:val="auto"/>
                      <w:szCs w:val="21"/>
                    </w:rPr>
                  </w:pPr>
                  <w:r>
                    <w:rPr>
                      <w:color w:val="auto"/>
                      <w:szCs w:val="21"/>
                    </w:rPr>
                    <w:t>2</w:t>
                  </w:r>
                </w:p>
              </w:tc>
              <w:tc>
                <w:tcPr>
                  <w:tcW w:w="1012" w:type="pct"/>
                  <w:noWrap w:val="0"/>
                  <w:vAlign w:val="center"/>
                </w:tcPr>
                <w:p w14:paraId="3E96E120">
                  <w:pPr>
                    <w:adjustRightInd w:val="0"/>
                    <w:snapToGrid w:val="0"/>
                    <w:spacing w:line="240" w:lineRule="auto"/>
                    <w:jc w:val="center"/>
                    <w:rPr>
                      <w:color w:val="auto"/>
                      <w:szCs w:val="21"/>
                    </w:rPr>
                  </w:pPr>
                  <w:r>
                    <w:rPr>
                      <w:color w:val="auto"/>
                      <w:szCs w:val="21"/>
                    </w:rPr>
                    <w:t>实际工程内容与本《报告表》评价内容情况</w:t>
                  </w:r>
                </w:p>
              </w:tc>
              <w:tc>
                <w:tcPr>
                  <w:tcW w:w="3650" w:type="pct"/>
                  <w:gridSpan w:val="2"/>
                  <w:noWrap w:val="0"/>
                  <w:vAlign w:val="center"/>
                </w:tcPr>
                <w:p w14:paraId="71D18695">
                  <w:pPr>
                    <w:adjustRightInd w:val="0"/>
                    <w:snapToGrid w:val="0"/>
                    <w:spacing w:line="240" w:lineRule="auto"/>
                    <w:jc w:val="center"/>
                    <w:rPr>
                      <w:color w:val="auto"/>
                      <w:szCs w:val="21"/>
                    </w:rPr>
                  </w:pPr>
                  <w:r>
                    <w:rPr>
                      <w:color w:val="auto"/>
                      <w:szCs w:val="21"/>
                    </w:rPr>
                    <w:t>核查实际工程内容与本《报告表》评价内容变更情况，核实是否有重大变动。</w:t>
                  </w:r>
                </w:p>
              </w:tc>
            </w:tr>
            <w:tr w14:paraId="5FD95BF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37" w:type="pct"/>
                  <w:noWrap w:val="0"/>
                  <w:vAlign w:val="center"/>
                </w:tcPr>
                <w:p w14:paraId="7DCDF6FB">
                  <w:pPr>
                    <w:adjustRightInd w:val="0"/>
                    <w:snapToGrid w:val="0"/>
                    <w:spacing w:line="240" w:lineRule="auto"/>
                    <w:jc w:val="center"/>
                    <w:rPr>
                      <w:rFonts w:hint="eastAsia" w:eastAsia="宋体"/>
                      <w:color w:val="auto"/>
                      <w:szCs w:val="21"/>
                      <w:lang w:eastAsia="zh-CN"/>
                    </w:rPr>
                  </w:pPr>
                  <w:r>
                    <w:rPr>
                      <w:rFonts w:hint="eastAsia"/>
                      <w:color w:val="auto"/>
                      <w:szCs w:val="21"/>
                      <w:lang w:val="en-US" w:eastAsia="zh-CN"/>
                    </w:rPr>
                    <w:t>3</w:t>
                  </w:r>
                </w:p>
              </w:tc>
              <w:tc>
                <w:tcPr>
                  <w:tcW w:w="1012" w:type="pct"/>
                  <w:noWrap w:val="0"/>
                  <w:vAlign w:val="center"/>
                </w:tcPr>
                <w:p w14:paraId="6C11619B">
                  <w:pPr>
                    <w:adjustRightInd w:val="0"/>
                    <w:snapToGrid w:val="0"/>
                    <w:spacing w:line="240" w:lineRule="auto"/>
                    <w:jc w:val="center"/>
                    <w:rPr>
                      <w:color w:val="auto"/>
                      <w:szCs w:val="21"/>
                    </w:rPr>
                  </w:pPr>
                  <w:r>
                    <w:rPr>
                      <w:color w:val="auto"/>
                      <w:szCs w:val="21"/>
                    </w:rPr>
                    <w:t>工频电场、工频磁场</w:t>
                  </w:r>
                </w:p>
              </w:tc>
              <w:tc>
                <w:tcPr>
                  <w:tcW w:w="1263" w:type="pct"/>
                  <w:noWrap w:val="0"/>
                  <w:vAlign w:val="center"/>
                </w:tcPr>
                <w:p w14:paraId="0122DA26">
                  <w:pPr>
                    <w:adjustRightInd w:val="0"/>
                    <w:snapToGrid w:val="0"/>
                    <w:spacing w:line="240" w:lineRule="auto"/>
                    <w:jc w:val="center"/>
                    <w:rPr>
                      <w:color w:val="auto"/>
                      <w:szCs w:val="21"/>
                    </w:rPr>
                  </w:pPr>
                  <w:r>
                    <w:rPr>
                      <w:color w:val="auto"/>
                      <w:szCs w:val="21"/>
                    </w:rPr>
                    <w:t>输电线路现场监测</w:t>
                  </w:r>
                </w:p>
              </w:tc>
              <w:tc>
                <w:tcPr>
                  <w:tcW w:w="2386" w:type="pct"/>
                  <w:noWrap w:val="0"/>
                  <w:vAlign w:val="center"/>
                </w:tcPr>
                <w:p w14:paraId="6C8829B1">
                  <w:pPr>
                    <w:adjustRightInd w:val="0"/>
                    <w:snapToGrid w:val="0"/>
                    <w:spacing w:line="240" w:lineRule="auto"/>
                    <w:jc w:val="center"/>
                    <w:rPr>
                      <w:color w:val="auto"/>
                      <w:szCs w:val="21"/>
                    </w:rPr>
                  </w:pPr>
                  <w:r>
                    <w:rPr>
                      <w:color w:val="auto"/>
                      <w:szCs w:val="21"/>
                    </w:rPr>
                    <w:t>工频电场强度限值为4000V/m；工频磁场强度限值为100μT</w:t>
                  </w:r>
                </w:p>
              </w:tc>
            </w:tr>
            <w:tr w14:paraId="6113B4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37" w:type="pct"/>
                  <w:shd w:val="clear"/>
                  <w:noWrap w:val="0"/>
                  <w:vAlign w:val="center"/>
                </w:tcPr>
                <w:p w14:paraId="02C04830">
                  <w:pPr>
                    <w:adjustRightInd w:val="0"/>
                    <w:snapToGrid w:val="0"/>
                    <w:spacing w:line="240" w:lineRule="auto"/>
                    <w:jc w:val="center"/>
                    <w:rPr>
                      <w:rFonts w:ascii="Times New Roman" w:hAnsi="Times New Roman" w:eastAsia="宋体" w:cs="Times New Roman"/>
                      <w:color w:val="auto"/>
                      <w:kern w:val="2"/>
                      <w:sz w:val="21"/>
                      <w:szCs w:val="21"/>
                      <w:lang w:val="en-US" w:eastAsia="zh-CN" w:bidi="ar-SA"/>
                    </w:rPr>
                  </w:pPr>
                  <w:r>
                    <w:rPr>
                      <w:color w:val="auto"/>
                      <w:szCs w:val="21"/>
                    </w:rPr>
                    <w:t>4</w:t>
                  </w:r>
                </w:p>
              </w:tc>
              <w:tc>
                <w:tcPr>
                  <w:tcW w:w="1012" w:type="pct"/>
                  <w:noWrap w:val="0"/>
                  <w:vAlign w:val="center"/>
                </w:tcPr>
                <w:p w14:paraId="06A632F8">
                  <w:pPr>
                    <w:adjustRightInd w:val="0"/>
                    <w:snapToGrid w:val="0"/>
                    <w:spacing w:line="240" w:lineRule="auto"/>
                    <w:jc w:val="center"/>
                    <w:rPr>
                      <w:color w:val="auto"/>
                      <w:szCs w:val="21"/>
                    </w:rPr>
                  </w:pPr>
                  <w:r>
                    <w:rPr>
                      <w:color w:val="auto"/>
                      <w:szCs w:val="21"/>
                    </w:rPr>
                    <w:t>声环境</w:t>
                  </w:r>
                </w:p>
              </w:tc>
              <w:tc>
                <w:tcPr>
                  <w:tcW w:w="1263" w:type="pct"/>
                  <w:noWrap w:val="0"/>
                  <w:vAlign w:val="center"/>
                </w:tcPr>
                <w:p w14:paraId="6BD02D8C">
                  <w:pPr>
                    <w:adjustRightInd w:val="0"/>
                    <w:snapToGrid w:val="0"/>
                    <w:spacing w:line="240" w:lineRule="auto"/>
                    <w:jc w:val="center"/>
                    <w:rPr>
                      <w:color w:val="auto"/>
                      <w:szCs w:val="21"/>
                    </w:rPr>
                  </w:pPr>
                  <w:r>
                    <w:rPr>
                      <w:color w:val="auto"/>
                      <w:szCs w:val="21"/>
                    </w:rPr>
                    <w:t>输电线路现场监测，达到标准</w:t>
                  </w:r>
                </w:p>
              </w:tc>
              <w:tc>
                <w:tcPr>
                  <w:tcW w:w="2386" w:type="pct"/>
                  <w:noWrap w:val="0"/>
                  <w:vAlign w:val="center"/>
                </w:tcPr>
                <w:p w14:paraId="61A89D20">
                  <w:pPr>
                    <w:adjustRightInd w:val="0"/>
                    <w:snapToGrid w:val="0"/>
                    <w:spacing w:line="240" w:lineRule="auto"/>
                    <w:jc w:val="center"/>
                    <w:rPr>
                      <w:color w:val="auto"/>
                      <w:szCs w:val="21"/>
                    </w:rPr>
                  </w:pPr>
                  <w:r>
                    <w:rPr>
                      <w:color w:val="auto"/>
                      <w:szCs w:val="21"/>
                    </w:rPr>
                    <w:t>输电线路及敏感目标执行《工业企业厂界环境噪声排放标准》（GB12348—2008）1类标准要求。</w:t>
                  </w:r>
                </w:p>
              </w:tc>
            </w:tr>
            <w:tr w14:paraId="4214F47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37" w:type="pct"/>
                  <w:shd w:val="clear"/>
                  <w:noWrap w:val="0"/>
                  <w:vAlign w:val="center"/>
                </w:tcPr>
                <w:p w14:paraId="4C3C5793">
                  <w:pPr>
                    <w:adjustRightInd w:val="0"/>
                    <w:snapToGrid w:val="0"/>
                    <w:spacing w:line="240" w:lineRule="auto"/>
                    <w:jc w:val="center"/>
                    <w:rPr>
                      <w:rFonts w:ascii="Times New Roman" w:hAnsi="Times New Roman" w:eastAsia="宋体" w:cs="Times New Roman"/>
                      <w:color w:val="auto"/>
                      <w:kern w:val="2"/>
                      <w:sz w:val="21"/>
                      <w:szCs w:val="21"/>
                      <w:lang w:val="en-US" w:eastAsia="zh-CN" w:bidi="ar-SA"/>
                    </w:rPr>
                  </w:pPr>
                  <w:r>
                    <w:rPr>
                      <w:color w:val="auto"/>
                      <w:szCs w:val="21"/>
                    </w:rPr>
                    <w:t>5</w:t>
                  </w:r>
                </w:p>
              </w:tc>
              <w:tc>
                <w:tcPr>
                  <w:tcW w:w="1012" w:type="pct"/>
                  <w:noWrap w:val="0"/>
                  <w:vAlign w:val="center"/>
                </w:tcPr>
                <w:p w14:paraId="4115D85A">
                  <w:pPr>
                    <w:adjustRightInd w:val="0"/>
                    <w:snapToGrid w:val="0"/>
                    <w:spacing w:line="240" w:lineRule="auto"/>
                    <w:jc w:val="center"/>
                    <w:rPr>
                      <w:color w:val="auto"/>
                      <w:szCs w:val="21"/>
                    </w:rPr>
                  </w:pPr>
                  <w:r>
                    <w:rPr>
                      <w:color w:val="auto"/>
                      <w:szCs w:val="21"/>
                    </w:rPr>
                    <w:t>固体废弃物</w:t>
                  </w:r>
                </w:p>
              </w:tc>
              <w:tc>
                <w:tcPr>
                  <w:tcW w:w="1263" w:type="pct"/>
                  <w:noWrap w:val="0"/>
                  <w:vAlign w:val="center"/>
                </w:tcPr>
                <w:p w14:paraId="48D2A533">
                  <w:pPr>
                    <w:adjustRightInd w:val="0"/>
                    <w:snapToGrid w:val="0"/>
                    <w:spacing w:line="240" w:lineRule="auto"/>
                    <w:jc w:val="center"/>
                    <w:rPr>
                      <w:color w:val="auto"/>
                      <w:szCs w:val="21"/>
                    </w:rPr>
                  </w:pPr>
                  <w:r>
                    <w:rPr>
                      <w:color w:val="auto"/>
                      <w:szCs w:val="21"/>
                    </w:rPr>
                    <w:t>运行维护更换下来的绝缘子等</w:t>
                  </w:r>
                  <w:r>
                    <w:rPr>
                      <w:rFonts w:hint="eastAsia"/>
                      <w:color w:val="auto"/>
                      <w:szCs w:val="21"/>
                      <w:lang w:eastAsia="zh-CN"/>
                    </w:rPr>
                    <w:t>金属</w:t>
                  </w:r>
                  <w:r>
                    <w:rPr>
                      <w:color w:val="auto"/>
                      <w:szCs w:val="21"/>
                    </w:rPr>
                    <w:t>等材料</w:t>
                  </w:r>
                </w:p>
              </w:tc>
              <w:tc>
                <w:tcPr>
                  <w:tcW w:w="2386" w:type="pct"/>
                  <w:noWrap w:val="0"/>
                  <w:vAlign w:val="center"/>
                </w:tcPr>
                <w:p w14:paraId="5E297A1A">
                  <w:pPr>
                    <w:adjustRightInd w:val="0"/>
                    <w:snapToGrid w:val="0"/>
                    <w:spacing w:line="240" w:lineRule="auto"/>
                    <w:jc w:val="center"/>
                    <w:rPr>
                      <w:color w:val="auto"/>
                      <w:szCs w:val="21"/>
                    </w:rPr>
                  </w:pPr>
                  <w:r>
                    <w:rPr>
                      <w:color w:val="auto"/>
                      <w:szCs w:val="21"/>
                    </w:rPr>
                    <w:t>统一回收合理处置</w:t>
                  </w:r>
                </w:p>
              </w:tc>
            </w:tr>
            <w:tr w14:paraId="3D88D4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37" w:type="pct"/>
                  <w:shd w:val="clear"/>
                  <w:noWrap w:val="0"/>
                  <w:vAlign w:val="center"/>
                </w:tcPr>
                <w:p w14:paraId="10FC64BF">
                  <w:pPr>
                    <w:adjustRightInd w:val="0"/>
                    <w:snapToGrid w:val="0"/>
                    <w:spacing w:line="240" w:lineRule="auto"/>
                    <w:jc w:val="center"/>
                    <w:rPr>
                      <w:rFonts w:ascii="Times New Roman" w:hAnsi="Times New Roman" w:eastAsia="宋体" w:cs="Times New Roman"/>
                      <w:color w:val="auto"/>
                      <w:kern w:val="2"/>
                      <w:sz w:val="21"/>
                      <w:szCs w:val="21"/>
                      <w:lang w:val="en-US" w:eastAsia="zh-CN" w:bidi="ar-SA"/>
                    </w:rPr>
                  </w:pPr>
                  <w:r>
                    <w:rPr>
                      <w:color w:val="auto"/>
                      <w:szCs w:val="21"/>
                    </w:rPr>
                    <w:t>7</w:t>
                  </w:r>
                </w:p>
              </w:tc>
              <w:tc>
                <w:tcPr>
                  <w:tcW w:w="1012" w:type="pct"/>
                  <w:noWrap w:val="0"/>
                  <w:vAlign w:val="center"/>
                </w:tcPr>
                <w:p w14:paraId="46D48F21">
                  <w:pPr>
                    <w:adjustRightInd w:val="0"/>
                    <w:snapToGrid w:val="0"/>
                    <w:spacing w:line="240" w:lineRule="auto"/>
                    <w:jc w:val="center"/>
                    <w:rPr>
                      <w:color w:val="auto"/>
                      <w:szCs w:val="21"/>
                    </w:rPr>
                  </w:pPr>
                  <w:r>
                    <w:rPr>
                      <w:color w:val="auto"/>
                      <w:szCs w:val="21"/>
                    </w:rPr>
                    <w:t>施工现场调查</w:t>
                  </w:r>
                </w:p>
              </w:tc>
              <w:tc>
                <w:tcPr>
                  <w:tcW w:w="3650" w:type="pct"/>
                  <w:gridSpan w:val="2"/>
                  <w:noWrap w:val="0"/>
                  <w:vAlign w:val="center"/>
                </w:tcPr>
                <w:p w14:paraId="6DAE4ED9">
                  <w:pPr>
                    <w:adjustRightInd w:val="0"/>
                    <w:snapToGrid w:val="0"/>
                    <w:spacing w:line="240" w:lineRule="auto"/>
                    <w:jc w:val="center"/>
                    <w:rPr>
                      <w:color w:val="auto"/>
                      <w:szCs w:val="21"/>
                    </w:rPr>
                  </w:pPr>
                  <w:r>
                    <w:rPr>
                      <w:color w:val="auto"/>
                      <w:szCs w:val="21"/>
                    </w:rPr>
                    <w:t>调查临时施工设施是否已拆除；临时占地是否进行绿化和植被恢复。</w:t>
                  </w:r>
                </w:p>
              </w:tc>
            </w:tr>
            <w:tr w14:paraId="147016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37" w:type="pct"/>
                  <w:shd w:val="clear"/>
                  <w:noWrap w:val="0"/>
                  <w:vAlign w:val="center"/>
                </w:tcPr>
                <w:p w14:paraId="79DC4335">
                  <w:pPr>
                    <w:adjustRightInd w:val="0"/>
                    <w:snapToGrid w:val="0"/>
                    <w:spacing w:line="240" w:lineRule="auto"/>
                    <w:jc w:val="center"/>
                    <w:rPr>
                      <w:rFonts w:ascii="Times New Roman" w:hAnsi="Times New Roman" w:eastAsia="宋体" w:cs="Times New Roman"/>
                      <w:color w:val="auto"/>
                      <w:kern w:val="2"/>
                      <w:sz w:val="21"/>
                      <w:szCs w:val="21"/>
                      <w:lang w:val="en-US" w:eastAsia="zh-CN" w:bidi="ar-SA"/>
                    </w:rPr>
                  </w:pPr>
                  <w:r>
                    <w:rPr>
                      <w:color w:val="auto"/>
                      <w:szCs w:val="21"/>
                    </w:rPr>
                    <w:t>8</w:t>
                  </w:r>
                </w:p>
              </w:tc>
              <w:tc>
                <w:tcPr>
                  <w:tcW w:w="1012" w:type="pct"/>
                  <w:noWrap w:val="0"/>
                  <w:vAlign w:val="center"/>
                </w:tcPr>
                <w:p w14:paraId="26E13A13">
                  <w:pPr>
                    <w:adjustRightInd w:val="0"/>
                    <w:snapToGrid w:val="0"/>
                    <w:spacing w:line="240" w:lineRule="auto"/>
                    <w:jc w:val="center"/>
                    <w:rPr>
                      <w:color w:val="auto"/>
                      <w:szCs w:val="21"/>
                    </w:rPr>
                  </w:pPr>
                  <w:r>
                    <w:rPr>
                      <w:color w:val="auto"/>
                      <w:szCs w:val="21"/>
                    </w:rPr>
                    <w:t>水土保持</w:t>
                  </w:r>
                </w:p>
              </w:tc>
              <w:tc>
                <w:tcPr>
                  <w:tcW w:w="3650" w:type="pct"/>
                  <w:gridSpan w:val="2"/>
                  <w:noWrap w:val="0"/>
                  <w:vAlign w:val="center"/>
                </w:tcPr>
                <w:p w14:paraId="2BEE1F86">
                  <w:pPr>
                    <w:adjustRightInd w:val="0"/>
                    <w:snapToGrid w:val="0"/>
                    <w:spacing w:line="240" w:lineRule="auto"/>
                    <w:jc w:val="center"/>
                    <w:rPr>
                      <w:color w:val="auto"/>
                      <w:szCs w:val="21"/>
                    </w:rPr>
                  </w:pPr>
                  <w:r>
                    <w:rPr>
                      <w:color w:val="auto"/>
                      <w:szCs w:val="21"/>
                    </w:rPr>
                    <w:t>水土流失防治的挡墙、护坡、排水沟等，施工场地的恢复及塔基的植被恢复。</w:t>
                  </w:r>
                </w:p>
              </w:tc>
            </w:tr>
            <w:tr w14:paraId="618C4B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37" w:type="pct"/>
                  <w:shd w:val="clear"/>
                  <w:noWrap w:val="0"/>
                  <w:vAlign w:val="center"/>
                </w:tcPr>
                <w:p w14:paraId="7A7EDC7D">
                  <w:pPr>
                    <w:adjustRightInd w:val="0"/>
                    <w:snapToGrid w:val="0"/>
                    <w:spacing w:line="240" w:lineRule="auto"/>
                    <w:jc w:val="center"/>
                    <w:rPr>
                      <w:rFonts w:ascii="Times New Roman" w:hAnsi="Times New Roman" w:eastAsia="宋体" w:cs="Times New Roman"/>
                      <w:color w:val="auto"/>
                      <w:kern w:val="2"/>
                      <w:sz w:val="21"/>
                      <w:szCs w:val="21"/>
                      <w:lang w:val="en-US" w:eastAsia="zh-CN" w:bidi="ar-SA"/>
                    </w:rPr>
                  </w:pPr>
                  <w:r>
                    <w:rPr>
                      <w:color w:val="auto"/>
                      <w:szCs w:val="21"/>
                    </w:rPr>
                    <w:t>9</w:t>
                  </w:r>
                </w:p>
              </w:tc>
              <w:tc>
                <w:tcPr>
                  <w:tcW w:w="1012" w:type="pct"/>
                  <w:noWrap w:val="0"/>
                  <w:vAlign w:val="center"/>
                </w:tcPr>
                <w:p w14:paraId="220E681A">
                  <w:pPr>
                    <w:adjustRightInd w:val="0"/>
                    <w:snapToGrid w:val="0"/>
                    <w:spacing w:line="240" w:lineRule="auto"/>
                    <w:jc w:val="center"/>
                    <w:rPr>
                      <w:color w:val="auto"/>
                      <w:szCs w:val="21"/>
                    </w:rPr>
                  </w:pPr>
                  <w:r>
                    <w:rPr>
                      <w:color w:val="auto"/>
                      <w:szCs w:val="21"/>
                    </w:rPr>
                    <w:t>生态保护</w:t>
                  </w:r>
                </w:p>
              </w:tc>
              <w:tc>
                <w:tcPr>
                  <w:tcW w:w="3650" w:type="pct"/>
                  <w:gridSpan w:val="2"/>
                  <w:noWrap w:val="0"/>
                  <w:vAlign w:val="center"/>
                </w:tcPr>
                <w:p w14:paraId="57F0A757">
                  <w:pPr>
                    <w:adjustRightInd w:val="0"/>
                    <w:snapToGrid w:val="0"/>
                    <w:spacing w:line="240" w:lineRule="auto"/>
                    <w:jc w:val="center"/>
                    <w:rPr>
                      <w:color w:val="auto"/>
                      <w:szCs w:val="21"/>
                    </w:rPr>
                  </w:pPr>
                  <w:r>
                    <w:rPr>
                      <w:color w:val="auto"/>
                      <w:szCs w:val="21"/>
                    </w:rPr>
                    <w:t>是否已进行植被恢复，对沿线动物生境是否造成影响。</w:t>
                  </w:r>
                </w:p>
              </w:tc>
            </w:tr>
            <w:tr w14:paraId="324F185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337" w:type="pct"/>
                  <w:noWrap w:val="0"/>
                  <w:vAlign w:val="center"/>
                </w:tcPr>
                <w:p w14:paraId="1BF92A1B">
                  <w:pPr>
                    <w:adjustRightInd w:val="0"/>
                    <w:snapToGrid w:val="0"/>
                    <w:spacing w:line="240" w:lineRule="auto"/>
                    <w:jc w:val="center"/>
                    <w:rPr>
                      <w:rFonts w:hint="default" w:eastAsia="宋体"/>
                      <w:color w:val="auto"/>
                      <w:szCs w:val="21"/>
                      <w:lang w:val="en-US" w:eastAsia="zh-CN"/>
                    </w:rPr>
                  </w:pPr>
                  <w:r>
                    <w:rPr>
                      <w:rFonts w:hint="eastAsia"/>
                      <w:color w:val="auto"/>
                      <w:szCs w:val="21"/>
                      <w:lang w:val="en-US" w:eastAsia="zh-CN"/>
                    </w:rPr>
                    <w:t>10</w:t>
                  </w:r>
                </w:p>
              </w:tc>
              <w:tc>
                <w:tcPr>
                  <w:tcW w:w="1012" w:type="pct"/>
                  <w:noWrap w:val="0"/>
                  <w:vAlign w:val="center"/>
                </w:tcPr>
                <w:p w14:paraId="2CE81158">
                  <w:pPr>
                    <w:adjustRightInd w:val="0"/>
                    <w:snapToGrid w:val="0"/>
                    <w:spacing w:line="240" w:lineRule="auto"/>
                    <w:jc w:val="center"/>
                    <w:rPr>
                      <w:color w:val="auto"/>
                      <w:szCs w:val="21"/>
                    </w:rPr>
                  </w:pPr>
                  <w:r>
                    <w:rPr>
                      <w:color w:val="auto"/>
                      <w:szCs w:val="21"/>
                    </w:rPr>
                    <w:t>安全防护</w:t>
                  </w:r>
                </w:p>
              </w:tc>
              <w:tc>
                <w:tcPr>
                  <w:tcW w:w="3650" w:type="pct"/>
                  <w:gridSpan w:val="2"/>
                  <w:noWrap w:val="0"/>
                  <w:vAlign w:val="center"/>
                </w:tcPr>
                <w:p w14:paraId="528F4A17">
                  <w:pPr>
                    <w:adjustRightInd w:val="0"/>
                    <w:snapToGrid w:val="0"/>
                    <w:spacing w:line="240" w:lineRule="auto"/>
                    <w:jc w:val="center"/>
                    <w:rPr>
                      <w:color w:val="auto"/>
                      <w:szCs w:val="21"/>
                    </w:rPr>
                  </w:pPr>
                  <w:r>
                    <w:rPr>
                      <w:color w:val="auto"/>
                      <w:szCs w:val="21"/>
                    </w:rPr>
                    <w:t>输电线路醒目位置设置安全警示图文标志，标明严禁攀登、线下高位操作应有防护措施等安全注意事项。</w:t>
                  </w:r>
                </w:p>
              </w:tc>
            </w:tr>
          </w:tbl>
          <w:p w14:paraId="7AC7AB0B">
            <w:pPr>
              <w:rPr>
                <w:bCs/>
                <w:color w:val="auto"/>
                <w:spacing w:val="10"/>
                <w:sz w:val="24"/>
              </w:rPr>
            </w:pPr>
          </w:p>
        </w:tc>
      </w:tr>
      <w:tr w14:paraId="3BC32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noWrap w:val="0"/>
            <w:vAlign w:val="center"/>
          </w:tcPr>
          <w:p w14:paraId="67C4E779">
            <w:pPr>
              <w:jc w:val="center"/>
              <w:rPr>
                <w:bCs/>
                <w:color w:val="auto"/>
                <w:spacing w:val="10"/>
                <w:sz w:val="24"/>
              </w:rPr>
            </w:pPr>
            <w:r>
              <w:rPr>
                <w:b/>
                <w:color w:val="auto"/>
                <w:sz w:val="24"/>
              </w:rPr>
              <w:t>环保投资</w:t>
            </w:r>
          </w:p>
        </w:tc>
        <w:tc>
          <w:tcPr>
            <w:tcW w:w="4745" w:type="pct"/>
            <w:noWrap w:val="0"/>
            <w:vAlign w:val="center"/>
          </w:tcPr>
          <w:p w14:paraId="479012AF">
            <w:pPr>
              <w:adjustRightInd w:val="0"/>
              <w:snapToGrid w:val="0"/>
              <w:spacing w:line="440" w:lineRule="exact"/>
              <w:ind w:firstLine="480" w:firstLineChars="200"/>
              <w:rPr>
                <w:color w:val="auto"/>
                <w:sz w:val="24"/>
              </w:rPr>
            </w:pPr>
            <w:r>
              <w:rPr>
                <w:color w:val="auto"/>
                <w:sz w:val="24"/>
              </w:rPr>
              <w:t>项目总投资</w:t>
            </w:r>
            <w:r>
              <w:rPr>
                <w:rFonts w:hint="eastAsia"/>
                <w:color w:val="auto"/>
                <w:sz w:val="24"/>
                <w:lang w:val="en-US" w:eastAsia="zh-CN"/>
              </w:rPr>
              <w:t>2028.98</w:t>
            </w:r>
            <w:r>
              <w:rPr>
                <w:color w:val="auto"/>
                <w:sz w:val="24"/>
              </w:rPr>
              <w:t>万元，其中环保投资</w:t>
            </w:r>
            <w:r>
              <w:rPr>
                <w:rFonts w:hint="eastAsia"/>
                <w:color w:val="auto"/>
                <w:sz w:val="24"/>
                <w:lang w:val="en-US" w:eastAsia="zh-CN"/>
              </w:rPr>
              <w:t>137.5</w:t>
            </w:r>
            <w:r>
              <w:rPr>
                <w:color w:val="auto"/>
                <w:sz w:val="24"/>
              </w:rPr>
              <w:t>万元，占总投资的</w:t>
            </w:r>
            <w:r>
              <w:rPr>
                <w:rFonts w:hint="eastAsia"/>
                <w:color w:val="auto"/>
                <w:sz w:val="24"/>
                <w:lang w:val="en-US" w:eastAsia="zh-CN"/>
              </w:rPr>
              <w:t>6.78</w:t>
            </w:r>
            <w:r>
              <w:rPr>
                <w:color w:val="auto"/>
                <w:sz w:val="24"/>
              </w:rPr>
              <w:t>%。其环保投资明细见表5-</w:t>
            </w:r>
            <w:r>
              <w:rPr>
                <w:rFonts w:hint="eastAsia"/>
                <w:color w:val="auto"/>
                <w:sz w:val="24"/>
                <w:lang w:val="en-US" w:eastAsia="zh-CN"/>
              </w:rPr>
              <w:t>4</w:t>
            </w:r>
            <w:r>
              <w:rPr>
                <w:color w:val="auto"/>
                <w:sz w:val="24"/>
              </w:rPr>
              <w:t>。</w:t>
            </w:r>
          </w:p>
          <w:p w14:paraId="4398272B">
            <w:pPr>
              <w:adjustRightInd w:val="0"/>
              <w:snapToGrid w:val="0"/>
              <w:spacing w:line="240" w:lineRule="auto"/>
              <w:jc w:val="center"/>
              <w:rPr>
                <w:b/>
                <w:color w:val="auto"/>
                <w:sz w:val="24"/>
              </w:rPr>
            </w:pPr>
            <w:r>
              <w:rPr>
                <w:b/>
                <w:color w:val="auto"/>
                <w:sz w:val="24"/>
              </w:rPr>
              <w:t>表5-</w:t>
            </w:r>
            <w:r>
              <w:rPr>
                <w:rFonts w:hint="eastAsia"/>
                <w:b/>
                <w:color w:val="auto"/>
                <w:sz w:val="24"/>
                <w:lang w:val="en-US" w:eastAsia="zh-CN"/>
              </w:rPr>
              <w:t>4</w:t>
            </w:r>
            <w:r>
              <w:rPr>
                <w:b/>
                <w:color w:val="auto"/>
                <w:sz w:val="24"/>
              </w:rPr>
              <w:t xml:space="preserve">  环保投资估算表</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
              <w:gridCol w:w="1510"/>
              <w:gridCol w:w="3214"/>
              <w:gridCol w:w="1518"/>
              <w:gridCol w:w="1246"/>
            </w:tblGrid>
            <w:tr w14:paraId="5E901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9" w:type="pct"/>
                  <w:gridSpan w:val="3"/>
                  <w:noWrap w:val="0"/>
                  <w:vAlign w:val="center"/>
                </w:tcPr>
                <w:p w14:paraId="023A3961">
                  <w:pPr>
                    <w:adjustRightInd w:val="0"/>
                    <w:snapToGrid w:val="0"/>
                    <w:spacing w:line="240" w:lineRule="auto"/>
                    <w:jc w:val="center"/>
                    <w:rPr>
                      <w:b/>
                      <w:bCs w:val="0"/>
                      <w:color w:val="auto"/>
                      <w:szCs w:val="21"/>
                    </w:rPr>
                  </w:pPr>
                  <w:r>
                    <w:rPr>
                      <w:b/>
                      <w:bCs w:val="0"/>
                      <w:color w:val="auto"/>
                      <w:szCs w:val="21"/>
                    </w:rPr>
                    <w:t>项目</w:t>
                  </w:r>
                </w:p>
              </w:tc>
              <w:tc>
                <w:tcPr>
                  <w:tcW w:w="950" w:type="pct"/>
                  <w:noWrap w:val="0"/>
                  <w:vAlign w:val="center"/>
                </w:tcPr>
                <w:p w14:paraId="604AE698">
                  <w:pPr>
                    <w:adjustRightInd w:val="0"/>
                    <w:snapToGrid w:val="0"/>
                    <w:spacing w:line="240" w:lineRule="auto"/>
                    <w:jc w:val="center"/>
                    <w:rPr>
                      <w:b/>
                      <w:bCs w:val="0"/>
                      <w:color w:val="auto"/>
                      <w:szCs w:val="21"/>
                    </w:rPr>
                  </w:pPr>
                  <w:r>
                    <w:rPr>
                      <w:b/>
                      <w:bCs w:val="0"/>
                      <w:color w:val="auto"/>
                      <w:szCs w:val="21"/>
                    </w:rPr>
                    <w:t>金额（万元）</w:t>
                  </w:r>
                </w:p>
              </w:tc>
              <w:tc>
                <w:tcPr>
                  <w:tcW w:w="780" w:type="pct"/>
                  <w:noWrap w:val="0"/>
                  <w:vAlign w:val="center"/>
                </w:tcPr>
                <w:p w14:paraId="52CEA720">
                  <w:pPr>
                    <w:adjustRightInd w:val="0"/>
                    <w:snapToGrid w:val="0"/>
                    <w:spacing w:line="240" w:lineRule="auto"/>
                    <w:jc w:val="center"/>
                    <w:rPr>
                      <w:b/>
                      <w:bCs w:val="0"/>
                      <w:color w:val="auto"/>
                      <w:szCs w:val="21"/>
                    </w:rPr>
                  </w:pPr>
                  <w:r>
                    <w:rPr>
                      <w:b/>
                      <w:bCs w:val="0"/>
                      <w:color w:val="auto"/>
                      <w:szCs w:val="21"/>
                    </w:rPr>
                    <w:t>责任主体</w:t>
                  </w:r>
                </w:p>
              </w:tc>
            </w:tr>
            <w:tr w14:paraId="32F5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 w:type="pct"/>
                  <w:vMerge w:val="restart"/>
                  <w:noWrap w:val="0"/>
                  <w:vAlign w:val="center"/>
                </w:tcPr>
                <w:p w14:paraId="6CBFF64A">
                  <w:pPr>
                    <w:adjustRightInd w:val="0"/>
                    <w:snapToGrid w:val="0"/>
                    <w:spacing w:line="240" w:lineRule="auto"/>
                    <w:jc w:val="center"/>
                    <w:rPr>
                      <w:bCs/>
                      <w:color w:val="auto"/>
                      <w:szCs w:val="21"/>
                    </w:rPr>
                  </w:pPr>
                  <w:r>
                    <w:rPr>
                      <w:bCs/>
                      <w:color w:val="auto"/>
                      <w:szCs w:val="21"/>
                    </w:rPr>
                    <w:t>施工期</w:t>
                  </w:r>
                </w:p>
              </w:tc>
              <w:tc>
                <w:tcPr>
                  <w:tcW w:w="944" w:type="pct"/>
                  <w:noWrap w:val="0"/>
                  <w:vAlign w:val="center"/>
                </w:tcPr>
                <w:p w14:paraId="5DEF8A4D">
                  <w:pPr>
                    <w:adjustRightInd w:val="0"/>
                    <w:snapToGrid w:val="0"/>
                    <w:spacing w:line="240" w:lineRule="auto"/>
                    <w:jc w:val="center"/>
                    <w:rPr>
                      <w:bCs/>
                      <w:color w:val="auto"/>
                      <w:szCs w:val="21"/>
                    </w:rPr>
                  </w:pPr>
                  <w:r>
                    <w:rPr>
                      <w:bCs/>
                      <w:color w:val="auto"/>
                      <w:szCs w:val="21"/>
                    </w:rPr>
                    <w:t>废水防治措施</w:t>
                  </w:r>
                </w:p>
              </w:tc>
              <w:tc>
                <w:tcPr>
                  <w:tcW w:w="2012" w:type="pct"/>
                  <w:noWrap w:val="0"/>
                  <w:vAlign w:val="center"/>
                </w:tcPr>
                <w:p w14:paraId="2FC4E65D">
                  <w:pPr>
                    <w:adjustRightInd w:val="0"/>
                    <w:snapToGrid w:val="0"/>
                    <w:spacing w:line="240" w:lineRule="auto"/>
                    <w:jc w:val="center"/>
                    <w:rPr>
                      <w:rFonts w:hint="default" w:eastAsia="宋体"/>
                      <w:bCs/>
                      <w:color w:val="auto"/>
                      <w:szCs w:val="21"/>
                      <w:lang w:val="en-US" w:eastAsia="zh-CN"/>
                    </w:rPr>
                  </w:pPr>
                  <w:r>
                    <w:rPr>
                      <w:bCs/>
                      <w:color w:val="auto"/>
                      <w:szCs w:val="21"/>
                    </w:rPr>
                    <w:t>临时截排水沟</w:t>
                  </w:r>
                  <w:r>
                    <w:rPr>
                      <w:rFonts w:hint="eastAsia"/>
                      <w:bCs/>
                      <w:color w:val="auto"/>
                      <w:szCs w:val="21"/>
                      <w:lang w:eastAsia="zh-CN"/>
                    </w:rPr>
                    <w:t>、</w:t>
                  </w:r>
                  <w:r>
                    <w:rPr>
                      <w:rFonts w:hint="eastAsia"/>
                      <w:bCs/>
                      <w:color w:val="auto"/>
                      <w:szCs w:val="21"/>
                      <w:lang w:val="en-US" w:eastAsia="zh-CN"/>
                    </w:rPr>
                    <w:t>沉淀池等</w:t>
                  </w:r>
                </w:p>
              </w:tc>
              <w:tc>
                <w:tcPr>
                  <w:tcW w:w="950" w:type="pct"/>
                  <w:noWrap w:val="0"/>
                  <w:vAlign w:val="center"/>
                </w:tcPr>
                <w:p w14:paraId="462A8D12">
                  <w:pPr>
                    <w:adjustRightInd w:val="0"/>
                    <w:snapToGrid w:val="0"/>
                    <w:spacing w:line="240" w:lineRule="auto"/>
                    <w:jc w:val="center"/>
                    <w:rPr>
                      <w:bCs/>
                      <w:color w:val="auto"/>
                      <w:szCs w:val="21"/>
                    </w:rPr>
                  </w:pPr>
                  <w:r>
                    <w:rPr>
                      <w:rFonts w:hint="eastAsia"/>
                      <w:bCs/>
                      <w:color w:val="auto"/>
                      <w:szCs w:val="21"/>
                      <w:lang w:val="en-US" w:eastAsia="zh-CN"/>
                    </w:rPr>
                    <w:t>1</w:t>
                  </w:r>
                  <w:r>
                    <w:rPr>
                      <w:bCs/>
                      <w:color w:val="auto"/>
                      <w:szCs w:val="21"/>
                    </w:rPr>
                    <w:t>4.5</w:t>
                  </w:r>
                </w:p>
              </w:tc>
              <w:tc>
                <w:tcPr>
                  <w:tcW w:w="780" w:type="pct"/>
                  <w:vMerge w:val="restart"/>
                  <w:noWrap w:val="0"/>
                  <w:vAlign w:val="center"/>
                </w:tcPr>
                <w:p w14:paraId="7308B681">
                  <w:pPr>
                    <w:adjustRightInd w:val="0"/>
                    <w:snapToGrid w:val="0"/>
                    <w:spacing w:line="240" w:lineRule="auto"/>
                    <w:jc w:val="center"/>
                    <w:rPr>
                      <w:bCs/>
                      <w:color w:val="auto"/>
                      <w:szCs w:val="21"/>
                    </w:rPr>
                  </w:pPr>
                  <w:r>
                    <w:rPr>
                      <w:bCs/>
                      <w:color w:val="auto"/>
                      <w:szCs w:val="21"/>
                    </w:rPr>
                    <w:t>建设单位、设计单位、施工单位、监理单位</w:t>
                  </w:r>
                </w:p>
              </w:tc>
            </w:tr>
            <w:tr w14:paraId="3F69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 w:type="pct"/>
                  <w:vMerge w:val="continue"/>
                  <w:noWrap w:val="0"/>
                  <w:vAlign w:val="center"/>
                </w:tcPr>
                <w:p w14:paraId="56C8916F">
                  <w:pPr>
                    <w:widowControl/>
                    <w:adjustRightInd w:val="0"/>
                    <w:snapToGrid w:val="0"/>
                    <w:spacing w:line="240" w:lineRule="auto"/>
                    <w:jc w:val="center"/>
                    <w:rPr>
                      <w:bCs/>
                      <w:color w:val="auto"/>
                      <w:szCs w:val="21"/>
                    </w:rPr>
                  </w:pPr>
                </w:p>
              </w:tc>
              <w:tc>
                <w:tcPr>
                  <w:tcW w:w="944" w:type="pct"/>
                  <w:noWrap w:val="0"/>
                  <w:vAlign w:val="center"/>
                </w:tcPr>
                <w:p w14:paraId="2A2247D8">
                  <w:pPr>
                    <w:adjustRightInd w:val="0"/>
                    <w:snapToGrid w:val="0"/>
                    <w:spacing w:line="240" w:lineRule="auto"/>
                    <w:jc w:val="center"/>
                    <w:rPr>
                      <w:bCs/>
                      <w:color w:val="auto"/>
                      <w:szCs w:val="21"/>
                    </w:rPr>
                  </w:pPr>
                  <w:r>
                    <w:rPr>
                      <w:bCs/>
                      <w:color w:val="auto"/>
                      <w:szCs w:val="21"/>
                    </w:rPr>
                    <w:t>固废防治措施</w:t>
                  </w:r>
                </w:p>
              </w:tc>
              <w:tc>
                <w:tcPr>
                  <w:tcW w:w="2012" w:type="pct"/>
                  <w:noWrap w:val="0"/>
                  <w:vAlign w:val="center"/>
                </w:tcPr>
                <w:p w14:paraId="7777F574">
                  <w:pPr>
                    <w:adjustRightInd w:val="0"/>
                    <w:snapToGrid w:val="0"/>
                    <w:spacing w:line="240" w:lineRule="auto"/>
                    <w:jc w:val="center"/>
                    <w:rPr>
                      <w:bCs/>
                      <w:color w:val="auto"/>
                      <w:szCs w:val="21"/>
                    </w:rPr>
                  </w:pPr>
                  <w:r>
                    <w:rPr>
                      <w:bCs/>
                      <w:color w:val="auto"/>
                      <w:szCs w:val="21"/>
                    </w:rPr>
                    <w:t>生活垃圾、弃土弃渣、建筑垃圾清运、处置</w:t>
                  </w:r>
                </w:p>
              </w:tc>
              <w:tc>
                <w:tcPr>
                  <w:tcW w:w="950" w:type="pct"/>
                  <w:noWrap w:val="0"/>
                  <w:vAlign w:val="center"/>
                </w:tcPr>
                <w:p w14:paraId="0324991E">
                  <w:pPr>
                    <w:adjustRightInd w:val="0"/>
                    <w:snapToGrid w:val="0"/>
                    <w:spacing w:line="240" w:lineRule="auto"/>
                    <w:jc w:val="center"/>
                    <w:rPr>
                      <w:bCs/>
                      <w:color w:val="auto"/>
                      <w:szCs w:val="21"/>
                    </w:rPr>
                  </w:pPr>
                  <w:r>
                    <w:rPr>
                      <w:rFonts w:hint="eastAsia"/>
                      <w:bCs/>
                      <w:color w:val="auto"/>
                      <w:szCs w:val="21"/>
                      <w:lang w:val="en-US" w:eastAsia="zh-CN"/>
                    </w:rPr>
                    <w:t>6</w:t>
                  </w:r>
                  <w:r>
                    <w:rPr>
                      <w:rFonts w:hint="eastAsia"/>
                      <w:bCs/>
                      <w:color w:val="auto"/>
                      <w:szCs w:val="21"/>
                    </w:rPr>
                    <w:t>.5</w:t>
                  </w:r>
                </w:p>
              </w:tc>
              <w:tc>
                <w:tcPr>
                  <w:tcW w:w="780" w:type="pct"/>
                  <w:vMerge w:val="continue"/>
                  <w:noWrap w:val="0"/>
                  <w:vAlign w:val="center"/>
                </w:tcPr>
                <w:p w14:paraId="5FDEA52C">
                  <w:pPr>
                    <w:adjustRightInd w:val="0"/>
                    <w:snapToGrid w:val="0"/>
                    <w:spacing w:line="240" w:lineRule="auto"/>
                    <w:jc w:val="center"/>
                    <w:rPr>
                      <w:bCs/>
                      <w:color w:val="auto"/>
                      <w:szCs w:val="21"/>
                    </w:rPr>
                  </w:pPr>
                </w:p>
              </w:tc>
            </w:tr>
            <w:tr w14:paraId="5D3C0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 w:type="pct"/>
                  <w:vMerge w:val="continue"/>
                  <w:noWrap w:val="0"/>
                  <w:vAlign w:val="center"/>
                </w:tcPr>
                <w:p w14:paraId="7D88C700">
                  <w:pPr>
                    <w:widowControl/>
                    <w:adjustRightInd w:val="0"/>
                    <w:snapToGrid w:val="0"/>
                    <w:spacing w:line="240" w:lineRule="auto"/>
                    <w:jc w:val="center"/>
                    <w:rPr>
                      <w:bCs/>
                      <w:color w:val="auto"/>
                      <w:szCs w:val="21"/>
                    </w:rPr>
                  </w:pPr>
                </w:p>
              </w:tc>
              <w:tc>
                <w:tcPr>
                  <w:tcW w:w="944" w:type="pct"/>
                  <w:noWrap w:val="0"/>
                  <w:vAlign w:val="center"/>
                </w:tcPr>
                <w:p w14:paraId="614C2031">
                  <w:pPr>
                    <w:adjustRightInd w:val="0"/>
                    <w:snapToGrid w:val="0"/>
                    <w:spacing w:line="240" w:lineRule="auto"/>
                    <w:jc w:val="center"/>
                    <w:rPr>
                      <w:bCs/>
                      <w:color w:val="auto"/>
                      <w:szCs w:val="21"/>
                    </w:rPr>
                  </w:pPr>
                  <w:r>
                    <w:rPr>
                      <w:bCs/>
                      <w:color w:val="auto"/>
                      <w:szCs w:val="21"/>
                    </w:rPr>
                    <w:t>噪声防治措施</w:t>
                  </w:r>
                </w:p>
              </w:tc>
              <w:tc>
                <w:tcPr>
                  <w:tcW w:w="2012" w:type="pct"/>
                  <w:noWrap w:val="0"/>
                  <w:vAlign w:val="center"/>
                </w:tcPr>
                <w:p w14:paraId="53AFF8E7">
                  <w:pPr>
                    <w:adjustRightInd w:val="0"/>
                    <w:snapToGrid w:val="0"/>
                    <w:spacing w:line="240" w:lineRule="auto"/>
                    <w:jc w:val="center"/>
                    <w:rPr>
                      <w:bCs/>
                      <w:color w:val="auto"/>
                      <w:szCs w:val="21"/>
                    </w:rPr>
                  </w:pPr>
                  <w:r>
                    <w:rPr>
                      <w:bCs/>
                      <w:color w:val="auto"/>
                      <w:szCs w:val="21"/>
                    </w:rPr>
                    <w:t>低噪设备、减震基础等</w:t>
                  </w:r>
                </w:p>
              </w:tc>
              <w:tc>
                <w:tcPr>
                  <w:tcW w:w="950" w:type="pct"/>
                  <w:noWrap w:val="0"/>
                  <w:vAlign w:val="center"/>
                </w:tcPr>
                <w:p w14:paraId="47E45387">
                  <w:pPr>
                    <w:adjustRightInd w:val="0"/>
                    <w:snapToGrid w:val="0"/>
                    <w:spacing w:line="240" w:lineRule="auto"/>
                    <w:jc w:val="center"/>
                    <w:rPr>
                      <w:bCs/>
                      <w:color w:val="auto"/>
                      <w:szCs w:val="21"/>
                    </w:rPr>
                  </w:pPr>
                  <w:r>
                    <w:rPr>
                      <w:rFonts w:hint="eastAsia"/>
                      <w:bCs/>
                      <w:color w:val="auto"/>
                      <w:szCs w:val="21"/>
                    </w:rPr>
                    <w:t>1</w:t>
                  </w:r>
                </w:p>
              </w:tc>
              <w:tc>
                <w:tcPr>
                  <w:tcW w:w="780" w:type="pct"/>
                  <w:vMerge w:val="continue"/>
                  <w:noWrap w:val="0"/>
                  <w:vAlign w:val="center"/>
                </w:tcPr>
                <w:p w14:paraId="7F5E0740">
                  <w:pPr>
                    <w:adjustRightInd w:val="0"/>
                    <w:snapToGrid w:val="0"/>
                    <w:spacing w:line="240" w:lineRule="auto"/>
                    <w:jc w:val="center"/>
                    <w:rPr>
                      <w:bCs/>
                      <w:color w:val="auto"/>
                      <w:szCs w:val="21"/>
                    </w:rPr>
                  </w:pPr>
                </w:p>
              </w:tc>
            </w:tr>
            <w:tr w14:paraId="28A99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 w:type="pct"/>
                  <w:vMerge w:val="continue"/>
                  <w:noWrap w:val="0"/>
                  <w:vAlign w:val="center"/>
                </w:tcPr>
                <w:p w14:paraId="1D8EE6C4">
                  <w:pPr>
                    <w:widowControl/>
                    <w:adjustRightInd w:val="0"/>
                    <w:snapToGrid w:val="0"/>
                    <w:spacing w:line="240" w:lineRule="auto"/>
                    <w:jc w:val="center"/>
                    <w:rPr>
                      <w:bCs/>
                      <w:color w:val="auto"/>
                      <w:szCs w:val="21"/>
                    </w:rPr>
                  </w:pPr>
                </w:p>
              </w:tc>
              <w:tc>
                <w:tcPr>
                  <w:tcW w:w="944" w:type="pct"/>
                  <w:noWrap w:val="0"/>
                  <w:vAlign w:val="center"/>
                </w:tcPr>
                <w:p w14:paraId="5E5BBA7E">
                  <w:pPr>
                    <w:adjustRightInd w:val="0"/>
                    <w:snapToGrid w:val="0"/>
                    <w:spacing w:line="240" w:lineRule="auto"/>
                    <w:jc w:val="center"/>
                    <w:rPr>
                      <w:bCs/>
                      <w:color w:val="auto"/>
                      <w:szCs w:val="21"/>
                    </w:rPr>
                  </w:pPr>
                  <w:r>
                    <w:rPr>
                      <w:bCs/>
                      <w:color w:val="auto"/>
                      <w:szCs w:val="21"/>
                    </w:rPr>
                    <w:t>大气防治措施</w:t>
                  </w:r>
                </w:p>
              </w:tc>
              <w:tc>
                <w:tcPr>
                  <w:tcW w:w="2012" w:type="pct"/>
                  <w:noWrap w:val="0"/>
                  <w:vAlign w:val="center"/>
                </w:tcPr>
                <w:p w14:paraId="64DED96B">
                  <w:pPr>
                    <w:adjustRightInd w:val="0"/>
                    <w:snapToGrid w:val="0"/>
                    <w:spacing w:line="240" w:lineRule="auto"/>
                    <w:jc w:val="center"/>
                    <w:rPr>
                      <w:bCs/>
                      <w:color w:val="auto"/>
                      <w:szCs w:val="21"/>
                      <w:highlight w:val="yellow"/>
                    </w:rPr>
                  </w:pPr>
                  <w:r>
                    <w:rPr>
                      <w:bCs/>
                      <w:color w:val="auto"/>
                      <w:szCs w:val="21"/>
                    </w:rPr>
                    <w:t>洒水降尘、施工材料覆盖、施工围挡</w:t>
                  </w:r>
                </w:p>
              </w:tc>
              <w:tc>
                <w:tcPr>
                  <w:tcW w:w="950" w:type="pct"/>
                  <w:noWrap w:val="0"/>
                  <w:vAlign w:val="center"/>
                </w:tcPr>
                <w:p w14:paraId="6CC3B399">
                  <w:pPr>
                    <w:adjustRightInd w:val="0"/>
                    <w:snapToGrid w:val="0"/>
                    <w:spacing w:line="240" w:lineRule="auto"/>
                    <w:jc w:val="center"/>
                    <w:rPr>
                      <w:bCs/>
                      <w:color w:val="auto"/>
                      <w:szCs w:val="21"/>
                    </w:rPr>
                  </w:pPr>
                  <w:r>
                    <w:rPr>
                      <w:rFonts w:hint="eastAsia"/>
                      <w:bCs/>
                      <w:color w:val="auto"/>
                      <w:szCs w:val="21"/>
                      <w:lang w:val="en-US" w:eastAsia="zh-CN"/>
                    </w:rPr>
                    <w:t>15</w:t>
                  </w:r>
                  <w:r>
                    <w:rPr>
                      <w:bCs/>
                      <w:color w:val="auto"/>
                      <w:szCs w:val="21"/>
                    </w:rPr>
                    <w:t>.5</w:t>
                  </w:r>
                </w:p>
              </w:tc>
              <w:tc>
                <w:tcPr>
                  <w:tcW w:w="780" w:type="pct"/>
                  <w:vMerge w:val="continue"/>
                  <w:noWrap w:val="0"/>
                  <w:vAlign w:val="center"/>
                </w:tcPr>
                <w:p w14:paraId="5483CDDC">
                  <w:pPr>
                    <w:adjustRightInd w:val="0"/>
                    <w:snapToGrid w:val="0"/>
                    <w:spacing w:line="240" w:lineRule="auto"/>
                    <w:jc w:val="center"/>
                    <w:rPr>
                      <w:bCs/>
                      <w:color w:val="auto"/>
                      <w:szCs w:val="21"/>
                    </w:rPr>
                  </w:pPr>
                </w:p>
              </w:tc>
            </w:tr>
            <w:tr w14:paraId="4A19D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12" w:type="pct"/>
                  <w:vMerge w:val="continue"/>
                  <w:noWrap w:val="0"/>
                  <w:vAlign w:val="center"/>
                </w:tcPr>
                <w:p w14:paraId="24A2F131">
                  <w:pPr>
                    <w:widowControl/>
                    <w:adjustRightInd w:val="0"/>
                    <w:snapToGrid w:val="0"/>
                    <w:spacing w:line="240" w:lineRule="auto"/>
                    <w:jc w:val="center"/>
                    <w:rPr>
                      <w:bCs/>
                      <w:color w:val="auto"/>
                      <w:szCs w:val="21"/>
                    </w:rPr>
                  </w:pPr>
                </w:p>
              </w:tc>
              <w:tc>
                <w:tcPr>
                  <w:tcW w:w="944" w:type="pct"/>
                  <w:noWrap w:val="0"/>
                  <w:vAlign w:val="center"/>
                </w:tcPr>
                <w:p w14:paraId="188A534E">
                  <w:pPr>
                    <w:adjustRightInd w:val="0"/>
                    <w:snapToGrid w:val="0"/>
                    <w:spacing w:line="240" w:lineRule="auto"/>
                    <w:jc w:val="center"/>
                    <w:rPr>
                      <w:bCs/>
                      <w:color w:val="auto"/>
                      <w:szCs w:val="21"/>
                    </w:rPr>
                  </w:pPr>
                  <w:r>
                    <w:rPr>
                      <w:bCs/>
                      <w:color w:val="auto"/>
                      <w:szCs w:val="21"/>
                    </w:rPr>
                    <w:t>生态防治措施</w:t>
                  </w:r>
                </w:p>
              </w:tc>
              <w:tc>
                <w:tcPr>
                  <w:tcW w:w="2012" w:type="pct"/>
                  <w:noWrap w:val="0"/>
                  <w:vAlign w:val="center"/>
                </w:tcPr>
                <w:p w14:paraId="65E3CDE8">
                  <w:pPr>
                    <w:adjustRightInd w:val="0"/>
                    <w:snapToGrid w:val="0"/>
                    <w:spacing w:line="240" w:lineRule="auto"/>
                    <w:jc w:val="center"/>
                    <w:rPr>
                      <w:rFonts w:hint="eastAsia"/>
                      <w:bCs/>
                      <w:color w:val="auto"/>
                      <w:szCs w:val="21"/>
                    </w:rPr>
                  </w:pPr>
                  <w:r>
                    <w:rPr>
                      <w:bCs/>
                      <w:color w:val="auto"/>
                      <w:szCs w:val="21"/>
                    </w:rPr>
                    <w:t>线路沿线、临时施工场地和</w:t>
                  </w:r>
                  <w:r>
                    <w:rPr>
                      <w:rFonts w:hint="eastAsia"/>
                      <w:bCs/>
                      <w:color w:val="auto"/>
                      <w:szCs w:val="21"/>
                      <w:lang w:eastAsia="zh-CN"/>
                    </w:rPr>
                    <w:t>生态保护红线</w:t>
                  </w:r>
                  <w:r>
                    <w:rPr>
                      <w:bCs/>
                      <w:color w:val="auto"/>
                      <w:szCs w:val="21"/>
                    </w:rPr>
                    <w:t>区植被恢复：迹地恢复、播撒草籽、种植本土树种植被恢复</w:t>
                  </w:r>
                  <w:r>
                    <w:rPr>
                      <w:rFonts w:hint="eastAsia"/>
                      <w:bCs/>
                      <w:color w:val="auto"/>
                      <w:szCs w:val="21"/>
                    </w:rPr>
                    <w:t>等</w:t>
                  </w:r>
                </w:p>
              </w:tc>
              <w:tc>
                <w:tcPr>
                  <w:tcW w:w="950" w:type="pct"/>
                  <w:noWrap w:val="0"/>
                  <w:vAlign w:val="center"/>
                </w:tcPr>
                <w:p w14:paraId="7241E094">
                  <w:pPr>
                    <w:adjustRightInd w:val="0"/>
                    <w:snapToGrid w:val="0"/>
                    <w:spacing w:line="240" w:lineRule="auto"/>
                    <w:jc w:val="center"/>
                    <w:rPr>
                      <w:rFonts w:hint="default"/>
                      <w:bCs/>
                      <w:color w:val="auto"/>
                      <w:szCs w:val="21"/>
                      <w:lang w:val="en-US"/>
                    </w:rPr>
                  </w:pPr>
                  <w:r>
                    <w:rPr>
                      <w:rFonts w:hint="eastAsia"/>
                      <w:bCs/>
                      <w:color w:val="auto"/>
                      <w:szCs w:val="21"/>
                      <w:lang w:val="en-US" w:eastAsia="zh-CN"/>
                    </w:rPr>
                    <w:t>58</w:t>
                  </w:r>
                </w:p>
              </w:tc>
              <w:tc>
                <w:tcPr>
                  <w:tcW w:w="780" w:type="pct"/>
                  <w:vMerge w:val="continue"/>
                  <w:noWrap w:val="0"/>
                  <w:vAlign w:val="center"/>
                </w:tcPr>
                <w:p w14:paraId="60BA378C">
                  <w:pPr>
                    <w:adjustRightInd w:val="0"/>
                    <w:snapToGrid w:val="0"/>
                    <w:spacing w:line="240" w:lineRule="auto"/>
                    <w:jc w:val="center"/>
                    <w:rPr>
                      <w:bCs/>
                      <w:color w:val="auto"/>
                      <w:szCs w:val="21"/>
                    </w:rPr>
                  </w:pPr>
                </w:p>
              </w:tc>
            </w:tr>
            <w:tr w14:paraId="43E06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 w:type="pct"/>
                  <w:vMerge w:val="restart"/>
                  <w:noWrap w:val="0"/>
                  <w:vAlign w:val="center"/>
                </w:tcPr>
                <w:p w14:paraId="567F2679">
                  <w:pPr>
                    <w:widowControl/>
                    <w:adjustRightInd w:val="0"/>
                    <w:snapToGrid w:val="0"/>
                    <w:spacing w:line="240" w:lineRule="auto"/>
                    <w:jc w:val="center"/>
                    <w:rPr>
                      <w:bCs/>
                      <w:color w:val="auto"/>
                      <w:szCs w:val="21"/>
                    </w:rPr>
                  </w:pPr>
                  <w:r>
                    <w:rPr>
                      <w:bCs/>
                      <w:color w:val="auto"/>
                      <w:szCs w:val="21"/>
                    </w:rPr>
                    <w:t>运营期</w:t>
                  </w:r>
                </w:p>
              </w:tc>
              <w:tc>
                <w:tcPr>
                  <w:tcW w:w="944" w:type="pct"/>
                  <w:noWrap w:val="0"/>
                  <w:vAlign w:val="center"/>
                </w:tcPr>
                <w:p w14:paraId="1FE00DF9">
                  <w:pPr>
                    <w:adjustRightInd w:val="0"/>
                    <w:snapToGrid w:val="0"/>
                    <w:spacing w:line="240" w:lineRule="auto"/>
                    <w:jc w:val="center"/>
                    <w:rPr>
                      <w:bCs/>
                      <w:color w:val="auto"/>
                      <w:szCs w:val="21"/>
                    </w:rPr>
                  </w:pPr>
                  <w:r>
                    <w:rPr>
                      <w:bCs/>
                      <w:color w:val="auto"/>
                      <w:szCs w:val="21"/>
                    </w:rPr>
                    <w:t>风险防治措施</w:t>
                  </w:r>
                </w:p>
              </w:tc>
              <w:tc>
                <w:tcPr>
                  <w:tcW w:w="2012" w:type="pct"/>
                  <w:noWrap w:val="0"/>
                  <w:vAlign w:val="center"/>
                </w:tcPr>
                <w:p w14:paraId="6E8ADC00">
                  <w:pPr>
                    <w:adjustRightInd w:val="0"/>
                    <w:snapToGrid w:val="0"/>
                    <w:spacing w:line="240" w:lineRule="auto"/>
                    <w:jc w:val="center"/>
                    <w:rPr>
                      <w:bCs/>
                      <w:color w:val="auto"/>
                      <w:szCs w:val="21"/>
                    </w:rPr>
                  </w:pPr>
                  <w:r>
                    <w:rPr>
                      <w:bCs/>
                      <w:color w:val="auto"/>
                      <w:szCs w:val="21"/>
                    </w:rPr>
                    <w:t>警示牌</w:t>
                  </w:r>
                </w:p>
              </w:tc>
              <w:tc>
                <w:tcPr>
                  <w:tcW w:w="950" w:type="pct"/>
                  <w:noWrap w:val="0"/>
                  <w:vAlign w:val="center"/>
                </w:tcPr>
                <w:p w14:paraId="4B0CB2C8">
                  <w:pPr>
                    <w:adjustRightInd w:val="0"/>
                    <w:snapToGrid w:val="0"/>
                    <w:spacing w:line="240" w:lineRule="auto"/>
                    <w:jc w:val="center"/>
                    <w:rPr>
                      <w:bCs/>
                      <w:color w:val="auto"/>
                      <w:szCs w:val="21"/>
                    </w:rPr>
                  </w:pPr>
                  <w:r>
                    <w:rPr>
                      <w:rFonts w:hint="eastAsia"/>
                      <w:bCs/>
                      <w:color w:val="auto"/>
                      <w:szCs w:val="21"/>
                    </w:rPr>
                    <w:t>1</w:t>
                  </w:r>
                </w:p>
              </w:tc>
              <w:tc>
                <w:tcPr>
                  <w:tcW w:w="780" w:type="pct"/>
                  <w:vMerge w:val="continue"/>
                  <w:noWrap w:val="0"/>
                  <w:vAlign w:val="center"/>
                </w:tcPr>
                <w:p w14:paraId="43A2343D">
                  <w:pPr>
                    <w:adjustRightInd w:val="0"/>
                    <w:snapToGrid w:val="0"/>
                    <w:spacing w:line="240" w:lineRule="auto"/>
                    <w:jc w:val="center"/>
                    <w:rPr>
                      <w:bCs/>
                      <w:color w:val="auto"/>
                      <w:szCs w:val="21"/>
                    </w:rPr>
                  </w:pPr>
                </w:p>
              </w:tc>
            </w:tr>
            <w:tr w14:paraId="44EB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 w:type="pct"/>
                  <w:vMerge w:val="continue"/>
                  <w:noWrap w:val="0"/>
                  <w:vAlign w:val="center"/>
                </w:tcPr>
                <w:p w14:paraId="18BE2866">
                  <w:pPr>
                    <w:widowControl/>
                    <w:adjustRightInd w:val="0"/>
                    <w:snapToGrid w:val="0"/>
                    <w:spacing w:line="240" w:lineRule="auto"/>
                    <w:jc w:val="center"/>
                    <w:rPr>
                      <w:bCs/>
                      <w:color w:val="auto"/>
                      <w:szCs w:val="21"/>
                    </w:rPr>
                  </w:pPr>
                </w:p>
              </w:tc>
              <w:tc>
                <w:tcPr>
                  <w:tcW w:w="944" w:type="pct"/>
                  <w:vMerge w:val="restart"/>
                  <w:noWrap w:val="0"/>
                  <w:vAlign w:val="center"/>
                </w:tcPr>
                <w:p w14:paraId="0C1A7FB7">
                  <w:pPr>
                    <w:adjustRightInd w:val="0"/>
                    <w:snapToGrid w:val="0"/>
                    <w:spacing w:line="240" w:lineRule="auto"/>
                    <w:jc w:val="center"/>
                    <w:rPr>
                      <w:bCs/>
                      <w:color w:val="auto"/>
                      <w:szCs w:val="21"/>
                    </w:rPr>
                  </w:pPr>
                  <w:r>
                    <w:rPr>
                      <w:bCs/>
                      <w:color w:val="auto"/>
                      <w:szCs w:val="21"/>
                    </w:rPr>
                    <w:t>生态防治措施</w:t>
                  </w:r>
                </w:p>
              </w:tc>
              <w:tc>
                <w:tcPr>
                  <w:tcW w:w="2012" w:type="pct"/>
                  <w:noWrap w:val="0"/>
                  <w:vAlign w:val="center"/>
                </w:tcPr>
                <w:p w14:paraId="77F52DEE">
                  <w:pPr>
                    <w:adjustRightInd w:val="0"/>
                    <w:snapToGrid w:val="0"/>
                    <w:spacing w:line="240" w:lineRule="auto"/>
                    <w:jc w:val="center"/>
                    <w:rPr>
                      <w:bCs/>
                      <w:color w:val="auto"/>
                      <w:szCs w:val="21"/>
                    </w:rPr>
                  </w:pPr>
                  <w:r>
                    <w:rPr>
                      <w:bCs/>
                      <w:color w:val="auto"/>
                      <w:szCs w:val="21"/>
                    </w:rPr>
                    <w:t>环境培训与宣传费</w:t>
                  </w:r>
                </w:p>
              </w:tc>
              <w:tc>
                <w:tcPr>
                  <w:tcW w:w="950" w:type="pct"/>
                  <w:noWrap w:val="0"/>
                  <w:vAlign w:val="center"/>
                </w:tcPr>
                <w:p w14:paraId="34C4F118">
                  <w:pPr>
                    <w:adjustRightInd w:val="0"/>
                    <w:snapToGrid w:val="0"/>
                    <w:spacing w:line="240" w:lineRule="auto"/>
                    <w:jc w:val="center"/>
                    <w:rPr>
                      <w:rFonts w:hint="eastAsia"/>
                      <w:bCs/>
                      <w:color w:val="auto"/>
                      <w:szCs w:val="21"/>
                    </w:rPr>
                  </w:pPr>
                  <w:r>
                    <w:rPr>
                      <w:rFonts w:hint="eastAsia"/>
                      <w:bCs/>
                      <w:color w:val="auto"/>
                      <w:szCs w:val="21"/>
                    </w:rPr>
                    <w:t>2</w:t>
                  </w:r>
                </w:p>
              </w:tc>
              <w:tc>
                <w:tcPr>
                  <w:tcW w:w="780" w:type="pct"/>
                  <w:vMerge w:val="continue"/>
                  <w:noWrap w:val="0"/>
                  <w:vAlign w:val="center"/>
                </w:tcPr>
                <w:p w14:paraId="5AADC58E">
                  <w:pPr>
                    <w:adjustRightInd w:val="0"/>
                    <w:snapToGrid w:val="0"/>
                    <w:spacing w:line="240" w:lineRule="auto"/>
                    <w:jc w:val="center"/>
                    <w:rPr>
                      <w:bCs/>
                      <w:color w:val="auto"/>
                      <w:szCs w:val="21"/>
                    </w:rPr>
                  </w:pPr>
                </w:p>
              </w:tc>
            </w:tr>
            <w:tr w14:paraId="5360B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 w:type="pct"/>
                  <w:vMerge w:val="continue"/>
                  <w:noWrap w:val="0"/>
                  <w:vAlign w:val="center"/>
                </w:tcPr>
                <w:p w14:paraId="5AD6D935">
                  <w:pPr>
                    <w:widowControl/>
                    <w:adjustRightInd w:val="0"/>
                    <w:snapToGrid w:val="0"/>
                    <w:spacing w:line="240" w:lineRule="auto"/>
                    <w:jc w:val="center"/>
                    <w:rPr>
                      <w:bCs/>
                      <w:color w:val="auto"/>
                      <w:szCs w:val="21"/>
                    </w:rPr>
                  </w:pPr>
                </w:p>
              </w:tc>
              <w:tc>
                <w:tcPr>
                  <w:tcW w:w="944" w:type="pct"/>
                  <w:vMerge w:val="continue"/>
                  <w:noWrap w:val="0"/>
                  <w:vAlign w:val="center"/>
                </w:tcPr>
                <w:p w14:paraId="41614303">
                  <w:pPr>
                    <w:adjustRightInd w:val="0"/>
                    <w:snapToGrid w:val="0"/>
                    <w:spacing w:line="240" w:lineRule="auto"/>
                    <w:jc w:val="center"/>
                    <w:rPr>
                      <w:bCs/>
                      <w:color w:val="auto"/>
                      <w:szCs w:val="21"/>
                    </w:rPr>
                  </w:pPr>
                </w:p>
              </w:tc>
              <w:tc>
                <w:tcPr>
                  <w:tcW w:w="2012" w:type="pct"/>
                  <w:noWrap w:val="0"/>
                  <w:vAlign w:val="center"/>
                </w:tcPr>
                <w:p w14:paraId="2310C596">
                  <w:pPr>
                    <w:adjustRightInd w:val="0"/>
                    <w:snapToGrid w:val="0"/>
                    <w:spacing w:line="240" w:lineRule="auto"/>
                    <w:jc w:val="center"/>
                    <w:rPr>
                      <w:bCs/>
                      <w:color w:val="auto"/>
                      <w:szCs w:val="21"/>
                    </w:rPr>
                  </w:pPr>
                  <w:r>
                    <w:rPr>
                      <w:bCs/>
                      <w:color w:val="auto"/>
                      <w:szCs w:val="21"/>
                    </w:rPr>
                    <w:t>生态防护警示牌</w:t>
                  </w:r>
                </w:p>
              </w:tc>
              <w:tc>
                <w:tcPr>
                  <w:tcW w:w="950" w:type="pct"/>
                  <w:noWrap w:val="0"/>
                  <w:vAlign w:val="center"/>
                </w:tcPr>
                <w:p w14:paraId="6BED863C">
                  <w:pPr>
                    <w:adjustRightInd w:val="0"/>
                    <w:snapToGrid w:val="0"/>
                    <w:spacing w:line="240" w:lineRule="auto"/>
                    <w:jc w:val="center"/>
                    <w:rPr>
                      <w:rFonts w:hint="eastAsia" w:eastAsia="宋体"/>
                      <w:bCs/>
                      <w:color w:val="auto"/>
                      <w:szCs w:val="21"/>
                      <w:lang w:eastAsia="zh-CN"/>
                    </w:rPr>
                  </w:pPr>
                  <w:r>
                    <w:rPr>
                      <w:rFonts w:hint="eastAsia"/>
                      <w:bCs/>
                      <w:color w:val="auto"/>
                      <w:szCs w:val="21"/>
                      <w:lang w:val="en-US" w:eastAsia="zh-CN"/>
                    </w:rPr>
                    <w:t>5</w:t>
                  </w:r>
                </w:p>
              </w:tc>
              <w:tc>
                <w:tcPr>
                  <w:tcW w:w="780" w:type="pct"/>
                  <w:vMerge w:val="continue"/>
                  <w:noWrap w:val="0"/>
                  <w:vAlign w:val="center"/>
                </w:tcPr>
                <w:p w14:paraId="7A4D8D80">
                  <w:pPr>
                    <w:adjustRightInd w:val="0"/>
                    <w:snapToGrid w:val="0"/>
                    <w:spacing w:line="240" w:lineRule="auto"/>
                    <w:jc w:val="center"/>
                    <w:rPr>
                      <w:bCs/>
                      <w:color w:val="auto"/>
                      <w:szCs w:val="21"/>
                    </w:rPr>
                  </w:pPr>
                </w:p>
              </w:tc>
            </w:tr>
            <w:tr w14:paraId="4F23F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 w:type="pct"/>
                  <w:vMerge w:val="continue"/>
                  <w:noWrap w:val="0"/>
                  <w:vAlign w:val="center"/>
                </w:tcPr>
                <w:p w14:paraId="4A807438">
                  <w:pPr>
                    <w:widowControl/>
                    <w:adjustRightInd w:val="0"/>
                    <w:snapToGrid w:val="0"/>
                    <w:spacing w:line="240" w:lineRule="auto"/>
                    <w:jc w:val="center"/>
                    <w:rPr>
                      <w:bCs/>
                      <w:color w:val="auto"/>
                      <w:szCs w:val="21"/>
                    </w:rPr>
                  </w:pPr>
                </w:p>
              </w:tc>
              <w:tc>
                <w:tcPr>
                  <w:tcW w:w="944" w:type="pct"/>
                  <w:noWrap w:val="0"/>
                  <w:vAlign w:val="center"/>
                </w:tcPr>
                <w:p w14:paraId="6C6C5369">
                  <w:pPr>
                    <w:adjustRightInd w:val="0"/>
                    <w:snapToGrid w:val="0"/>
                    <w:spacing w:line="240" w:lineRule="auto"/>
                    <w:jc w:val="center"/>
                    <w:rPr>
                      <w:bCs/>
                      <w:color w:val="auto"/>
                      <w:szCs w:val="21"/>
                    </w:rPr>
                  </w:pPr>
                  <w:r>
                    <w:rPr>
                      <w:rFonts w:hint="eastAsia"/>
                      <w:bCs/>
                      <w:color w:val="auto"/>
                      <w:szCs w:val="21"/>
                    </w:rPr>
                    <w:t>电磁防治措施</w:t>
                  </w:r>
                </w:p>
              </w:tc>
              <w:tc>
                <w:tcPr>
                  <w:tcW w:w="2012" w:type="pct"/>
                  <w:noWrap w:val="0"/>
                  <w:vAlign w:val="center"/>
                </w:tcPr>
                <w:p w14:paraId="0B37A2FD">
                  <w:pPr>
                    <w:adjustRightInd w:val="0"/>
                    <w:snapToGrid w:val="0"/>
                    <w:spacing w:line="240" w:lineRule="auto"/>
                    <w:jc w:val="center"/>
                    <w:rPr>
                      <w:rFonts w:hint="eastAsia"/>
                      <w:bCs/>
                      <w:color w:val="auto"/>
                      <w:szCs w:val="21"/>
                    </w:rPr>
                  </w:pPr>
                  <w:r>
                    <w:rPr>
                      <w:bCs/>
                      <w:color w:val="auto"/>
                      <w:szCs w:val="21"/>
                    </w:rPr>
                    <w:t>电磁环境及环境法律知识培训</w:t>
                  </w:r>
                  <w:r>
                    <w:rPr>
                      <w:rFonts w:hint="eastAsia"/>
                      <w:bCs/>
                      <w:color w:val="auto"/>
                      <w:szCs w:val="21"/>
                    </w:rPr>
                    <w:t>等</w:t>
                  </w:r>
                </w:p>
              </w:tc>
              <w:tc>
                <w:tcPr>
                  <w:tcW w:w="950" w:type="pct"/>
                  <w:noWrap w:val="0"/>
                  <w:vAlign w:val="center"/>
                </w:tcPr>
                <w:p w14:paraId="370F36DC">
                  <w:pPr>
                    <w:adjustRightInd w:val="0"/>
                    <w:snapToGrid w:val="0"/>
                    <w:spacing w:line="240" w:lineRule="auto"/>
                    <w:jc w:val="center"/>
                    <w:rPr>
                      <w:bCs/>
                      <w:color w:val="auto"/>
                      <w:szCs w:val="21"/>
                    </w:rPr>
                  </w:pPr>
                  <w:r>
                    <w:rPr>
                      <w:rFonts w:hint="eastAsia"/>
                      <w:bCs/>
                      <w:color w:val="auto"/>
                      <w:szCs w:val="21"/>
                    </w:rPr>
                    <w:t>2</w:t>
                  </w:r>
                </w:p>
              </w:tc>
              <w:tc>
                <w:tcPr>
                  <w:tcW w:w="780" w:type="pct"/>
                  <w:vMerge w:val="continue"/>
                  <w:noWrap w:val="0"/>
                  <w:vAlign w:val="center"/>
                </w:tcPr>
                <w:p w14:paraId="4747CB46">
                  <w:pPr>
                    <w:adjustRightInd w:val="0"/>
                    <w:snapToGrid w:val="0"/>
                    <w:spacing w:line="240" w:lineRule="auto"/>
                    <w:jc w:val="center"/>
                    <w:rPr>
                      <w:bCs/>
                      <w:color w:val="auto"/>
                      <w:szCs w:val="21"/>
                    </w:rPr>
                  </w:pPr>
                </w:p>
              </w:tc>
            </w:tr>
            <w:tr w14:paraId="2C71B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jc w:val="center"/>
              </w:trPr>
              <w:tc>
                <w:tcPr>
                  <w:tcW w:w="1257" w:type="pct"/>
                  <w:gridSpan w:val="2"/>
                  <w:vMerge w:val="restart"/>
                  <w:noWrap w:val="0"/>
                  <w:vAlign w:val="center"/>
                </w:tcPr>
                <w:p w14:paraId="0FF369A1">
                  <w:pPr>
                    <w:adjustRightInd w:val="0"/>
                    <w:snapToGrid w:val="0"/>
                    <w:spacing w:line="240" w:lineRule="auto"/>
                    <w:jc w:val="center"/>
                    <w:rPr>
                      <w:bCs/>
                      <w:color w:val="auto"/>
                      <w:szCs w:val="21"/>
                    </w:rPr>
                  </w:pPr>
                  <w:r>
                    <w:rPr>
                      <w:bCs/>
                      <w:color w:val="auto"/>
                      <w:szCs w:val="21"/>
                    </w:rPr>
                    <w:t>其他</w:t>
                  </w:r>
                </w:p>
              </w:tc>
              <w:tc>
                <w:tcPr>
                  <w:tcW w:w="2012" w:type="pct"/>
                  <w:noWrap w:val="0"/>
                  <w:vAlign w:val="center"/>
                </w:tcPr>
                <w:p w14:paraId="2790E47D">
                  <w:pPr>
                    <w:adjustRightInd w:val="0"/>
                    <w:snapToGrid w:val="0"/>
                    <w:spacing w:line="240" w:lineRule="auto"/>
                    <w:jc w:val="center"/>
                    <w:rPr>
                      <w:color w:val="auto"/>
                      <w:szCs w:val="21"/>
                    </w:rPr>
                  </w:pPr>
                  <w:r>
                    <w:rPr>
                      <w:color w:val="auto"/>
                      <w:szCs w:val="21"/>
                    </w:rPr>
                    <w:t>环境影响评价、竣工环境保护验收调查</w:t>
                  </w:r>
                </w:p>
              </w:tc>
              <w:tc>
                <w:tcPr>
                  <w:tcW w:w="950" w:type="pct"/>
                  <w:noWrap w:val="0"/>
                  <w:vAlign w:val="center"/>
                </w:tcPr>
                <w:p w14:paraId="14D1D574">
                  <w:pPr>
                    <w:adjustRightInd w:val="0"/>
                    <w:snapToGrid w:val="0"/>
                    <w:spacing w:line="240" w:lineRule="auto"/>
                    <w:jc w:val="center"/>
                    <w:rPr>
                      <w:bCs/>
                      <w:color w:val="auto"/>
                      <w:szCs w:val="21"/>
                    </w:rPr>
                  </w:pPr>
                  <w:r>
                    <w:rPr>
                      <w:rFonts w:hint="eastAsia"/>
                      <w:bCs/>
                      <w:color w:val="auto"/>
                      <w:szCs w:val="21"/>
                    </w:rPr>
                    <w:t>12</w:t>
                  </w:r>
                </w:p>
              </w:tc>
              <w:tc>
                <w:tcPr>
                  <w:tcW w:w="780" w:type="pct"/>
                  <w:vMerge w:val="continue"/>
                  <w:noWrap w:val="0"/>
                  <w:vAlign w:val="center"/>
                </w:tcPr>
                <w:p w14:paraId="613D5D38">
                  <w:pPr>
                    <w:adjustRightInd w:val="0"/>
                    <w:snapToGrid w:val="0"/>
                    <w:spacing w:line="240" w:lineRule="auto"/>
                    <w:jc w:val="center"/>
                    <w:rPr>
                      <w:bCs/>
                      <w:color w:val="auto"/>
                      <w:szCs w:val="21"/>
                    </w:rPr>
                  </w:pPr>
                </w:p>
              </w:tc>
            </w:tr>
            <w:tr w14:paraId="1BE4C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7" w:type="pct"/>
                  <w:gridSpan w:val="2"/>
                  <w:vMerge w:val="continue"/>
                  <w:noWrap w:val="0"/>
                  <w:vAlign w:val="center"/>
                </w:tcPr>
                <w:p w14:paraId="4F74464A">
                  <w:pPr>
                    <w:adjustRightInd w:val="0"/>
                    <w:snapToGrid w:val="0"/>
                    <w:spacing w:line="240" w:lineRule="auto"/>
                    <w:jc w:val="center"/>
                    <w:rPr>
                      <w:bCs/>
                      <w:color w:val="auto"/>
                      <w:szCs w:val="21"/>
                    </w:rPr>
                  </w:pPr>
                </w:p>
              </w:tc>
              <w:tc>
                <w:tcPr>
                  <w:tcW w:w="2012" w:type="pct"/>
                  <w:noWrap w:val="0"/>
                  <w:vAlign w:val="center"/>
                </w:tcPr>
                <w:p w14:paraId="71CF6257">
                  <w:pPr>
                    <w:adjustRightInd w:val="0"/>
                    <w:snapToGrid w:val="0"/>
                    <w:spacing w:line="240" w:lineRule="auto"/>
                    <w:jc w:val="center"/>
                    <w:rPr>
                      <w:color w:val="auto"/>
                      <w:szCs w:val="21"/>
                    </w:rPr>
                  </w:pPr>
                  <w:r>
                    <w:rPr>
                      <w:color w:val="auto"/>
                      <w:szCs w:val="21"/>
                    </w:rPr>
                    <w:t>运行维护、环境管理与监测费用</w:t>
                  </w:r>
                </w:p>
              </w:tc>
              <w:tc>
                <w:tcPr>
                  <w:tcW w:w="950" w:type="pct"/>
                  <w:noWrap w:val="0"/>
                  <w:vAlign w:val="center"/>
                </w:tcPr>
                <w:p w14:paraId="2011D787">
                  <w:pPr>
                    <w:adjustRightInd w:val="0"/>
                    <w:snapToGrid w:val="0"/>
                    <w:spacing w:line="240" w:lineRule="auto"/>
                    <w:jc w:val="center"/>
                    <w:rPr>
                      <w:rFonts w:hint="default" w:eastAsia="宋体"/>
                      <w:bCs/>
                      <w:color w:val="auto"/>
                      <w:szCs w:val="21"/>
                      <w:lang w:val="en-US" w:eastAsia="zh-CN"/>
                    </w:rPr>
                  </w:pPr>
                  <w:r>
                    <w:rPr>
                      <w:rFonts w:hint="eastAsia"/>
                      <w:bCs/>
                      <w:color w:val="auto"/>
                      <w:szCs w:val="21"/>
                      <w:lang w:val="en-US" w:eastAsia="zh-CN"/>
                    </w:rPr>
                    <w:t>20</w:t>
                  </w:r>
                </w:p>
              </w:tc>
              <w:tc>
                <w:tcPr>
                  <w:tcW w:w="780" w:type="pct"/>
                  <w:vMerge w:val="continue"/>
                  <w:noWrap w:val="0"/>
                  <w:vAlign w:val="center"/>
                </w:tcPr>
                <w:p w14:paraId="733C6C25">
                  <w:pPr>
                    <w:adjustRightInd w:val="0"/>
                    <w:snapToGrid w:val="0"/>
                    <w:spacing w:line="240" w:lineRule="auto"/>
                    <w:jc w:val="center"/>
                    <w:rPr>
                      <w:bCs/>
                      <w:color w:val="auto"/>
                      <w:szCs w:val="21"/>
                    </w:rPr>
                  </w:pPr>
                </w:p>
              </w:tc>
            </w:tr>
            <w:tr w14:paraId="43FE5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9" w:type="pct"/>
                  <w:gridSpan w:val="3"/>
                  <w:noWrap w:val="0"/>
                  <w:vAlign w:val="center"/>
                </w:tcPr>
                <w:p w14:paraId="23F5CAF4">
                  <w:pPr>
                    <w:adjustRightInd w:val="0"/>
                    <w:snapToGrid w:val="0"/>
                    <w:spacing w:line="240" w:lineRule="auto"/>
                    <w:jc w:val="center"/>
                    <w:rPr>
                      <w:rFonts w:hint="eastAsia"/>
                      <w:color w:val="auto"/>
                      <w:szCs w:val="21"/>
                    </w:rPr>
                  </w:pPr>
                  <w:r>
                    <w:rPr>
                      <w:rFonts w:hint="eastAsia"/>
                      <w:color w:val="auto"/>
                      <w:szCs w:val="21"/>
                    </w:rPr>
                    <w:t>合计</w:t>
                  </w:r>
                </w:p>
              </w:tc>
              <w:tc>
                <w:tcPr>
                  <w:tcW w:w="950" w:type="pct"/>
                  <w:noWrap w:val="0"/>
                  <w:vAlign w:val="center"/>
                </w:tcPr>
                <w:p w14:paraId="3DDC87A2">
                  <w:pPr>
                    <w:adjustRightInd w:val="0"/>
                    <w:snapToGrid w:val="0"/>
                    <w:spacing w:line="240" w:lineRule="auto"/>
                    <w:jc w:val="center"/>
                    <w:rPr>
                      <w:rFonts w:hint="default" w:eastAsia="宋体"/>
                      <w:bCs/>
                      <w:color w:val="auto"/>
                      <w:szCs w:val="21"/>
                      <w:lang w:val="en-US" w:eastAsia="zh-CN"/>
                    </w:rPr>
                  </w:pPr>
                  <w:r>
                    <w:rPr>
                      <w:rFonts w:hint="eastAsia"/>
                      <w:bCs/>
                      <w:color w:val="auto"/>
                      <w:szCs w:val="21"/>
                      <w:lang w:val="en-US" w:eastAsia="zh-CN"/>
                    </w:rPr>
                    <w:t>137.5</w:t>
                  </w:r>
                </w:p>
              </w:tc>
              <w:tc>
                <w:tcPr>
                  <w:tcW w:w="780" w:type="pct"/>
                  <w:noWrap w:val="0"/>
                  <w:vAlign w:val="center"/>
                </w:tcPr>
                <w:p w14:paraId="75999B17">
                  <w:pPr>
                    <w:adjustRightInd w:val="0"/>
                    <w:snapToGrid w:val="0"/>
                    <w:spacing w:line="240" w:lineRule="auto"/>
                    <w:jc w:val="center"/>
                    <w:rPr>
                      <w:bCs/>
                      <w:color w:val="auto"/>
                      <w:szCs w:val="21"/>
                    </w:rPr>
                  </w:pPr>
                </w:p>
              </w:tc>
            </w:tr>
          </w:tbl>
          <w:p w14:paraId="29B9DDD9">
            <w:pPr>
              <w:rPr>
                <w:bCs/>
                <w:color w:val="auto"/>
                <w:spacing w:val="10"/>
                <w:sz w:val="24"/>
              </w:rPr>
            </w:pPr>
          </w:p>
        </w:tc>
      </w:tr>
    </w:tbl>
    <w:p w14:paraId="128A0276">
      <w:pPr>
        <w:pStyle w:val="25"/>
        <w:spacing w:before="0" w:beforeAutospacing="0" w:after="0" w:afterAutospacing="0"/>
        <w:jc w:val="center"/>
        <w:outlineLvl w:val="0"/>
        <w:rPr>
          <w:rFonts w:ascii="Times New Roman" w:hAnsi="Times New Roman"/>
          <w:b/>
          <w:snapToGrid w:val="0"/>
          <w:color w:val="auto"/>
          <w:sz w:val="30"/>
          <w:szCs w:val="30"/>
        </w:rPr>
        <w:sectPr>
          <w:pgSz w:w="11906" w:h="16838"/>
          <w:pgMar w:top="1440" w:right="1684" w:bottom="1440" w:left="1684" w:header="794" w:footer="851" w:gutter="0"/>
          <w:pgBorders>
            <w:top w:val="none" w:sz="0" w:space="0"/>
            <w:left w:val="none" w:sz="0" w:space="0"/>
            <w:bottom w:val="none" w:sz="0" w:space="0"/>
            <w:right w:val="none" w:sz="0" w:space="0"/>
          </w:pgBorders>
          <w:pgNumType w:fmt="decimal"/>
          <w:cols w:space="720" w:num="1"/>
          <w:docGrid w:linePitch="312" w:charSpace="0"/>
        </w:sectPr>
      </w:pPr>
    </w:p>
    <w:p w14:paraId="6372221D">
      <w:pPr>
        <w:pStyle w:val="25"/>
        <w:spacing w:before="0" w:beforeAutospacing="0" w:after="0" w:afterAutospacing="0" w:line="240" w:lineRule="auto"/>
        <w:jc w:val="center"/>
        <w:outlineLvl w:val="0"/>
        <w:rPr>
          <w:rFonts w:ascii="Times New Roman" w:hAnsi="Times New Roman"/>
          <w:b/>
          <w:snapToGrid w:val="0"/>
          <w:color w:val="auto"/>
          <w:sz w:val="30"/>
          <w:szCs w:val="30"/>
        </w:rPr>
      </w:pPr>
      <w:bookmarkStart w:id="64" w:name="_Toc1286"/>
      <w:bookmarkStart w:id="65" w:name="_Toc20705"/>
      <w:r>
        <w:rPr>
          <w:rFonts w:ascii="Times New Roman" w:hAnsi="Times New Roman"/>
          <w:b/>
          <w:snapToGrid w:val="0"/>
          <w:color w:val="auto"/>
          <w:sz w:val="30"/>
          <w:szCs w:val="30"/>
        </w:rPr>
        <w:t>六、</w:t>
      </w:r>
      <w:bookmarkStart w:id="66" w:name="_Hlk54167917"/>
      <w:r>
        <w:rPr>
          <w:rFonts w:ascii="Times New Roman" w:hAnsi="Times New Roman"/>
          <w:b/>
          <w:snapToGrid w:val="0"/>
          <w:color w:val="auto"/>
          <w:sz w:val="30"/>
          <w:szCs w:val="30"/>
        </w:rPr>
        <w:t>生态环境保护措施监督检查清单</w:t>
      </w:r>
      <w:bookmarkEnd w:id="64"/>
      <w:bookmarkEnd w:id="65"/>
      <w:bookmarkEnd w:id="66"/>
    </w:p>
    <w:tbl>
      <w:tblPr>
        <w:tblStyle w:val="30"/>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8"/>
        <w:gridCol w:w="5322"/>
        <w:gridCol w:w="1964"/>
        <w:gridCol w:w="3587"/>
        <w:gridCol w:w="1802"/>
      </w:tblGrid>
      <w:tr w14:paraId="10EE6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vMerge w:val="restart"/>
            <w:tcBorders>
              <w:tl2br w:val="single" w:color="auto" w:sz="4" w:space="0"/>
            </w:tcBorders>
            <w:noWrap w:val="0"/>
            <w:vAlign w:val="center"/>
          </w:tcPr>
          <w:p w14:paraId="5916CC27">
            <w:pPr>
              <w:adjustRightInd w:val="0"/>
              <w:snapToGrid w:val="0"/>
              <w:spacing w:line="240" w:lineRule="auto"/>
              <w:ind w:firstLine="632" w:firstLineChars="300"/>
              <w:rPr>
                <w:b/>
                <w:color w:val="auto"/>
                <w:szCs w:val="21"/>
              </w:rPr>
            </w:pPr>
            <w:r>
              <w:rPr>
                <w:b/>
                <w:color w:val="auto"/>
                <w:szCs w:val="21"/>
              </w:rPr>
              <w:t>内容</w:t>
            </w:r>
          </w:p>
          <w:p w14:paraId="34437187">
            <w:pPr>
              <w:adjustRightInd w:val="0"/>
              <w:snapToGrid w:val="0"/>
              <w:spacing w:line="240" w:lineRule="auto"/>
              <w:rPr>
                <w:b/>
                <w:color w:val="auto"/>
                <w:szCs w:val="21"/>
              </w:rPr>
            </w:pPr>
            <w:r>
              <w:rPr>
                <w:b/>
                <w:color w:val="auto"/>
                <w:szCs w:val="21"/>
              </w:rPr>
              <w:t>要素</w:t>
            </w:r>
          </w:p>
        </w:tc>
        <w:tc>
          <w:tcPr>
            <w:tcW w:w="2572" w:type="pct"/>
            <w:gridSpan w:val="2"/>
            <w:noWrap w:val="0"/>
            <w:vAlign w:val="center"/>
          </w:tcPr>
          <w:p w14:paraId="66D25D7D">
            <w:pPr>
              <w:adjustRightInd w:val="0"/>
              <w:snapToGrid w:val="0"/>
              <w:spacing w:line="240" w:lineRule="auto"/>
              <w:jc w:val="center"/>
              <w:rPr>
                <w:b/>
                <w:color w:val="auto"/>
                <w:szCs w:val="21"/>
              </w:rPr>
            </w:pPr>
            <w:r>
              <w:rPr>
                <w:b/>
                <w:color w:val="auto"/>
                <w:szCs w:val="21"/>
              </w:rPr>
              <w:t>施工期</w:t>
            </w:r>
          </w:p>
        </w:tc>
        <w:tc>
          <w:tcPr>
            <w:tcW w:w="1902" w:type="pct"/>
            <w:gridSpan w:val="2"/>
            <w:noWrap w:val="0"/>
            <w:vAlign w:val="center"/>
          </w:tcPr>
          <w:p w14:paraId="40895B9B">
            <w:pPr>
              <w:adjustRightInd w:val="0"/>
              <w:snapToGrid w:val="0"/>
              <w:spacing w:line="240" w:lineRule="auto"/>
              <w:jc w:val="center"/>
              <w:rPr>
                <w:b/>
                <w:color w:val="auto"/>
                <w:szCs w:val="21"/>
              </w:rPr>
            </w:pPr>
            <w:r>
              <w:rPr>
                <w:b/>
                <w:color w:val="auto"/>
                <w:szCs w:val="21"/>
              </w:rPr>
              <w:t>运营期</w:t>
            </w:r>
          </w:p>
        </w:tc>
      </w:tr>
      <w:tr w14:paraId="3E8F4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vMerge w:val="continue"/>
            <w:tcBorders>
              <w:tl2br w:val="single" w:color="auto" w:sz="4" w:space="0"/>
            </w:tcBorders>
            <w:noWrap w:val="0"/>
            <w:vAlign w:val="center"/>
          </w:tcPr>
          <w:p w14:paraId="080306CF">
            <w:pPr>
              <w:adjustRightInd w:val="0"/>
              <w:snapToGrid w:val="0"/>
              <w:spacing w:line="240" w:lineRule="auto"/>
              <w:jc w:val="center"/>
              <w:rPr>
                <w:b/>
                <w:color w:val="auto"/>
                <w:szCs w:val="21"/>
              </w:rPr>
            </w:pPr>
          </w:p>
        </w:tc>
        <w:tc>
          <w:tcPr>
            <w:tcW w:w="1878" w:type="pct"/>
            <w:noWrap w:val="0"/>
            <w:vAlign w:val="center"/>
          </w:tcPr>
          <w:p w14:paraId="15324B36">
            <w:pPr>
              <w:adjustRightInd w:val="0"/>
              <w:snapToGrid w:val="0"/>
              <w:spacing w:line="240" w:lineRule="auto"/>
              <w:jc w:val="center"/>
              <w:rPr>
                <w:b/>
                <w:color w:val="auto"/>
                <w:szCs w:val="21"/>
              </w:rPr>
            </w:pPr>
            <w:r>
              <w:rPr>
                <w:b/>
                <w:color w:val="auto"/>
                <w:szCs w:val="21"/>
              </w:rPr>
              <w:t>环境保护措施</w:t>
            </w:r>
          </w:p>
        </w:tc>
        <w:tc>
          <w:tcPr>
            <w:tcW w:w="693" w:type="pct"/>
            <w:noWrap w:val="0"/>
            <w:vAlign w:val="center"/>
          </w:tcPr>
          <w:p w14:paraId="5A87CA1F">
            <w:pPr>
              <w:adjustRightInd w:val="0"/>
              <w:snapToGrid w:val="0"/>
              <w:spacing w:line="240" w:lineRule="auto"/>
              <w:jc w:val="center"/>
              <w:rPr>
                <w:b/>
                <w:color w:val="auto"/>
                <w:szCs w:val="21"/>
              </w:rPr>
            </w:pPr>
            <w:r>
              <w:rPr>
                <w:b/>
                <w:color w:val="auto"/>
                <w:szCs w:val="21"/>
              </w:rPr>
              <w:t>验收要求</w:t>
            </w:r>
          </w:p>
        </w:tc>
        <w:tc>
          <w:tcPr>
            <w:tcW w:w="1266" w:type="pct"/>
            <w:noWrap w:val="0"/>
            <w:vAlign w:val="center"/>
          </w:tcPr>
          <w:p w14:paraId="337E94DE">
            <w:pPr>
              <w:adjustRightInd w:val="0"/>
              <w:snapToGrid w:val="0"/>
              <w:spacing w:line="240" w:lineRule="auto"/>
              <w:jc w:val="center"/>
              <w:rPr>
                <w:b/>
                <w:color w:val="auto"/>
                <w:szCs w:val="21"/>
              </w:rPr>
            </w:pPr>
            <w:r>
              <w:rPr>
                <w:b/>
                <w:color w:val="auto"/>
                <w:szCs w:val="21"/>
              </w:rPr>
              <w:t>环境保护措施</w:t>
            </w:r>
          </w:p>
        </w:tc>
        <w:tc>
          <w:tcPr>
            <w:tcW w:w="636" w:type="pct"/>
            <w:noWrap w:val="0"/>
            <w:vAlign w:val="center"/>
          </w:tcPr>
          <w:p w14:paraId="4398910A">
            <w:pPr>
              <w:adjustRightInd w:val="0"/>
              <w:snapToGrid w:val="0"/>
              <w:spacing w:line="240" w:lineRule="auto"/>
              <w:jc w:val="center"/>
              <w:rPr>
                <w:b/>
                <w:color w:val="auto"/>
                <w:szCs w:val="21"/>
              </w:rPr>
            </w:pPr>
            <w:r>
              <w:rPr>
                <w:b/>
                <w:color w:val="auto"/>
                <w:szCs w:val="21"/>
              </w:rPr>
              <w:t>验收要求</w:t>
            </w:r>
          </w:p>
        </w:tc>
      </w:tr>
      <w:tr w14:paraId="57F7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noWrap w:val="0"/>
            <w:vAlign w:val="center"/>
          </w:tcPr>
          <w:p w14:paraId="6A6A45A5">
            <w:pPr>
              <w:adjustRightInd w:val="0"/>
              <w:snapToGrid w:val="0"/>
              <w:spacing w:line="240" w:lineRule="auto"/>
              <w:jc w:val="center"/>
              <w:rPr>
                <w:b/>
                <w:color w:val="auto"/>
                <w:szCs w:val="21"/>
              </w:rPr>
            </w:pPr>
            <w:r>
              <w:rPr>
                <w:b/>
                <w:color w:val="auto"/>
                <w:szCs w:val="21"/>
              </w:rPr>
              <w:t>陆生生态</w:t>
            </w:r>
          </w:p>
        </w:tc>
        <w:tc>
          <w:tcPr>
            <w:tcW w:w="1878" w:type="pct"/>
            <w:noWrap w:val="0"/>
            <w:vAlign w:val="center"/>
          </w:tcPr>
          <w:p w14:paraId="5E2ABBE0">
            <w:pPr>
              <w:adjustRightInd w:val="0"/>
              <w:snapToGrid w:val="0"/>
              <w:spacing w:line="240" w:lineRule="auto"/>
              <w:ind w:firstLine="422" w:firstLineChars="200"/>
              <w:rPr>
                <w:rFonts w:hint="eastAsia"/>
                <w:b/>
                <w:color w:val="auto"/>
                <w:szCs w:val="21"/>
              </w:rPr>
            </w:pPr>
            <w:r>
              <w:rPr>
                <w:rFonts w:hint="eastAsia"/>
                <w:b/>
                <w:color w:val="auto"/>
                <w:szCs w:val="21"/>
              </w:rPr>
              <w:t>（1）土地占用保护措施</w:t>
            </w:r>
          </w:p>
          <w:p w14:paraId="18CF218A">
            <w:pPr>
              <w:pStyle w:val="92"/>
              <w:snapToGrid w:val="0"/>
              <w:spacing w:line="240" w:lineRule="auto"/>
              <w:ind w:firstLine="420" w:firstLineChars="200"/>
              <w:jc w:val="both"/>
              <w:rPr>
                <w:rFonts w:hint="eastAsia"/>
                <w:color w:val="auto"/>
                <w:sz w:val="21"/>
                <w:szCs w:val="21"/>
                <w:lang w:val="en-US" w:eastAsia="zh-CN"/>
              </w:rPr>
            </w:pPr>
            <w:r>
              <w:rPr>
                <w:rFonts w:hint="eastAsia"/>
                <w:color w:val="auto"/>
                <w:sz w:val="21"/>
                <w:szCs w:val="21"/>
                <w:lang w:val="en-US" w:eastAsia="zh-CN"/>
              </w:rPr>
              <w:t>1）建议建设单位以合同形式要求施工单位在施工过程中必须按照设计要求，严格控制开挖范围及开挖量，输电线路施工限制在事先划定的施工区内。</w:t>
            </w:r>
          </w:p>
          <w:p w14:paraId="0A8673BD">
            <w:pPr>
              <w:pStyle w:val="92"/>
              <w:snapToGrid w:val="0"/>
              <w:spacing w:line="240" w:lineRule="auto"/>
              <w:ind w:firstLine="420" w:firstLineChars="200"/>
              <w:jc w:val="both"/>
              <w:rPr>
                <w:rFonts w:hint="eastAsia"/>
                <w:color w:val="auto"/>
                <w:sz w:val="21"/>
                <w:szCs w:val="21"/>
                <w:lang w:val="en-US" w:eastAsia="zh-CN"/>
              </w:rPr>
            </w:pPr>
            <w:r>
              <w:rPr>
                <w:rFonts w:hint="eastAsia"/>
                <w:color w:val="auto"/>
                <w:sz w:val="21"/>
                <w:szCs w:val="21"/>
                <w:lang w:val="en-US" w:eastAsia="zh-CN"/>
              </w:rPr>
              <w:t>2）对开挖后的裸露开挖面用苫布覆盖，避免降雨时水流直接冲刷；施工时开挖的土石方不允许就地倾倒，应采取回填等方式妥善处置，临时堆土应采取围护拦挡措施，并在土体表面覆上苫布防止雨水冲刷造成水土流失。</w:t>
            </w:r>
          </w:p>
          <w:p w14:paraId="610D6C01">
            <w:pPr>
              <w:pStyle w:val="92"/>
              <w:snapToGrid w:val="0"/>
              <w:spacing w:line="240" w:lineRule="auto"/>
              <w:ind w:firstLine="420" w:firstLineChars="200"/>
              <w:jc w:val="both"/>
              <w:rPr>
                <w:rFonts w:hint="eastAsia"/>
                <w:color w:val="auto"/>
                <w:sz w:val="21"/>
                <w:szCs w:val="21"/>
                <w:lang w:val="en-US" w:eastAsia="zh-CN"/>
              </w:rPr>
            </w:pPr>
            <w:r>
              <w:rPr>
                <w:rFonts w:hint="eastAsia"/>
                <w:color w:val="auto"/>
                <w:sz w:val="21"/>
                <w:szCs w:val="21"/>
                <w:lang w:val="en-US" w:eastAsia="zh-CN"/>
              </w:rPr>
              <w:t>3）优化塔基布置，避开旱地和林地，确实无法避让的，应尽量布置在边角处，减少对农业耕作的影响。优化铁塔设计，减少永久占地和对林木的砍伐量。</w:t>
            </w:r>
          </w:p>
          <w:p w14:paraId="30F3C02A">
            <w:pPr>
              <w:pStyle w:val="92"/>
              <w:snapToGrid w:val="0"/>
              <w:spacing w:line="240" w:lineRule="auto"/>
              <w:ind w:firstLine="420" w:firstLineChars="200"/>
              <w:jc w:val="both"/>
              <w:rPr>
                <w:rFonts w:hint="eastAsia"/>
                <w:color w:val="auto"/>
                <w:sz w:val="21"/>
                <w:szCs w:val="21"/>
                <w:lang w:val="en-US" w:eastAsia="zh-CN"/>
              </w:rPr>
            </w:pPr>
            <w:r>
              <w:rPr>
                <w:rFonts w:hint="eastAsia"/>
                <w:color w:val="auto"/>
                <w:sz w:val="21"/>
                <w:szCs w:val="21"/>
                <w:lang w:val="en-US" w:eastAsia="zh-CN"/>
              </w:rPr>
              <w:t>4）塔基已避让永久基本农田，施工占用旱地、林地时，施工前应进行表土剥离，将表土单独堆存并做好覆盖、拦挡等防护措施，施工结束后用于项目区植被恢复或耕作区域表层覆土。</w:t>
            </w:r>
          </w:p>
          <w:p w14:paraId="37F13C12">
            <w:pPr>
              <w:pStyle w:val="92"/>
              <w:snapToGrid w:val="0"/>
              <w:spacing w:line="240" w:lineRule="auto"/>
              <w:ind w:firstLine="420" w:firstLineChars="200"/>
              <w:jc w:val="both"/>
              <w:rPr>
                <w:rFonts w:hint="eastAsia"/>
                <w:color w:val="auto"/>
                <w:sz w:val="21"/>
                <w:szCs w:val="21"/>
                <w:lang w:val="en-US" w:eastAsia="zh-CN"/>
              </w:rPr>
            </w:pPr>
            <w:r>
              <w:rPr>
                <w:rFonts w:hint="eastAsia"/>
                <w:color w:val="auto"/>
                <w:sz w:val="21"/>
                <w:szCs w:val="21"/>
                <w:lang w:val="en-US" w:eastAsia="zh-CN"/>
              </w:rPr>
              <w:t>5）合理规划施工临时道路、牵张场等临时场地，合理划定施工范围和人员、车辆的行走路线，避免对施工范围之外区域的动植物造成碾压和破坏。</w:t>
            </w:r>
          </w:p>
          <w:p w14:paraId="122A451A">
            <w:pPr>
              <w:pStyle w:val="92"/>
              <w:snapToGrid w:val="0"/>
              <w:spacing w:line="240" w:lineRule="auto"/>
              <w:ind w:firstLine="420" w:firstLineChars="200"/>
              <w:jc w:val="both"/>
              <w:rPr>
                <w:rFonts w:hint="eastAsia"/>
                <w:color w:val="auto"/>
                <w:sz w:val="21"/>
                <w:szCs w:val="21"/>
              </w:rPr>
            </w:pPr>
            <w:r>
              <w:rPr>
                <w:rFonts w:hint="eastAsia"/>
                <w:color w:val="auto"/>
                <w:sz w:val="21"/>
                <w:szCs w:val="21"/>
                <w:lang w:val="en-US" w:eastAsia="zh-CN"/>
              </w:rPr>
              <w:t>6）种植植物应选择本地物种，避免引入外来物种，造林严格按造林施工作业设计，以达到尽快覆盖的目的。</w:t>
            </w:r>
          </w:p>
          <w:p w14:paraId="30CDDFB6">
            <w:pPr>
              <w:adjustRightInd w:val="0"/>
              <w:snapToGrid w:val="0"/>
              <w:spacing w:line="240" w:lineRule="auto"/>
              <w:ind w:firstLine="422" w:firstLineChars="200"/>
              <w:rPr>
                <w:rFonts w:hint="eastAsia"/>
                <w:b/>
                <w:color w:val="auto"/>
                <w:szCs w:val="21"/>
              </w:rPr>
            </w:pPr>
            <w:r>
              <w:rPr>
                <w:rFonts w:hint="eastAsia"/>
                <w:b/>
                <w:color w:val="auto"/>
                <w:szCs w:val="21"/>
              </w:rPr>
              <w:t>（2）植被及植物保护措施</w:t>
            </w:r>
          </w:p>
          <w:p w14:paraId="65AD759B">
            <w:pPr>
              <w:pStyle w:val="92"/>
              <w:snapToGrid w:val="0"/>
              <w:spacing w:line="240" w:lineRule="auto"/>
              <w:ind w:firstLine="420" w:firstLineChars="200"/>
              <w:jc w:val="both"/>
              <w:rPr>
                <w:rFonts w:hint="eastAsia"/>
                <w:color w:val="auto"/>
                <w:sz w:val="21"/>
                <w:szCs w:val="21"/>
              </w:rPr>
            </w:pPr>
            <w:r>
              <w:rPr>
                <w:rFonts w:hint="eastAsia"/>
                <w:color w:val="auto"/>
                <w:sz w:val="21"/>
                <w:szCs w:val="21"/>
                <w:lang w:val="en-US" w:eastAsia="zh-CN"/>
              </w:rPr>
              <w:t>1</w:t>
            </w:r>
            <w:r>
              <w:rPr>
                <w:rFonts w:hint="eastAsia"/>
                <w:color w:val="auto"/>
                <w:sz w:val="21"/>
                <w:szCs w:val="21"/>
                <w:lang w:eastAsia="zh-CN"/>
              </w:rPr>
              <w:t>）</w:t>
            </w:r>
            <w:r>
              <w:rPr>
                <w:rFonts w:hint="eastAsia"/>
                <w:color w:val="auto"/>
                <w:sz w:val="21"/>
                <w:szCs w:val="21"/>
              </w:rPr>
              <w:t>施工应在</w:t>
            </w:r>
            <w:r>
              <w:rPr>
                <w:rFonts w:hint="eastAsia"/>
                <w:color w:val="auto"/>
                <w:sz w:val="21"/>
                <w:szCs w:val="21"/>
                <w:lang w:val="en-US" w:eastAsia="zh-CN"/>
              </w:rPr>
              <w:t>红线</w:t>
            </w:r>
            <w:r>
              <w:rPr>
                <w:rFonts w:hint="eastAsia"/>
                <w:color w:val="auto"/>
                <w:sz w:val="21"/>
                <w:szCs w:val="21"/>
              </w:rPr>
              <w:t>区范围内进行，文明施工，集中堆放材料，严禁踩踏施工区域外地表植被。</w:t>
            </w:r>
          </w:p>
          <w:p w14:paraId="013BD32C">
            <w:pPr>
              <w:pStyle w:val="92"/>
              <w:snapToGrid w:val="0"/>
              <w:spacing w:line="240" w:lineRule="auto"/>
              <w:ind w:firstLine="420" w:firstLineChars="200"/>
              <w:jc w:val="both"/>
              <w:rPr>
                <w:rFonts w:hint="eastAsia"/>
                <w:color w:val="auto"/>
                <w:sz w:val="21"/>
                <w:szCs w:val="21"/>
              </w:rPr>
            </w:pPr>
            <w:r>
              <w:rPr>
                <w:rFonts w:hint="eastAsia"/>
                <w:color w:val="auto"/>
                <w:sz w:val="21"/>
                <w:szCs w:val="21"/>
              </w:rPr>
              <w:t>2）输电线路塔基施工时，建设单位应划定施工活动范围，避免对周边区域植被造成破坏。线路根据地形条件采用全方位高低腿铁塔，基础开挖时选用掏挖基础影响较小开挖方式，少占土地，减少土石方开挖量及水土流失，保护生态环境；基础开挖临时堆土应采用临时拦挡措施，用苫布覆盖，回填多余土石方选择合适地点堆放，并采取措施进行防护，塔基周围其他区域采取铺垫措施减少扰动破坏。</w:t>
            </w:r>
          </w:p>
          <w:p w14:paraId="46A0A04E">
            <w:pPr>
              <w:pStyle w:val="92"/>
              <w:snapToGrid w:val="0"/>
              <w:spacing w:line="240" w:lineRule="auto"/>
              <w:ind w:firstLine="420" w:firstLineChars="200"/>
              <w:jc w:val="both"/>
              <w:rPr>
                <w:rFonts w:hint="eastAsia"/>
                <w:color w:val="auto"/>
                <w:sz w:val="21"/>
                <w:szCs w:val="21"/>
              </w:rPr>
            </w:pPr>
            <w:r>
              <w:rPr>
                <w:rFonts w:hint="eastAsia"/>
                <w:color w:val="auto"/>
                <w:sz w:val="21"/>
                <w:szCs w:val="21"/>
              </w:rPr>
              <w:t>3）塔基施工开挖时应分层开挖，分层堆放，注意表土保护，施工结束后按原土层顺序分层回填，以利于后期植被恢复。</w:t>
            </w:r>
          </w:p>
          <w:p w14:paraId="5F702613">
            <w:pPr>
              <w:pStyle w:val="92"/>
              <w:snapToGrid w:val="0"/>
              <w:spacing w:line="240" w:lineRule="auto"/>
              <w:ind w:firstLine="420" w:firstLineChars="200"/>
              <w:jc w:val="both"/>
              <w:rPr>
                <w:rFonts w:hint="eastAsia"/>
                <w:color w:val="auto"/>
                <w:sz w:val="21"/>
                <w:szCs w:val="21"/>
              </w:rPr>
            </w:pPr>
            <w:r>
              <w:rPr>
                <w:rFonts w:hint="eastAsia"/>
                <w:color w:val="auto"/>
                <w:sz w:val="21"/>
                <w:szCs w:val="21"/>
              </w:rPr>
              <w:t>4）对线路经过林地，采取高跨方式通过，严禁砍伐通道；输电线路采用先进的架线工艺，如无人机等展放线，减少对线路走廊下方植被的破坏。</w:t>
            </w:r>
          </w:p>
          <w:p w14:paraId="76452E61">
            <w:pPr>
              <w:pStyle w:val="92"/>
              <w:snapToGrid w:val="0"/>
              <w:spacing w:line="240" w:lineRule="auto"/>
              <w:ind w:firstLine="420" w:firstLineChars="200"/>
              <w:jc w:val="both"/>
              <w:rPr>
                <w:rFonts w:hint="eastAsia"/>
                <w:color w:val="auto"/>
                <w:sz w:val="21"/>
                <w:szCs w:val="21"/>
              </w:rPr>
            </w:pPr>
            <w:r>
              <w:rPr>
                <w:rFonts w:hint="eastAsia"/>
                <w:color w:val="auto"/>
                <w:sz w:val="21"/>
                <w:szCs w:val="21"/>
              </w:rPr>
              <w:t>5）建设单位应根据林业用地的管理规定，对于永久占地造成的植被破坏，应严格按照有关规定向政府和主管部门办理征占用林地审核审批手续，缴纳相关青苗补偿费、林木赔偿费，并由相关部门统一安排。严禁超计划占用林地，严禁随意扩大占地范围。</w:t>
            </w:r>
          </w:p>
          <w:p w14:paraId="529EDD39">
            <w:pPr>
              <w:pStyle w:val="92"/>
              <w:snapToGrid w:val="0"/>
              <w:spacing w:line="240" w:lineRule="auto"/>
              <w:ind w:firstLine="420" w:firstLineChars="200"/>
              <w:jc w:val="both"/>
              <w:rPr>
                <w:rFonts w:hint="eastAsia"/>
                <w:color w:val="auto"/>
                <w:sz w:val="21"/>
                <w:szCs w:val="21"/>
              </w:rPr>
            </w:pPr>
            <w:r>
              <w:rPr>
                <w:rFonts w:hint="eastAsia"/>
                <w:color w:val="auto"/>
                <w:sz w:val="21"/>
                <w:szCs w:val="21"/>
              </w:rPr>
              <w:t>6）施工结束后，尽快清理施工场地，及时清理残留在原场地的混凝土、土石方，并对施工扰动区域进行植被恢复。施工结束后，选择区域本土物种对施工占地进行绿化恢复，尽可能减少项目建设对植被的影响；输电线路施工期，</w:t>
            </w:r>
            <w:r>
              <w:rPr>
                <w:rFonts w:hint="eastAsia"/>
                <w:color w:val="auto"/>
                <w:sz w:val="21"/>
                <w:szCs w:val="21"/>
                <w:lang w:eastAsia="zh-CN"/>
              </w:rPr>
              <w:t>牵张场</w:t>
            </w:r>
            <w:r>
              <w:rPr>
                <w:rFonts w:hint="eastAsia"/>
                <w:color w:val="auto"/>
                <w:sz w:val="21"/>
                <w:szCs w:val="21"/>
              </w:rPr>
              <w:t>尽量选择地势平缓、植被稀疏的场地，主动避让植被覆盖度高、林木茂盛的区域</w:t>
            </w:r>
            <w:r>
              <w:rPr>
                <w:rFonts w:hint="eastAsia"/>
                <w:color w:val="auto"/>
                <w:sz w:val="21"/>
                <w:szCs w:val="21"/>
                <w:lang w:eastAsia="zh-CN"/>
              </w:rPr>
              <w:t>。</w:t>
            </w:r>
          </w:p>
          <w:p w14:paraId="61C0A8F6">
            <w:pPr>
              <w:pStyle w:val="92"/>
              <w:snapToGrid w:val="0"/>
              <w:spacing w:line="240" w:lineRule="auto"/>
              <w:ind w:firstLine="420" w:firstLineChars="200"/>
              <w:jc w:val="both"/>
              <w:rPr>
                <w:rFonts w:hint="eastAsia"/>
                <w:color w:val="auto"/>
                <w:sz w:val="21"/>
                <w:szCs w:val="21"/>
                <w:lang w:eastAsia="zh-CN"/>
              </w:rPr>
            </w:pPr>
            <w:r>
              <w:rPr>
                <w:rFonts w:hint="eastAsia"/>
                <w:color w:val="auto"/>
                <w:sz w:val="21"/>
                <w:szCs w:val="21"/>
                <w:lang w:val="en-US" w:eastAsia="zh-CN"/>
              </w:rPr>
              <w:t>7）</w:t>
            </w:r>
            <w:r>
              <w:rPr>
                <w:rFonts w:hint="eastAsia"/>
                <w:color w:val="auto"/>
                <w:sz w:val="21"/>
                <w:szCs w:val="21"/>
              </w:rPr>
              <w:t>工程施工过程中强化管理，</w:t>
            </w:r>
            <w:r>
              <w:rPr>
                <w:rFonts w:hint="eastAsia"/>
                <w:color w:val="auto"/>
                <w:sz w:val="21"/>
                <w:szCs w:val="21"/>
                <w:lang w:eastAsia="zh-CN"/>
              </w:rPr>
              <w:t>增强</w:t>
            </w:r>
            <w:r>
              <w:rPr>
                <w:rFonts w:hint="eastAsia"/>
                <w:color w:val="auto"/>
                <w:sz w:val="21"/>
                <w:szCs w:val="21"/>
              </w:rPr>
              <w:t>管理者的消防意识，注意管理巡查，避免森林火灾的发生。对施工人员进行环保教育及有关</w:t>
            </w:r>
            <w:r>
              <w:rPr>
                <w:rFonts w:hint="eastAsia"/>
                <w:color w:val="auto"/>
                <w:sz w:val="21"/>
                <w:szCs w:val="21"/>
                <w:lang w:eastAsia="zh-CN"/>
              </w:rPr>
              <w:t>法律法规</w:t>
            </w:r>
            <w:r>
              <w:rPr>
                <w:rFonts w:hint="eastAsia"/>
                <w:color w:val="auto"/>
                <w:sz w:val="21"/>
                <w:szCs w:val="21"/>
              </w:rPr>
              <w:t>的宣传教育，让</w:t>
            </w:r>
            <w:r>
              <w:rPr>
                <w:rFonts w:hint="eastAsia"/>
                <w:color w:val="auto"/>
                <w:sz w:val="21"/>
                <w:szCs w:val="21"/>
                <w:lang w:eastAsia="zh-CN"/>
              </w:rPr>
              <w:t>施工人员知道生物多样性受国家法律保护，破坏生物多样性时要承担相应的法律责任。</w:t>
            </w:r>
          </w:p>
          <w:p w14:paraId="7AFEFCC6">
            <w:pPr>
              <w:pStyle w:val="92"/>
              <w:snapToGrid w:val="0"/>
              <w:spacing w:line="240" w:lineRule="auto"/>
              <w:ind w:firstLine="420" w:firstLineChars="200"/>
              <w:jc w:val="both"/>
              <w:rPr>
                <w:rFonts w:hint="eastAsia"/>
                <w:color w:val="auto"/>
                <w:sz w:val="21"/>
                <w:szCs w:val="21"/>
              </w:rPr>
            </w:pPr>
            <w:r>
              <w:rPr>
                <w:rFonts w:hint="eastAsia"/>
                <w:color w:val="auto"/>
                <w:sz w:val="21"/>
                <w:szCs w:val="21"/>
                <w:lang w:val="en-US" w:eastAsia="zh-CN"/>
              </w:rPr>
              <w:t>8</w:t>
            </w:r>
            <w:r>
              <w:rPr>
                <w:rFonts w:hint="eastAsia"/>
                <w:color w:val="auto"/>
                <w:sz w:val="21"/>
                <w:szCs w:val="21"/>
                <w:lang w:eastAsia="zh-CN"/>
              </w:rPr>
              <w:t>）完善林地手续，严格按照签订的补偿协议缴纳补偿费用。对工程临时占地及时进行植被恢复，选择当地的常见生态林种，如云南松等进行植被恢复。对塔基占地沿线坡度较缓的地带实施补种栽培，促进植被恢复。对较陡的边坡可考虑采用围栏及其他工程措施进行特殊管护以促进其尽快恢复。</w:t>
            </w:r>
          </w:p>
          <w:p w14:paraId="0B3ED349">
            <w:pPr>
              <w:pStyle w:val="5"/>
              <w:numPr>
                <w:ilvl w:val="2"/>
                <w:numId w:val="0"/>
              </w:numPr>
              <w:adjustRightInd w:val="0"/>
              <w:snapToGrid w:val="0"/>
              <w:spacing w:line="240" w:lineRule="auto"/>
              <w:ind w:firstLine="422" w:firstLineChars="200"/>
              <w:rPr>
                <w:color w:val="auto"/>
                <w:sz w:val="21"/>
                <w:szCs w:val="21"/>
              </w:rPr>
            </w:pPr>
            <w:r>
              <w:rPr>
                <w:rFonts w:hint="eastAsia"/>
                <w:color w:val="auto"/>
                <w:sz w:val="21"/>
                <w:szCs w:val="21"/>
              </w:rPr>
              <w:t>（3）陆生野生脊椎动物保护措施</w:t>
            </w:r>
          </w:p>
          <w:p w14:paraId="61FDB04C">
            <w:pPr>
              <w:adjustRightInd w:val="0"/>
              <w:snapToGrid w:val="0"/>
              <w:spacing w:line="240" w:lineRule="auto"/>
              <w:ind w:firstLine="420" w:firstLineChars="200"/>
              <w:rPr>
                <w:rFonts w:hint="eastAsia"/>
                <w:color w:val="auto"/>
                <w:szCs w:val="21"/>
                <w:lang w:val="en-US" w:eastAsia="zh-CN"/>
              </w:rPr>
            </w:pPr>
            <w:r>
              <w:rPr>
                <w:rFonts w:hint="eastAsia"/>
                <w:color w:val="auto"/>
                <w:szCs w:val="21"/>
                <w:lang w:val="en-US" w:eastAsia="zh-CN"/>
              </w:rPr>
              <w:t>1）加强施工人员的环境保护教育，提高施工人员和相关管理人员的环保意识，严禁捕杀野生动物的行为。</w:t>
            </w:r>
          </w:p>
          <w:p w14:paraId="600E984A">
            <w:pPr>
              <w:adjustRightInd w:val="0"/>
              <w:snapToGrid w:val="0"/>
              <w:spacing w:line="240" w:lineRule="auto"/>
              <w:ind w:firstLine="420" w:firstLineChars="200"/>
              <w:rPr>
                <w:rFonts w:hint="eastAsia"/>
                <w:color w:val="auto"/>
                <w:szCs w:val="21"/>
                <w:lang w:val="en-US" w:eastAsia="zh-CN"/>
              </w:rPr>
            </w:pPr>
            <w:r>
              <w:rPr>
                <w:rFonts w:hint="eastAsia"/>
                <w:color w:val="auto"/>
                <w:szCs w:val="21"/>
                <w:lang w:val="en-US" w:eastAsia="zh-CN"/>
              </w:rPr>
              <w:t>2）采用低噪声的机械等施工设备，减少施工活动噪声对野生动物的驱赶效应。</w:t>
            </w:r>
          </w:p>
          <w:p w14:paraId="4B7F6BC7">
            <w:pPr>
              <w:adjustRightInd w:val="0"/>
              <w:snapToGrid w:val="0"/>
              <w:spacing w:line="240" w:lineRule="auto"/>
              <w:ind w:firstLine="420" w:firstLineChars="200"/>
              <w:rPr>
                <w:rFonts w:hint="eastAsia"/>
                <w:color w:val="auto"/>
                <w:szCs w:val="21"/>
                <w:lang w:val="en-US" w:eastAsia="zh-CN"/>
              </w:rPr>
            </w:pPr>
            <w:r>
              <w:rPr>
                <w:rFonts w:hint="eastAsia"/>
                <w:color w:val="auto"/>
                <w:szCs w:val="21"/>
                <w:lang w:val="en-US" w:eastAsia="zh-CN"/>
              </w:rPr>
              <w:t>3）尽量利用原有田间道路、机耕路等现有道路作为施工道路，减小施工道路开辟对野生动物生活环境的破坏范围和强度。尽可能利用已建硬化道路、机耕路、林区小路等现有道路和人抬马驮相结合的方式进行材料运输。施工中控制声源，选取低噪声设备，并合理安排强噪声施工行为的时间，减少施工噪声对野生动物的干扰，合理制定施工计划，避免在夜间以及鸟类繁殖季节进行施工。</w:t>
            </w:r>
          </w:p>
          <w:p w14:paraId="4686C00E">
            <w:pPr>
              <w:adjustRightInd w:val="0"/>
              <w:snapToGrid w:val="0"/>
              <w:spacing w:line="240" w:lineRule="auto"/>
              <w:ind w:firstLine="420" w:firstLineChars="200"/>
              <w:rPr>
                <w:rFonts w:hint="eastAsia"/>
                <w:color w:val="auto"/>
                <w:szCs w:val="21"/>
                <w:lang w:val="en-US" w:eastAsia="zh-CN"/>
              </w:rPr>
            </w:pPr>
            <w:r>
              <w:rPr>
                <w:rFonts w:hint="eastAsia"/>
                <w:color w:val="auto"/>
                <w:szCs w:val="21"/>
                <w:lang w:val="en-US" w:eastAsia="zh-CN"/>
              </w:rPr>
              <w:t>4）施工结束后，对施工扰动区域及临时占地区域进行原生态恢复，恢复野生动物生境。科学规划、精心组织、强化教育、缩短工期，减少工程施工期对鸟类栖息地的扰动和破坏，降低施工噪声对鸟类的惊扰和驱赶，避免捕鸟、掏蛋等对鸟类直接伤害的行为。</w:t>
            </w:r>
          </w:p>
          <w:p w14:paraId="5621DDBA">
            <w:pPr>
              <w:adjustRightInd w:val="0"/>
              <w:snapToGrid w:val="0"/>
              <w:spacing w:line="240" w:lineRule="auto"/>
              <w:ind w:firstLine="420" w:firstLineChars="200"/>
              <w:rPr>
                <w:rFonts w:hint="eastAsia"/>
                <w:color w:val="auto"/>
                <w:szCs w:val="21"/>
                <w:lang w:val="en-US" w:eastAsia="zh-CN"/>
              </w:rPr>
            </w:pPr>
            <w:r>
              <w:rPr>
                <w:rFonts w:hint="eastAsia"/>
                <w:color w:val="auto"/>
                <w:szCs w:val="21"/>
                <w:lang w:val="en-US" w:eastAsia="zh-CN"/>
              </w:rPr>
              <w:t>5）经过植被较好的区域时应采用高塔架设和无人机放线等施工架线工艺；穿越天然植被（云南松林）基塔施工减少开挖，使用无人机布线。施工现场使用带油料的机械器具，应铺设彩条布防止油料跑、冒、滴、漏，防止对土壤和水体造成污染。除施工必要的砍伐外，禁止乱砍滥伐，禁止砍伐非施工用地范围内的植物。</w:t>
            </w:r>
          </w:p>
          <w:p w14:paraId="64ACDDDB">
            <w:pPr>
              <w:adjustRightInd w:val="0"/>
              <w:snapToGrid w:val="0"/>
              <w:spacing w:line="240" w:lineRule="auto"/>
              <w:ind w:firstLine="420" w:firstLineChars="200"/>
              <w:rPr>
                <w:rFonts w:hint="eastAsia"/>
                <w:color w:val="auto"/>
                <w:szCs w:val="21"/>
                <w:lang w:val="en-US" w:eastAsia="zh-CN"/>
              </w:rPr>
            </w:pPr>
            <w:r>
              <w:rPr>
                <w:rFonts w:hint="eastAsia"/>
                <w:color w:val="auto"/>
                <w:szCs w:val="21"/>
                <w:lang w:val="en-US" w:eastAsia="zh-CN"/>
              </w:rPr>
              <w:t>6）对保护物种的影响减缓措施：禁止超范围占地，要有效地限制施工活动范围，减少人为活动对动物的影响；禁止施工人员猎捕野生动物，禁止乱砍滥伐，破坏野生动物生境；选用低噪声机械设备进行施工，控制施工噪声、施工扬尘、固体废弃物等，减少施工人员、设备与污染对周边野生动物的干扰；另外，施工噪声较大的环节建议避让评价区内保护动物的繁殖季节（3-4月），施工结束后，应立即对临时用地进行植被恢复，恢复动物的栖息环境。</w:t>
            </w:r>
          </w:p>
          <w:p w14:paraId="17BAF121">
            <w:pPr>
              <w:adjustRightInd w:val="0"/>
              <w:snapToGrid w:val="0"/>
              <w:spacing w:line="240" w:lineRule="auto"/>
              <w:ind w:firstLine="420" w:firstLineChars="200"/>
              <w:rPr>
                <w:color w:val="auto"/>
                <w:szCs w:val="21"/>
              </w:rPr>
            </w:pPr>
            <w:r>
              <w:rPr>
                <w:rFonts w:hint="eastAsia"/>
                <w:color w:val="auto"/>
                <w:szCs w:val="21"/>
                <w:lang w:val="en-US" w:eastAsia="zh-CN"/>
              </w:rPr>
              <w:t>7）建设单位应成立监督管理机构，制定相应的管理、奖惩制度，配备专职人员对工程施工的全过程进行监督管理。杜绝乱砍滥伐、捕猎行为的发生；加强林业管理，严禁捕猎鸟类、兽类、砍伐非施工区域的植物，违者应依法处理。</w:t>
            </w:r>
          </w:p>
          <w:p w14:paraId="27DBAAB7">
            <w:pPr>
              <w:adjustRightInd w:val="0"/>
              <w:snapToGrid w:val="0"/>
              <w:spacing w:line="240" w:lineRule="auto"/>
              <w:ind w:firstLine="422" w:firstLineChars="200"/>
              <w:rPr>
                <w:b/>
                <w:color w:val="auto"/>
                <w:szCs w:val="21"/>
              </w:rPr>
            </w:pPr>
            <w:r>
              <w:rPr>
                <w:b/>
                <w:color w:val="auto"/>
                <w:szCs w:val="21"/>
              </w:rPr>
              <w:t>（4）生态保护红线环境保护措施</w:t>
            </w:r>
          </w:p>
          <w:p w14:paraId="208EB7E6">
            <w:pPr>
              <w:adjustRightInd w:val="0"/>
              <w:snapToGrid w:val="0"/>
              <w:spacing w:line="240" w:lineRule="auto"/>
              <w:ind w:firstLine="420" w:firstLineChars="200"/>
              <w:rPr>
                <w:rFonts w:hint="eastAsia"/>
                <w:color w:val="auto"/>
                <w:szCs w:val="21"/>
                <w:lang w:val="zh-CN"/>
              </w:rPr>
            </w:pPr>
            <w:r>
              <w:rPr>
                <w:rFonts w:hint="eastAsia"/>
                <w:color w:val="auto"/>
                <w:szCs w:val="21"/>
                <w:lang w:val="zh-CN"/>
              </w:rPr>
              <w:t>1）建设过程中严格落实生态保护红线的管控要求，实施源头严防、过程严管、后果严惩的全周期管控。跨越生态保护红线段采用无人机放线的施工方式，严格落实各项环境保护措施，保证生态保护红线内污染物排放满足国家的地方的相关规定。</w:t>
            </w:r>
          </w:p>
          <w:p w14:paraId="0EDD99F2">
            <w:pPr>
              <w:adjustRightInd w:val="0"/>
              <w:snapToGrid w:val="0"/>
              <w:spacing w:line="240" w:lineRule="auto"/>
              <w:ind w:firstLine="420" w:firstLineChars="200"/>
              <w:rPr>
                <w:rFonts w:hint="eastAsia"/>
                <w:color w:val="auto"/>
                <w:szCs w:val="21"/>
                <w:lang w:val="zh-CN"/>
              </w:rPr>
            </w:pPr>
            <w:r>
              <w:rPr>
                <w:rFonts w:hint="eastAsia"/>
                <w:color w:val="auto"/>
                <w:szCs w:val="21"/>
                <w:lang w:val="zh-CN"/>
              </w:rPr>
              <w:t>2）项目线路跨越生态保护红线段施工区，禁止在红线范围内及邻近区域设置施工场地，严格控制施工场地范围和施工作业带宽度，明确施工作业范围，减少施工活动对生态保护红线的扰动。施工时要严格按照施工工序进行施工，对临时堆放的砂石材料进行遮盖，防止扬尘，施工期间做好洒水降尘工作，严格控制工程破坏植被的面积，增加对植被的保护措施，严禁超范围开挖，工程完工后应迅速对开挖区、边坡等区域进行水土流失防治和植被绿化。跨越区域施工</w:t>
            </w:r>
            <w:r>
              <w:rPr>
                <w:rFonts w:hint="eastAsia"/>
                <w:color w:val="auto"/>
                <w:szCs w:val="21"/>
                <w:lang w:val="en-US" w:eastAsia="zh-CN"/>
              </w:rPr>
              <w:t>必须</w:t>
            </w:r>
            <w:r>
              <w:rPr>
                <w:rFonts w:hint="eastAsia"/>
                <w:color w:val="auto"/>
                <w:szCs w:val="21"/>
                <w:lang w:val="zh-CN"/>
              </w:rPr>
              <w:t>采用无人机布线，减少对生态保护红线的影响。</w:t>
            </w:r>
          </w:p>
          <w:p w14:paraId="221A0E6B">
            <w:pPr>
              <w:adjustRightInd w:val="0"/>
              <w:snapToGrid w:val="0"/>
              <w:spacing w:line="240" w:lineRule="auto"/>
              <w:ind w:firstLine="420" w:firstLineChars="200"/>
              <w:rPr>
                <w:rFonts w:hint="eastAsia"/>
                <w:color w:val="auto"/>
                <w:szCs w:val="21"/>
                <w:lang w:val="zh-CN"/>
              </w:rPr>
            </w:pPr>
            <w:r>
              <w:rPr>
                <w:rFonts w:hint="eastAsia"/>
                <w:color w:val="auto"/>
                <w:szCs w:val="21"/>
                <w:lang w:val="zh-CN"/>
              </w:rPr>
              <w:t>3）加强施工期间的监督管理，确保各项生态保护措施落实到位。建设单位应制定施工期环境管理实施方案，明确施工单位的环境保护责任。</w:t>
            </w:r>
          </w:p>
          <w:p w14:paraId="5BEF0593">
            <w:pPr>
              <w:adjustRightInd w:val="0"/>
              <w:snapToGrid w:val="0"/>
              <w:spacing w:line="240" w:lineRule="auto"/>
              <w:ind w:firstLine="420" w:firstLineChars="200"/>
              <w:rPr>
                <w:rFonts w:hint="eastAsia"/>
                <w:color w:val="auto"/>
                <w:szCs w:val="21"/>
                <w:lang w:val="zh-CN"/>
              </w:rPr>
            </w:pPr>
            <w:r>
              <w:rPr>
                <w:rFonts w:hint="eastAsia"/>
                <w:color w:val="auto"/>
                <w:szCs w:val="21"/>
                <w:lang w:val="en-US" w:eastAsia="zh-CN"/>
              </w:rPr>
              <w:t>4</w:t>
            </w:r>
            <w:r>
              <w:rPr>
                <w:rFonts w:hint="eastAsia"/>
                <w:color w:val="auto"/>
                <w:szCs w:val="21"/>
                <w:lang w:val="zh-CN"/>
              </w:rPr>
              <w:t>）加强施工人员的环境保护宣传工作，严格规范施工行为，</w:t>
            </w:r>
            <w:r>
              <w:rPr>
                <w:rFonts w:hint="eastAsia"/>
                <w:color w:val="auto"/>
                <w:szCs w:val="21"/>
                <w:lang w:val="en-US" w:eastAsia="zh-CN"/>
              </w:rPr>
              <w:t>禁止</w:t>
            </w:r>
            <w:r>
              <w:rPr>
                <w:rFonts w:hint="eastAsia"/>
                <w:color w:val="auto"/>
                <w:szCs w:val="21"/>
                <w:lang w:val="zh-CN"/>
              </w:rPr>
              <w:t>在生态保护红线范围内随意破坏林木，排放污水，倾倒废弃物。</w:t>
            </w:r>
          </w:p>
          <w:p w14:paraId="05C12A48">
            <w:pPr>
              <w:adjustRightInd w:val="0"/>
              <w:snapToGrid w:val="0"/>
              <w:spacing w:line="240" w:lineRule="auto"/>
              <w:ind w:firstLine="420" w:firstLineChars="200"/>
              <w:rPr>
                <w:rFonts w:hint="eastAsia"/>
                <w:color w:val="auto"/>
                <w:szCs w:val="21"/>
                <w:lang w:val="zh-CN"/>
              </w:rPr>
            </w:pPr>
            <w:r>
              <w:rPr>
                <w:rFonts w:hint="eastAsia"/>
                <w:color w:val="auto"/>
                <w:szCs w:val="21"/>
                <w:lang w:val="en-US" w:eastAsia="zh-CN"/>
              </w:rPr>
              <w:t>5</w:t>
            </w:r>
            <w:r>
              <w:rPr>
                <w:rFonts w:hint="eastAsia"/>
                <w:color w:val="auto"/>
                <w:szCs w:val="21"/>
                <w:lang w:val="zh-CN"/>
              </w:rPr>
              <w:t>）施工期，在施工区周边设置生态保护警示牌，在生态保护红线区边界设置警戒线，减少施工人员进入生态保护红线区范围内活动，严禁随意破坏植被、植物。加强消防安全管理，严禁发生森林火灾。加强宣传教育和管理，认真全面贯彻执行野生动植物保护法律法规，严禁非法猎捕野生动物。通过发放宣传册、张贴宣传画报等措施，增强人们的生态环境保护意识。</w:t>
            </w:r>
          </w:p>
          <w:p w14:paraId="6CB51AC8">
            <w:pPr>
              <w:adjustRightInd w:val="0"/>
              <w:snapToGrid w:val="0"/>
              <w:spacing w:line="240" w:lineRule="auto"/>
              <w:ind w:firstLine="422" w:firstLineChars="200"/>
              <w:rPr>
                <w:rFonts w:hint="eastAsia"/>
                <w:b/>
                <w:bCs/>
                <w:color w:val="auto"/>
                <w:szCs w:val="21"/>
                <w:lang w:val="en-US" w:eastAsia="zh-CN"/>
              </w:rPr>
            </w:pPr>
            <w:r>
              <w:rPr>
                <w:rFonts w:hint="eastAsia"/>
                <w:b/>
                <w:bCs/>
                <w:color w:val="auto"/>
                <w:szCs w:val="21"/>
                <w:lang w:val="en-US" w:eastAsia="zh-CN"/>
              </w:rPr>
              <w:t>（5）重要物种环境保护措施</w:t>
            </w:r>
          </w:p>
          <w:p w14:paraId="0E8E10F2">
            <w:pPr>
              <w:adjustRightInd w:val="0"/>
              <w:snapToGrid w:val="0"/>
              <w:spacing w:line="240" w:lineRule="auto"/>
              <w:ind w:firstLine="420" w:firstLineChars="20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①加强施工单位和施工人员的宣传教育，通过标志牌、法律宣传等措施进行宣传，严禁猎杀野生动物，并通过对违法活动进行举报奖励的措施以制止偷猎活动。对于评价区内的5种重要动物，严禁施工人员捕猎，并以展板形式对施工人员进行宣传教育；施工时要合理安排施工作业的时间，尽量缩短工期。</w:t>
            </w:r>
          </w:p>
          <w:p w14:paraId="480B4BC3">
            <w:pPr>
              <w:adjustRightInd w:val="0"/>
              <w:snapToGrid w:val="0"/>
              <w:spacing w:line="240" w:lineRule="auto"/>
              <w:ind w:firstLine="420" w:firstLineChars="20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②项目在施工过程中若遇到重点保护动物，按照《输变电建设项目环境保护技术要求》（HJ1113-2020）中相关要求“施工区发现有保护动物时应暂停施工，并实施保护方案”，禁止挑衅、捕猎，待保护动物自行离开施工区后方可恢复施工，若动物因受伤等原因无法自行离开需汇报当地林业部门；对受伤的珍稀动物应及时联系野生动物保护部门，及时救治。</w:t>
            </w:r>
          </w:p>
          <w:p w14:paraId="042AD158">
            <w:pPr>
              <w:adjustRightInd w:val="0"/>
              <w:snapToGrid w:val="0"/>
              <w:spacing w:line="240" w:lineRule="auto"/>
              <w:ind w:firstLine="420" w:firstLineChars="20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③合理安排，科学组织施工。野生鸟类和兽类大多是晨昏外出觅食，正午休息。为了减少工程施工噪声对野生动物的惊扰，应做好施工方式和时间的计划，并力求避免在晨昏和正午进行噪声较大的施工活动，禁止夜间施工。</w:t>
            </w:r>
          </w:p>
          <w:p w14:paraId="527DAF1C">
            <w:pPr>
              <w:adjustRightInd w:val="0"/>
              <w:snapToGrid w:val="0"/>
              <w:spacing w:line="240" w:lineRule="auto"/>
              <w:ind w:firstLine="422" w:firstLineChars="200"/>
              <w:rPr>
                <w:rFonts w:hint="eastAsia"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（6）公益林保护措施</w:t>
            </w:r>
          </w:p>
          <w:p w14:paraId="5A942C7F">
            <w:pPr>
              <w:adjustRightInd w:val="0"/>
              <w:snapToGrid w:val="0"/>
              <w:spacing w:line="240" w:lineRule="auto"/>
              <w:ind w:firstLine="420" w:firstLineChars="20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①按照《云南省公益林管理办法》和《建设项目使用林地审核审批管理规范》的相关要求，办理林业手续，落实公益林补偿和保护工作。</w:t>
            </w:r>
          </w:p>
          <w:p w14:paraId="1C118301">
            <w:pPr>
              <w:adjustRightInd w:val="0"/>
              <w:snapToGrid w:val="0"/>
              <w:spacing w:line="240" w:lineRule="auto"/>
              <w:ind w:firstLine="420" w:firstLineChars="20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②线路采取高塔跨越架设，仅对超高树枝进行修剪，临时用地避开林木密集区域，尽量选择林间斑块无树木、稀树荒草地处，减少对公益林的影响。</w:t>
            </w:r>
          </w:p>
          <w:p w14:paraId="0B126FD9">
            <w:pPr>
              <w:adjustRightInd w:val="0"/>
              <w:snapToGrid w:val="0"/>
              <w:spacing w:line="240" w:lineRule="auto"/>
              <w:ind w:firstLine="420" w:firstLineChars="20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③项目对公益林的影响主要集中在施工期，为此，根据占用的公益林区域的地形地貌及扰动情况，对临时占用的公益林区域内采取植物恢复措施；对于植物物种的选取，应以乡土树种为主，并且注意乔灌草的合理搭配；植被恢复主要从生态修复的角度出发，着重考虑植被的水土保持、涵养水源和保护生态环境的作用。</w:t>
            </w:r>
          </w:p>
          <w:p w14:paraId="4B8B85E8">
            <w:pPr>
              <w:adjustRightInd w:val="0"/>
              <w:snapToGrid w:val="0"/>
              <w:spacing w:line="240" w:lineRule="auto"/>
              <w:ind w:firstLine="420" w:firstLineChars="20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④根据林业用地的管理规定，缴纳森林资源补偿费，并对临时占用的部分进行施工后的恢复，避免超计划占用林地，严禁随意扩大占地范围。</w:t>
            </w:r>
          </w:p>
          <w:p w14:paraId="3F0B8B74">
            <w:pPr>
              <w:adjustRightInd w:val="0"/>
              <w:snapToGrid w:val="0"/>
              <w:spacing w:line="240" w:lineRule="auto"/>
              <w:ind w:firstLine="420" w:firstLineChars="20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⑤涉及占用公益林地，严格控制施工范围，施工过程中除占地范围内必须除去的树木外，不破坏塔基占地周围的树木，严禁乱砍滥伐。塔基基础弃渣全部回填，施工中未随意开辟施工便道。</w:t>
            </w:r>
          </w:p>
          <w:p w14:paraId="35D42A61">
            <w:pPr>
              <w:adjustRightInd w:val="0"/>
              <w:snapToGrid w:val="0"/>
              <w:spacing w:line="240" w:lineRule="auto"/>
              <w:ind w:firstLine="422" w:firstLineChars="200"/>
              <w:rPr>
                <w:rFonts w:hint="eastAsia"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（7）管理措施</w:t>
            </w:r>
          </w:p>
          <w:p w14:paraId="284E566E">
            <w:pPr>
              <w:adjustRightInd w:val="0"/>
              <w:snapToGrid w:val="0"/>
              <w:spacing w:line="240" w:lineRule="auto"/>
              <w:ind w:firstLine="420" w:firstLineChars="20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①在施工过程中，如发现受保护的野生动植物，要及时报告当地林业部门。</w:t>
            </w:r>
          </w:p>
          <w:p w14:paraId="2704E2FA">
            <w:pPr>
              <w:adjustRightInd w:val="0"/>
              <w:snapToGrid w:val="0"/>
              <w:spacing w:line="240" w:lineRule="auto"/>
              <w:ind w:firstLine="420" w:firstLineChars="20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②施工前，施工单位应做好施工期间环境管理与教育培训、印发环境保护手册，组织专业人员对施工人员进行环保宣传教育，在施工期间严格施工红线，严格行为规范，进行必要的管理监督。</w:t>
            </w:r>
          </w:p>
          <w:p w14:paraId="436D01B2">
            <w:pPr>
              <w:adjustRightInd w:val="0"/>
              <w:snapToGrid w:val="0"/>
              <w:spacing w:line="240" w:lineRule="auto"/>
              <w:ind w:firstLine="420" w:firstLineChars="20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③在施工设计文件中应说明施工期需注意的环保问题，如对沿线树木砍伐，野生动植物保护、植被恢复等情况均应按设计文件执行；严格要求施工单位按环保设计要求施工。</w:t>
            </w:r>
          </w:p>
          <w:p w14:paraId="09308073">
            <w:pPr>
              <w:adjustRightInd w:val="0"/>
              <w:snapToGrid w:val="0"/>
              <w:spacing w:line="240" w:lineRule="auto"/>
              <w:ind w:firstLine="420" w:firstLineChars="20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④在人员活动较多和较集中的区域，如生产区域、项目部附近，粘贴和设置环境保护方面的警示牌，提醒人们依法保护自然环境。</w:t>
            </w:r>
          </w:p>
          <w:p w14:paraId="449AF358">
            <w:pPr>
              <w:adjustRightInd w:val="0"/>
              <w:snapToGrid w:val="0"/>
              <w:spacing w:line="240" w:lineRule="auto"/>
              <w:ind w:firstLine="420" w:firstLineChars="200"/>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⑤加强生态入侵风险管理，加强项目区危险性林业有害生物的预防和控制，强化森林资源及其附近森林资源的保护，确保区域生态安全。</w:t>
            </w:r>
          </w:p>
        </w:tc>
        <w:tc>
          <w:tcPr>
            <w:tcW w:w="693" w:type="pct"/>
            <w:noWrap w:val="0"/>
            <w:vAlign w:val="center"/>
          </w:tcPr>
          <w:p w14:paraId="5DAA4EA6">
            <w:pPr>
              <w:adjustRightInd w:val="0"/>
              <w:snapToGrid w:val="0"/>
              <w:spacing w:line="240" w:lineRule="auto"/>
              <w:jc w:val="center"/>
              <w:rPr>
                <w:color w:val="auto"/>
                <w:szCs w:val="21"/>
              </w:rPr>
            </w:pPr>
            <w:r>
              <w:rPr>
                <w:color w:val="auto"/>
                <w:szCs w:val="21"/>
              </w:rPr>
              <w:t>（1）施工期的各项陆生生态环境保护措施应按照环境影响评价文件及批复要求落实到位。</w:t>
            </w:r>
          </w:p>
          <w:p w14:paraId="62B9CE3D">
            <w:pPr>
              <w:adjustRightInd w:val="0"/>
              <w:snapToGrid w:val="0"/>
              <w:spacing w:line="240" w:lineRule="auto"/>
              <w:jc w:val="center"/>
              <w:rPr>
                <w:color w:val="auto"/>
                <w:szCs w:val="21"/>
              </w:rPr>
            </w:pPr>
            <w:r>
              <w:rPr>
                <w:color w:val="auto"/>
                <w:szCs w:val="21"/>
              </w:rPr>
              <w:t>（2）不造成大面积林木破坏，施工迹地进行植被恢复，恢复原有用地功能，不对保护动植物造成破坏，未造成水土流失现象。</w:t>
            </w:r>
          </w:p>
        </w:tc>
        <w:tc>
          <w:tcPr>
            <w:tcW w:w="1266" w:type="pct"/>
            <w:noWrap w:val="0"/>
            <w:vAlign w:val="center"/>
          </w:tcPr>
          <w:p w14:paraId="303F2A76">
            <w:pPr>
              <w:adjustRightInd w:val="0"/>
              <w:snapToGrid w:val="0"/>
              <w:spacing w:line="240" w:lineRule="auto"/>
              <w:rPr>
                <w:rFonts w:hint="eastAsia"/>
                <w:color w:val="auto"/>
              </w:rPr>
            </w:pPr>
            <w:r>
              <w:rPr>
                <w:rFonts w:hint="eastAsia"/>
                <w:color w:val="auto"/>
              </w:rPr>
              <w:t>（1）在项目运行期需对线路沿线及塔基进行定期巡查及检修，应对线路运行维护人员进行生态环境保护，尤其是野生动植物保护相关知识的培训，</w:t>
            </w:r>
            <w:r>
              <w:rPr>
                <w:rFonts w:hint="eastAsia"/>
                <w:color w:val="auto"/>
                <w:lang w:eastAsia="zh-CN"/>
              </w:rPr>
              <w:t>增强</w:t>
            </w:r>
            <w:r>
              <w:rPr>
                <w:rFonts w:hint="eastAsia"/>
                <w:color w:val="auto"/>
              </w:rPr>
              <w:t>他们的环境保护意识，不对工程周边区域的动植物及生态环境造成破坏。</w:t>
            </w:r>
          </w:p>
          <w:p w14:paraId="478AB89A">
            <w:pPr>
              <w:adjustRightInd w:val="0"/>
              <w:snapToGrid w:val="0"/>
              <w:spacing w:line="240" w:lineRule="auto"/>
              <w:rPr>
                <w:rFonts w:hint="eastAsia"/>
                <w:color w:val="auto"/>
              </w:rPr>
            </w:pPr>
            <w:r>
              <w:rPr>
                <w:rFonts w:hint="eastAsia"/>
                <w:color w:val="auto"/>
              </w:rPr>
              <w:t>（2）强化对设备检修维护人员的生态保护意识教育，加强管理，禁止滥采滥伐和捕猎野生动物，避免因此</w:t>
            </w:r>
            <w:r>
              <w:rPr>
                <w:rFonts w:hint="eastAsia"/>
                <w:color w:val="auto"/>
                <w:lang w:eastAsia="zh-CN"/>
              </w:rPr>
              <w:t>导致</w:t>
            </w:r>
            <w:r>
              <w:rPr>
                <w:rFonts w:hint="eastAsia"/>
                <w:color w:val="auto"/>
              </w:rPr>
              <w:t>沿线自然植被破坏和野生动物的影响；</w:t>
            </w:r>
          </w:p>
          <w:p w14:paraId="07AA930D">
            <w:pPr>
              <w:adjustRightInd w:val="0"/>
              <w:snapToGrid w:val="0"/>
              <w:spacing w:line="240" w:lineRule="auto"/>
              <w:rPr>
                <w:rFonts w:hint="eastAsia"/>
                <w:color w:val="auto"/>
              </w:rPr>
            </w:pPr>
            <w:r>
              <w:rPr>
                <w:rFonts w:hint="eastAsia"/>
                <w:color w:val="auto"/>
              </w:rPr>
              <w:t>（3）定期对线路沿线生态保护和防护措施及设施进行检查，跟踪生态保护与恢复效果，以便及时采取后续措施。输电线路使用警示色。根据鸟类的视觉特征，将高压输电线路导线设置成对鸟类具有警示作用的颜色，提醒鸟类对障碍物的识别，减少碰撞几率。</w:t>
            </w:r>
          </w:p>
          <w:p w14:paraId="1B391DC5">
            <w:pPr>
              <w:adjustRightInd w:val="0"/>
              <w:snapToGrid w:val="0"/>
              <w:spacing w:line="240" w:lineRule="auto"/>
              <w:rPr>
                <w:rFonts w:hint="eastAsia"/>
                <w:color w:val="auto"/>
              </w:rPr>
            </w:pPr>
            <w:r>
              <w:rPr>
                <w:rFonts w:hint="eastAsia"/>
                <w:color w:val="auto"/>
              </w:rPr>
              <w:t>（4）对于永久占地造成的植被破坏，建设单位应严格按照有关规定向政府和主管部门缴纳相关青苗补偿费、林木赔偿费等，并由相关部门统一安排植被恢复。</w:t>
            </w:r>
          </w:p>
          <w:p w14:paraId="79626E4F">
            <w:pPr>
              <w:adjustRightInd w:val="0"/>
              <w:snapToGrid w:val="0"/>
              <w:spacing w:line="240" w:lineRule="auto"/>
              <w:rPr>
                <w:rFonts w:hint="eastAsia"/>
                <w:color w:val="auto"/>
              </w:rPr>
            </w:pPr>
            <w:r>
              <w:rPr>
                <w:rFonts w:hint="eastAsia"/>
                <w:color w:val="auto"/>
              </w:rPr>
              <w:t>（5）严格遵循《110kV～750kV架空输电线路施工及验收规范》（GB50233-2014），为保护评价区内天然植被，禁止砍伐通道，仅对运营后期生长到21m以上的林冠进行修剪。</w:t>
            </w:r>
          </w:p>
          <w:p w14:paraId="2D0D847D">
            <w:pPr>
              <w:adjustRightInd w:val="0"/>
              <w:snapToGrid w:val="0"/>
              <w:spacing w:line="240" w:lineRule="auto"/>
              <w:rPr>
                <w:rFonts w:hint="eastAsia"/>
                <w:color w:val="auto"/>
              </w:rPr>
            </w:pPr>
            <w:r>
              <w:rPr>
                <w:rFonts w:hint="eastAsia"/>
                <w:color w:val="auto"/>
              </w:rPr>
              <w:t>（6）线路运行后，进行维护或巡视时不得新开道路。设置告示牌和警示牌。运行后制定相关的工作规则，避免维护人员伤害野生动物。</w:t>
            </w:r>
          </w:p>
          <w:p w14:paraId="3630569B">
            <w:pPr>
              <w:adjustRightInd w:val="0"/>
              <w:snapToGrid w:val="0"/>
              <w:spacing w:line="240" w:lineRule="auto"/>
              <w:rPr>
                <w:b/>
                <w:bCs/>
                <w:color w:val="auto"/>
              </w:rPr>
            </w:pPr>
            <w:r>
              <w:rPr>
                <w:b/>
                <w:bCs/>
                <w:color w:val="auto"/>
              </w:rPr>
              <w:t>对生态保护红线保护措施：</w:t>
            </w:r>
          </w:p>
          <w:p w14:paraId="7FFEFC00">
            <w:pPr>
              <w:adjustRightInd w:val="0"/>
              <w:snapToGrid w:val="0"/>
              <w:spacing w:line="240" w:lineRule="auto"/>
              <w:rPr>
                <w:rFonts w:hint="eastAsia"/>
                <w:color w:val="auto"/>
              </w:rPr>
            </w:pPr>
            <w:r>
              <w:rPr>
                <w:rFonts w:hint="eastAsia"/>
                <w:color w:val="auto"/>
              </w:rPr>
              <w:t>（1）塔基施工完成后，对施工现场塔基区、塔基施工场地、人抬道路区进行清理平整并及时进行植被恢复，人工恢复以当地植物为主，禁止引进外来入侵物种。</w:t>
            </w:r>
          </w:p>
          <w:p w14:paraId="39CFD8F3">
            <w:pPr>
              <w:adjustRightInd w:val="0"/>
              <w:snapToGrid w:val="0"/>
              <w:spacing w:line="240" w:lineRule="auto"/>
              <w:rPr>
                <w:rFonts w:hint="eastAsia"/>
                <w:color w:val="auto"/>
              </w:rPr>
            </w:pPr>
            <w:r>
              <w:rPr>
                <w:rFonts w:hint="eastAsia"/>
                <w:color w:val="auto"/>
              </w:rPr>
              <w:t>（2）加强对植被恢复区域绿化植物的抚育管理，提高恢复植物成活率及植被覆盖率。</w:t>
            </w:r>
          </w:p>
          <w:p w14:paraId="2B5D08DC">
            <w:pPr>
              <w:adjustRightInd w:val="0"/>
              <w:snapToGrid w:val="0"/>
              <w:spacing w:line="240" w:lineRule="auto"/>
              <w:rPr>
                <w:rFonts w:hint="eastAsia"/>
                <w:color w:val="auto"/>
              </w:rPr>
            </w:pPr>
            <w:r>
              <w:rPr>
                <w:rFonts w:hint="eastAsia"/>
                <w:color w:val="auto"/>
              </w:rPr>
              <w:t>（3）定期对生态保护红线内生态保护措施进行检查，跟踪生态保护与恢复效果，以便及时采取后续措施。</w:t>
            </w:r>
          </w:p>
          <w:p w14:paraId="2EA3D2C7">
            <w:pPr>
              <w:adjustRightInd w:val="0"/>
              <w:snapToGrid w:val="0"/>
              <w:spacing w:line="240" w:lineRule="auto"/>
              <w:rPr>
                <w:rFonts w:hint="eastAsia"/>
                <w:color w:val="auto"/>
              </w:rPr>
            </w:pPr>
            <w:r>
              <w:rPr>
                <w:rFonts w:hint="eastAsia"/>
                <w:color w:val="auto"/>
                <w:lang w:eastAsia="zh-CN"/>
              </w:rPr>
              <w:t>（</w:t>
            </w:r>
            <w:r>
              <w:rPr>
                <w:rFonts w:hint="eastAsia"/>
                <w:color w:val="auto"/>
                <w:lang w:val="en-US" w:eastAsia="zh-CN"/>
              </w:rPr>
              <w:t>4</w:t>
            </w:r>
            <w:r>
              <w:rPr>
                <w:rFonts w:hint="eastAsia"/>
                <w:color w:val="auto"/>
                <w:lang w:eastAsia="zh-CN"/>
              </w:rPr>
              <w:t>）</w:t>
            </w:r>
            <w:r>
              <w:rPr>
                <w:rFonts w:hint="eastAsia"/>
                <w:color w:val="auto"/>
              </w:rPr>
              <w:t>对电站工作人员加强管理，在项目区周边设置生态保护警示牌，告知工作人员生态保护红线区的位置及范围，减少工作人员进入生态保护红线区内活动。</w:t>
            </w:r>
          </w:p>
          <w:p w14:paraId="3B9C8280">
            <w:pPr>
              <w:adjustRightInd w:val="0"/>
              <w:snapToGrid w:val="0"/>
              <w:spacing w:line="240" w:lineRule="auto"/>
              <w:rPr>
                <w:rFonts w:hint="default"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公益林保护措施：</w:t>
            </w:r>
          </w:p>
          <w:p w14:paraId="771060E7">
            <w:pPr>
              <w:adjustRightInd w:val="0"/>
              <w:snapToGrid w:val="0"/>
              <w:spacing w:line="240" w:lineRule="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运营期建设单位须对工作人员加强管理，在项目区周边设置生态保护警示牌，告知工作人员公益林的位置及范围，减少工作人员进入公益林内活动；同时加强工作人员的宣传教育，不对公</w:t>
            </w:r>
            <w:r>
              <w:rPr>
                <w:rFonts w:hint="eastAsia" w:ascii="Times New Roman" w:hAnsi="Times New Roman" w:eastAsia="宋体" w:cs="Times New Roman"/>
                <w:color w:val="auto"/>
                <w:lang w:val="en-US" w:eastAsia="zh-CN"/>
              </w:rPr>
              <w:t>益林</w:t>
            </w:r>
            <w:r>
              <w:rPr>
                <w:rFonts w:hint="default" w:ascii="Times New Roman" w:hAnsi="Times New Roman" w:eastAsia="宋体" w:cs="Times New Roman"/>
                <w:color w:val="auto"/>
                <w:lang w:val="en-US" w:eastAsia="zh-CN"/>
              </w:rPr>
              <w:t>进行砍伐破坏。</w:t>
            </w:r>
          </w:p>
          <w:p w14:paraId="79F9CA0C">
            <w:pPr>
              <w:adjustRightInd w:val="0"/>
              <w:snapToGrid w:val="0"/>
              <w:spacing w:line="240" w:lineRule="auto"/>
              <w:rPr>
                <w:rFonts w:hint="default" w:ascii="Times New Roman" w:hAnsi="Times New Roman" w:eastAsia="宋体" w:cs="Times New Roman"/>
                <w:color w:val="auto"/>
                <w:lang w:val="en-US" w:eastAsia="zh-CN"/>
              </w:rPr>
            </w:pPr>
          </w:p>
        </w:tc>
        <w:tc>
          <w:tcPr>
            <w:tcW w:w="636" w:type="pct"/>
            <w:noWrap w:val="0"/>
            <w:vAlign w:val="center"/>
          </w:tcPr>
          <w:p w14:paraId="2E2EFB15">
            <w:pPr>
              <w:adjustRightInd w:val="0"/>
              <w:snapToGrid w:val="0"/>
              <w:spacing w:line="240" w:lineRule="auto"/>
              <w:jc w:val="center"/>
              <w:rPr>
                <w:color w:val="auto"/>
                <w:szCs w:val="21"/>
              </w:rPr>
            </w:pPr>
            <w:r>
              <w:rPr>
                <w:color w:val="auto"/>
                <w:szCs w:val="21"/>
              </w:rPr>
              <w:t>线路沿线植被恢复良好。</w:t>
            </w:r>
          </w:p>
        </w:tc>
      </w:tr>
      <w:tr w14:paraId="5380E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noWrap w:val="0"/>
            <w:vAlign w:val="center"/>
          </w:tcPr>
          <w:p w14:paraId="1C7F6B33">
            <w:pPr>
              <w:adjustRightInd w:val="0"/>
              <w:snapToGrid w:val="0"/>
              <w:spacing w:line="240" w:lineRule="auto"/>
              <w:jc w:val="center"/>
              <w:rPr>
                <w:b/>
                <w:color w:val="auto"/>
                <w:szCs w:val="21"/>
              </w:rPr>
            </w:pPr>
            <w:r>
              <w:rPr>
                <w:b/>
                <w:color w:val="auto"/>
                <w:szCs w:val="21"/>
              </w:rPr>
              <w:t>水生生态</w:t>
            </w:r>
          </w:p>
        </w:tc>
        <w:tc>
          <w:tcPr>
            <w:tcW w:w="1878" w:type="pct"/>
            <w:noWrap w:val="0"/>
            <w:vAlign w:val="center"/>
          </w:tcPr>
          <w:p w14:paraId="69FFB714">
            <w:pPr>
              <w:adjustRightInd w:val="0"/>
              <w:snapToGrid w:val="0"/>
              <w:spacing w:line="240" w:lineRule="auto"/>
              <w:jc w:val="center"/>
              <w:rPr>
                <w:color w:val="auto"/>
                <w:szCs w:val="21"/>
              </w:rPr>
            </w:pPr>
            <w:r>
              <w:rPr>
                <w:color w:val="auto"/>
                <w:szCs w:val="21"/>
              </w:rPr>
              <w:t>本项目不占用河道管理范围，无涉水工程，工程建设不会对鱼类等水生生物造成直接影响。</w:t>
            </w:r>
          </w:p>
        </w:tc>
        <w:tc>
          <w:tcPr>
            <w:tcW w:w="693" w:type="pct"/>
            <w:noWrap w:val="0"/>
            <w:vAlign w:val="center"/>
          </w:tcPr>
          <w:p w14:paraId="2814ABCB">
            <w:pPr>
              <w:adjustRightInd w:val="0"/>
              <w:snapToGrid w:val="0"/>
              <w:spacing w:line="240" w:lineRule="auto"/>
              <w:jc w:val="center"/>
              <w:rPr>
                <w:color w:val="auto"/>
                <w:szCs w:val="21"/>
              </w:rPr>
            </w:pPr>
            <w:r>
              <w:rPr>
                <w:color w:val="auto"/>
                <w:szCs w:val="21"/>
              </w:rPr>
              <w:t>不破坏水生态环境</w:t>
            </w:r>
          </w:p>
        </w:tc>
        <w:tc>
          <w:tcPr>
            <w:tcW w:w="1266" w:type="pct"/>
            <w:noWrap w:val="0"/>
            <w:vAlign w:val="center"/>
          </w:tcPr>
          <w:p w14:paraId="1E454220">
            <w:pPr>
              <w:adjustRightInd w:val="0"/>
              <w:snapToGrid w:val="0"/>
              <w:spacing w:line="240" w:lineRule="auto"/>
              <w:jc w:val="center"/>
              <w:rPr>
                <w:color w:val="auto"/>
                <w:szCs w:val="21"/>
              </w:rPr>
            </w:pPr>
            <w:r>
              <w:rPr>
                <w:color w:val="auto"/>
                <w:szCs w:val="21"/>
              </w:rPr>
              <w:t>本项目不占用河道管理范围，无涉水工程，工程建设不会对鱼类等水生生物造成直接影响。</w:t>
            </w:r>
          </w:p>
        </w:tc>
        <w:tc>
          <w:tcPr>
            <w:tcW w:w="636" w:type="pct"/>
            <w:noWrap w:val="0"/>
            <w:vAlign w:val="center"/>
          </w:tcPr>
          <w:p w14:paraId="5414CBA7">
            <w:pPr>
              <w:adjustRightInd w:val="0"/>
              <w:snapToGrid w:val="0"/>
              <w:spacing w:line="240" w:lineRule="auto"/>
              <w:jc w:val="center"/>
              <w:rPr>
                <w:color w:val="auto"/>
                <w:szCs w:val="21"/>
              </w:rPr>
            </w:pPr>
            <w:r>
              <w:rPr>
                <w:color w:val="auto"/>
                <w:szCs w:val="21"/>
              </w:rPr>
              <w:t>无涉水工程，影响可接受</w:t>
            </w:r>
          </w:p>
        </w:tc>
      </w:tr>
      <w:tr w14:paraId="56B05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noWrap w:val="0"/>
            <w:vAlign w:val="center"/>
          </w:tcPr>
          <w:p w14:paraId="3AD2A83F">
            <w:pPr>
              <w:adjustRightInd w:val="0"/>
              <w:snapToGrid w:val="0"/>
              <w:spacing w:line="240" w:lineRule="auto"/>
              <w:jc w:val="center"/>
              <w:rPr>
                <w:b/>
                <w:color w:val="auto"/>
                <w:szCs w:val="21"/>
              </w:rPr>
            </w:pPr>
            <w:r>
              <w:rPr>
                <w:b/>
                <w:color w:val="auto"/>
                <w:szCs w:val="21"/>
              </w:rPr>
              <w:t>地表水环境</w:t>
            </w:r>
          </w:p>
        </w:tc>
        <w:tc>
          <w:tcPr>
            <w:tcW w:w="1878" w:type="pct"/>
            <w:noWrap w:val="0"/>
            <w:vAlign w:val="center"/>
          </w:tcPr>
          <w:p w14:paraId="23401E96">
            <w:pPr>
              <w:adjustRightInd w:val="0"/>
              <w:snapToGrid w:val="0"/>
              <w:spacing w:line="240" w:lineRule="auto"/>
              <w:rPr>
                <w:rFonts w:hint="default"/>
                <w:b/>
                <w:bCs/>
                <w:color w:val="auto"/>
                <w:szCs w:val="21"/>
                <w:lang w:val="en-US" w:eastAsia="zh-CN"/>
              </w:rPr>
            </w:pPr>
            <w:r>
              <w:rPr>
                <w:rFonts w:hint="default"/>
                <w:b/>
                <w:bCs/>
                <w:color w:val="auto"/>
                <w:szCs w:val="21"/>
                <w:lang w:eastAsia="zh-CN"/>
              </w:rPr>
              <w:t>（</w:t>
            </w:r>
            <w:r>
              <w:rPr>
                <w:rFonts w:hint="default"/>
                <w:b/>
                <w:bCs/>
                <w:color w:val="auto"/>
                <w:szCs w:val="21"/>
                <w:lang w:val="en-US" w:eastAsia="zh-CN"/>
              </w:rPr>
              <w:t>1</w:t>
            </w:r>
            <w:r>
              <w:rPr>
                <w:rFonts w:hint="default"/>
                <w:b/>
                <w:bCs/>
                <w:color w:val="auto"/>
                <w:szCs w:val="21"/>
                <w:lang w:eastAsia="zh-CN"/>
              </w:rPr>
              <w:t>）</w:t>
            </w:r>
            <w:r>
              <w:rPr>
                <w:rFonts w:hint="default"/>
                <w:b/>
                <w:bCs/>
                <w:color w:val="auto"/>
                <w:szCs w:val="21"/>
                <w:lang w:val="en-US" w:eastAsia="zh-CN"/>
              </w:rPr>
              <w:t>水污染防治措施</w:t>
            </w:r>
          </w:p>
          <w:p w14:paraId="4870D2A4">
            <w:pPr>
              <w:adjustRightInd w:val="0"/>
              <w:snapToGrid w:val="0"/>
              <w:spacing w:line="240" w:lineRule="auto"/>
              <w:rPr>
                <w:rFonts w:hint="default"/>
                <w:color w:val="auto"/>
                <w:szCs w:val="21"/>
              </w:rPr>
            </w:pPr>
            <w:r>
              <w:rPr>
                <w:rFonts w:hint="default"/>
                <w:color w:val="auto"/>
                <w:szCs w:val="21"/>
              </w:rPr>
              <w:t>1）施工场地四周应修建截水排水沟，并在出口设置沉砂池和拦砂网，将含泥沙的雨水、泥浆经沉砂池沉淀后回用于施工路段路面洒水、</w:t>
            </w:r>
            <w:r>
              <w:rPr>
                <w:rFonts w:hint="default"/>
                <w:color w:val="auto"/>
                <w:szCs w:val="21"/>
                <w:lang w:val="en-US" w:eastAsia="zh-CN"/>
              </w:rPr>
              <w:t>施工环节</w:t>
            </w:r>
            <w:r>
              <w:rPr>
                <w:rFonts w:hint="default"/>
                <w:color w:val="auto"/>
                <w:szCs w:val="21"/>
              </w:rPr>
              <w:t>。</w:t>
            </w:r>
          </w:p>
          <w:p w14:paraId="1513D915">
            <w:pPr>
              <w:adjustRightInd w:val="0"/>
              <w:snapToGrid w:val="0"/>
              <w:spacing w:line="240" w:lineRule="auto"/>
              <w:rPr>
                <w:rFonts w:hint="default"/>
                <w:color w:val="auto"/>
                <w:szCs w:val="21"/>
              </w:rPr>
            </w:pPr>
            <w:r>
              <w:rPr>
                <w:rFonts w:hint="default"/>
                <w:color w:val="auto"/>
                <w:szCs w:val="21"/>
              </w:rPr>
              <w:t>2）输电线路施工人员租住周边民房，施工人员生活污水依托租用民房已建设施收集处理，施工过程中产生的少量洗手废水经收集沉淀后回用于施工环节，不外排。</w:t>
            </w:r>
          </w:p>
          <w:p w14:paraId="5EC2DA3D">
            <w:pPr>
              <w:adjustRightInd w:val="0"/>
              <w:snapToGrid w:val="0"/>
              <w:spacing w:line="240" w:lineRule="auto"/>
              <w:rPr>
                <w:rFonts w:hint="default"/>
                <w:color w:val="auto"/>
                <w:szCs w:val="21"/>
              </w:rPr>
            </w:pPr>
            <w:r>
              <w:rPr>
                <w:rFonts w:hint="default"/>
                <w:color w:val="auto"/>
                <w:szCs w:val="21"/>
              </w:rPr>
              <w:t>3）严格按设计要求，采取一档跨越河流，不在河流水域内和河道中立塔，不对跨越河流构成影响。</w:t>
            </w:r>
          </w:p>
          <w:p w14:paraId="72357926">
            <w:pPr>
              <w:adjustRightInd w:val="0"/>
              <w:snapToGrid w:val="0"/>
              <w:spacing w:line="240" w:lineRule="auto"/>
              <w:rPr>
                <w:rFonts w:hint="default"/>
                <w:color w:val="auto"/>
                <w:szCs w:val="21"/>
              </w:rPr>
            </w:pPr>
            <w:r>
              <w:rPr>
                <w:rFonts w:hint="default"/>
                <w:color w:val="auto"/>
                <w:szCs w:val="21"/>
              </w:rPr>
              <w:t>4）施工期间禁止向水体排放、倾倒垃圾、弃土、弃渣。应加强对含油设施（包括车辆和线路施工设备）的管理，严禁在水体及其附近冲洗含油器械及车辆，避免油类物质进入水体。</w:t>
            </w:r>
          </w:p>
          <w:p w14:paraId="765CF9D4">
            <w:pPr>
              <w:adjustRightInd w:val="0"/>
              <w:snapToGrid w:val="0"/>
              <w:spacing w:line="240" w:lineRule="auto"/>
              <w:rPr>
                <w:rFonts w:hint="default"/>
                <w:color w:val="auto"/>
                <w:szCs w:val="21"/>
              </w:rPr>
            </w:pPr>
            <w:r>
              <w:rPr>
                <w:rFonts w:hint="default"/>
                <w:color w:val="auto"/>
                <w:szCs w:val="21"/>
              </w:rPr>
              <w:t>5）施工现场如使用带油料的机械器具，应采取措施防止油料跑、冒、滴、漏，防止对土壤和水体造成污染。</w:t>
            </w:r>
          </w:p>
          <w:p w14:paraId="0CB5FC0C">
            <w:pPr>
              <w:adjustRightInd w:val="0"/>
              <w:snapToGrid w:val="0"/>
              <w:spacing w:line="240" w:lineRule="auto"/>
              <w:rPr>
                <w:rFonts w:hint="default"/>
                <w:b/>
                <w:bCs/>
                <w:color w:val="auto"/>
                <w:szCs w:val="21"/>
                <w:lang w:eastAsia="zh-CN"/>
              </w:rPr>
            </w:pPr>
            <w:r>
              <w:rPr>
                <w:rFonts w:hint="default"/>
                <w:b/>
                <w:bCs/>
                <w:color w:val="auto"/>
                <w:szCs w:val="21"/>
                <w:lang w:eastAsia="zh-CN"/>
              </w:rPr>
              <w:t>（</w:t>
            </w:r>
            <w:r>
              <w:rPr>
                <w:rFonts w:hint="default"/>
                <w:b/>
                <w:bCs/>
                <w:color w:val="auto"/>
                <w:szCs w:val="21"/>
                <w:lang w:val="en-US" w:eastAsia="zh-CN"/>
              </w:rPr>
              <w:t>2</w:t>
            </w:r>
            <w:r>
              <w:rPr>
                <w:rFonts w:hint="default"/>
                <w:b/>
                <w:bCs/>
                <w:color w:val="auto"/>
                <w:szCs w:val="21"/>
                <w:lang w:eastAsia="zh-CN"/>
              </w:rPr>
              <w:t>）跨越水体水环境保护措施</w:t>
            </w:r>
          </w:p>
          <w:p w14:paraId="0A879DCD">
            <w:pPr>
              <w:adjustRightInd w:val="0"/>
              <w:snapToGrid w:val="0"/>
              <w:spacing w:line="240" w:lineRule="auto"/>
              <w:rPr>
                <w:rFonts w:hint="default"/>
                <w:color w:val="auto"/>
                <w:szCs w:val="21"/>
              </w:rPr>
            </w:pPr>
            <w:r>
              <w:rPr>
                <w:rFonts w:hint="default"/>
                <w:color w:val="auto"/>
                <w:szCs w:val="21"/>
              </w:rPr>
              <w:t>1）合理选择架线位置，采取一档跨越，不在水中立塔，塔基位置应尽可能远离河岸，减少塔基对河流的影响。</w:t>
            </w:r>
          </w:p>
          <w:p w14:paraId="2C5C74BB">
            <w:pPr>
              <w:adjustRightInd w:val="0"/>
              <w:snapToGrid w:val="0"/>
              <w:spacing w:line="240" w:lineRule="auto"/>
              <w:rPr>
                <w:rFonts w:hint="default"/>
                <w:color w:val="auto"/>
                <w:szCs w:val="21"/>
              </w:rPr>
            </w:pPr>
            <w:r>
              <w:rPr>
                <w:rFonts w:hint="default"/>
                <w:color w:val="auto"/>
                <w:szCs w:val="21"/>
              </w:rPr>
              <w:t>2）禁止向水体排放油类，禁止在水体冲洗贮油类车辆，禁止向水体排放、倾倒废水、垃圾等。</w:t>
            </w:r>
          </w:p>
          <w:p w14:paraId="38EC5FB8">
            <w:pPr>
              <w:adjustRightInd w:val="0"/>
              <w:snapToGrid w:val="0"/>
              <w:spacing w:line="240" w:lineRule="auto"/>
              <w:rPr>
                <w:color w:val="auto"/>
                <w:szCs w:val="21"/>
              </w:rPr>
            </w:pPr>
            <w:r>
              <w:rPr>
                <w:rFonts w:hint="default"/>
                <w:color w:val="auto"/>
                <w:szCs w:val="21"/>
              </w:rPr>
              <w:t>3）邻近河流的塔基施工时，施工人员不得在靠近水域附近搭建临时施工生活设施，严禁施工废水、生活污水、生活垃圾等排入水体，影响水体水质，施工场地尽可能远离河流。</w:t>
            </w:r>
          </w:p>
        </w:tc>
        <w:tc>
          <w:tcPr>
            <w:tcW w:w="693" w:type="pct"/>
            <w:noWrap w:val="0"/>
            <w:vAlign w:val="center"/>
          </w:tcPr>
          <w:p w14:paraId="46C9B44B">
            <w:pPr>
              <w:pStyle w:val="92"/>
              <w:autoSpaceDE/>
              <w:autoSpaceDN/>
              <w:snapToGrid w:val="0"/>
              <w:spacing w:line="240" w:lineRule="auto"/>
              <w:jc w:val="center"/>
              <w:rPr>
                <w:color w:val="auto"/>
                <w:sz w:val="21"/>
                <w:szCs w:val="21"/>
              </w:rPr>
            </w:pPr>
            <w:r>
              <w:rPr>
                <w:color w:val="auto"/>
                <w:sz w:val="21"/>
                <w:szCs w:val="21"/>
              </w:rPr>
              <w:t>（1）施工期的各项地表水环境保护措施应按照环境影响评价文件及批复要求落实到位。（2）施工废水和生活污水不外排，对水环境无影响，无扰民纠纷和投诉现象发生。</w:t>
            </w:r>
          </w:p>
        </w:tc>
        <w:tc>
          <w:tcPr>
            <w:tcW w:w="1266" w:type="pct"/>
            <w:noWrap w:val="0"/>
            <w:vAlign w:val="center"/>
          </w:tcPr>
          <w:p w14:paraId="0896D130">
            <w:pPr>
              <w:pStyle w:val="3"/>
              <w:keepNext w:val="0"/>
              <w:adjustRightInd w:val="0"/>
              <w:snapToGrid w:val="0"/>
              <w:spacing w:line="240" w:lineRule="auto"/>
              <w:rPr>
                <w:color w:val="auto"/>
              </w:rPr>
            </w:pPr>
            <w:r>
              <w:rPr>
                <w:b w:val="0"/>
                <w:bCs w:val="0"/>
                <w:color w:val="auto"/>
                <w:kern w:val="0"/>
                <w:sz w:val="21"/>
                <w:szCs w:val="21"/>
              </w:rPr>
              <w:t>项目输电线路运行期不产生废水。线路运维人员定期巡线过程中，应避免在河流附近甚至向水域随意丢弃废弃物，防止对水质产生影响。</w:t>
            </w:r>
          </w:p>
        </w:tc>
        <w:tc>
          <w:tcPr>
            <w:tcW w:w="636" w:type="pct"/>
            <w:noWrap w:val="0"/>
            <w:vAlign w:val="center"/>
          </w:tcPr>
          <w:p w14:paraId="3EEF71D9">
            <w:pPr>
              <w:adjustRightInd w:val="0"/>
              <w:snapToGrid w:val="0"/>
              <w:spacing w:line="240" w:lineRule="auto"/>
              <w:jc w:val="center"/>
              <w:rPr>
                <w:color w:val="auto"/>
                <w:szCs w:val="21"/>
              </w:rPr>
            </w:pPr>
            <w:r>
              <w:rPr>
                <w:color w:val="auto"/>
                <w:szCs w:val="21"/>
              </w:rPr>
              <w:t>本项目线路运营期无废水产生。</w:t>
            </w:r>
          </w:p>
        </w:tc>
      </w:tr>
      <w:tr w14:paraId="6ADAB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noWrap w:val="0"/>
            <w:vAlign w:val="center"/>
          </w:tcPr>
          <w:p w14:paraId="2A25B114">
            <w:pPr>
              <w:adjustRightInd w:val="0"/>
              <w:snapToGrid w:val="0"/>
              <w:spacing w:line="240" w:lineRule="auto"/>
              <w:jc w:val="center"/>
              <w:rPr>
                <w:b/>
                <w:color w:val="auto"/>
                <w:szCs w:val="21"/>
              </w:rPr>
            </w:pPr>
            <w:r>
              <w:rPr>
                <w:b/>
                <w:color w:val="auto"/>
                <w:szCs w:val="21"/>
              </w:rPr>
              <w:t>地下水及土壤环境</w:t>
            </w:r>
          </w:p>
        </w:tc>
        <w:tc>
          <w:tcPr>
            <w:tcW w:w="1878" w:type="pct"/>
            <w:noWrap w:val="0"/>
            <w:vAlign w:val="center"/>
          </w:tcPr>
          <w:p w14:paraId="7F62AF3E">
            <w:pPr>
              <w:adjustRightInd w:val="0"/>
              <w:snapToGrid w:val="0"/>
              <w:spacing w:line="240" w:lineRule="auto"/>
              <w:jc w:val="center"/>
              <w:rPr>
                <w:color w:val="auto"/>
                <w:szCs w:val="21"/>
              </w:rPr>
            </w:pPr>
            <w:r>
              <w:rPr>
                <w:color w:val="auto"/>
                <w:szCs w:val="21"/>
              </w:rPr>
              <w:t>/</w:t>
            </w:r>
          </w:p>
        </w:tc>
        <w:tc>
          <w:tcPr>
            <w:tcW w:w="693" w:type="pct"/>
            <w:noWrap w:val="0"/>
            <w:vAlign w:val="center"/>
          </w:tcPr>
          <w:p w14:paraId="493F777C">
            <w:pPr>
              <w:adjustRightInd w:val="0"/>
              <w:snapToGrid w:val="0"/>
              <w:spacing w:line="240" w:lineRule="auto"/>
              <w:jc w:val="center"/>
              <w:rPr>
                <w:color w:val="auto"/>
                <w:szCs w:val="21"/>
              </w:rPr>
            </w:pPr>
            <w:r>
              <w:rPr>
                <w:color w:val="auto"/>
                <w:szCs w:val="21"/>
              </w:rPr>
              <w:t>/</w:t>
            </w:r>
          </w:p>
        </w:tc>
        <w:tc>
          <w:tcPr>
            <w:tcW w:w="1266" w:type="pct"/>
            <w:noWrap w:val="0"/>
            <w:vAlign w:val="top"/>
          </w:tcPr>
          <w:p w14:paraId="4702971F">
            <w:pPr>
              <w:pStyle w:val="92"/>
              <w:autoSpaceDE/>
              <w:autoSpaceDN/>
              <w:snapToGrid w:val="0"/>
              <w:spacing w:line="240" w:lineRule="auto"/>
              <w:jc w:val="center"/>
              <w:rPr>
                <w:color w:val="auto"/>
                <w:sz w:val="21"/>
                <w:szCs w:val="21"/>
              </w:rPr>
            </w:pPr>
            <w:r>
              <w:rPr>
                <w:color w:val="auto"/>
                <w:sz w:val="21"/>
                <w:szCs w:val="21"/>
              </w:rPr>
              <w:t>/</w:t>
            </w:r>
          </w:p>
        </w:tc>
        <w:tc>
          <w:tcPr>
            <w:tcW w:w="636" w:type="pct"/>
            <w:noWrap w:val="0"/>
            <w:vAlign w:val="top"/>
          </w:tcPr>
          <w:p w14:paraId="5E90827D">
            <w:pPr>
              <w:pStyle w:val="92"/>
              <w:autoSpaceDE/>
              <w:autoSpaceDN/>
              <w:snapToGrid w:val="0"/>
              <w:spacing w:line="240" w:lineRule="auto"/>
              <w:jc w:val="center"/>
              <w:rPr>
                <w:color w:val="auto"/>
                <w:sz w:val="21"/>
                <w:szCs w:val="21"/>
              </w:rPr>
            </w:pPr>
            <w:r>
              <w:rPr>
                <w:color w:val="auto"/>
                <w:sz w:val="21"/>
                <w:szCs w:val="21"/>
              </w:rPr>
              <w:t>/</w:t>
            </w:r>
          </w:p>
        </w:tc>
      </w:tr>
      <w:tr w14:paraId="23CFE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noWrap w:val="0"/>
            <w:vAlign w:val="center"/>
          </w:tcPr>
          <w:p w14:paraId="2C5C1AF1">
            <w:pPr>
              <w:adjustRightInd w:val="0"/>
              <w:snapToGrid w:val="0"/>
              <w:spacing w:line="240" w:lineRule="auto"/>
              <w:jc w:val="center"/>
              <w:rPr>
                <w:b/>
                <w:color w:val="auto"/>
                <w:szCs w:val="21"/>
              </w:rPr>
            </w:pPr>
            <w:r>
              <w:rPr>
                <w:b/>
                <w:color w:val="auto"/>
                <w:szCs w:val="21"/>
              </w:rPr>
              <w:t>声环境</w:t>
            </w:r>
          </w:p>
        </w:tc>
        <w:tc>
          <w:tcPr>
            <w:tcW w:w="1878" w:type="pct"/>
            <w:noWrap w:val="0"/>
            <w:vAlign w:val="center"/>
          </w:tcPr>
          <w:p w14:paraId="4C5409D4">
            <w:pPr>
              <w:adjustRightInd w:val="0"/>
              <w:snapToGrid w:val="0"/>
              <w:spacing w:line="240" w:lineRule="auto"/>
              <w:rPr>
                <w:rFonts w:hint="default"/>
                <w:color w:val="auto"/>
                <w:szCs w:val="21"/>
              </w:rPr>
            </w:pPr>
            <w:r>
              <w:rPr>
                <w:rFonts w:hint="default"/>
                <w:color w:val="auto"/>
                <w:szCs w:val="21"/>
              </w:rPr>
              <w:t>（1）要求施工单位文明施工，加强施工</w:t>
            </w:r>
            <w:r>
              <w:rPr>
                <w:rFonts w:hint="eastAsia"/>
                <w:color w:val="auto"/>
                <w:szCs w:val="21"/>
                <w:lang w:eastAsia="zh-CN"/>
              </w:rPr>
              <w:t>期间</w:t>
            </w:r>
            <w:r>
              <w:rPr>
                <w:rFonts w:hint="default"/>
                <w:color w:val="auto"/>
                <w:szCs w:val="21"/>
              </w:rPr>
              <w:t>的环境管理和环境监控工作，并接受环境保护部门的监督管理。</w:t>
            </w:r>
          </w:p>
          <w:p w14:paraId="49F1B255">
            <w:pPr>
              <w:adjustRightInd w:val="0"/>
              <w:snapToGrid w:val="0"/>
              <w:spacing w:line="240" w:lineRule="auto"/>
              <w:rPr>
                <w:rFonts w:hint="default"/>
                <w:color w:val="auto"/>
                <w:szCs w:val="21"/>
              </w:rPr>
            </w:pPr>
            <w:r>
              <w:rPr>
                <w:rFonts w:hint="default"/>
                <w:color w:val="auto"/>
                <w:szCs w:val="21"/>
              </w:rPr>
              <w:t>（2）施工单位应采用噪声水平满足国家相应标准的施工机械设备，并在施工场地周围设置围栏以减小施工噪声影响。</w:t>
            </w:r>
          </w:p>
          <w:p w14:paraId="5AF16D77">
            <w:pPr>
              <w:adjustRightInd w:val="0"/>
              <w:snapToGrid w:val="0"/>
              <w:spacing w:line="240" w:lineRule="auto"/>
              <w:rPr>
                <w:rFonts w:hint="default"/>
                <w:color w:val="auto"/>
                <w:szCs w:val="21"/>
              </w:rPr>
            </w:pPr>
            <w:r>
              <w:rPr>
                <w:rFonts w:hint="default"/>
                <w:color w:val="auto"/>
                <w:szCs w:val="21"/>
              </w:rPr>
              <w:t>（3）施工车辆经过居民区时减缓行驶速度，减少鸣笛。</w:t>
            </w:r>
          </w:p>
          <w:p w14:paraId="41A76080">
            <w:pPr>
              <w:adjustRightInd w:val="0"/>
              <w:snapToGrid w:val="0"/>
              <w:spacing w:line="240" w:lineRule="auto"/>
              <w:rPr>
                <w:rFonts w:hint="default"/>
                <w:color w:val="auto"/>
                <w:szCs w:val="21"/>
              </w:rPr>
            </w:pPr>
            <w:r>
              <w:rPr>
                <w:rFonts w:hint="default"/>
                <w:color w:val="auto"/>
                <w:szCs w:val="21"/>
              </w:rPr>
              <w:t>（4）限制夜间高噪声施工。施工单位应尽量减少产生高噪声污染的施工内容，尽量避免使用高噪声设备。</w:t>
            </w:r>
          </w:p>
          <w:p w14:paraId="2D7300EE">
            <w:pPr>
              <w:adjustRightInd w:val="0"/>
              <w:snapToGrid w:val="0"/>
              <w:spacing w:line="240" w:lineRule="auto"/>
              <w:rPr>
                <w:color w:val="auto"/>
                <w:szCs w:val="21"/>
              </w:rPr>
            </w:pPr>
            <w:r>
              <w:rPr>
                <w:rFonts w:hint="default"/>
                <w:color w:val="auto"/>
                <w:szCs w:val="21"/>
              </w:rPr>
              <w:t>（5）加强设备的运行管理，使其保持良好的运行状态，从</w:t>
            </w:r>
            <w:r>
              <w:rPr>
                <w:rFonts w:hint="eastAsia"/>
                <w:color w:val="auto"/>
                <w:szCs w:val="21"/>
                <w:lang w:eastAsia="zh-CN"/>
              </w:rPr>
              <w:t>源头</w:t>
            </w:r>
            <w:r>
              <w:rPr>
                <w:rFonts w:hint="default"/>
                <w:color w:val="auto"/>
                <w:szCs w:val="21"/>
              </w:rPr>
              <w:t>上控制施工噪声对周边环境的影响。</w:t>
            </w:r>
          </w:p>
        </w:tc>
        <w:tc>
          <w:tcPr>
            <w:tcW w:w="693" w:type="pct"/>
            <w:noWrap w:val="0"/>
            <w:vAlign w:val="center"/>
          </w:tcPr>
          <w:p w14:paraId="0BFF46FA">
            <w:pPr>
              <w:adjustRightInd w:val="0"/>
              <w:snapToGrid w:val="0"/>
              <w:spacing w:line="240" w:lineRule="auto"/>
              <w:jc w:val="center"/>
              <w:rPr>
                <w:color w:val="auto"/>
                <w:szCs w:val="21"/>
              </w:rPr>
            </w:pPr>
            <w:r>
              <w:rPr>
                <w:color w:val="auto"/>
                <w:szCs w:val="21"/>
              </w:rPr>
              <w:t>满足《建筑施工场界环境噪声排放标准》GB12523-2011）对施工厂界噪声控制，不产生噪声扰民现象，无噪声投诉现象发生</w:t>
            </w:r>
          </w:p>
        </w:tc>
        <w:tc>
          <w:tcPr>
            <w:tcW w:w="1266" w:type="pct"/>
            <w:noWrap w:val="0"/>
            <w:vAlign w:val="center"/>
          </w:tcPr>
          <w:p w14:paraId="6608BB4A">
            <w:pPr>
              <w:adjustRightInd w:val="0"/>
              <w:snapToGrid w:val="0"/>
              <w:spacing w:line="240" w:lineRule="auto"/>
              <w:ind w:firstLine="420" w:firstLineChars="200"/>
              <w:rPr>
                <w:color w:val="auto"/>
                <w:szCs w:val="21"/>
              </w:rPr>
            </w:pPr>
            <w:r>
              <w:rPr>
                <w:color w:val="auto"/>
                <w:szCs w:val="21"/>
              </w:rPr>
              <w:t>架空出线，通过采取选用低噪设备等，项目输电线路在运营后无明显噪声产生，输电线路合理选择送电导线结构，确保导线对地高度，降低送电线路的可听噪声水平。线路运营后无明显噪声产生，不会对沿线环境产生影响。定期巡检设线路各类接口，确保接触良好，减少火花及电晕放电产生的噪声。</w:t>
            </w:r>
          </w:p>
        </w:tc>
        <w:tc>
          <w:tcPr>
            <w:tcW w:w="636" w:type="pct"/>
            <w:noWrap w:val="0"/>
            <w:vAlign w:val="center"/>
          </w:tcPr>
          <w:p w14:paraId="18D99954">
            <w:pPr>
              <w:adjustRightInd w:val="0"/>
              <w:snapToGrid w:val="0"/>
              <w:spacing w:line="240" w:lineRule="auto"/>
              <w:jc w:val="center"/>
              <w:rPr>
                <w:color w:val="auto"/>
                <w:szCs w:val="21"/>
              </w:rPr>
            </w:pPr>
            <w:r>
              <w:rPr>
                <w:color w:val="auto"/>
                <w:szCs w:val="21"/>
              </w:rPr>
              <w:t>声环境保护目标处《声环境质量标准》（GB3096-2008）1类标准要求。</w:t>
            </w:r>
          </w:p>
        </w:tc>
      </w:tr>
      <w:tr w14:paraId="0CA6B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noWrap w:val="0"/>
            <w:vAlign w:val="center"/>
          </w:tcPr>
          <w:p w14:paraId="596C488B">
            <w:pPr>
              <w:adjustRightInd w:val="0"/>
              <w:snapToGrid w:val="0"/>
              <w:spacing w:line="240" w:lineRule="auto"/>
              <w:jc w:val="center"/>
              <w:rPr>
                <w:b/>
                <w:color w:val="auto"/>
                <w:szCs w:val="21"/>
              </w:rPr>
            </w:pPr>
            <w:r>
              <w:rPr>
                <w:b/>
                <w:color w:val="auto"/>
                <w:szCs w:val="21"/>
              </w:rPr>
              <w:t>振动</w:t>
            </w:r>
          </w:p>
        </w:tc>
        <w:tc>
          <w:tcPr>
            <w:tcW w:w="1878" w:type="pct"/>
            <w:noWrap w:val="0"/>
            <w:vAlign w:val="center"/>
          </w:tcPr>
          <w:p w14:paraId="1F43B4CA">
            <w:pPr>
              <w:adjustRightInd w:val="0"/>
              <w:snapToGrid w:val="0"/>
              <w:spacing w:line="240" w:lineRule="auto"/>
              <w:jc w:val="center"/>
              <w:rPr>
                <w:color w:val="auto"/>
                <w:szCs w:val="21"/>
              </w:rPr>
            </w:pPr>
            <w:r>
              <w:rPr>
                <w:color w:val="auto"/>
                <w:szCs w:val="21"/>
              </w:rPr>
              <w:t>/</w:t>
            </w:r>
          </w:p>
        </w:tc>
        <w:tc>
          <w:tcPr>
            <w:tcW w:w="693" w:type="pct"/>
            <w:noWrap w:val="0"/>
            <w:vAlign w:val="center"/>
          </w:tcPr>
          <w:p w14:paraId="3084AF01">
            <w:pPr>
              <w:adjustRightInd w:val="0"/>
              <w:snapToGrid w:val="0"/>
              <w:spacing w:line="240" w:lineRule="auto"/>
              <w:jc w:val="center"/>
              <w:rPr>
                <w:color w:val="auto"/>
                <w:szCs w:val="21"/>
              </w:rPr>
            </w:pPr>
            <w:r>
              <w:rPr>
                <w:color w:val="auto"/>
                <w:szCs w:val="21"/>
              </w:rPr>
              <w:t>/</w:t>
            </w:r>
          </w:p>
        </w:tc>
        <w:tc>
          <w:tcPr>
            <w:tcW w:w="1266" w:type="pct"/>
            <w:noWrap w:val="0"/>
            <w:vAlign w:val="center"/>
          </w:tcPr>
          <w:p w14:paraId="1428297E">
            <w:pPr>
              <w:adjustRightInd w:val="0"/>
              <w:snapToGrid w:val="0"/>
              <w:spacing w:line="240" w:lineRule="auto"/>
              <w:jc w:val="center"/>
              <w:rPr>
                <w:color w:val="auto"/>
                <w:szCs w:val="21"/>
              </w:rPr>
            </w:pPr>
            <w:r>
              <w:rPr>
                <w:color w:val="auto"/>
                <w:szCs w:val="21"/>
              </w:rPr>
              <w:t>/</w:t>
            </w:r>
          </w:p>
        </w:tc>
        <w:tc>
          <w:tcPr>
            <w:tcW w:w="636" w:type="pct"/>
            <w:noWrap w:val="0"/>
            <w:vAlign w:val="center"/>
          </w:tcPr>
          <w:p w14:paraId="19DB9D82">
            <w:pPr>
              <w:adjustRightInd w:val="0"/>
              <w:snapToGrid w:val="0"/>
              <w:spacing w:line="240" w:lineRule="auto"/>
              <w:jc w:val="center"/>
              <w:rPr>
                <w:color w:val="auto"/>
                <w:szCs w:val="21"/>
              </w:rPr>
            </w:pPr>
            <w:r>
              <w:rPr>
                <w:color w:val="auto"/>
                <w:szCs w:val="21"/>
              </w:rPr>
              <w:t>/</w:t>
            </w:r>
          </w:p>
        </w:tc>
      </w:tr>
      <w:tr w14:paraId="174A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noWrap w:val="0"/>
            <w:vAlign w:val="center"/>
          </w:tcPr>
          <w:p w14:paraId="22E91232">
            <w:pPr>
              <w:adjustRightInd w:val="0"/>
              <w:snapToGrid w:val="0"/>
              <w:spacing w:line="240" w:lineRule="auto"/>
              <w:jc w:val="center"/>
              <w:rPr>
                <w:b/>
                <w:color w:val="auto"/>
                <w:szCs w:val="21"/>
              </w:rPr>
            </w:pPr>
            <w:r>
              <w:rPr>
                <w:b/>
                <w:color w:val="auto"/>
                <w:szCs w:val="21"/>
              </w:rPr>
              <w:t>大气环境</w:t>
            </w:r>
          </w:p>
        </w:tc>
        <w:tc>
          <w:tcPr>
            <w:tcW w:w="1878" w:type="pct"/>
            <w:noWrap w:val="0"/>
            <w:vAlign w:val="center"/>
          </w:tcPr>
          <w:p w14:paraId="41CFC7A0">
            <w:pPr>
              <w:adjustRightInd w:val="0"/>
              <w:snapToGrid w:val="0"/>
              <w:spacing w:line="240" w:lineRule="auto"/>
              <w:rPr>
                <w:color w:val="auto"/>
                <w:szCs w:val="21"/>
              </w:rPr>
            </w:pPr>
            <w:r>
              <w:rPr>
                <w:rFonts w:hint="eastAsia"/>
                <w:color w:val="auto"/>
                <w:szCs w:val="21"/>
              </w:rPr>
              <w:t>（1）施工过程中，应当加强对施工现场和物料运输的管理，在施工工地设置硬质围挡，保持道路清洁，管控料堆和渣土堆放，防治扬尘污染。</w:t>
            </w:r>
          </w:p>
          <w:p w14:paraId="6A582328">
            <w:pPr>
              <w:adjustRightInd w:val="0"/>
              <w:snapToGrid w:val="0"/>
              <w:spacing w:line="240" w:lineRule="auto"/>
              <w:rPr>
                <w:color w:val="auto"/>
                <w:szCs w:val="21"/>
              </w:rPr>
            </w:pPr>
            <w:r>
              <w:rPr>
                <w:rFonts w:hint="eastAsia"/>
                <w:color w:val="auto"/>
                <w:szCs w:val="21"/>
              </w:rPr>
              <w:t>（2）施工过程中，对易起尘的临时堆土等应采用密闭式防尘布（网）进行苫盖，施工面集中且有条件的地方宜采取洒水降尘等有效措施，减少易造成大气污染的施工作业。</w:t>
            </w:r>
          </w:p>
          <w:p w14:paraId="4DE1DDF5">
            <w:pPr>
              <w:adjustRightInd w:val="0"/>
              <w:snapToGrid w:val="0"/>
              <w:spacing w:line="240" w:lineRule="auto"/>
              <w:rPr>
                <w:color w:val="auto"/>
                <w:szCs w:val="21"/>
              </w:rPr>
            </w:pPr>
            <w:r>
              <w:rPr>
                <w:rFonts w:hint="eastAsia"/>
                <w:color w:val="auto"/>
                <w:szCs w:val="21"/>
              </w:rPr>
              <w:t>（3）施工过程中，建设单位应当对裸露地面进行覆盖；暂时不能开工的建设用地超过三个月的，应当进行绿化、铺装或者遮盖。</w:t>
            </w:r>
          </w:p>
          <w:p w14:paraId="355A4F14">
            <w:pPr>
              <w:adjustRightInd w:val="0"/>
              <w:snapToGrid w:val="0"/>
              <w:spacing w:line="240" w:lineRule="auto"/>
              <w:rPr>
                <w:color w:val="auto"/>
                <w:szCs w:val="21"/>
              </w:rPr>
            </w:pPr>
            <w:r>
              <w:rPr>
                <w:rFonts w:hint="eastAsia"/>
                <w:color w:val="auto"/>
                <w:szCs w:val="21"/>
              </w:rPr>
              <w:t>（4）进出场地的车辆限制车速，场内道路、堆场及车辆进出时洒水，保持湿润，减少或避免产生扬尘。</w:t>
            </w:r>
          </w:p>
          <w:p w14:paraId="2159FA06">
            <w:pPr>
              <w:adjustRightInd w:val="0"/>
              <w:snapToGrid w:val="0"/>
              <w:spacing w:line="240" w:lineRule="auto"/>
              <w:rPr>
                <w:color w:val="auto"/>
                <w:szCs w:val="21"/>
              </w:rPr>
            </w:pPr>
            <w:r>
              <w:rPr>
                <w:rFonts w:hint="eastAsia"/>
                <w:color w:val="auto"/>
                <w:szCs w:val="21"/>
              </w:rPr>
              <w:t>（5）施工现场禁止将包装物、可燃垃圾等固体废弃物就地焚烧。</w:t>
            </w:r>
          </w:p>
        </w:tc>
        <w:tc>
          <w:tcPr>
            <w:tcW w:w="693" w:type="pct"/>
            <w:noWrap w:val="0"/>
            <w:vAlign w:val="center"/>
          </w:tcPr>
          <w:p w14:paraId="3F20A99B">
            <w:pPr>
              <w:pStyle w:val="92"/>
              <w:autoSpaceDE/>
              <w:autoSpaceDN/>
              <w:snapToGrid w:val="0"/>
              <w:spacing w:line="240" w:lineRule="auto"/>
              <w:jc w:val="center"/>
              <w:rPr>
                <w:color w:val="auto"/>
                <w:sz w:val="21"/>
                <w:szCs w:val="21"/>
              </w:rPr>
            </w:pPr>
            <w:r>
              <w:rPr>
                <w:color w:val="auto"/>
                <w:sz w:val="21"/>
                <w:szCs w:val="21"/>
              </w:rPr>
              <w:t>施工场地无可见扬尘，满足《大气污染物综合排放标准》（GB16297-1996）中表2无组织排放限值要求；施工期的各项大气环境保护措施应按照要求落实到位；合理设置抑尘措施，施工期间不造成大气污染，也无扰民纠纷和投诉现象发生</w:t>
            </w:r>
          </w:p>
        </w:tc>
        <w:tc>
          <w:tcPr>
            <w:tcW w:w="1266" w:type="pct"/>
            <w:noWrap w:val="0"/>
            <w:vAlign w:val="center"/>
          </w:tcPr>
          <w:p w14:paraId="6825919A">
            <w:pPr>
              <w:adjustRightInd w:val="0"/>
              <w:snapToGrid w:val="0"/>
              <w:spacing w:line="240" w:lineRule="auto"/>
              <w:jc w:val="center"/>
              <w:rPr>
                <w:color w:val="auto"/>
                <w:szCs w:val="21"/>
              </w:rPr>
            </w:pPr>
            <w:r>
              <w:rPr>
                <w:color w:val="auto"/>
                <w:szCs w:val="21"/>
              </w:rPr>
              <w:t>运行期工程无大气污染物排放</w:t>
            </w:r>
          </w:p>
        </w:tc>
        <w:tc>
          <w:tcPr>
            <w:tcW w:w="636" w:type="pct"/>
            <w:noWrap w:val="0"/>
            <w:vAlign w:val="center"/>
          </w:tcPr>
          <w:p w14:paraId="31A47F7C">
            <w:pPr>
              <w:adjustRightInd w:val="0"/>
              <w:snapToGrid w:val="0"/>
              <w:spacing w:line="240" w:lineRule="auto"/>
              <w:jc w:val="center"/>
              <w:rPr>
                <w:color w:val="auto"/>
                <w:szCs w:val="21"/>
              </w:rPr>
            </w:pPr>
            <w:r>
              <w:rPr>
                <w:color w:val="auto"/>
                <w:szCs w:val="21"/>
              </w:rPr>
              <w:t>/</w:t>
            </w:r>
          </w:p>
        </w:tc>
      </w:tr>
      <w:tr w14:paraId="159A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noWrap w:val="0"/>
            <w:vAlign w:val="center"/>
          </w:tcPr>
          <w:p w14:paraId="259435E4">
            <w:pPr>
              <w:adjustRightInd w:val="0"/>
              <w:snapToGrid w:val="0"/>
              <w:spacing w:line="240" w:lineRule="auto"/>
              <w:jc w:val="center"/>
              <w:rPr>
                <w:b/>
                <w:color w:val="auto"/>
                <w:szCs w:val="21"/>
              </w:rPr>
            </w:pPr>
            <w:r>
              <w:rPr>
                <w:b/>
                <w:color w:val="auto"/>
                <w:szCs w:val="21"/>
              </w:rPr>
              <w:t>固体废物</w:t>
            </w:r>
          </w:p>
        </w:tc>
        <w:tc>
          <w:tcPr>
            <w:tcW w:w="1878" w:type="pct"/>
            <w:noWrap w:val="0"/>
            <w:vAlign w:val="center"/>
          </w:tcPr>
          <w:p w14:paraId="4E147B8C">
            <w:pPr>
              <w:pStyle w:val="92"/>
              <w:autoSpaceDE/>
              <w:autoSpaceDN/>
              <w:snapToGrid w:val="0"/>
              <w:spacing w:line="240" w:lineRule="auto"/>
              <w:jc w:val="both"/>
              <w:rPr>
                <w:rFonts w:hint="default"/>
                <w:color w:val="auto"/>
                <w:sz w:val="21"/>
                <w:szCs w:val="21"/>
              </w:rPr>
            </w:pPr>
            <w:r>
              <w:rPr>
                <w:rFonts w:hint="default"/>
                <w:color w:val="auto"/>
                <w:sz w:val="21"/>
                <w:szCs w:val="21"/>
              </w:rPr>
              <w:t>（1）施工人员食宿依托租用民房，施工现场产生的生活垃圾集中收集后清运至附近集镇垃圾收集点由当地环卫部门处置。</w:t>
            </w:r>
          </w:p>
          <w:p w14:paraId="5266E097">
            <w:pPr>
              <w:pStyle w:val="92"/>
              <w:autoSpaceDE/>
              <w:autoSpaceDN/>
              <w:snapToGrid w:val="0"/>
              <w:spacing w:line="240" w:lineRule="auto"/>
              <w:jc w:val="both"/>
              <w:rPr>
                <w:rFonts w:hint="default"/>
                <w:color w:val="auto"/>
                <w:sz w:val="21"/>
                <w:szCs w:val="21"/>
              </w:rPr>
            </w:pPr>
            <w:r>
              <w:rPr>
                <w:rFonts w:hint="default"/>
                <w:color w:val="auto"/>
                <w:sz w:val="21"/>
                <w:szCs w:val="21"/>
              </w:rPr>
              <w:t>（2）施工过程中产生</w:t>
            </w:r>
            <w:r>
              <w:rPr>
                <w:rFonts w:hint="eastAsia"/>
                <w:color w:val="auto"/>
                <w:sz w:val="21"/>
                <w:szCs w:val="21"/>
                <w:lang w:eastAsia="zh-CN"/>
              </w:rPr>
              <w:t>的</w:t>
            </w:r>
            <w:r>
              <w:rPr>
                <w:rFonts w:hint="default"/>
                <w:color w:val="auto"/>
                <w:sz w:val="21"/>
                <w:szCs w:val="21"/>
              </w:rPr>
              <w:t>废混凝土、</w:t>
            </w:r>
            <w:r>
              <w:rPr>
                <w:rFonts w:hint="eastAsia"/>
                <w:color w:val="auto"/>
                <w:sz w:val="21"/>
                <w:szCs w:val="21"/>
                <w:lang w:val="en-US" w:eastAsia="zh-CN"/>
              </w:rPr>
              <w:t>砂</w:t>
            </w:r>
            <w:r>
              <w:rPr>
                <w:rFonts w:hint="default"/>
                <w:color w:val="auto"/>
                <w:sz w:val="21"/>
                <w:szCs w:val="21"/>
              </w:rPr>
              <w:t>浆、废钢材配件、废包装等建筑垃圾，经集中收集、充分回收利用后清运至相关部门指定场所规范处置</w:t>
            </w:r>
            <w:r>
              <w:rPr>
                <w:rFonts w:hint="default"/>
                <w:color w:val="auto"/>
                <w:sz w:val="21"/>
                <w:szCs w:val="21"/>
                <w:lang w:eastAsia="zh-CN"/>
              </w:rPr>
              <w:t>。</w:t>
            </w:r>
          </w:p>
          <w:p w14:paraId="3BFF870A">
            <w:pPr>
              <w:pStyle w:val="92"/>
              <w:autoSpaceDE/>
              <w:autoSpaceDN/>
              <w:snapToGrid w:val="0"/>
              <w:spacing w:line="240" w:lineRule="auto"/>
              <w:jc w:val="both"/>
              <w:rPr>
                <w:rFonts w:hint="default"/>
                <w:color w:val="auto"/>
                <w:sz w:val="21"/>
                <w:szCs w:val="21"/>
              </w:rPr>
            </w:pPr>
            <w:r>
              <w:rPr>
                <w:rFonts w:hint="default"/>
                <w:color w:val="auto"/>
                <w:sz w:val="21"/>
                <w:szCs w:val="21"/>
              </w:rPr>
              <w:t>（3）架空线路基础开挖产生的余土分别在各塔基占地范围内就地回填压实、综合利用；塔基施工剥离表土按规范要求集中堆放，施工完毕后用于复垦或植被恢复。</w:t>
            </w:r>
          </w:p>
          <w:p w14:paraId="16BA8AFF">
            <w:pPr>
              <w:pStyle w:val="92"/>
              <w:autoSpaceDE/>
              <w:autoSpaceDN/>
              <w:snapToGrid w:val="0"/>
              <w:spacing w:line="240" w:lineRule="auto"/>
              <w:jc w:val="both"/>
              <w:rPr>
                <w:rFonts w:hint="default"/>
                <w:color w:val="auto"/>
                <w:sz w:val="21"/>
                <w:szCs w:val="21"/>
              </w:rPr>
            </w:pPr>
            <w:r>
              <w:rPr>
                <w:rFonts w:hint="default"/>
                <w:color w:val="auto"/>
                <w:sz w:val="21"/>
                <w:szCs w:val="21"/>
              </w:rPr>
              <w:t>（4）在林地、草地和农田施工时，施工临时占地宜采取隔离保护措施，施工结束后应将混凝土余料和残渣及时清除。</w:t>
            </w:r>
          </w:p>
          <w:p w14:paraId="0D5EF991">
            <w:pPr>
              <w:pStyle w:val="92"/>
              <w:autoSpaceDE/>
              <w:autoSpaceDN/>
              <w:snapToGrid w:val="0"/>
              <w:spacing w:line="240" w:lineRule="auto"/>
              <w:jc w:val="both"/>
              <w:rPr>
                <w:color w:val="auto"/>
                <w:sz w:val="21"/>
                <w:szCs w:val="21"/>
              </w:rPr>
            </w:pPr>
            <w:r>
              <w:rPr>
                <w:rFonts w:hint="eastAsia"/>
                <w:color w:val="auto"/>
                <w:sz w:val="21"/>
                <w:szCs w:val="21"/>
                <w:lang w:eastAsia="zh-CN"/>
              </w:rPr>
              <w:t>（</w:t>
            </w:r>
            <w:r>
              <w:rPr>
                <w:rFonts w:hint="eastAsia"/>
                <w:color w:val="auto"/>
                <w:sz w:val="21"/>
                <w:szCs w:val="21"/>
                <w:lang w:val="en-US" w:eastAsia="zh-CN"/>
              </w:rPr>
              <w:t>5</w:t>
            </w:r>
            <w:r>
              <w:rPr>
                <w:rFonts w:hint="eastAsia"/>
                <w:color w:val="auto"/>
                <w:sz w:val="21"/>
                <w:szCs w:val="21"/>
                <w:lang w:eastAsia="zh-CN"/>
              </w:rPr>
              <w:t>）</w:t>
            </w:r>
            <w:r>
              <w:rPr>
                <w:rFonts w:hint="default"/>
                <w:color w:val="auto"/>
                <w:sz w:val="21"/>
                <w:szCs w:val="21"/>
              </w:rPr>
              <w:t>严禁随意倾倒，建筑垃圾在装运过程中应避免混合，运输过程中应采取必要的防扬散、防遗撒、防渗漏、防</w:t>
            </w:r>
            <w:r>
              <w:rPr>
                <w:rFonts w:hint="eastAsia"/>
                <w:color w:val="auto"/>
                <w:sz w:val="21"/>
                <w:szCs w:val="21"/>
                <w:lang w:val="en-US" w:eastAsia="zh-CN"/>
              </w:rPr>
              <w:t>噪声</w:t>
            </w:r>
            <w:r>
              <w:rPr>
                <w:rFonts w:hint="default"/>
                <w:color w:val="auto"/>
                <w:sz w:val="21"/>
                <w:szCs w:val="21"/>
              </w:rPr>
              <w:t>措施，运输过程中宜使用新能源车和机械</w:t>
            </w:r>
            <w:r>
              <w:rPr>
                <w:color w:val="auto"/>
                <w:sz w:val="21"/>
                <w:szCs w:val="21"/>
              </w:rPr>
              <w:t>。</w:t>
            </w:r>
          </w:p>
        </w:tc>
        <w:tc>
          <w:tcPr>
            <w:tcW w:w="693" w:type="pct"/>
            <w:noWrap w:val="0"/>
            <w:vAlign w:val="center"/>
          </w:tcPr>
          <w:p w14:paraId="7FE2BD79">
            <w:pPr>
              <w:adjustRightInd w:val="0"/>
              <w:snapToGrid w:val="0"/>
              <w:spacing w:line="240" w:lineRule="auto"/>
              <w:jc w:val="center"/>
              <w:rPr>
                <w:color w:val="auto"/>
                <w:szCs w:val="21"/>
              </w:rPr>
            </w:pPr>
            <w:r>
              <w:rPr>
                <w:color w:val="auto"/>
                <w:szCs w:val="21"/>
              </w:rPr>
              <w:t>（1）施工期的各项环境保护措施应按照要求落实到位。（2）施工过程产生的土石方、建筑垃圾、生活垃圾均得以妥善处理和处置，施工完成后及时做好迹地清理工作，且无扰民纠纷和投诉现象发生。</w:t>
            </w:r>
          </w:p>
        </w:tc>
        <w:tc>
          <w:tcPr>
            <w:tcW w:w="1266" w:type="pct"/>
            <w:noWrap w:val="0"/>
            <w:vAlign w:val="center"/>
          </w:tcPr>
          <w:p w14:paraId="5D85743C">
            <w:pPr>
              <w:pStyle w:val="92"/>
              <w:autoSpaceDE/>
              <w:autoSpaceDN/>
              <w:snapToGrid w:val="0"/>
              <w:spacing w:line="240" w:lineRule="auto"/>
              <w:jc w:val="center"/>
              <w:rPr>
                <w:color w:val="auto"/>
                <w:sz w:val="21"/>
                <w:szCs w:val="21"/>
              </w:rPr>
            </w:pPr>
            <w:r>
              <w:rPr>
                <w:color w:val="auto"/>
                <w:sz w:val="21"/>
                <w:szCs w:val="21"/>
              </w:rPr>
              <w:t>架空线路运营期间产生的固体废物主要为运行维护更换下来的绝缘子等金具，统一回收处理</w:t>
            </w:r>
          </w:p>
        </w:tc>
        <w:tc>
          <w:tcPr>
            <w:tcW w:w="636" w:type="pct"/>
            <w:noWrap w:val="0"/>
            <w:vAlign w:val="center"/>
          </w:tcPr>
          <w:p w14:paraId="10A8D06E">
            <w:pPr>
              <w:adjustRightInd w:val="0"/>
              <w:snapToGrid w:val="0"/>
              <w:spacing w:line="240" w:lineRule="auto"/>
              <w:jc w:val="center"/>
              <w:rPr>
                <w:color w:val="auto"/>
                <w:szCs w:val="21"/>
              </w:rPr>
            </w:pPr>
            <w:r>
              <w:rPr>
                <w:color w:val="auto"/>
                <w:szCs w:val="21"/>
              </w:rPr>
              <w:t>不随意倾倒，按照要求处置</w:t>
            </w:r>
          </w:p>
        </w:tc>
      </w:tr>
      <w:tr w14:paraId="0B1F1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noWrap w:val="0"/>
            <w:vAlign w:val="center"/>
          </w:tcPr>
          <w:p w14:paraId="6DBAD2C7">
            <w:pPr>
              <w:adjustRightInd w:val="0"/>
              <w:snapToGrid w:val="0"/>
              <w:spacing w:line="240" w:lineRule="auto"/>
              <w:jc w:val="center"/>
              <w:rPr>
                <w:b/>
                <w:color w:val="auto"/>
                <w:szCs w:val="21"/>
              </w:rPr>
            </w:pPr>
            <w:r>
              <w:rPr>
                <w:b/>
                <w:color w:val="auto"/>
                <w:szCs w:val="21"/>
              </w:rPr>
              <w:t>电磁环境</w:t>
            </w:r>
          </w:p>
        </w:tc>
        <w:tc>
          <w:tcPr>
            <w:tcW w:w="1878" w:type="pct"/>
            <w:noWrap w:val="0"/>
            <w:vAlign w:val="center"/>
          </w:tcPr>
          <w:p w14:paraId="7F50825B">
            <w:pPr>
              <w:pStyle w:val="92"/>
              <w:autoSpaceDE/>
              <w:autoSpaceDN/>
              <w:snapToGrid w:val="0"/>
              <w:spacing w:line="240" w:lineRule="auto"/>
              <w:jc w:val="both"/>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（1）选址选线合理，进行线路路径协调工作，避开城镇规划区、开发区、居民区、军事设施、厂矿、大型采石场，将区域环境影响控制在最低程度。</w:t>
            </w:r>
          </w:p>
          <w:p w14:paraId="1410C108">
            <w:pPr>
              <w:pStyle w:val="92"/>
              <w:autoSpaceDE/>
              <w:autoSpaceDN/>
              <w:snapToGrid w:val="0"/>
              <w:spacing w:line="240" w:lineRule="auto"/>
              <w:jc w:val="both"/>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严格按照相关规范进行设计、施工。线路经过农田时，适当增加导线对地距离，以保证农田等环境中工频电场强度符合《电磁环境控制限值》（GB8702-2014）的限值要求；在经过有林地段时抬高导线对地高度，以减少电磁场的影响。</w:t>
            </w:r>
          </w:p>
          <w:p w14:paraId="14900EB9">
            <w:pPr>
              <w:pStyle w:val="92"/>
              <w:autoSpaceDE/>
              <w:autoSpaceDN/>
              <w:snapToGrid w:val="0"/>
              <w:spacing w:line="240" w:lineRule="auto"/>
              <w:jc w:val="both"/>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（3）采用更为先进的导线，减轻工频电磁场强度，架设导线时清理导线表面的毛刺，减轻因此而引起的工频电磁场畸变等。</w:t>
            </w:r>
          </w:p>
          <w:p w14:paraId="69C161B6">
            <w:pPr>
              <w:pStyle w:val="92"/>
              <w:autoSpaceDE/>
              <w:autoSpaceDN/>
              <w:snapToGrid w:val="0"/>
              <w:spacing w:line="240" w:lineRule="auto"/>
              <w:jc w:val="both"/>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（4）架设线路时，应在杆塔及线路周边设置警告牌和标语。</w:t>
            </w:r>
          </w:p>
          <w:p w14:paraId="19387B57">
            <w:pPr>
              <w:pStyle w:val="92"/>
              <w:autoSpaceDE/>
              <w:autoSpaceDN/>
              <w:snapToGrid w:val="0"/>
              <w:spacing w:line="240" w:lineRule="auto"/>
              <w:jc w:val="both"/>
              <w:rPr>
                <w:rFonts w:hint="eastAsia" w:eastAsia="宋体"/>
                <w:color w:val="auto"/>
                <w:szCs w:val="21"/>
                <w:lang w:eastAsia="zh-CN"/>
              </w:rPr>
            </w:pPr>
            <w:r>
              <w:rPr>
                <w:rFonts w:hint="eastAsia" w:ascii="Times New Roman" w:hAnsi="Times New Roman" w:eastAsia="宋体" w:cs="Times New Roman"/>
                <w:color w:val="auto"/>
                <w:sz w:val="21"/>
                <w:szCs w:val="21"/>
                <w:lang w:val="en-US" w:eastAsia="zh-CN"/>
              </w:rPr>
              <w:t>（5）线路架设时，对邻近的通信线路采取适当有效的保护措施，如线路与通信线路之间的距离应满足《110-750kV架空送电线路设计技术规程》（GB 50545-2010）的相关要求。</w:t>
            </w:r>
          </w:p>
        </w:tc>
        <w:tc>
          <w:tcPr>
            <w:tcW w:w="693" w:type="pct"/>
            <w:noWrap w:val="0"/>
            <w:vAlign w:val="center"/>
          </w:tcPr>
          <w:p w14:paraId="641470D0">
            <w:pPr>
              <w:adjustRightInd w:val="0"/>
              <w:snapToGrid w:val="0"/>
              <w:spacing w:line="240" w:lineRule="auto"/>
              <w:jc w:val="center"/>
              <w:rPr>
                <w:rFonts w:hint="eastAsia" w:eastAsia="宋体"/>
                <w:color w:val="auto"/>
                <w:szCs w:val="21"/>
                <w:lang w:eastAsia="zh-CN"/>
              </w:rPr>
            </w:pPr>
            <w:r>
              <w:rPr>
                <w:rFonts w:hint="eastAsia"/>
                <w:color w:val="auto"/>
                <w:szCs w:val="21"/>
                <w:lang w:val="en-US" w:eastAsia="zh-CN"/>
              </w:rPr>
              <w:t>/</w:t>
            </w:r>
          </w:p>
        </w:tc>
        <w:tc>
          <w:tcPr>
            <w:tcW w:w="1266" w:type="pct"/>
            <w:noWrap w:val="0"/>
            <w:vAlign w:val="center"/>
          </w:tcPr>
          <w:p w14:paraId="0338A2AC">
            <w:pPr>
              <w:adjustRightInd w:val="0"/>
              <w:snapToGrid w:val="0"/>
              <w:spacing w:line="240" w:lineRule="auto"/>
              <w:rPr>
                <w:rFonts w:hint="default"/>
                <w:color w:val="auto"/>
                <w:szCs w:val="21"/>
                <w:lang w:val="en-US" w:eastAsia="zh-CN"/>
              </w:rPr>
            </w:pPr>
            <w:r>
              <w:rPr>
                <w:rFonts w:hint="default"/>
                <w:color w:val="auto"/>
                <w:szCs w:val="21"/>
                <w:lang w:val="en-US" w:eastAsia="zh-CN"/>
              </w:rPr>
              <w:t>（1）安全警示标志：依据《电力安全设施配置技术规范 第2部分：线路》（GB/T 36291.2-2018）及《架空输电线路标识配置及制作安装规范》（Q/GDW11451-2025）执行。</w:t>
            </w:r>
          </w:p>
          <w:p w14:paraId="16D1D15B">
            <w:pPr>
              <w:adjustRightInd w:val="0"/>
              <w:snapToGrid w:val="0"/>
              <w:spacing w:line="240" w:lineRule="auto"/>
              <w:rPr>
                <w:rFonts w:hint="default"/>
                <w:color w:val="auto"/>
                <w:szCs w:val="21"/>
                <w:lang w:val="en-US" w:eastAsia="zh-CN"/>
              </w:rPr>
            </w:pPr>
            <w:r>
              <w:rPr>
                <w:rFonts w:hint="default"/>
                <w:color w:val="auto"/>
                <w:szCs w:val="21"/>
                <w:lang w:val="en-US" w:eastAsia="zh-CN"/>
              </w:rPr>
              <w:t>（2）净空距离：线路在与其他电力线、通信线、公路、建筑物等交叉跨越时，净空距离严格执行《110kV～750kV架空输电线路设计规范》（GB 50545-2010）及《35kV及以下架空电力线路设计规范》（GB 50061-2010）的规定要求。</w:t>
            </w:r>
          </w:p>
          <w:p w14:paraId="157B6955">
            <w:pPr>
              <w:adjustRightInd w:val="0"/>
              <w:snapToGrid w:val="0"/>
              <w:spacing w:line="240" w:lineRule="auto"/>
              <w:rPr>
                <w:rFonts w:hint="default"/>
                <w:color w:val="auto"/>
                <w:szCs w:val="21"/>
                <w:lang w:val="en-US" w:eastAsia="zh-CN"/>
              </w:rPr>
            </w:pPr>
            <w:r>
              <w:rPr>
                <w:rFonts w:hint="default"/>
                <w:color w:val="auto"/>
                <w:szCs w:val="21"/>
                <w:lang w:val="en-US" w:eastAsia="zh-CN"/>
              </w:rPr>
              <w:t>（3）依据《国家电网有限公司输变电工程通用设计35～110kV输电线路绝缘子及金具分册（2024年版）》及相关行业规范执行。结合输电线路外绝缘配置及所经区域的污秽等级，选择适宜的绝缘子串型。</w:t>
            </w:r>
          </w:p>
          <w:p w14:paraId="215DA9D9">
            <w:pPr>
              <w:adjustRightInd w:val="0"/>
              <w:snapToGrid w:val="0"/>
              <w:spacing w:line="240" w:lineRule="auto"/>
              <w:rPr>
                <w:rFonts w:hint="default"/>
                <w:color w:val="auto"/>
                <w:szCs w:val="21"/>
                <w:lang w:val="en-US" w:eastAsia="zh-CN"/>
              </w:rPr>
            </w:pPr>
            <w:r>
              <w:rPr>
                <w:rFonts w:hint="default"/>
                <w:color w:val="auto"/>
                <w:szCs w:val="21"/>
                <w:lang w:val="en-US" w:eastAsia="zh-CN"/>
              </w:rPr>
              <w:t>（4）接地设计：依据GB/T 50065-2011《交流电气装置的接地设计规范》和GB 50169-2016《电气装置安装工程接地装置施工及验收规范》执行。</w:t>
            </w:r>
          </w:p>
          <w:p w14:paraId="1DE18770">
            <w:pPr>
              <w:adjustRightInd w:val="0"/>
              <w:snapToGrid w:val="0"/>
              <w:spacing w:line="240" w:lineRule="auto"/>
              <w:rPr>
                <w:rFonts w:hint="default"/>
                <w:color w:val="auto"/>
                <w:szCs w:val="21"/>
                <w:lang w:val="en-US" w:eastAsia="zh-CN"/>
              </w:rPr>
            </w:pPr>
            <w:r>
              <w:rPr>
                <w:rFonts w:hint="default"/>
                <w:color w:val="auto"/>
                <w:szCs w:val="21"/>
                <w:lang w:val="en-US" w:eastAsia="zh-CN"/>
              </w:rPr>
              <w:t>（5）导线排列优化：平行跨导线的相序排列避免同相布置，减少同相母线交叉与相同转角布置，以降低线路下方的工频电场强度和工频磁感应强度。设计阶段由设计单位出具相序排列方案图，经校核签字确认后实施。</w:t>
            </w:r>
          </w:p>
          <w:p w14:paraId="5C868D02">
            <w:pPr>
              <w:adjustRightInd w:val="0"/>
              <w:snapToGrid w:val="0"/>
              <w:spacing w:line="240" w:lineRule="auto"/>
              <w:rPr>
                <w:color w:val="auto"/>
                <w:szCs w:val="21"/>
              </w:rPr>
            </w:pPr>
            <w:r>
              <w:rPr>
                <w:rFonts w:hint="default"/>
                <w:color w:val="auto"/>
                <w:szCs w:val="21"/>
                <w:lang w:val="en-US" w:eastAsia="zh-CN"/>
              </w:rPr>
              <w:t>（6）巡检及违建管控：运行期委托专业巡线单位按DL/T741-2019《架空输电线路运行规程》要求，110kV及35kV线路巡视频次一月一次、10kV线路一季度一次，重点检查线路通道内是否存在新建违章建筑，一经发现应立即通知当事人整改并报告当地电力管理部门。同步建立巡线巡查台账，保存影像资料备查。</w:t>
            </w:r>
          </w:p>
        </w:tc>
        <w:tc>
          <w:tcPr>
            <w:tcW w:w="636" w:type="pct"/>
            <w:noWrap w:val="0"/>
            <w:vAlign w:val="center"/>
          </w:tcPr>
          <w:p w14:paraId="4F634040">
            <w:pPr>
              <w:pStyle w:val="92"/>
              <w:autoSpaceDE/>
              <w:autoSpaceDN/>
              <w:snapToGrid w:val="0"/>
              <w:spacing w:line="240" w:lineRule="auto"/>
              <w:jc w:val="center"/>
              <w:rPr>
                <w:color w:val="auto"/>
                <w:sz w:val="21"/>
                <w:szCs w:val="21"/>
              </w:rPr>
            </w:pPr>
            <w:r>
              <w:rPr>
                <w:color w:val="auto"/>
                <w:sz w:val="21"/>
                <w:szCs w:val="21"/>
              </w:rPr>
              <w:t>电磁环境满足《电磁环境控制限值》（GB8702-2014）中公众</w:t>
            </w:r>
            <w:r>
              <w:rPr>
                <w:rFonts w:hint="eastAsia"/>
                <w:color w:val="auto"/>
                <w:sz w:val="21"/>
                <w:szCs w:val="21"/>
                <w:lang w:eastAsia="zh-CN"/>
              </w:rPr>
              <w:t>曝露</w:t>
            </w:r>
            <w:r>
              <w:rPr>
                <w:color w:val="auto"/>
                <w:sz w:val="21"/>
                <w:szCs w:val="21"/>
              </w:rPr>
              <w:t>控制限值（工频电场强度≤4000V/m、工频磁感应强度≤100μT）的要求。</w:t>
            </w:r>
          </w:p>
        </w:tc>
      </w:tr>
      <w:tr w14:paraId="78269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noWrap w:val="0"/>
            <w:vAlign w:val="center"/>
          </w:tcPr>
          <w:p w14:paraId="2D541550">
            <w:pPr>
              <w:adjustRightInd w:val="0"/>
              <w:snapToGrid w:val="0"/>
              <w:spacing w:line="240" w:lineRule="auto"/>
              <w:jc w:val="center"/>
              <w:rPr>
                <w:b/>
                <w:color w:val="auto"/>
                <w:szCs w:val="21"/>
              </w:rPr>
            </w:pPr>
            <w:r>
              <w:rPr>
                <w:b/>
                <w:color w:val="auto"/>
                <w:szCs w:val="21"/>
              </w:rPr>
              <w:t>环境风险</w:t>
            </w:r>
          </w:p>
        </w:tc>
        <w:tc>
          <w:tcPr>
            <w:tcW w:w="1878" w:type="pct"/>
            <w:noWrap w:val="0"/>
            <w:vAlign w:val="center"/>
          </w:tcPr>
          <w:p w14:paraId="6F370CED">
            <w:pPr>
              <w:adjustRightInd w:val="0"/>
              <w:snapToGrid w:val="0"/>
              <w:spacing w:line="240" w:lineRule="auto"/>
              <w:jc w:val="center"/>
              <w:rPr>
                <w:color w:val="auto"/>
                <w:szCs w:val="21"/>
              </w:rPr>
            </w:pPr>
            <w:r>
              <w:rPr>
                <w:color w:val="auto"/>
                <w:szCs w:val="21"/>
              </w:rPr>
              <w:t>/</w:t>
            </w:r>
          </w:p>
        </w:tc>
        <w:tc>
          <w:tcPr>
            <w:tcW w:w="693" w:type="pct"/>
            <w:noWrap w:val="0"/>
            <w:vAlign w:val="center"/>
          </w:tcPr>
          <w:p w14:paraId="1A680072">
            <w:pPr>
              <w:adjustRightInd w:val="0"/>
              <w:snapToGrid w:val="0"/>
              <w:spacing w:line="240" w:lineRule="auto"/>
              <w:jc w:val="center"/>
              <w:rPr>
                <w:color w:val="auto"/>
                <w:szCs w:val="21"/>
              </w:rPr>
            </w:pPr>
            <w:r>
              <w:rPr>
                <w:color w:val="auto"/>
                <w:szCs w:val="21"/>
              </w:rPr>
              <w:t>/</w:t>
            </w:r>
          </w:p>
        </w:tc>
        <w:tc>
          <w:tcPr>
            <w:tcW w:w="1266" w:type="pct"/>
            <w:noWrap w:val="0"/>
            <w:vAlign w:val="center"/>
          </w:tcPr>
          <w:p w14:paraId="76B794E0">
            <w:pPr>
              <w:pStyle w:val="92"/>
              <w:autoSpaceDE/>
              <w:autoSpaceDN/>
              <w:snapToGrid w:val="0"/>
              <w:spacing w:line="240" w:lineRule="auto"/>
              <w:jc w:val="center"/>
              <w:rPr>
                <w:color w:val="auto"/>
                <w:sz w:val="21"/>
                <w:szCs w:val="21"/>
              </w:rPr>
            </w:pPr>
            <w:r>
              <w:rPr>
                <w:color w:val="auto"/>
                <w:sz w:val="21"/>
                <w:szCs w:val="21"/>
              </w:rPr>
              <w:t>/</w:t>
            </w:r>
          </w:p>
        </w:tc>
        <w:tc>
          <w:tcPr>
            <w:tcW w:w="636" w:type="pct"/>
            <w:noWrap w:val="0"/>
            <w:vAlign w:val="center"/>
          </w:tcPr>
          <w:p w14:paraId="2ADCD839">
            <w:pPr>
              <w:adjustRightInd w:val="0"/>
              <w:snapToGrid w:val="0"/>
              <w:spacing w:line="240" w:lineRule="auto"/>
              <w:jc w:val="center"/>
              <w:rPr>
                <w:color w:val="auto"/>
                <w:szCs w:val="21"/>
              </w:rPr>
            </w:pPr>
            <w:r>
              <w:rPr>
                <w:color w:val="auto"/>
                <w:szCs w:val="21"/>
              </w:rPr>
              <w:t>/</w:t>
            </w:r>
          </w:p>
        </w:tc>
      </w:tr>
      <w:tr w14:paraId="7C7FB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noWrap w:val="0"/>
            <w:vAlign w:val="center"/>
          </w:tcPr>
          <w:p w14:paraId="30AEA305">
            <w:pPr>
              <w:adjustRightInd w:val="0"/>
              <w:snapToGrid w:val="0"/>
              <w:spacing w:line="240" w:lineRule="auto"/>
              <w:jc w:val="center"/>
              <w:rPr>
                <w:b/>
                <w:color w:val="auto"/>
                <w:szCs w:val="21"/>
              </w:rPr>
            </w:pPr>
            <w:r>
              <w:rPr>
                <w:b/>
                <w:color w:val="auto"/>
                <w:szCs w:val="21"/>
              </w:rPr>
              <w:t>环境监测</w:t>
            </w:r>
          </w:p>
        </w:tc>
        <w:tc>
          <w:tcPr>
            <w:tcW w:w="1878" w:type="pct"/>
            <w:noWrap w:val="0"/>
            <w:vAlign w:val="center"/>
          </w:tcPr>
          <w:p w14:paraId="6AA098A4">
            <w:pPr>
              <w:adjustRightInd w:val="0"/>
              <w:snapToGrid w:val="0"/>
              <w:spacing w:line="240" w:lineRule="auto"/>
              <w:jc w:val="center"/>
              <w:rPr>
                <w:color w:val="auto"/>
                <w:szCs w:val="21"/>
              </w:rPr>
            </w:pPr>
            <w:r>
              <w:rPr>
                <w:color w:val="auto"/>
                <w:szCs w:val="21"/>
              </w:rPr>
              <w:t>/</w:t>
            </w:r>
          </w:p>
        </w:tc>
        <w:tc>
          <w:tcPr>
            <w:tcW w:w="693" w:type="pct"/>
            <w:noWrap w:val="0"/>
            <w:vAlign w:val="center"/>
          </w:tcPr>
          <w:p w14:paraId="4C52C34F">
            <w:pPr>
              <w:adjustRightInd w:val="0"/>
              <w:snapToGrid w:val="0"/>
              <w:spacing w:line="240" w:lineRule="auto"/>
              <w:jc w:val="center"/>
              <w:rPr>
                <w:color w:val="auto"/>
                <w:szCs w:val="21"/>
              </w:rPr>
            </w:pPr>
            <w:r>
              <w:rPr>
                <w:color w:val="auto"/>
                <w:szCs w:val="21"/>
              </w:rPr>
              <w:t>/</w:t>
            </w:r>
          </w:p>
        </w:tc>
        <w:tc>
          <w:tcPr>
            <w:tcW w:w="1266" w:type="pct"/>
            <w:noWrap w:val="0"/>
            <w:vAlign w:val="center"/>
          </w:tcPr>
          <w:p w14:paraId="5186EECA">
            <w:pPr>
              <w:adjustRightInd w:val="0"/>
              <w:snapToGrid w:val="0"/>
              <w:spacing w:line="240" w:lineRule="auto"/>
              <w:jc w:val="center"/>
              <w:rPr>
                <w:color w:val="auto"/>
                <w:szCs w:val="21"/>
              </w:rPr>
            </w:pPr>
            <w:r>
              <w:rPr>
                <w:color w:val="auto"/>
                <w:szCs w:val="21"/>
              </w:rPr>
              <w:t>控制架线高度、采用低噪声设备等、线路沿线环境电磁、噪声；①工程建成正式投产后第一年结合竣工环境保护验收监测一次；②运行期间存在投诉或纠纷时进行监测；③例行环境监测计划或生态环境主管部门要求时进行监测。④主要噪声源设备</w:t>
            </w:r>
            <w:r>
              <w:rPr>
                <w:rFonts w:hint="eastAsia"/>
                <w:color w:val="auto"/>
                <w:szCs w:val="21"/>
                <w:lang w:eastAsia="zh-CN"/>
              </w:rPr>
              <w:t>、</w:t>
            </w:r>
            <w:r>
              <w:rPr>
                <w:color w:val="auto"/>
                <w:szCs w:val="21"/>
              </w:rPr>
              <w:t>母线设备维修后，进行监测。</w:t>
            </w:r>
          </w:p>
        </w:tc>
        <w:tc>
          <w:tcPr>
            <w:tcW w:w="636" w:type="pct"/>
            <w:noWrap w:val="0"/>
            <w:vAlign w:val="center"/>
          </w:tcPr>
          <w:p w14:paraId="2BF84A1F">
            <w:pPr>
              <w:adjustRightInd w:val="0"/>
              <w:snapToGrid w:val="0"/>
              <w:spacing w:line="240" w:lineRule="auto"/>
              <w:jc w:val="center"/>
              <w:rPr>
                <w:color w:val="auto"/>
                <w:szCs w:val="21"/>
              </w:rPr>
            </w:pPr>
            <w:r>
              <w:rPr>
                <w:color w:val="auto"/>
                <w:szCs w:val="21"/>
              </w:rPr>
              <w:t>本工程建成试运行投产后，结合竣工环境保护验收监测一次。正常运行后主要针对环保投诉情况和工程运行工况的变化进行监测。</w:t>
            </w:r>
          </w:p>
        </w:tc>
      </w:tr>
      <w:tr w14:paraId="1117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pct"/>
            <w:noWrap w:val="0"/>
            <w:vAlign w:val="center"/>
          </w:tcPr>
          <w:p w14:paraId="0179AFEE">
            <w:pPr>
              <w:adjustRightInd w:val="0"/>
              <w:snapToGrid w:val="0"/>
              <w:spacing w:line="240" w:lineRule="auto"/>
              <w:jc w:val="center"/>
              <w:rPr>
                <w:b/>
                <w:color w:val="auto"/>
                <w:szCs w:val="21"/>
              </w:rPr>
            </w:pPr>
            <w:r>
              <w:rPr>
                <w:b/>
                <w:color w:val="auto"/>
                <w:szCs w:val="21"/>
              </w:rPr>
              <w:t>其他</w:t>
            </w:r>
          </w:p>
          <w:p w14:paraId="056ACBBF">
            <w:pPr>
              <w:pStyle w:val="2"/>
              <w:rPr>
                <w:b/>
                <w:color w:val="auto"/>
                <w:szCs w:val="21"/>
              </w:rPr>
            </w:pPr>
          </w:p>
          <w:p w14:paraId="53ED2898">
            <w:pPr>
              <w:pStyle w:val="2"/>
              <w:rPr>
                <w:b/>
                <w:color w:val="auto"/>
                <w:szCs w:val="21"/>
              </w:rPr>
            </w:pPr>
          </w:p>
          <w:p w14:paraId="29A61669">
            <w:pPr>
              <w:pStyle w:val="2"/>
              <w:rPr>
                <w:b/>
                <w:color w:val="auto"/>
                <w:szCs w:val="21"/>
              </w:rPr>
            </w:pPr>
          </w:p>
          <w:p w14:paraId="683AE3D3">
            <w:pPr>
              <w:pStyle w:val="2"/>
              <w:rPr>
                <w:b/>
                <w:color w:val="auto"/>
                <w:szCs w:val="21"/>
              </w:rPr>
            </w:pPr>
          </w:p>
          <w:p w14:paraId="271DFFBE">
            <w:pPr>
              <w:pStyle w:val="2"/>
              <w:rPr>
                <w:b/>
                <w:color w:val="auto"/>
                <w:szCs w:val="21"/>
              </w:rPr>
            </w:pPr>
          </w:p>
          <w:p w14:paraId="269FB0E4">
            <w:pPr>
              <w:pStyle w:val="2"/>
              <w:rPr>
                <w:b/>
                <w:color w:val="auto"/>
                <w:szCs w:val="21"/>
              </w:rPr>
            </w:pPr>
          </w:p>
          <w:p w14:paraId="256DD1CF">
            <w:pPr>
              <w:adjustRightInd w:val="0"/>
              <w:snapToGrid w:val="0"/>
              <w:spacing w:line="240" w:lineRule="auto"/>
              <w:jc w:val="center"/>
              <w:rPr>
                <w:b/>
                <w:color w:val="auto"/>
                <w:szCs w:val="21"/>
              </w:rPr>
            </w:pPr>
          </w:p>
        </w:tc>
        <w:tc>
          <w:tcPr>
            <w:tcW w:w="4474" w:type="pct"/>
            <w:gridSpan w:val="4"/>
            <w:noWrap w:val="0"/>
            <w:vAlign w:val="center"/>
          </w:tcPr>
          <w:p w14:paraId="6C349E7D">
            <w:pPr>
              <w:adjustRightInd w:val="0"/>
              <w:snapToGrid w:val="0"/>
              <w:spacing w:line="240" w:lineRule="auto"/>
              <w:jc w:val="left"/>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eastAsia="zh-CN"/>
              </w:rPr>
              <w:t>（1）建设单位应按照《电力设施保护条例》《电力设施保护条例实施细则》《云南省电力设施保护条例》等规定要求，在架空电力线路保护区的区界上，设立标志，并标明保护区的宽度和保护规定；项目跨越高速公路、国道、省道等重要公路区设立标志，并标明导线距穿越物体之间的安全距离。</w:t>
            </w:r>
          </w:p>
          <w:p w14:paraId="078F3CA6">
            <w:pPr>
              <w:adjustRightInd w:val="0"/>
              <w:snapToGrid w:val="0"/>
              <w:spacing w:line="240" w:lineRule="auto"/>
              <w:jc w:val="left"/>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eastAsia="zh-CN"/>
              </w:rPr>
              <w:t>（2）加强对周边居民、相关单位开展电力设施安全培训和教育，避免可能危害电力线路设施的禁止行为发生。</w:t>
            </w:r>
          </w:p>
          <w:p w14:paraId="298E3760">
            <w:pPr>
              <w:adjustRightInd w:val="0"/>
              <w:snapToGrid w:val="0"/>
              <w:spacing w:line="240" w:lineRule="auto"/>
              <w:jc w:val="left"/>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eastAsia="zh-CN"/>
              </w:rPr>
              <w:t>（3）加强安全警示教育，加强线路巡视，告知沿线居民及政府部门不得在线路下方新建房屋。</w:t>
            </w:r>
          </w:p>
          <w:p w14:paraId="28E33FB6">
            <w:pPr>
              <w:keepNext w:val="0"/>
              <w:keepLines w:val="0"/>
              <w:pageBreakBefore w:val="0"/>
              <w:widowControl w:val="0"/>
              <w:kinsoku/>
              <w:wordWrap/>
              <w:overflowPunct w:val="0"/>
              <w:topLinePunct/>
              <w:autoSpaceDE w:val="0"/>
              <w:autoSpaceDN w:val="0"/>
              <w:bidi w:val="0"/>
              <w:adjustRightInd w:val="0"/>
              <w:snapToGrid w:val="0"/>
              <w:spacing w:line="240" w:lineRule="auto"/>
              <w:jc w:val="left"/>
              <w:textAlignment w:val="auto"/>
              <w:rPr>
                <w:rFonts w:hint="eastAsia"/>
                <w:color w:val="auto"/>
                <w:lang w:eastAsia="zh-CN"/>
              </w:rPr>
            </w:pPr>
            <w:r>
              <w:rPr>
                <w:rFonts w:hint="eastAsia"/>
                <w:color w:val="auto"/>
                <w:lang w:eastAsia="zh-CN"/>
              </w:rPr>
              <w:t>（4）项目线路跨越公路、特殊管线等区域时，线路与跨越物之间的最小距离应按照《110kV~750kV架空输电线路设计规范》（GB50545-2010）要求设置。</w:t>
            </w:r>
          </w:p>
          <w:p w14:paraId="7B091FA5">
            <w:pPr>
              <w:keepNext w:val="0"/>
              <w:keepLines w:val="0"/>
              <w:pageBreakBefore w:val="0"/>
              <w:widowControl w:val="0"/>
              <w:kinsoku/>
              <w:wordWrap/>
              <w:overflowPunct w:val="0"/>
              <w:topLinePunct/>
              <w:autoSpaceDE w:val="0"/>
              <w:autoSpaceDN w:val="0"/>
              <w:bidi w:val="0"/>
              <w:adjustRightInd w:val="0"/>
              <w:snapToGrid w:val="0"/>
              <w:spacing w:line="240" w:lineRule="auto"/>
              <w:jc w:val="left"/>
              <w:textAlignment w:val="auto"/>
              <w:rPr>
                <w:rFonts w:hint="eastAsia"/>
                <w:color w:val="auto"/>
                <w:lang w:eastAsia="zh-CN"/>
              </w:rPr>
            </w:pPr>
          </w:p>
          <w:p w14:paraId="24C8C57F">
            <w:pPr>
              <w:keepNext w:val="0"/>
              <w:keepLines w:val="0"/>
              <w:pageBreakBefore w:val="0"/>
              <w:widowControl w:val="0"/>
              <w:kinsoku/>
              <w:wordWrap/>
              <w:overflowPunct w:val="0"/>
              <w:topLinePunct/>
              <w:autoSpaceDE w:val="0"/>
              <w:autoSpaceDN w:val="0"/>
              <w:bidi w:val="0"/>
              <w:adjustRightInd w:val="0"/>
              <w:snapToGrid w:val="0"/>
              <w:spacing w:line="240" w:lineRule="auto"/>
              <w:jc w:val="left"/>
              <w:textAlignment w:val="auto"/>
              <w:rPr>
                <w:rFonts w:hint="eastAsia"/>
                <w:color w:val="auto"/>
                <w:lang w:eastAsia="zh-CN"/>
              </w:rPr>
            </w:pPr>
          </w:p>
          <w:p w14:paraId="38297BFC">
            <w:pPr>
              <w:pStyle w:val="2"/>
              <w:rPr>
                <w:rFonts w:hint="eastAsia"/>
                <w:color w:val="auto"/>
                <w:lang w:eastAsia="zh-CN"/>
              </w:rPr>
            </w:pPr>
          </w:p>
          <w:p w14:paraId="604ED0E4">
            <w:pPr>
              <w:pStyle w:val="2"/>
              <w:rPr>
                <w:rFonts w:hint="eastAsia"/>
                <w:color w:val="auto"/>
                <w:lang w:eastAsia="zh-CN"/>
              </w:rPr>
            </w:pPr>
          </w:p>
          <w:p w14:paraId="42A280A6">
            <w:pPr>
              <w:pStyle w:val="2"/>
              <w:rPr>
                <w:rFonts w:hint="eastAsia"/>
                <w:color w:val="auto"/>
                <w:lang w:eastAsia="zh-CN"/>
              </w:rPr>
            </w:pPr>
          </w:p>
          <w:p w14:paraId="197ADE87">
            <w:pPr>
              <w:pStyle w:val="2"/>
              <w:rPr>
                <w:rFonts w:hint="eastAsia"/>
                <w:color w:val="auto"/>
                <w:lang w:eastAsia="zh-CN"/>
              </w:rPr>
            </w:pPr>
          </w:p>
          <w:p w14:paraId="318BB61B">
            <w:pPr>
              <w:pStyle w:val="2"/>
              <w:rPr>
                <w:rFonts w:hint="eastAsia"/>
                <w:color w:val="auto"/>
                <w:lang w:eastAsia="zh-CN"/>
              </w:rPr>
            </w:pPr>
          </w:p>
          <w:p w14:paraId="2D473917">
            <w:pPr>
              <w:pStyle w:val="2"/>
              <w:rPr>
                <w:rFonts w:hint="eastAsia"/>
                <w:color w:val="auto"/>
                <w:lang w:eastAsia="zh-CN"/>
              </w:rPr>
            </w:pPr>
          </w:p>
          <w:p w14:paraId="10CEBBF1">
            <w:pPr>
              <w:pStyle w:val="2"/>
              <w:rPr>
                <w:rFonts w:hint="eastAsia"/>
                <w:color w:val="auto"/>
                <w:lang w:eastAsia="zh-CN"/>
              </w:rPr>
            </w:pPr>
          </w:p>
          <w:p w14:paraId="09E85F19">
            <w:pPr>
              <w:pStyle w:val="2"/>
              <w:rPr>
                <w:rFonts w:hint="eastAsia"/>
                <w:color w:val="auto"/>
                <w:lang w:eastAsia="zh-CN"/>
              </w:rPr>
            </w:pPr>
          </w:p>
          <w:p w14:paraId="6BFF37F5">
            <w:pPr>
              <w:keepNext w:val="0"/>
              <w:keepLines w:val="0"/>
              <w:pageBreakBefore w:val="0"/>
              <w:widowControl w:val="0"/>
              <w:kinsoku/>
              <w:wordWrap/>
              <w:overflowPunct w:val="0"/>
              <w:topLinePunct/>
              <w:autoSpaceDE w:val="0"/>
              <w:autoSpaceDN w:val="0"/>
              <w:bidi w:val="0"/>
              <w:adjustRightInd w:val="0"/>
              <w:snapToGrid w:val="0"/>
              <w:spacing w:line="240" w:lineRule="auto"/>
              <w:jc w:val="left"/>
              <w:textAlignment w:val="auto"/>
              <w:rPr>
                <w:rFonts w:hint="eastAsia"/>
                <w:color w:val="auto"/>
                <w:lang w:eastAsia="zh-CN"/>
              </w:rPr>
            </w:pPr>
          </w:p>
          <w:p w14:paraId="5D5258A4">
            <w:pPr>
              <w:keepNext w:val="0"/>
              <w:keepLines w:val="0"/>
              <w:pageBreakBefore w:val="0"/>
              <w:widowControl w:val="0"/>
              <w:kinsoku/>
              <w:wordWrap/>
              <w:overflowPunct w:val="0"/>
              <w:topLinePunct/>
              <w:autoSpaceDE w:val="0"/>
              <w:autoSpaceDN w:val="0"/>
              <w:bidi w:val="0"/>
              <w:adjustRightInd w:val="0"/>
              <w:snapToGrid w:val="0"/>
              <w:spacing w:line="240" w:lineRule="auto"/>
              <w:jc w:val="left"/>
              <w:textAlignment w:val="auto"/>
              <w:rPr>
                <w:rFonts w:hint="eastAsia"/>
                <w:color w:val="auto"/>
                <w:lang w:eastAsia="zh-CN"/>
              </w:rPr>
            </w:pPr>
          </w:p>
          <w:p w14:paraId="1221A2F7">
            <w:pPr>
              <w:keepNext w:val="0"/>
              <w:keepLines w:val="0"/>
              <w:pageBreakBefore w:val="0"/>
              <w:widowControl w:val="0"/>
              <w:kinsoku/>
              <w:wordWrap/>
              <w:overflowPunct w:val="0"/>
              <w:topLinePunct/>
              <w:autoSpaceDE w:val="0"/>
              <w:autoSpaceDN w:val="0"/>
              <w:bidi w:val="0"/>
              <w:adjustRightInd w:val="0"/>
              <w:snapToGrid w:val="0"/>
              <w:spacing w:line="240" w:lineRule="auto"/>
              <w:jc w:val="left"/>
              <w:textAlignment w:val="auto"/>
              <w:rPr>
                <w:rFonts w:hint="eastAsia"/>
                <w:color w:val="auto"/>
                <w:lang w:eastAsia="zh-CN"/>
              </w:rPr>
            </w:pPr>
          </w:p>
          <w:p w14:paraId="613DA07A">
            <w:pPr>
              <w:keepNext w:val="0"/>
              <w:keepLines w:val="0"/>
              <w:pageBreakBefore w:val="0"/>
              <w:widowControl w:val="0"/>
              <w:kinsoku/>
              <w:wordWrap/>
              <w:overflowPunct w:val="0"/>
              <w:topLinePunct/>
              <w:autoSpaceDE w:val="0"/>
              <w:autoSpaceDN w:val="0"/>
              <w:bidi w:val="0"/>
              <w:adjustRightInd w:val="0"/>
              <w:snapToGrid w:val="0"/>
              <w:spacing w:line="240" w:lineRule="auto"/>
              <w:jc w:val="left"/>
              <w:textAlignment w:val="auto"/>
              <w:rPr>
                <w:rFonts w:hint="eastAsia"/>
                <w:color w:val="auto"/>
                <w:lang w:eastAsia="zh-CN"/>
              </w:rPr>
            </w:pPr>
          </w:p>
        </w:tc>
      </w:tr>
    </w:tbl>
    <w:p w14:paraId="73500370">
      <w:pPr>
        <w:rPr>
          <w:color w:val="auto"/>
        </w:rPr>
      </w:pPr>
    </w:p>
    <w:p w14:paraId="1E30F32A">
      <w:pPr>
        <w:pStyle w:val="25"/>
        <w:spacing w:before="0" w:beforeAutospacing="0" w:after="0" w:afterAutospacing="0"/>
        <w:jc w:val="center"/>
        <w:outlineLvl w:val="0"/>
        <w:rPr>
          <w:rFonts w:ascii="Times New Roman" w:hAnsi="Times New Roman"/>
          <w:b/>
          <w:snapToGrid w:val="0"/>
          <w:color w:val="auto"/>
          <w:sz w:val="30"/>
          <w:szCs w:val="30"/>
        </w:rPr>
        <w:sectPr>
          <w:pgSz w:w="16838" w:h="11906" w:orient="landscape"/>
          <w:pgMar w:top="1797" w:right="1440" w:bottom="1797" w:left="1440" w:header="1191" w:footer="851" w:gutter="0"/>
          <w:pgBorders>
            <w:top w:val="none" w:sz="0" w:space="0"/>
            <w:left w:val="none" w:sz="0" w:space="0"/>
            <w:bottom w:val="none" w:sz="0" w:space="0"/>
            <w:right w:val="none" w:sz="0" w:space="0"/>
          </w:pgBorders>
          <w:pgNumType w:fmt="decimal"/>
          <w:cols w:space="720" w:num="1"/>
          <w:docGrid w:linePitch="312" w:charSpace="0"/>
        </w:sectPr>
      </w:pPr>
    </w:p>
    <w:p w14:paraId="65177F99">
      <w:pPr>
        <w:pStyle w:val="25"/>
        <w:spacing w:before="0" w:beforeAutospacing="0" w:after="0" w:afterAutospacing="0"/>
        <w:jc w:val="center"/>
        <w:outlineLvl w:val="0"/>
        <w:rPr>
          <w:rFonts w:ascii="Times New Roman" w:hAnsi="Times New Roman"/>
          <w:snapToGrid w:val="0"/>
          <w:color w:val="auto"/>
          <w:sz w:val="30"/>
          <w:szCs w:val="30"/>
        </w:rPr>
      </w:pPr>
      <w:bookmarkStart w:id="67" w:name="_Toc32734"/>
      <w:bookmarkStart w:id="68" w:name="_Toc1812"/>
      <w:r>
        <w:rPr>
          <w:rFonts w:ascii="Times New Roman" w:hAnsi="Times New Roman"/>
          <w:b/>
          <w:snapToGrid w:val="0"/>
          <w:color w:val="auto"/>
          <w:sz w:val="30"/>
          <w:szCs w:val="30"/>
        </w:rPr>
        <w:t>七、结论</w:t>
      </w:r>
      <w:bookmarkEnd w:id="67"/>
      <w:bookmarkEnd w:id="68"/>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54"/>
      </w:tblGrid>
      <w:tr w14:paraId="0CF9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5000" w:type="pct"/>
            <w:noWrap w:val="0"/>
            <w:vAlign w:val="top"/>
          </w:tcPr>
          <w:p w14:paraId="0A6FC3E6">
            <w:pPr>
              <w:spacing w:line="36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本项目</w:t>
            </w:r>
            <w:r>
              <w:rPr>
                <w:rFonts w:ascii="Times New Roman" w:hAnsi="Times New Roman"/>
                <w:color w:val="auto"/>
                <w:sz w:val="24"/>
                <w:szCs w:val="24"/>
              </w:rPr>
              <w:t>建设满足</w:t>
            </w:r>
            <w:r>
              <w:rPr>
                <w:rFonts w:hint="eastAsia" w:ascii="Times New Roman" w:hAnsi="Times New Roman"/>
                <w:color w:val="auto"/>
                <w:sz w:val="24"/>
                <w:szCs w:val="24"/>
              </w:rPr>
              <w:t>会泽县</w:t>
            </w:r>
            <w:r>
              <w:rPr>
                <w:rFonts w:ascii="Times New Roman" w:hAnsi="Times New Roman"/>
                <w:color w:val="auto"/>
                <w:sz w:val="24"/>
                <w:szCs w:val="24"/>
              </w:rPr>
              <w:t>用电需求，优化片区电网结构，提高电网供电可靠性；项目符合当地</w:t>
            </w:r>
            <w:r>
              <w:rPr>
                <w:rFonts w:hint="eastAsia" w:ascii="Times New Roman" w:hAnsi="Times New Roman"/>
                <w:color w:val="auto"/>
                <w:sz w:val="24"/>
                <w:szCs w:val="24"/>
              </w:rPr>
              <w:t>总体</w:t>
            </w:r>
            <w:r>
              <w:rPr>
                <w:rFonts w:ascii="Times New Roman" w:hAnsi="Times New Roman"/>
                <w:color w:val="auto"/>
                <w:sz w:val="24"/>
                <w:szCs w:val="24"/>
              </w:rPr>
              <w:t>规划，</w:t>
            </w:r>
            <w:r>
              <w:rPr>
                <w:rFonts w:hint="default" w:ascii="Times New Roman" w:hAnsi="Times New Roman"/>
                <w:color w:val="auto"/>
                <w:sz w:val="24"/>
                <w:szCs w:val="24"/>
              </w:rPr>
              <w:t>符合</w:t>
            </w:r>
            <w:r>
              <w:rPr>
                <w:rFonts w:hint="default" w:ascii="Times New Roman" w:hAnsi="Times New Roman"/>
                <w:color w:val="auto"/>
                <w:sz w:val="24"/>
                <w:szCs w:val="24"/>
                <w:lang w:eastAsia="zh-CN"/>
              </w:rPr>
              <w:t>生态环境分区管控</w:t>
            </w:r>
            <w:r>
              <w:rPr>
                <w:rFonts w:hint="default" w:ascii="Times New Roman" w:hAnsi="Times New Roman"/>
                <w:color w:val="auto"/>
                <w:sz w:val="24"/>
                <w:szCs w:val="24"/>
              </w:rPr>
              <w:t>要求，</w:t>
            </w:r>
            <w:r>
              <w:rPr>
                <w:rFonts w:ascii="Times New Roman" w:hAnsi="Times New Roman"/>
                <w:color w:val="auto"/>
                <w:sz w:val="24"/>
                <w:szCs w:val="24"/>
              </w:rPr>
              <w:t>符合云南省主体功能区划和云南省生态功能区划。本项目建设及运行的技术成熟、可靠；工程区域及评价范围的水、气、声、生态、电磁等环境质量现状较好，没有制约本工程建设的环境要素。</w:t>
            </w:r>
            <w:r>
              <w:rPr>
                <w:rFonts w:hint="eastAsia" w:ascii="Times New Roman" w:hAnsi="Times New Roman"/>
                <w:color w:val="auto"/>
                <w:sz w:val="24"/>
                <w:szCs w:val="24"/>
                <w:lang w:eastAsia="zh-CN"/>
              </w:rPr>
              <w:t>升压站</w:t>
            </w:r>
            <w:r>
              <w:rPr>
                <w:rFonts w:ascii="Times New Roman" w:hAnsi="Times New Roman"/>
                <w:color w:val="auto"/>
                <w:sz w:val="24"/>
                <w:szCs w:val="24"/>
              </w:rPr>
              <w:t>选址和输电线路路径走向已经取得了相关规划部门的同意。本工程选址选线不涉及风景名胜区、饮用水水源保护区等环境敏感区域。在落实《报告表》提出的各项环保措施后，本项目产生的各项污染物</w:t>
            </w:r>
            <w:r>
              <w:rPr>
                <w:rFonts w:hint="eastAsia" w:ascii="Times New Roman" w:hAnsi="Times New Roman"/>
                <w:color w:val="auto"/>
                <w:sz w:val="24"/>
                <w:szCs w:val="24"/>
                <w:lang w:eastAsia="zh-CN"/>
              </w:rPr>
              <w:t>能够</w:t>
            </w:r>
            <w:r>
              <w:rPr>
                <w:rFonts w:ascii="Times New Roman" w:hAnsi="Times New Roman"/>
                <w:color w:val="auto"/>
                <w:sz w:val="24"/>
                <w:szCs w:val="24"/>
              </w:rPr>
              <w:t>满足国家相关标准要求，对环境污染和生态破坏的程度可以接受。从环保角度分析，该项目建设可行。</w:t>
            </w:r>
          </w:p>
          <w:p w14:paraId="3DF3E8BA">
            <w:pPr>
              <w:spacing w:line="360" w:lineRule="auto"/>
              <w:ind w:firstLine="480" w:firstLineChars="200"/>
              <w:rPr>
                <w:rFonts w:ascii="Times New Roman" w:hAnsi="Times New Roman"/>
                <w:color w:val="auto"/>
                <w:sz w:val="24"/>
                <w:szCs w:val="24"/>
              </w:rPr>
            </w:pPr>
            <w:r>
              <w:rPr>
                <w:rFonts w:ascii="Times New Roman" w:hAnsi="Times New Roman"/>
                <w:color w:val="auto"/>
                <w:sz w:val="24"/>
                <w:szCs w:val="24"/>
              </w:rPr>
              <w:t>综上所述，本工程在建设过程中较好考虑了项目本身与环境的协调，满足规划和有关部门的行政要求，在建设和运行中采取一定的预防和减缓污染措施后，对环境的影响较小。因此，从环境保护的角度分析，</w:t>
            </w:r>
            <w:r>
              <w:rPr>
                <w:rFonts w:hint="eastAsia" w:ascii="Times New Roman" w:hAnsi="Times New Roman"/>
                <w:color w:val="auto"/>
                <w:sz w:val="24"/>
                <w:szCs w:val="24"/>
              </w:rPr>
              <w:t>本</w:t>
            </w:r>
            <w:r>
              <w:rPr>
                <w:rFonts w:ascii="Times New Roman" w:hAnsi="Times New Roman"/>
                <w:color w:val="auto"/>
                <w:sz w:val="24"/>
                <w:szCs w:val="24"/>
              </w:rPr>
              <w:t>工程的建设，是可行的。</w:t>
            </w:r>
          </w:p>
          <w:p w14:paraId="44CAB8CA">
            <w:pPr>
              <w:adjustRightInd w:val="0"/>
              <w:snapToGrid w:val="0"/>
              <w:spacing w:line="440" w:lineRule="exact"/>
              <w:ind w:firstLine="480" w:firstLineChars="200"/>
              <w:rPr>
                <w:color w:val="auto"/>
                <w:sz w:val="24"/>
              </w:rPr>
            </w:pPr>
          </w:p>
        </w:tc>
      </w:tr>
    </w:tbl>
    <w:p w14:paraId="23316362">
      <w:pPr>
        <w:jc w:val="center"/>
        <w:rPr>
          <w:rFonts w:hint="default" w:ascii="Times New Roman" w:hAnsi="Times New Roman" w:eastAsia="宋体" w:cs="Times New Roman"/>
          <w:b/>
          <w:bCs/>
          <w:color w:val="auto"/>
          <w:sz w:val="44"/>
          <w:szCs w:val="44"/>
        </w:rPr>
      </w:pPr>
    </w:p>
    <w:p w14:paraId="38BE77AD">
      <w:pPr>
        <w:jc w:val="center"/>
        <w:rPr>
          <w:rFonts w:hint="default" w:ascii="Times New Roman" w:hAnsi="Times New Roman" w:eastAsia="宋体" w:cs="Times New Roman"/>
          <w:b/>
          <w:bCs/>
          <w:color w:val="auto"/>
          <w:sz w:val="44"/>
          <w:szCs w:val="44"/>
        </w:rPr>
      </w:pPr>
    </w:p>
    <w:p w14:paraId="7E01EFDA">
      <w:pPr>
        <w:jc w:val="center"/>
        <w:rPr>
          <w:rFonts w:hint="default" w:ascii="Times New Roman" w:hAnsi="Times New Roman" w:eastAsia="宋体" w:cs="Times New Roman"/>
          <w:b/>
          <w:bCs/>
          <w:color w:val="auto"/>
          <w:sz w:val="44"/>
          <w:szCs w:val="44"/>
        </w:rPr>
      </w:pPr>
    </w:p>
    <w:p w14:paraId="4B1FB27D">
      <w:pPr>
        <w:jc w:val="center"/>
        <w:rPr>
          <w:rFonts w:hint="default" w:ascii="Times New Roman" w:hAnsi="Times New Roman" w:eastAsia="宋体" w:cs="Times New Roman"/>
          <w:b/>
          <w:bCs/>
          <w:color w:val="auto"/>
          <w:sz w:val="44"/>
          <w:szCs w:val="44"/>
        </w:rPr>
      </w:pPr>
      <w:bookmarkStart w:id="69" w:name="_Toc8202"/>
      <w:bookmarkStart w:id="70" w:name="_Toc18643"/>
      <w:r>
        <w:rPr>
          <w:rFonts w:hint="default" w:ascii="Times New Roman" w:hAnsi="Times New Roman" w:eastAsia="宋体" w:cs="Times New Roman"/>
          <w:b/>
          <w:bCs/>
          <w:color w:val="auto"/>
          <w:sz w:val="44"/>
          <w:szCs w:val="44"/>
        </w:rPr>
        <w:t>大草房至六合一110kV送出线路工程</w:t>
      </w:r>
    </w:p>
    <w:p w14:paraId="70A633C7">
      <w:pPr>
        <w:jc w:val="center"/>
        <w:rPr>
          <w:rFonts w:hint="default" w:ascii="Times New Roman" w:hAnsi="Times New Roman" w:eastAsia="宋体" w:cs="Times New Roman"/>
          <w:b/>
          <w:bCs/>
          <w:color w:val="auto"/>
          <w:sz w:val="44"/>
          <w:szCs w:val="44"/>
        </w:rPr>
      </w:pPr>
      <w:r>
        <w:rPr>
          <w:rFonts w:hint="default" w:ascii="Times New Roman" w:hAnsi="Times New Roman" w:eastAsia="宋体" w:cs="Times New Roman"/>
          <w:b/>
          <w:bCs/>
          <w:color w:val="auto"/>
          <w:sz w:val="44"/>
          <w:szCs w:val="44"/>
        </w:rPr>
        <w:t>电磁环境影响专项评价报告</w:t>
      </w:r>
      <w:bookmarkEnd w:id="69"/>
      <w:bookmarkEnd w:id="70"/>
    </w:p>
    <w:p w14:paraId="331D45B7">
      <w:pPr>
        <w:pStyle w:val="29"/>
        <w:tabs>
          <w:tab w:val="center" w:pos="4153"/>
          <w:tab w:val="right" w:pos="8306"/>
        </w:tabs>
        <w:ind w:left="0" w:leftChars="0" w:firstLine="0" w:firstLineChars="0"/>
        <w:rPr>
          <w:rFonts w:hint="default" w:ascii="Times New Roman" w:hAnsi="Times New Roman" w:eastAsia="宋体" w:cs="Times New Roman"/>
          <w:b/>
          <w:bCs/>
          <w:snapToGrid w:val="0"/>
          <w:color w:val="auto"/>
          <w:spacing w:val="-7"/>
          <w:sz w:val="52"/>
          <w:szCs w:val="52"/>
          <w:lang w:bidi="ar"/>
        </w:rPr>
      </w:pPr>
    </w:p>
    <w:p w14:paraId="05085108">
      <w:pPr>
        <w:pStyle w:val="28"/>
        <w:rPr>
          <w:rFonts w:hint="default" w:ascii="Times New Roman" w:hAnsi="Times New Roman" w:eastAsia="宋体" w:cs="Times New Roman"/>
          <w:b/>
          <w:bCs/>
          <w:snapToGrid w:val="0"/>
          <w:color w:val="auto"/>
          <w:spacing w:val="-7"/>
          <w:sz w:val="52"/>
          <w:szCs w:val="52"/>
          <w:lang w:bidi="ar"/>
        </w:rPr>
      </w:pPr>
    </w:p>
    <w:p w14:paraId="2B194153">
      <w:pPr>
        <w:rPr>
          <w:rFonts w:hint="default" w:ascii="Times New Roman" w:hAnsi="Times New Roman" w:eastAsia="宋体" w:cs="Times New Roman"/>
          <w:b/>
          <w:bCs/>
          <w:snapToGrid w:val="0"/>
          <w:color w:val="auto"/>
          <w:spacing w:val="-7"/>
          <w:sz w:val="52"/>
          <w:szCs w:val="52"/>
          <w:lang w:bidi="ar"/>
        </w:rPr>
      </w:pPr>
    </w:p>
    <w:p w14:paraId="02EBE772">
      <w:pPr>
        <w:pStyle w:val="29"/>
        <w:tabs>
          <w:tab w:val="center" w:pos="4153"/>
          <w:tab w:val="right" w:pos="8306"/>
        </w:tabs>
        <w:ind w:left="0" w:leftChars="0" w:firstLine="0" w:firstLineChars="0"/>
        <w:rPr>
          <w:rFonts w:hint="default" w:ascii="Times New Roman" w:hAnsi="Times New Roman" w:eastAsia="宋体" w:cs="Times New Roman"/>
          <w:b/>
          <w:bCs/>
          <w:snapToGrid w:val="0"/>
          <w:color w:val="auto"/>
          <w:spacing w:val="-7"/>
          <w:sz w:val="52"/>
          <w:szCs w:val="52"/>
          <w:lang w:bidi="ar"/>
        </w:rPr>
      </w:pPr>
    </w:p>
    <w:p w14:paraId="2F1AAF2C">
      <w:pPr>
        <w:pStyle w:val="28"/>
        <w:rPr>
          <w:rFonts w:hint="default" w:ascii="Times New Roman" w:hAnsi="Times New Roman" w:eastAsia="宋体" w:cs="Times New Roman"/>
          <w:b/>
          <w:bCs/>
          <w:snapToGrid w:val="0"/>
          <w:color w:val="auto"/>
          <w:spacing w:val="-7"/>
          <w:sz w:val="52"/>
          <w:szCs w:val="52"/>
          <w:lang w:bidi="ar"/>
        </w:rPr>
      </w:pPr>
    </w:p>
    <w:p w14:paraId="2DBEEBA7">
      <w:pPr>
        <w:rPr>
          <w:rFonts w:hint="default" w:ascii="Times New Roman" w:hAnsi="Times New Roman" w:eastAsia="宋体" w:cs="Times New Roman"/>
          <w:b/>
          <w:bCs/>
          <w:snapToGrid w:val="0"/>
          <w:color w:val="auto"/>
          <w:spacing w:val="-7"/>
          <w:sz w:val="52"/>
          <w:szCs w:val="52"/>
          <w:lang w:bidi="ar"/>
        </w:rPr>
      </w:pPr>
    </w:p>
    <w:p w14:paraId="106326C9">
      <w:pPr>
        <w:pStyle w:val="29"/>
        <w:tabs>
          <w:tab w:val="center" w:pos="4153"/>
          <w:tab w:val="right" w:pos="8306"/>
        </w:tabs>
        <w:ind w:left="0" w:leftChars="0" w:firstLine="0" w:firstLineChars="0"/>
        <w:rPr>
          <w:rFonts w:hint="default" w:ascii="Times New Roman" w:hAnsi="Times New Roman" w:eastAsia="宋体" w:cs="Times New Roman"/>
          <w:b/>
          <w:bCs/>
          <w:snapToGrid w:val="0"/>
          <w:color w:val="auto"/>
          <w:spacing w:val="-7"/>
          <w:sz w:val="52"/>
          <w:szCs w:val="52"/>
          <w:lang w:bidi="ar"/>
        </w:rPr>
      </w:pPr>
    </w:p>
    <w:p w14:paraId="46D39A93">
      <w:pPr>
        <w:pStyle w:val="28"/>
        <w:rPr>
          <w:rFonts w:hint="default" w:ascii="Times New Roman" w:hAnsi="Times New Roman" w:eastAsia="宋体" w:cs="Times New Roman"/>
          <w:b/>
          <w:bCs/>
          <w:snapToGrid w:val="0"/>
          <w:color w:val="auto"/>
          <w:spacing w:val="-7"/>
          <w:sz w:val="52"/>
          <w:szCs w:val="52"/>
          <w:lang w:bidi="ar"/>
        </w:rPr>
      </w:pPr>
    </w:p>
    <w:p w14:paraId="3EDDE407">
      <w:pPr>
        <w:pStyle w:val="29"/>
        <w:tabs>
          <w:tab w:val="center" w:pos="4153"/>
          <w:tab w:val="right" w:pos="8306"/>
        </w:tabs>
        <w:ind w:left="0" w:leftChars="0" w:firstLine="0" w:firstLineChars="0"/>
        <w:rPr>
          <w:rFonts w:hint="default" w:ascii="Times New Roman" w:hAnsi="Times New Roman" w:eastAsia="宋体" w:cs="Times New Roman"/>
          <w:color w:val="auto"/>
        </w:rPr>
      </w:pPr>
    </w:p>
    <w:p w14:paraId="6181A639">
      <w:pPr>
        <w:pStyle w:val="28"/>
        <w:rPr>
          <w:rFonts w:hint="default" w:ascii="Times New Roman" w:hAnsi="Times New Roman" w:eastAsia="宋体" w:cs="Times New Roman"/>
          <w:b/>
          <w:bCs/>
          <w:snapToGrid w:val="0"/>
          <w:color w:val="auto"/>
          <w:spacing w:val="-7"/>
          <w:sz w:val="52"/>
          <w:szCs w:val="52"/>
          <w:lang w:bidi="ar"/>
        </w:rPr>
      </w:pPr>
    </w:p>
    <w:p w14:paraId="45D2D610">
      <w:pPr>
        <w:pStyle w:val="29"/>
        <w:tabs>
          <w:tab w:val="center" w:pos="4153"/>
          <w:tab w:val="right" w:pos="8306"/>
        </w:tabs>
        <w:rPr>
          <w:rFonts w:hint="default" w:ascii="Times New Roman" w:hAnsi="Times New Roman" w:eastAsia="宋体" w:cs="Times New Roman"/>
          <w:color w:val="auto"/>
        </w:rPr>
        <w:sectPr>
          <w:pgSz w:w="11906" w:h="16838"/>
          <w:pgMar w:top="1440" w:right="1684" w:bottom="1440" w:left="1684" w:header="794" w:footer="851" w:gutter="0"/>
          <w:pgBorders>
            <w:top w:val="none" w:sz="0" w:space="0"/>
            <w:left w:val="none" w:sz="0" w:space="0"/>
            <w:bottom w:val="none" w:sz="0" w:space="0"/>
            <w:right w:val="none" w:sz="0" w:space="0"/>
          </w:pgBorders>
          <w:pgNumType w:fmt="decimal"/>
          <w:cols w:space="720" w:num="1"/>
          <w:docGrid w:linePitch="312" w:charSpace="0"/>
        </w:sectPr>
      </w:pPr>
    </w:p>
    <w:p w14:paraId="446AF93B">
      <w:pPr>
        <w:pStyle w:val="28"/>
        <w:rPr>
          <w:rFonts w:hint="default" w:ascii="Times New Roman" w:hAnsi="Times New Roman" w:eastAsia="宋体" w:cs="Times New Roman"/>
          <w:color w:val="auto"/>
        </w:rPr>
      </w:pPr>
    </w:p>
    <w:sdt>
      <w:sdtPr>
        <w:rPr>
          <w:rFonts w:hint="default" w:ascii="Times New Roman" w:hAnsi="Times New Roman" w:eastAsia="宋体" w:cs="Times New Roman"/>
          <w:color w:val="auto"/>
        </w:rPr>
        <w:id w:val="147473683"/>
        <w15:color w:val="DBDBDB"/>
        <w:docPartObj>
          <w:docPartGallery w:val="Table of Contents"/>
          <w:docPartUnique/>
        </w:docPartObj>
      </w:sdtPr>
      <w:sdtEndPr>
        <w:rPr>
          <w:rFonts w:hint="default" w:ascii="Times New Roman" w:hAnsi="Times New Roman" w:eastAsia="宋体" w:cs="Times New Roman"/>
          <w:b/>
          <w:color w:val="auto"/>
        </w:rPr>
      </w:sdtEndPr>
      <w:sdtContent>
        <w:p w14:paraId="56E828F8">
          <w:pPr>
            <w:jc w:val="center"/>
            <w:rPr>
              <w:rFonts w:hint="default" w:ascii="Times New Roman" w:hAnsi="Times New Roman" w:eastAsia="宋体" w:cs="Times New Roman"/>
              <w:b/>
              <w:bCs/>
              <w:color w:val="auto"/>
              <w:sz w:val="32"/>
              <w:szCs w:val="40"/>
            </w:rPr>
          </w:pPr>
          <w:r>
            <w:rPr>
              <w:rFonts w:hint="default" w:ascii="Times New Roman" w:hAnsi="Times New Roman" w:eastAsia="宋体" w:cs="Times New Roman"/>
              <w:b/>
              <w:bCs/>
              <w:color w:val="auto"/>
              <w:sz w:val="32"/>
              <w:szCs w:val="40"/>
            </w:rPr>
            <w:t>目  录</w:t>
          </w:r>
        </w:p>
        <w:p w14:paraId="6336BCCC">
          <w:pPr>
            <w:pStyle w:val="20"/>
            <w:keepNext w:val="0"/>
            <w:keepLines w:val="0"/>
            <w:pageBreakBefore w:val="0"/>
            <w:widowControl w:val="0"/>
            <w:tabs>
              <w:tab w:val="right" w:leader="dot" w:pos="8306"/>
              <w:tab w:val="clear" w:pos="8302"/>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b/>
              <w:color w:val="auto"/>
              <w:sz w:val="18"/>
              <w:szCs w:val="21"/>
            </w:rPr>
            <w:fldChar w:fldCharType="begin"/>
          </w:r>
          <w:r>
            <w:rPr>
              <w:rFonts w:hint="default" w:ascii="Times New Roman" w:hAnsi="Times New Roman" w:eastAsia="宋体" w:cs="Times New Roman"/>
              <w:b/>
              <w:color w:val="auto"/>
              <w:sz w:val="18"/>
              <w:szCs w:val="21"/>
            </w:rPr>
            <w:instrText xml:space="preserve">TOC \o "1-2" \h \u </w:instrText>
          </w:r>
          <w:r>
            <w:rPr>
              <w:rFonts w:hint="default" w:ascii="Times New Roman" w:hAnsi="Times New Roman" w:eastAsia="宋体" w:cs="Times New Roman"/>
              <w:b/>
              <w:color w:val="auto"/>
              <w:sz w:val="18"/>
              <w:szCs w:val="21"/>
            </w:rPr>
            <w:fldChar w:fldCharType="separate"/>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_Toc12421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kern w:val="0"/>
              <w:sz w:val="22"/>
              <w:szCs w:val="22"/>
              <w:lang w:bidi="ar"/>
            </w:rPr>
            <w:t>1.前言</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_Toc12421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- 1 -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623C0E5F">
          <w:pPr>
            <w:pStyle w:val="20"/>
            <w:keepNext w:val="0"/>
            <w:keepLines w:val="0"/>
            <w:pageBreakBefore w:val="0"/>
            <w:widowControl w:val="0"/>
            <w:tabs>
              <w:tab w:val="right" w:leader="dot" w:pos="8306"/>
              <w:tab w:val="clear" w:pos="8302"/>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_Toc11630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kern w:val="0"/>
              <w:sz w:val="22"/>
              <w:szCs w:val="22"/>
              <w:lang w:bidi="ar"/>
            </w:rPr>
            <w:t>2.总则</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_Toc11630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- 2 -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582D996E">
          <w:pPr>
            <w:pStyle w:val="23"/>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_Toc23507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kern w:val="0"/>
              <w:sz w:val="22"/>
              <w:szCs w:val="22"/>
              <w:lang w:bidi="ar"/>
            </w:rPr>
            <w:t>2.1编制依据</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_Toc23507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- 2 -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08FE1EAA">
          <w:pPr>
            <w:pStyle w:val="23"/>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_Toc821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kern w:val="0"/>
              <w:sz w:val="22"/>
              <w:szCs w:val="22"/>
              <w:lang w:bidi="ar"/>
            </w:rPr>
            <w:t>2.2评价因子与评价标准</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_Toc821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- 3 -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7EFC3BF4">
          <w:pPr>
            <w:pStyle w:val="23"/>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_Toc20365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spacing w:val="-2"/>
              <w:kern w:val="0"/>
              <w:sz w:val="22"/>
              <w:szCs w:val="22"/>
              <w:lang w:bidi="ar"/>
            </w:rPr>
            <w:t>2.3评价工作等级与评价方法</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_Toc20365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- 3 -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3FC45C13">
          <w:pPr>
            <w:pStyle w:val="23"/>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_Toc21628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spacing w:val="-2"/>
              <w:kern w:val="0"/>
              <w:sz w:val="22"/>
              <w:szCs w:val="22"/>
              <w:lang w:bidi="ar"/>
            </w:rPr>
            <w:t>2.4评价范围</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_Toc21628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- 4 -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4FAB2C6D">
          <w:pPr>
            <w:pStyle w:val="23"/>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_Toc13176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spacing w:val="-1"/>
              <w:kern w:val="0"/>
              <w:sz w:val="22"/>
              <w:szCs w:val="22"/>
              <w:lang w:bidi="ar"/>
            </w:rPr>
            <w:t>2.5环境敏感目标</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_Toc13176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- 4 -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3EDA0E05">
          <w:pPr>
            <w:pStyle w:val="20"/>
            <w:keepNext w:val="0"/>
            <w:keepLines w:val="0"/>
            <w:pageBreakBefore w:val="0"/>
            <w:widowControl w:val="0"/>
            <w:tabs>
              <w:tab w:val="right" w:leader="dot" w:pos="8306"/>
              <w:tab w:val="clear" w:pos="8302"/>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_Toc2582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kern w:val="0"/>
              <w:sz w:val="22"/>
              <w:szCs w:val="22"/>
              <w:lang w:bidi="ar"/>
            </w:rPr>
            <w:t>3.工程概况及工程分析</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_Toc2582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- 2 -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6423E8C8">
          <w:pPr>
            <w:pStyle w:val="23"/>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_Toc13500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kern w:val="0"/>
              <w:sz w:val="22"/>
              <w:szCs w:val="22"/>
              <w:lang w:bidi="ar"/>
            </w:rPr>
            <w:t>3.1工程概况</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_Toc13500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- 2 -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1B458796">
          <w:pPr>
            <w:pStyle w:val="23"/>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_Toc19903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kern w:val="0"/>
              <w:sz w:val="22"/>
              <w:szCs w:val="22"/>
              <w:lang w:bidi="ar"/>
            </w:rPr>
            <w:t>3.2电磁环境影响因素识别</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_Toc19903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- 5 -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78AA341E">
          <w:pPr>
            <w:pStyle w:val="23"/>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_Toc2695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kern w:val="0"/>
              <w:sz w:val="22"/>
              <w:szCs w:val="22"/>
              <w:lang w:bidi="ar"/>
            </w:rPr>
            <w:t>3.3施工设计环保对策措施</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_Toc2695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- 6 -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1145B3FB">
          <w:pPr>
            <w:pStyle w:val="20"/>
            <w:keepNext w:val="0"/>
            <w:keepLines w:val="0"/>
            <w:pageBreakBefore w:val="0"/>
            <w:widowControl w:val="0"/>
            <w:tabs>
              <w:tab w:val="right" w:leader="dot" w:pos="8306"/>
              <w:tab w:val="clear" w:pos="8302"/>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_Toc1194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spacing w:val="-3"/>
              <w:kern w:val="0"/>
              <w:sz w:val="22"/>
              <w:szCs w:val="22"/>
              <w:lang w:bidi="ar"/>
            </w:rPr>
            <w:t>4.电磁环境质量现状监测与评价</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_Toc1194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- 6 -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213AA810">
          <w:pPr>
            <w:pStyle w:val="23"/>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_Toc27900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kern w:val="0"/>
              <w:sz w:val="22"/>
              <w:szCs w:val="22"/>
            </w:rPr>
            <w:t>4.1布点原则及监测布点</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_Toc27900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- 6 -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0871C151">
          <w:pPr>
            <w:pStyle w:val="23"/>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_Toc14148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kern w:val="0"/>
              <w:sz w:val="22"/>
              <w:szCs w:val="22"/>
            </w:rPr>
            <w:t>4.2监测布点的合理性、代表性分析</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_Toc14148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- 6 -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0914CE07">
          <w:pPr>
            <w:pStyle w:val="23"/>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_Toc30818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kern w:val="0"/>
              <w:sz w:val="22"/>
              <w:szCs w:val="22"/>
              <w:lang w:bidi="ar"/>
            </w:rPr>
            <w:t>4.3监测方法及使用仪器</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_Toc30818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- 6 -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71EF16A9">
          <w:pPr>
            <w:pStyle w:val="23"/>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_Toc6170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kern w:val="0"/>
              <w:sz w:val="22"/>
              <w:szCs w:val="22"/>
            </w:rPr>
            <w:t>4.4电磁环境现状监测结果</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_Toc6170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- 6 -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25D5932E">
          <w:pPr>
            <w:pStyle w:val="20"/>
            <w:keepNext w:val="0"/>
            <w:keepLines w:val="0"/>
            <w:pageBreakBefore w:val="0"/>
            <w:widowControl w:val="0"/>
            <w:tabs>
              <w:tab w:val="right" w:leader="dot" w:pos="8306"/>
              <w:tab w:val="clear" w:pos="8302"/>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_Toc1766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spacing w:val="-4"/>
              <w:kern w:val="0"/>
              <w:sz w:val="22"/>
              <w:szCs w:val="22"/>
              <w:lang w:bidi="ar"/>
            </w:rPr>
            <w:t>5.电磁环境影响预测与评价</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_Toc1766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- 8 -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1BB742AE">
          <w:pPr>
            <w:pStyle w:val="23"/>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_Toc11030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spacing w:val="-1"/>
              <w:kern w:val="0"/>
              <w:sz w:val="22"/>
              <w:szCs w:val="22"/>
              <w:lang w:bidi="ar"/>
            </w:rPr>
            <w:t>5.1预测因子</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_Toc11030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- 8 -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5AC06848">
          <w:pPr>
            <w:pStyle w:val="23"/>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_Toc7547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spacing w:val="-1"/>
              <w:kern w:val="0"/>
              <w:sz w:val="22"/>
              <w:szCs w:val="22"/>
              <w:lang w:bidi="ar"/>
            </w:rPr>
            <w:t>5.2预测模式</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_Toc7547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- 8 -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61CBD12B">
          <w:pPr>
            <w:pStyle w:val="23"/>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_Toc22372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spacing w:val="-1"/>
              <w:kern w:val="0"/>
              <w:sz w:val="22"/>
              <w:szCs w:val="22"/>
              <w:lang w:bidi="ar"/>
            </w:rPr>
            <w:t>5.3工频电场计算公式</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_Toc22372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- 8 -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2CC92BE8">
          <w:pPr>
            <w:pStyle w:val="23"/>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_Toc11409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spacing w:val="-1"/>
              <w:kern w:val="0"/>
              <w:sz w:val="22"/>
              <w:szCs w:val="22"/>
              <w:lang w:bidi="ar"/>
            </w:rPr>
            <w:t>5.4工频磁场计算公式</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_Toc11409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- 11 -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07ED00B3">
          <w:pPr>
            <w:pStyle w:val="23"/>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_Toc16831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spacing w:val="-1"/>
              <w:kern w:val="0"/>
              <w:sz w:val="22"/>
              <w:szCs w:val="22"/>
              <w:lang w:bidi="ar"/>
            </w:rPr>
            <w:t>5.5预测参数选择</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_Toc16831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- 12 -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6A7E25C2">
          <w:pPr>
            <w:pStyle w:val="23"/>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_Toc7692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spacing w:val="-1"/>
              <w:kern w:val="0"/>
              <w:sz w:val="22"/>
              <w:szCs w:val="22"/>
              <w:lang w:bidi="ar"/>
            </w:rPr>
            <w:t>5.6预测结果及分析</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_Toc7692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- 14 -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424C238F">
          <w:pPr>
            <w:pStyle w:val="20"/>
            <w:keepNext w:val="0"/>
            <w:keepLines w:val="0"/>
            <w:pageBreakBefore w:val="0"/>
            <w:widowControl w:val="0"/>
            <w:tabs>
              <w:tab w:val="right" w:leader="dot" w:pos="8306"/>
              <w:tab w:val="clear" w:pos="8302"/>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_Toc21350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spacing w:val="-4"/>
              <w:kern w:val="0"/>
              <w:sz w:val="22"/>
              <w:szCs w:val="22"/>
              <w:lang w:bidi="ar"/>
            </w:rPr>
            <w:t>6.电磁防治措施</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_Toc21350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- 24 -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579F989E">
          <w:pPr>
            <w:pStyle w:val="23"/>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_Toc26044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lang w:val="en-US" w:eastAsia="zh-CN"/>
            </w:rPr>
            <w:t>6.1运营期电磁环境监测计划</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_Toc26044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- 24 -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1CE66540">
          <w:pPr>
            <w:pStyle w:val="20"/>
            <w:keepNext w:val="0"/>
            <w:keepLines w:val="0"/>
            <w:pageBreakBefore w:val="0"/>
            <w:widowControl w:val="0"/>
            <w:tabs>
              <w:tab w:val="right" w:leader="dot" w:pos="8306"/>
              <w:tab w:val="clear" w:pos="8302"/>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_Toc23488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spacing w:val="-4"/>
              <w:kern w:val="0"/>
              <w:sz w:val="22"/>
              <w:szCs w:val="22"/>
              <w:lang w:bidi="ar"/>
            </w:rPr>
            <w:t>7.结论与建议</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_Toc23488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- 26 -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3E5A3534">
          <w:pPr>
            <w:pStyle w:val="23"/>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_Toc26129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sz w:val="22"/>
              <w:szCs w:val="22"/>
              <w:lang w:bidi="ar"/>
            </w:rPr>
            <w:t>7.1结论</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_Toc26129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- 26 -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2E0A9A44">
          <w:pPr>
            <w:pStyle w:val="23"/>
            <w:keepNext w:val="0"/>
            <w:keepLines w:val="0"/>
            <w:pageBreakBefore w:val="0"/>
            <w:widowControl w:val="0"/>
            <w:tabs>
              <w:tab w:val="right" w:leader="dot" w:pos="8306"/>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18"/>
              <w:szCs w:val="21"/>
            </w:rPr>
          </w:pP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HYPERLINK \l _Toc26549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bCs/>
              <w:color w:val="auto"/>
              <w:sz w:val="22"/>
              <w:szCs w:val="22"/>
            </w:rPr>
            <w:t>7.2建议</w:t>
          </w:r>
          <w:r>
            <w:rPr>
              <w:rFonts w:hint="default" w:ascii="Times New Roman" w:hAnsi="Times New Roman" w:eastAsia="宋体" w:cs="Times New Roman"/>
              <w:color w:val="auto"/>
              <w:sz w:val="22"/>
              <w:szCs w:val="22"/>
            </w:rPr>
            <w:tab/>
          </w:r>
          <w:r>
            <w:rPr>
              <w:rFonts w:hint="default" w:ascii="Times New Roman" w:hAnsi="Times New Roman" w:eastAsia="宋体" w:cs="Times New Roman"/>
              <w:color w:val="auto"/>
              <w:sz w:val="22"/>
              <w:szCs w:val="22"/>
            </w:rPr>
            <w:fldChar w:fldCharType="begin"/>
          </w:r>
          <w:r>
            <w:rPr>
              <w:rFonts w:hint="default" w:ascii="Times New Roman" w:hAnsi="Times New Roman" w:eastAsia="宋体" w:cs="Times New Roman"/>
              <w:color w:val="auto"/>
              <w:sz w:val="22"/>
              <w:szCs w:val="22"/>
            </w:rPr>
            <w:instrText xml:space="preserve"> PAGEREF _Toc26549 \h </w:instrText>
          </w:r>
          <w:r>
            <w:rPr>
              <w:rFonts w:hint="default" w:ascii="Times New Roman" w:hAnsi="Times New Roman" w:eastAsia="宋体" w:cs="Times New Roman"/>
              <w:color w:val="auto"/>
              <w:sz w:val="22"/>
              <w:szCs w:val="22"/>
            </w:rPr>
            <w:fldChar w:fldCharType="separate"/>
          </w:r>
          <w:r>
            <w:rPr>
              <w:rFonts w:hint="default" w:ascii="Times New Roman" w:hAnsi="Times New Roman" w:eastAsia="宋体" w:cs="Times New Roman"/>
              <w:color w:val="auto"/>
              <w:sz w:val="22"/>
              <w:szCs w:val="22"/>
            </w:rPr>
            <w:t>- 26 -</w:t>
          </w:r>
          <w:r>
            <w:rPr>
              <w:rFonts w:hint="default" w:ascii="Times New Roman" w:hAnsi="Times New Roman" w:eastAsia="宋体" w:cs="Times New Roman"/>
              <w:color w:val="auto"/>
              <w:sz w:val="22"/>
              <w:szCs w:val="22"/>
            </w:rPr>
            <w:fldChar w:fldCharType="end"/>
          </w:r>
          <w:r>
            <w:rPr>
              <w:rFonts w:hint="default" w:ascii="Times New Roman" w:hAnsi="Times New Roman" w:eastAsia="宋体" w:cs="Times New Roman"/>
              <w:color w:val="auto"/>
              <w:sz w:val="22"/>
              <w:szCs w:val="22"/>
            </w:rPr>
            <w:fldChar w:fldCharType="end"/>
          </w:r>
        </w:p>
        <w:p w14:paraId="28E452A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b/>
              <w:color w:val="auto"/>
            </w:rPr>
          </w:pPr>
          <w:r>
            <w:rPr>
              <w:rFonts w:hint="default" w:ascii="Times New Roman" w:hAnsi="Times New Roman" w:eastAsia="宋体" w:cs="Times New Roman"/>
              <w:color w:val="auto"/>
              <w:sz w:val="18"/>
              <w:szCs w:val="21"/>
            </w:rPr>
            <w:fldChar w:fldCharType="end"/>
          </w:r>
        </w:p>
      </w:sdtContent>
    </w:sdt>
    <w:p w14:paraId="5A42D26A">
      <w:pPr>
        <w:rPr>
          <w:rFonts w:hint="default" w:ascii="Times New Roman" w:hAnsi="Times New Roman" w:eastAsia="宋体" w:cs="Times New Roman"/>
          <w:b/>
          <w:color w:val="auto"/>
        </w:rPr>
      </w:pPr>
    </w:p>
    <w:p w14:paraId="508F03E0">
      <w:pPr>
        <w:widowControl/>
        <w:kinsoku w:val="0"/>
        <w:autoSpaceDE w:val="0"/>
        <w:autoSpaceDN w:val="0"/>
        <w:adjustRightInd w:val="0"/>
        <w:snapToGrid w:val="0"/>
        <w:spacing w:before="156" w:beforeLines="50" w:after="156" w:afterLines="50"/>
        <w:rPr>
          <w:rFonts w:hint="default" w:ascii="Times New Roman" w:hAnsi="Times New Roman" w:eastAsia="宋体" w:cs="Times New Roman"/>
          <w:b/>
          <w:bCs/>
          <w:color w:val="auto"/>
          <w:kern w:val="0"/>
          <w:sz w:val="30"/>
          <w:szCs w:val="30"/>
          <w:lang w:bidi="ar"/>
        </w:rPr>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19947A46">
      <w:pPr>
        <w:widowControl/>
        <w:kinsoku w:val="0"/>
        <w:autoSpaceDE w:val="0"/>
        <w:autoSpaceDN w:val="0"/>
        <w:adjustRightInd w:val="0"/>
        <w:snapToGrid w:val="0"/>
        <w:spacing w:before="156" w:beforeLines="50" w:after="156" w:afterLines="50"/>
        <w:outlineLvl w:val="0"/>
        <w:rPr>
          <w:rFonts w:hint="default" w:ascii="Times New Roman" w:hAnsi="Times New Roman" w:eastAsia="宋体" w:cs="Times New Roman"/>
          <w:b/>
          <w:bCs/>
          <w:color w:val="auto"/>
          <w:kern w:val="0"/>
          <w:sz w:val="30"/>
          <w:szCs w:val="30"/>
          <w:lang w:bidi="ar"/>
        </w:rPr>
      </w:pPr>
      <w:bookmarkStart w:id="71" w:name="_Toc12421"/>
      <w:r>
        <w:rPr>
          <w:rFonts w:hint="default" w:ascii="Times New Roman" w:hAnsi="Times New Roman" w:eastAsia="宋体" w:cs="Times New Roman"/>
          <w:b/>
          <w:bCs/>
          <w:color w:val="auto"/>
          <w:kern w:val="0"/>
          <w:sz w:val="30"/>
          <w:szCs w:val="30"/>
          <w:lang w:bidi="ar"/>
        </w:rPr>
        <w:t>1.前言</w:t>
      </w:r>
      <w:bookmarkEnd w:id="71"/>
    </w:p>
    <w:p w14:paraId="7247E61C">
      <w:pPr>
        <w:keepNext w:val="0"/>
        <w:keepLines w:val="0"/>
        <w:pageBreakBefore w:val="0"/>
        <w:widowControl/>
        <w:wordWrap/>
        <w:overflowPunct/>
        <w:topLinePunct w:val="0"/>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本项目建设内容为建设一条从</w:t>
      </w:r>
      <w:r>
        <w:rPr>
          <w:rFonts w:hint="default" w:ascii="Times New Roman" w:hAnsi="Times New Roman" w:eastAsia="宋体" w:cs="Times New Roman"/>
          <w:bCs/>
          <w:color w:val="auto"/>
          <w:sz w:val="24"/>
          <w:lang w:val="en-US" w:eastAsia="zh-CN"/>
        </w:rPr>
        <w:t>会泽</w:t>
      </w:r>
      <w:r>
        <w:rPr>
          <w:rFonts w:hint="default" w:ascii="Times New Roman" w:hAnsi="Times New Roman" w:eastAsia="宋体" w:cs="Times New Roman"/>
          <w:bCs/>
          <w:color w:val="auto"/>
          <w:sz w:val="24"/>
        </w:rPr>
        <w:t>县</w:t>
      </w:r>
      <w:r>
        <w:rPr>
          <w:rFonts w:hint="default" w:ascii="Times New Roman" w:hAnsi="Times New Roman" w:eastAsia="宋体" w:cs="Times New Roman"/>
          <w:bCs/>
          <w:color w:val="auto"/>
          <w:sz w:val="24"/>
          <w:lang w:val="en-US" w:eastAsia="zh-CN"/>
        </w:rPr>
        <w:t>宝云街道</w:t>
      </w:r>
      <w:r>
        <w:rPr>
          <w:rFonts w:hint="default" w:ascii="Times New Roman" w:hAnsi="Times New Roman" w:eastAsia="宋体" w:cs="Times New Roman"/>
          <w:bCs/>
          <w:color w:val="auto"/>
          <w:sz w:val="24"/>
        </w:rPr>
        <w:t>大草房光伏发电项目110kV升压站至</w:t>
      </w:r>
      <w:r>
        <w:rPr>
          <w:rFonts w:hint="default" w:ascii="Times New Roman" w:hAnsi="Times New Roman" w:eastAsia="宋体" w:cs="Times New Roman"/>
          <w:bCs/>
          <w:color w:val="auto"/>
          <w:sz w:val="24"/>
          <w:lang w:val="en-US" w:eastAsia="zh-CN"/>
        </w:rPr>
        <w:t>会泽</w:t>
      </w:r>
      <w:r>
        <w:rPr>
          <w:rFonts w:hint="default" w:ascii="Times New Roman" w:hAnsi="Times New Roman" w:eastAsia="宋体" w:cs="Times New Roman"/>
          <w:bCs/>
          <w:color w:val="auto"/>
          <w:sz w:val="24"/>
        </w:rPr>
        <w:t>县</w:t>
      </w:r>
      <w:r>
        <w:rPr>
          <w:rFonts w:hint="default" w:ascii="Times New Roman" w:hAnsi="Times New Roman" w:eastAsia="宋体" w:cs="Times New Roman"/>
          <w:bCs/>
          <w:color w:val="auto"/>
          <w:sz w:val="24"/>
          <w:lang w:val="en-US" w:eastAsia="zh-CN"/>
        </w:rPr>
        <w:t>五星乡</w:t>
      </w:r>
      <w:r>
        <w:rPr>
          <w:rFonts w:hint="default" w:ascii="Times New Roman" w:hAnsi="Times New Roman" w:eastAsia="宋体" w:cs="Times New Roman"/>
          <w:bCs/>
          <w:color w:val="auto"/>
          <w:sz w:val="24"/>
        </w:rPr>
        <w:t>六合村一期光伏项目220kV升压站</w:t>
      </w:r>
      <w:r>
        <w:rPr>
          <w:rFonts w:hint="default" w:ascii="Times New Roman" w:hAnsi="Times New Roman" w:eastAsia="宋体" w:cs="Times New Roman"/>
          <w:bCs/>
          <w:color w:val="auto"/>
          <w:sz w:val="24"/>
          <w:lang w:val="en-US" w:eastAsia="zh-CN"/>
        </w:rPr>
        <w:t>联络</w:t>
      </w:r>
      <w:r>
        <w:rPr>
          <w:rFonts w:hint="default" w:ascii="Times New Roman" w:hAnsi="Times New Roman" w:eastAsia="宋体" w:cs="Times New Roman"/>
          <w:bCs/>
          <w:color w:val="auto"/>
          <w:sz w:val="24"/>
        </w:rPr>
        <w:t>线路，线路长度</w:t>
      </w:r>
      <w:r>
        <w:rPr>
          <w:rFonts w:hint="default" w:ascii="Times New Roman" w:hAnsi="Times New Roman" w:eastAsia="宋体" w:cs="Times New Roman"/>
          <w:bCs/>
          <w:color w:val="auto"/>
          <w:sz w:val="24"/>
          <w:lang w:val="en-US" w:eastAsia="zh-CN"/>
        </w:rPr>
        <w:t>16</w:t>
      </w:r>
      <w:r>
        <w:rPr>
          <w:rFonts w:hint="default" w:ascii="Times New Roman" w:hAnsi="Times New Roman" w:eastAsia="宋体" w:cs="Times New Roman"/>
          <w:bCs/>
          <w:color w:val="auto"/>
          <w:sz w:val="24"/>
        </w:rPr>
        <w:t>km，采用单回路架设，使用杆塔</w:t>
      </w:r>
      <w:r>
        <w:rPr>
          <w:rFonts w:hint="default" w:ascii="Times New Roman" w:hAnsi="Times New Roman" w:eastAsia="宋体" w:cs="Times New Roman"/>
          <w:bCs/>
          <w:color w:val="auto"/>
          <w:sz w:val="24"/>
          <w:lang w:val="en-US" w:eastAsia="zh-CN"/>
        </w:rPr>
        <w:t>45</w:t>
      </w:r>
      <w:r>
        <w:rPr>
          <w:rFonts w:hint="default" w:ascii="Times New Roman" w:hAnsi="Times New Roman" w:eastAsia="宋体" w:cs="Times New Roman"/>
          <w:bCs/>
          <w:color w:val="auto"/>
          <w:sz w:val="24"/>
        </w:rPr>
        <w:t>基，其中单回耐张塔1</w:t>
      </w:r>
      <w:r>
        <w:rPr>
          <w:rFonts w:hint="default" w:ascii="Times New Roman" w:hAnsi="Times New Roman" w:eastAsia="宋体" w:cs="Times New Roman"/>
          <w:bCs/>
          <w:color w:val="auto"/>
          <w:sz w:val="24"/>
          <w:lang w:val="en-US" w:eastAsia="zh-CN"/>
        </w:rPr>
        <w:t>7</w:t>
      </w:r>
      <w:r>
        <w:rPr>
          <w:rFonts w:hint="default" w:ascii="Times New Roman" w:hAnsi="Times New Roman" w:eastAsia="宋体" w:cs="Times New Roman"/>
          <w:bCs/>
          <w:color w:val="auto"/>
          <w:sz w:val="24"/>
        </w:rPr>
        <w:t>基，单回塔基直线塔2</w:t>
      </w:r>
      <w:r>
        <w:rPr>
          <w:rFonts w:hint="default" w:ascii="Times New Roman" w:hAnsi="Times New Roman" w:eastAsia="宋体" w:cs="Times New Roman"/>
          <w:bCs/>
          <w:color w:val="auto"/>
          <w:sz w:val="24"/>
          <w:lang w:val="en-US" w:eastAsia="zh-CN"/>
        </w:rPr>
        <w:t>8</w:t>
      </w:r>
      <w:r>
        <w:rPr>
          <w:rFonts w:hint="default" w:ascii="Times New Roman" w:hAnsi="Times New Roman" w:eastAsia="宋体" w:cs="Times New Roman"/>
          <w:bCs/>
          <w:color w:val="auto"/>
          <w:sz w:val="24"/>
        </w:rPr>
        <w:t>基。项目主要包括塔基建设和线路布设，不包括升压站建设。</w:t>
      </w:r>
    </w:p>
    <w:p w14:paraId="20728CA6">
      <w:pPr>
        <w:keepNext w:val="0"/>
        <w:keepLines w:val="0"/>
        <w:pageBreakBefore w:val="0"/>
        <w:widowControl/>
        <w:wordWrap/>
        <w:overflowPunct/>
        <w:topLinePunct w:val="0"/>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为能够说明大草房至六合一110kV送出线路工程产生的电磁污染及对环境造成的影响，根据《环境影响评价技术导则 输变电工程》（HJ24-2020）的相关要求，编制“大草房至六合一110kV送出线路工程电磁环境影响专项评价”。</w:t>
      </w:r>
    </w:p>
    <w:p w14:paraId="658A8941">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sz w:val="24"/>
        </w:rPr>
        <w:t>本专项只对大草房至六合一110kV送出线路工程的电磁环境影响评价，其它方面的环境影响评价已在《大草房至六合一110kV送出线路工程</w:t>
      </w:r>
      <w:r>
        <w:rPr>
          <w:rFonts w:hint="default" w:ascii="Times New Roman" w:hAnsi="Times New Roman" w:eastAsia="宋体" w:cs="Times New Roman"/>
          <w:color w:val="auto"/>
          <w:sz w:val="24"/>
          <w:lang w:val="en-US" w:eastAsia="zh-CN"/>
        </w:rPr>
        <w:t>生态</w:t>
      </w:r>
      <w:r>
        <w:rPr>
          <w:rFonts w:hint="default" w:ascii="Times New Roman" w:hAnsi="Times New Roman" w:eastAsia="宋体" w:cs="Times New Roman"/>
          <w:color w:val="auto"/>
          <w:sz w:val="24"/>
        </w:rPr>
        <w:t>环境影响报告表》中论述，本专项不再赘述。</w:t>
      </w:r>
    </w:p>
    <w:p w14:paraId="0EC0715C">
      <w:pPr>
        <w:rPr>
          <w:rFonts w:hint="default" w:ascii="Times New Roman" w:hAnsi="Times New Roman" w:eastAsia="宋体" w:cs="Times New Roman"/>
          <w:b/>
          <w:bCs/>
          <w:color w:val="auto"/>
          <w:kern w:val="0"/>
          <w:sz w:val="24"/>
          <w:lang w:bidi="ar"/>
        </w:rPr>
      </w:pPr>
      <w:bookmarkStart w:id="72" w:name="_Toc6780"/>
      <w:r>
        <w:rPr>
          <w:rFonts w:hint="default" w:ascii="Times New Roman" w:hAnsi="Times New Roman" w:eastAsia="宋体" w:cs="Times New Roman"/>
          <w:b/>
          <w:bCs/>
          <w:color w:val="auto"/>
          <w:kern w:val="0"/>
          <w:sz w:val="24"/>
          <w:lang w:bidi="ar"/>
        </w:rPr>
        <w:br w:type="page"/>
      </w:r>
    </w:p>
    <w:p w14:paraId="07C99BBC">
      <w:pPr>
        <w:widowControl/>
        <w:kinsoku w:val="0"/>
        <w:autoSpaceDE w:val="0"/>
        <w:autoSpaceDN w:val="0"/>
        <w:adjustRightInd w:val="0"/>
        <w:snapToGrid w:val="0"/>
        <w:spacing w:before="156" w:beforeLines="50" w:after="156" w:afterLines="50"/>
        <w:outlineLvl w:val="0"/>
        <w:rPr>
          <w:rFonts w:hint="default" w:ascii="Times New Roman" w:hAnsi="Times New Roman" w:eastAsia="宋体" w:cs="Times New Roman"/>
          <w:b/>
          <w:bCs/>
          <w:color w:val="auto"/>
          <w:kern w:val="0"/>
          <w:sz w:val="30"/>
          <w:szCs w:val="30"/>
          <w:lang w:bidi="ar"/>
        </w:rPr>
      </w:pPr>
      <w:bookmarkStart w:id="73" w:name="_Toc11630"/>
      <w:bookmarkStart w:id="74" w:name="_Toc9170"/>
      <w:r>
        <w:rPr>
          <w:rFonts w:hint="default" w:ascii="Times New Roman" w:hAnsi="Times New Roman" w:eastAsia="宋体" w:cs="Times New Roman"/>
          <w:b/>
          <w:bCs/>
          <w:color w:val="auto"/>
          <w:kern w:val="0"/>
          <w:sz w:val="30"/>
          <w:szCs w:val="30"/>
          <w:lang w:bidi="ar"/>
        </w:rPr>
        <w:t>2.总则</w:t>
      </w:r>
      <w:bookmarkEnd w:id="72"/>
      <w:bookmarkEnd w:id="73"/>
      <w:bookmarkEnd w:id="74"/>
    </w:p>
    <w:p w14:paraId="5C682F72">
      <w:pPr>
        <w:widowControl/>
        <w:kinsoku w:val="0"/>
        <w:autoSpaceDE w:val="0"/>
        <w:autoSpaceDN w:val="0"/>
        <w:adjustRightInd w:val="0"/>
        <w:snapToGrid w:val="0"/>
        <w:spacing w:before="156" w:beforeLines="50" w:after="156" w:afterLines="50"/>
        <w:outlineLvl w:val="1"/>
        <w:rPr>
          <w:rFonts w:hint="default" w:ascii="Times New Roman" w:hAnsi="Times New Roman" w:eastAsia="宋体" w:cs="Times New Roman"/>
          <w:b/>
          <w:bCs/>
          <w:color w:val="auto"/>
          <w:kern w:val="0"/>
          <w:sz w:val="28"/>
          <w:szCs w:val="28"/>
          <w:lang w:bidi="ar"/>
        </w:rPr>
      </w:pPr>
      <w:bookmarkStart w:id="75" w:name="_Toc2247"/>
      <w:bookmarkStart w:id="76" w:name="_Toc4645"/>
      <w:bookmarkStart w:id="77" w:name="_Toc23507"/>
      <w:r>
        <w:rPr>
          <w:rFonts w:hint="default" w:ascii="Times New Roman" w:hAnsi="Times New Roman" w:eastAsia="宋体" w:cs="Times New Roman"/>
          <w:b/>
          <w:bCs/>
          <w:color w:val="auto"/>
          <w:kern w:val="0"/>
          <w:sz w:val="28"/>
          <w:szCs w:val="28"/>
          <w:lang w:bidi="ar"/>
        </w:rPr>
        <w:t>2.1编制依据</w:t>
      </w:r>
      <w:bookmarkEnd w:id="75"/>
      <w:bookmarkEnd w:id="76"/>
      <w:bookmarkEnd w:id="77"/>
    </w:p>
    <w:p w14:paraId="23F11271">
      <w:pPr>
        <w:widowControl/>
        <w:kinsoku w:val="0"/>
        <w:autoSpaceDE w:val="0"/>
        <w:autoSpaceDN w:val="0"/>
        <w:adjustRightInd w:val="0"/>
        <w:snapToGrid w:val="0"/>
        <w:spacing w:before="156" w:beforeLines="50" w:after="156" w:afterLines="50"/>
        <w:outlineLvl w:val="2"/>
        <w:rPr>
          <w:rFonts w:hint="default" w:ascii="Times New Roman" w:hAnsi="Times New Roman" w:eastAsia="宋体" w:cs="Times New Roman"/>
          <w:b/>
          <w:bCs/>
          <w:color w:val="auto"/>
          <w:kern w:val="0"/>
          <w:sz w:val="24"/>
          <w:lang w:bidi="ar"/>
        </w:rPr>
      </w:pPr>
      <w:bookmarkStart w:id="78" w:name="_Toc6075"/>
      <w:r>
        <w:rPr>
          <w:rFonts w:hint="default" w:ascii="Times New Roman" w:hAnsi="Times New Roman" w:eastAsia="宋体" w:cs="Times New Roman"/>
          <w:b/>
          <w:bCs/>
          <w:color w:val="auto"/>
          <w:kern w:val="0"/>
          <w:sz w:val="24"/>
          <w:lang w:bidi="ar"/>
        </w:rPr>
        <w:t>2.1.1相关法律法规</w:t>
      </w:r>
      <w:bookmarkEnd w:id="78"/>
    </w:p>
    <w:p w14:paraId="725D2D59">
      <w:pPr>
        <w:keepNext w:val="0"/>
        <w:keepLines w:val="0"/>
        <w:pageBreakBefore w:val="0"/>
        <w:widowControl/>
        <w:kinsoku/>
        <w:wordWrap/>
        <w:overflowPunct w:val="0"/>
        <w:topLinePunct/>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bidi="ar"/>
        </w:rPr>
        <w:t>（1）</w:t>
      </w:r>
      <w:r>
        <w:rPr>
          <w:rFonts w:hint="default" w:ascii="Times New Roman" w:hAnsi="Times New Roman" w:eastAsia="宋体" w:cs="Times New Roman"/>
          <w:color w:val="auto"/>
          <w:sz w:val="24"/>
          <w:szCs w:val="24"/>
          <w:lang w:val="zh-CN"/>
        </w:rPr>
        <w:t>《中华人民共和国生态环境法典》（2026年3月12日第十四届全国人民代表大会第四次会议通过，2026年8月15日起实施）</w:t>
      </w:r>
      <w:r>
        <w:rPr>
          <w:rFonts w:hint="default" w:ascii="Times New Roman" w:hAnsi="Times New Roman" w:eastAsia="宋体" w:cs="Times New Roman"/>
          <w:color w:val="auto"/>
          <w:kern w:val="0"/>
          <w:sz w:val="24"/>
          <w:szCs w:val="24"/>
          <w:lang w:bidi="ar"/>
        </w:rPr>
        <w:t>；</w:t>
      </w:r>
    </w:p>
    <w:p w14:paraId="039BBABF">
      <w:pPr>
        <w:keepNext w:val="0"/>
        <w:keepLines w:val="0"/>
        <w:pageBreakBefore w:val="0"/>
        <w:widowControl/>
        <w:kinsoku/>
        <w:wordWrap/>
        <w:overflowPunct w:val="0"/>
        <w:topLinePunct/>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kern w:val="0"/>
          <w:sz w:val="24"/>
          <w:lang w:bidi="ar"/>
        </w:rPr>
        <w:t>（</w:t>
      </w:r>
      <w:r>
        <w:rPr>
          <w:rFonts w:hint="default" w:ascii="Times New Roman" w:hAnsi="Times New Roman" w:eastAsia="宋体" w:cs="Times New Roman"/>
          <w:color w:val="auto"/>
          <w:kern w:val="0"/>
          <w:sz w:val="24"/>
          <w:lang w:val="en-US" w:eastAsia="zh-CN" w:bidi="ar"/>
        </w:rPr>
        <w:t>2</w:t>
      </w:r>
      <w:r>
        <w:rPr>
          <w:rFonts w:hint="default" w:ascii="Times New Roman" w:hAnsi="Times New Roman" w:eastAsia="宋体" w:cs="Times New Roman"/>
          <w:color w:val="auto"/>
          <w:kern w:val="0"/>
          <w:sz w:val="24"/>
          <w:lang w:bidi="ar"/>
        </w:rPr>
        <w:t>）《中华人民共和国电力法（2018年修正版）》，2018年10月26日修订并施行；</w:t>
      </w:r>
    </w:p>
    <w:p w14:paraId="0857E46B">
      <w:pPr>
        <w:keepNext w:val="0"/>
        <w:keepLines w:val="0"/>
        <w:pageBreakBefore w:val="0"/>
        <w:widowControl/>
        <w:kinsoku/>
        <w:wordWrap/>
        <w:overflowPunct w:val="0"/>
        <w:topLinePunct/>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kern w:val="0"/>
          <w:sz w:val="24"/>
          <w:lang w:bidi="ar"/>
        </w:rPr>
        <w:t>（</w:t>
      </w:r>
      <w:r>
        <w:rPr>
          <w:rFonts w:hint="default" w:ascii="Times New Roman" w:hAnsi="Times New Roman" w:eastAsia="宋体" w:cs="Times New Roman"/>
          <w:color w:val="auto"/>
          <w:kern w:val="0"/>
          <w:sz w:val="24"/>
          <w:lang w:val="en-US" w:eastAsia="zh-CN" w:bidi="ar"/>
        </w:rPr>
        <w:t>3</w:t>
      </w:r>
      <w:r>
        <w:rPr>
          <w:rFonts w:hint="default" w:ascii="Times New Roman" w:hAnsi="Times New Roman" w:eastAsia="宋体" w:cs="Times New Roman"/>
          <w:color w:val="auto"/>
          <w:kern w:val="0"/>
          <w:sz w:val="24"/>
          <w:lang w:bidi="ar"/>
        </w:rPr>
        <w:t>）</w:t>
      </w:r>
      <w:r>
        <w:rPr>
          <w:rFonts w:hint="default" w:ascii="Times New Roman" w:hAnsi="Times New Roman" w:eastAsia="宋体" w:cs="Times New Roman"/>
          <w:color w:val="auto"/>
          <w:kern w:val="0"/>
          <w:sz w:val="24"/>
          <w:lang w:val="en-US" w:eastAsia="zh-CN" w:bidi="ar"/>
        </w:rPr>
        <w:t>《电力设施保护条例实施细则》（2024年修订，2024年3月1日起施行）</w:t>
      </w:r>
      <w:r>
        <w:rPr>
          <w:rFonts w:hint="default" w:ascii="Times New Roman" w:hAnsi="Times New Roman" w:eastAsia="宋体" w:cs="Times New Roman"/>
          <w:color w:val="auto"/>
          <w:kern w:val="0"/>
          <w:sz w:val="24"/>
          <w:lang w:bidi="ar"/>
        </w:rPr>
        <w:t>；</w:t>
      </w:r>
    </w:p>
    <w:p w14:paraId="2EE284BC">
      <w:pPr>
        <w:keepNext w:val="0"/>
        <w:keepLines w:val="0"/>
        <w:pageBreakBefore w:val="0"/>
        <w:widowControl/>
        <w:kinsoku/>
        <w:wordWrap/>
        <w:overflowPunct w:val="0"/>
        <w:topLinePunct/>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kern w:val="0"/>
          <w:sz w:val="24"/>
          <w:lang w:bidi="ar"/>
        </w:rPr>
        <w:t>（</w:t>
      </w:r>
      <w:r>
        <w:rPr>
          <w:rFonts w:hint="default" w:ascii="Times New Roman" w:hAnsi="Times New Roman" w:eastAsia="宋体" w:cs="Times New Roman"/>
          <w:color w:val="auto"/>
          <w:kern w:val="0"/>
          <w:sz w:val="24"/>
          <w:lang w:val="en-US" w:eastAsia="zh-CN" w:bidi="ar"/>
        </w:rPr>
        <w:t>4</w:t>
      </w:r>
      <w:r>
        <w:rPr>
          <w:rFonts w:hint="default" w:ascii="Times New Roman" w:hAnsi="Times New Roman" w:eastAsia="宋体" w:cs="Times New Roman"/>
          <w:color w:val="auto"/>
          <w:kern w:val="0"/>
          <w:sz w:val="24"/>
          <w:lang w:bidi="ar"/>
        </w:rPr>
        <w:t>）《建设项目环境影响报告书（表）编制监督管理办法》（生态环境部令第9号  2019年11月1日起施行）；</w:t>
      </w:r>
    </w:p>
    <w:p w14:paraId="430AEC0D">
      <w:pPr>
        <w:keepNext w:val="0"/>
        <w:keepLines w:val="0"/>
        <w:pageBreakBefore w:val="0"/>
        <w:widowControl/>
        <w:kinsoku/>
        <w:wordWrap/>
        <w:overflowPunct w:val="0"/>
        <w:topLinePunct/>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w:t>
      </w:r>
      <w:r>
        <w:rPr>
          <w:rFonts w:hint="default" w:ascii="Times New Roman" w:hAnsi="Times New Roman" w:eastAsia="宋体" w:cs="Times New Roman"/>
          <w:color w:val="auto"/>
          <w:kern w:val="0"/>
          <w:sz w:val="24"/>
          <w:lang w:val="en-US" w:eastAsia="zh-CN" w:bidi="ar"/>
        </w:rPr>
        <w:t>5</w:t>
      </w:r>
      <w:r>
        <w:rPr>
          <w:rFonts w:hint="default" w:ascii="Times New Roman" w:hAnsi="Times New Roman" w:eastAsia="宋体" w:cs="Times New Roman"/>
          <w:color w:val="auto"/>
          <w:kern w:val="0"/>
          <w:sz w:val="24"/>
          <w:lang w:bidi="ar"/>
        </w:rPr>
        <w:t>）《建设项目环境影响评价分类管理名录》（2021年版）（生态环境部令第16号，2021年1月1日起施行）；</w:t>
      </w:r>
    </w:p>
    <w:p w14:paraId="036A68BC">
      <w:pPr>
        <w:keepNext w:val="0"/>
        <w:keepLines w:val="0"/>
        <w:pageBreakBefore w:val="0"/>
        <w:widowControl/>
        <w:kinsoku/>
        <w:wordWrap/>
        <w:overflowPunct w:val="0"/>
        <w:topLinePunct/>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kern w:val="0"/>
          <w:sz w:val="24"/>
          <w:lang w:eastAsia="zh-CN" w:bidi="ar"/>
        </w:rPr>
      </w:pPr>
      <w:r>
        <w:rPr>
          <w:rFonts w:hint="default" w:ascii="Times New Roman" w:hAnsi="Times New Roman" w:eastAsia="宋体" w:cs="Times New Roman"/>
          <w:color w:val="auto"/>
          <w:kern w:val="0"/>
          <w:sz w:val="24"/>
          <w:lang w:bidi="ar"/>
        </w:rPr>
        <w:t>（</w:t>
      </w:r>
      <w:r>
        <w:rPr>
          <w:rFonts w:hint="default" w:ascii="Times New Roman" w:hAnsi="Times New Roman" w:eastAsia="宋体" w:cs="Times New Roman"/>
          <w:color w:val="auto"/>
          <w:kern w:val="0"/>
          <w:sz w:val="24"/>
          <w:lang w:val="en-US" w:eastAsia="zh-CN" w:bidi="ar"/>
        </w:rPr>
        <w:t>6</w:t>
      </w:r>
      <w:r>
        <w:rPr>
          <w:rFonts w:hint="default" w:ascii="Times New Roman" w:hAnsi="Times New Roman" w:eastAsia="宋体" w:cs="Times New Roman"/>
          <w:color w:val="auto"/>
          <w:kern w:val="0"/>
          <w:sz w:val="24"/>
          <w:lang w:bidi="ar"/>
        </w:rPr>
        <w:t>）《建设项目环境保护管理条例》，中华人民共和国国务院令第682号，2017年10</w:t>
      </w:r>
      <w:r>
        <w:rPr>
          <w:rFonts w:hint="default" w:ascii="Times New Roman" w:hAnsi="Times New Roman" w:eastAsia="宋体" w:cs="Times New Roman"/>
          <w:color w:val="auto"/>
          <w:kern w:val="0"/>
          <w:sz w:val="24"/>
          <w:lang w:eastAsia="zh-CN" w:bidi="ar"/>
        </w:rPr>
        <w:t>月1日起施行；</w:t>
      </w:r>
    </w:p>
    <w:p w14:paraId="150E7AB4">
      <w:pPr>
        <w:keepNext w:val="0"/>
        <w:keepLines w:val="0"/>
        <w:pageBreakBefore w:val="0"/>
        <w:widowControl/>
        <w:kinsoku/>
        <w:wordWrap/>
        <w:overflowPunct w:val="0"/>
        <w:topLinePunct/>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kern w:val="0"/>
          <w:sz w:val="24"/>
          <w:lang w:eastAsia="zh-CN" w:bidi="ar"/>
        </w:rPr>
        <w:t>（</w:t>
      </w:r>
      <w:r>
        <w:rPr>
          <w:rFonts w:hint="default" w:ascii="Times New Roman" w:hAnsi="Times New Roman" w:eastAsia="宋体" w:cs="Times New Roman"/>
          <w:color w:val="auto"/>
          <w:kern w:val="0"/>
          <w:sz w:val="24"/>
          <w:lang w:val="en-US" w:eastAsia="zh-CN" w:bidi="ar"/>
        </w:rPr>
        <w:t>7</w:t>
      </w:r>
      <w:r>
        <w:rPr>
          <w:rFonts w:hint="default" w:ascii="Times New Roman" w:hAnsi="Times New Roman" w:eastAsia="宋体" w:cs="Times New Roman"/>
          <w:color w:val="auto"/>
          <w:kern w:val="0"/>
          <w:sz w:val="24"/>
          <w:lang w:eastAsia="zh-CN" w:bidi="ar"/>
        </w:rPr>
        <w:t>）</w:t>
      </w:r>
      <w:r>
        <w:rPr>
          <w:rFonts w:hint="default" w:ascii="Times New Roman" w:hAnsi="Times New Roman" w:eastAsia="宋体" w:cs="Times New Roman"/>
          <w:color w:val="auto"/>
          <w:kern w:val="0"/>
          <w:sz w:val="24"/>
          <w:lang w:bidi="ar"/>
        </w:rPr>
        <w:t>《电力设施保护条例》（根据2011年1月8日《国务院关于废止和修改部分行政法规的决定》第二次修订）。</w:t>
      </w:r>
    </w:p>
    <w:p w14:paraId="678605E8">
      <w:pPr>
        <w:widowControl/>
        <w:kinsoku w:val="0"/>
        <w:autoSpaceDE w:val="0"/>
        <w:autoSpaceDN w:val="0"/>
        <w:adjustRightInd w:val="0"/>
        <w:snapToGrid w:val="0"/>
        <w:spacing w:before="156" w:beforeLines="50" w:after="156" w:afterLines="50"/>
        <w:outlineLvl w:val="2"/>
        <w:rPr>
          <w:rFonts w:hint="default" w:ascii="Times New Roman" w:hAnsi="Times New Roman" w:eastAsia="宋体" w:cs="Times New Roman"/>
          <w:b/>
          <w:bCs/>
          <w:color w:val="auto"/>
          <w:kern w:val="0"/>
          <w:sz w:val="24"/>
          <w:lang w:bidi="ar"/>
        </w:rPr>
      </w:pPr>
      <w:bookmarkStart w:id="79" w:name="_Toc23707"/>
      <w:r>
        <w:rPr>
          <w:rFonts w:hint="default" w:ascii="Times New Roman" w:hAnsi="Times New Roman" w:eastAsia="宋体" w:cs="Times New Roman"/>
          <w:b/>
          <w:bCs/>
          <w:color w:val="auto"/>
          <w:kern w:val="0"/>
          <w:sz w:val="24"/>
          <w:lang w:bidi="ar"/>
        </w:rPr>
        <w:t>2.1.2技术导则、规范及标准</w:t>
      </w:r>
      <w:bookmarkEnd w:id="79"/>
    </w:p>
    <w:p w14:paraId="1B9D902B">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（1）《建设项目环境影响评价技术导则 总纲》（HJ 2.1-2016）；</w:t>
      </w:r>
    </w:p>
    <w:p w14:paraId="06B070E8">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kern w:val="0"/>
          <w:sz w:val="24"/>
          <w:lang w:bidi="ar"/>
        </w:rPr>
        <w:t>（2）《环境影响评价技术导则 输变电》（HJ</w:t>
      </w:r>
      <w:r>
        <w:rPr>
          <w:rFonts w:hint="default" w:ascii="Times New Roman" w:hAnsi="Times New Roman" w:eastAsia="宋体" w:cs="Times New Roman"/>
          <w:color w:val="auto"/>
          <w:w w:val="101"/>
          <w:kern w:val="0"/>
          <w:sz w:val="24"/>
          <w:lang w:bidi="ar"/>
        </w:rPr>
        <w:t xml:space="preserve"> </w:t>
      </w:r>
      <w:r>
        <w:rPr>
          <w:rFonts w:hint="default" w:ascii="Times New Roman" w:hAnsi="Times New Roman" w:eastAsia="宋体" w:cs="Times New Roman"/>
          <w:color w:val="auto"/>
          <w:kern w:val="0"/>
          <w:sz w:val="24"/>
          <w:lang w:bidi="ar"/>
        </w:rPr>
        <w:t>24-2020）；</w:t>
      </w:r>
    </w:p>
    <w:p w14:paraId="39E818FF">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（3）《电磁环境控制限值》（GB 8702-2014）；</w:t>
      </w:r>
    </w:p>
    <w:p w14:paraId="1813C8A1">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kern w:val="0"/>
          <w:sz w:val="24"/>
          <w:lang w:bidi="ar"/>
        </w:rPr>
        <w:t>（4）《输变电建设项目环境保护技术要求》（HJ 1113-2020）；</w:t>
      </w:r>
    </w:p>
    <w:p w14:paraId="4A0481BC">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（5）《交流输变电工程电磁环境监测方法（试行）》（HJ 681-2013）；</w:t>
      </w:r>
    </w:p>
    <w:p w14:paraId="78D9201B">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kern w:val="0"/>
          <w:sz w:val="24"/>
          <w:lang w:val="en-US" w:eastAsia="zh-CN" w:bidi="ar"/>
        </w:rPr>
      </w:pPr>
      <w:r>
        <w:rPr>
          <w:rFonts w:hint="default" w:ascii="Times New Roman" w:hAnsi="Times New Roman" w:eastAsia="宋体" w:cs="Times New Roman"/>
          <w:color w:val="auto"/>
          <w:kern w:val="0"/>
          <w:sz w:val="24"/>
          <w:lang w:bidi="ar"/>
        </w:rPr>
        <w:t>（6）《110kV～750kV架空输电线路设计规范》（GB 50545-2010）</w:t>
      </w:r>
      <w:r>
        <w:rPr>
          <w:rFonts w:hint="eastAsia" w:ascii="Times New Roman" w:hAnsi="Times New Roman" w:cs="Times New Roman"/>
          <w:color w:val="auto"/>
          <w:kern w:val="0"/>
          <w:sz w:val="24"/>
          <w:lang w:eastAsia="zh-CN" w:bidi="ar"/>
        </w:rPr>
        <w:t>；</w:t>
      </w:r>
    </w:p>
    <w:p w14:paraId="7F1CA1C3">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kern w:val="0"/>
          <w:sz w:val="24"/>
          <w:lang w:eastAsia="zh-CN" w:bidi="ar"/>
        </w:rPr>
      </w:pPr>
      <w:r>
        <w:rPr>
          <w:rFonts w:hint="default" w:ascii="Times New Roman" w:hAnsi="Times New Roman" w:eastAsia="宋体" w:cs="Times New Roman"/>
          <w:color w:val="auto"/>
          <w:kern w:val="0"/>
          <w:sz w:val="24"/>
          <w:lang w:eastAsia="zh-CN" w:bidi="ar"/>
        </w:rPr>
        <w:t>（</w:t>
      </w:r>
      <w:r>
        <w:rPr>
          <w:rFonts w:hint="default" w:ascii="Times New Roman" w:hAnsi="Times New Roman" w:eastAsia="宋体" w:cs="Times New Roman"/>
          <w:color w:val="auto"/>
          <w:kern w:val="0"/>
          <w:sz w:val="24"/>
          <w:lang w:val="en-US" w:eastAsia="zh-CN" w:bidi="ar"/>
        </w:rPr>
        <w:t>7</w:t>
      </w:r>
      <w:r>
        <w:rPr>
          <w:rFonts w:hint="default" w:ascii="Times New Roman" w:hAnsi="Times New Roman" w:eastAsia="宋体" w:cs="Times New Roman"/>
          <w:color w:val="auto"/>
          <w:kern w:val="0"/>
          <w:sz w:val="24"/>
          <w:lang w:eastAsia="zh-CN" w:bidi="ar"/>
        </w:rPr>
        <w:t>）</w:t>
      </w:r>
      <w:r>
        <w:rPr>
          <w:rFonts w:hint="default" w:ascii="Times New Roman" w:hAnsi="Times New Roman" w:eastAsia="宋体" w:cs="Times New Roman"/>
          <w:color w:val="auto"/>
          <w:kern w:val="0"/>
          <w:sz w:val="24"/>
          <w:lang w:bidi="ar"/>
        </w:rPr>
        <w:t>《建设项目竣工环境保护验收技术规范 输变电》</w:t>
      </w:r>
      <w:r>
        <w:rPr>
          <w:rFonts w:hint="default" w:ascii="Times New Roman" w:hAnsi="Times New Roman" w:eastAsia="宋体" w:cs="Times New Roman"/>
          <w:color w:val="auto"/>
          <w:kern w:val="0"/>
          <w:sz w:val="24"/>
          <w:lang w:eastAsia="zh-CN" w:bidi="ar"/>
        </w:rPr>
        <w:t>（HJ705-2020）</w:t>
      </w:r>
      <w:r>
        <w:rPr>
          <w:rFonts w:hint="default" w:ascii="Times New Roman" w:hAnsi="Times New Roman" w:eastAsia="宋体" w:cs="Times New Roman"/>
          <w:color w:val="auto"/>
          <w:kern w:val="0"/>
          <w:sz w:val="24"/>
          <w:lang w:bidi="ar"/>
        </w:rPr>
        <w:t>（</w:t>
      </w:r>
      <w:r>
        <w:rPr>
          <w:rFonts w:hint="default" w:ascii="Times New Roman" w:hAnsi="Times New Roman" w:eastAsia="宋体" w:cs="Times New Roman"/>
          <w:color w:val="auto"/>
          <w:kern w:val="0"/>
          <w:sz w:val="24"/>
          <w:lang w:eastAsia="zh-CN" w:bidi="ar"/>
        </w:rPr>
        <w:t>2021年3</w:t>
      </w:r>
      <w:r>
        <w:rPr>
          <w:rFonts w:hint="eastAsia" w:ascii="Times New Roman" w:hAnsi="Times New Roman" w:cs="Times New Roman"/>
          <w:color w:val="auto"/>
          <w:kern w:val="0"/>
          <w:sz w:val="24"/>
          <w:lang w:eastAsia="zh-CN" w:bidi="ar"/>
        </w:rPr>
        <w:t>月1日起实施</w:t>
      </w:r>
      <w:r>
        <w:rPr>
          <w:rFonts w:hint="default" w:ascii="Times New Roman" w:hAnsi="Times New Roman" w:eastAsia="宋体" w:cs="Times New Roman"/>
          <w:color w:val="auto"/>
          <w:kern w:val="0"/>
          <w:sz w:val="24"/>
          <w:lang w:bidi="ar"/>
        </w:rPr>
        <w:t>）</w:t>
      </w:r>
      <w:r>
        <w:rPr>
          <w:rFonts w:hint="default" w:ascii="Times New Roman" w:hAnsi="Times New Roman" w:eastAsia="宋体" w:cs="Times New Roman"/>
          <w:color w:val="auto"/>
          <w:kern w:val="0"/>
          <w:sz w:val="24"/>
          <w:lang w:eastAsia="zh-CN" w:bidi="ar"/>
        </w:rPr>
        <w:t>；</w:t>
      </w:r>
    </w:p>
    <w:p w14:paraId="29F1DA72">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kern w:val="0"/>
          <w:sz w:val="24"/>
          <w:lang w:val="en-US" w:eastAsia="zh-CN" w:bidi="ar"/>
        </w:rPr>
        <w:t>（8）</w:t>
      </w:r>
      <w:r>
        <w:rPr>
          <w:rFonts w:hint="default" w:ascii="Times New Roman" w:hAnsi="Times New Roman" w:eastAsia="宋体" w:cs="Times New Roman"/>
          <w:color w:val="auto"/>
          <w:kern w:val="0"/>
          <w:sz w:val="24"/>
          <w:lang w:bidi="ar"/>
        </w:rPr>
        <w:t>《建设项目竣工环境保护验收暂行办法》</w:t>
      </w:r>
      <w:r>
        <w:rPr>
          <w:rFonts w:hint="default" w:ascii="Times New Roman" w:hAnsi="Times New Roman" w:eastAsia="宋体" w:cs="Times New Roman"/>
          <w:color w:val="auto"/>
          <w:kern w:val="0"/>
          <w:sz w:val="24"/>
          <w:lang w:eastAsia="zh-CN" w:bidi="ar"/>
        </w:rPr>
        <w:t>（</w:t>
      </w:r>
      <w:r>
        <w:rPr>
          <w:rFonts w:hint="default" w:ascii="Times New Roman" w:hAnsi="Times New Roman" w:eastAsia="宋体" w:cs="Times New Roman"/>
          <w:color w:val="auto"/>
          <w:kern w:val="0"/>
          <w:sz w:val="24"/>
          <w:lang w:bidi="ar"/>
        </w:rPr>
        <w:t>国环规评〔2017〕4号</w:t>
      </w:r>
      <w:r>
        <w:rPr>
          <w:rFonts w:hint="default" w:ascii="Times New Roman" w:hAnsi="Times New Roman" w:eastAsia="宋体" w:cs="Times New Roman"/>
          <w:color w:val="auto"/>
          <w:kern w:val="0"/>
          <w:sz w:val="24"/>
          <w:lang w:eastAsia="zh-CN" w:bidi="ar"/>
        </w:rPr>
        <w:t>）</w:t>
      </w:r>
      <w:r>
        <w:rPr>
          <w:rFonts w:hint="default" w:ascii="Times New Roman" w:hAnsi="Times New Roman" w:eastAsia="宋体" w:cs="Times New Roman"/>
          <w:color w:val="auto"/>
          <w:kern w:val="0"/>
          <w:sz w:val="24"/>
          <w:lang w:bidi="ar"/>
        </w:rPr>
        <w:t>。</w:t>
      </w:r>
    </w:p>
    <w:p w14:paraId="3E561664">
      <w:pPr>
        <w:widowControl/>
        <w:kinsoku w:val="0"/>
        <w:autoSpaceDE w:val="0"/>
        <w:autoSpaceDN w:val="0"/>
        <w:adjustRightInd w:val="0"/>
        <w:snapToGrid w:val="0"/>
        <w:spacing w:before="156" w:beforeLines="50" w:after="156" w:afterLines="50"/>
        <w:outlineLvl w:val="2"/>
        <w:rPr>
          <w:rFonts w:hint="default" w:ascii="Times New Roman" w:hAnsi="Times New Roman" w:eastAsia="宋体" w:cs="Times New Roman"/>
          <w:b/>
          <w:bCs/>
          <w:color w:val="auto"/>
          <w:kern w:val="0"/>
          <w:sz w:val="24"/>
          <w:lang w:bidi="ar"/>
        </w:rPr>
      </w:pPr>
      <w:bookmarkStart w:id="80" w:name="_Toc30516"/>
      <w:r>
        <w:rPr>
          <w:rFonts w:hint="default" w:ascii="Times New Roman" w:hAnsi="Times New Roman" w:eastAsia="宋体" w:cs="Times New Roman"/>
          <w:b/>
          <w:bCs/>
          <w:color w:val="auto"/>
          <w:kern w:val="0"/>
          <w:sz w:val="24"/>
          <w:lang w:bidi="ar"/>
        </w:rPr>
        <w:t>2.1.3地方性法规、规章</w:t>
      </w:r>
      <w:bookmarkEnd w:id="80"/>
    </w:p>
    <w:p w14:paraId="07A5BF0B">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sz w:val="24"/>
          <w:lang w:bidi="ar"/>
        </w:rPr>
        <w:t>（1）《云南省生态环境保护条例》（2024年11</w:t>
      </w:r>
      <w:r>
        <w:rPr>
          <w:rFonts w:hint="default" w:ascii="Times New Roman" w:hAnsi="Times New Roman" w:eastAsia="宋体" w:cs="Times New Roman"/>
          <w:color w:val="auto"/>
          <w:sz w:val="24"/>
          <w:lang w:eastAsia="zh-CN" w:bidi="ar"/>
        </w:rPr>
        <w:t>月1日起施行）</w:t>
      </w:r>
      <w:r>
        <w:rPr>
          <w:rFonts w:hint="default" w:ascii="Times New Roman" w:hAnsi="Times New Roman" w:eastAsia="宋体" w:cs="Times New Roman"/>
          <w:color w:val="auto"/>
          <w:sz w:val="24"/>
          <w:lang w:bidi="ar"/>
        </w:rPr>
        <w:t>；</w:t>
      </w:r>
    </w:p>
    <w:p w14:paraId="7C9EABC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sz w:val="24"/>
          <w:lang w:bidi="ar"/>
        </w:rPr>
        <w:t>（2）《云南省建设项目环境保护管理规定》（2002</w:t>
      </w:r>
      <w:r>
        <w:rPr>
          <w:rFonts w:hint="default" w:ascii="Times New Roman" w:hAnsi="Times New Roman" w:eastAsia="宋体" w:cs="Times New Roman"/>
          <w:color w:val="auto"/>
          <w:sz w:val="24"/>
          <w:lang w:eastAsia="zh-CN" w:bidi="ar"/>
        </w:rPr>
        <w:t>年1月1日起施行）</w:t>
      </w:r>
      <w:r>
        <w:rPr>
          <w:rFonts w:hint="default" w:ascii="Times New Roman" w:hAnsi="Times New Roman" w:eastAsia="宋体" w:cs="Times New Roman"/>
          <w:color w:val="auto"/>
          <w:sz w:val="24"/>
          <w:lang w:bidi="ar"/>
        </w:rPr>
        <w:t>；</w:t>
      </w:r>
    </w:p>
    <w:p w14:paraId="4B8C9F5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sz w:val="24"/>
          <w:lang w:bidi="ar"/>
        </w:rPr>
        <w:t>（3）</w:t>
      </w:r>
      <w:r>
        <w:rPr>
          <w:rFonts w:hint="default" w:ascii="Times New Roman" w:hAnsi="Times New Roman" w:eastAsia="宋体" w:cs="Times New Roman"/>
          <w:color w:val="auto"/>
          <w:sz w:val="24"/>
          <w:lang w:val="en-US" w:eastAsia="zh-CN" w:bidi="ar"/>
        </w:rPr>
        <w:t>《云南省电力设施保护条例》（2024年第二次修正版</w:t>
      </w:r>
      <w:r>
        <w:rPr>
          <w:rFonts w:hint="eastAsia" w:ascii="Times New Roman" w:hAnsi="Times New Roman" w:cs="Times New Roman"/>
          <w:color w:val="auto"/>
          <w:sz w:val="24"/>
          <w:lang w:val="en-US" w:eastAsia="zh-CN" w:bidi="ar"/>
        </w:rPr>
        <w:t>，</w:t>
      </w:r>
      <w:r>
        <w:rPr>
          <w:rFonts w:hint="default" w:ascii="Times New Roman" w:hAnsi="Times New Roman" w:eastAsia="宋体" w:cs="Times New Roman"/>
          <w:color w:val="auto"/>
          <w:sz w:val="24"/>
          <w:lang w:val="en-US" w:eastAsia="zh-CN" w:bidi="ar"/>
        </w:rPr>
        <w:t>2024年11月28日实施）</w:t>
      </w:r>
      <w:r>
        <w:rPr>
          <w:rFonts w:hint="default" w:ascii="Times New Roman" w:hAnsi="Times New Roman" w:eastAsia="宋体" w:cs="Times New Roman"/>
          <w:color w:val="auto"/>
          <w:kern w:val="0"/>
          <w:sz w:val="24"/>
          <w:lang w:bidi="ar"/>
        </w:rPr>
        <w:t>。</w:t>
      </w:r>
    </w:p>
    <w:p w14:paraId="0275BF23">
      <w:pPr>
        <w:widowControl/>
        <w:kinsoku w:val="0"/>
        <w:autoSpaceDE w:val="0"/>
        <w:autoSpaceDN w:val="0"/>
        <w:adjustRightInd w:val="0"/>
        <w:snapToGrid w:val="0"/>
        <w:spacing w:before="156" w:beforeLines="50" w:after="156" w:afterLines="50"/>
        <w:outlineLvl w:val="1"/>
        <w:rPr>
          <w:rFonts w:hint="default" w:ascii="Times New Roman" w:hAnsi="Times New Roman" w:eastAsia="宋体" w:cs="Times New Roman"/>
          <w:b/>
          <w:bCs/>
          <w:color w:val="auto"/>
          <w:sz w:val="28"/>
          <w:szCs w:val="28"/>
        </w:rPr>
      </w:pPr>
      <w:bookmarkStart w:id="81" w:name="_Toc23460"/>
      <w:bookmarkStart w:id="82" w:name="_Toc821"/>
      <w:bookmarkStart w:id="83" w:name="_Toc17103"/>
      <w:r>
        <w:rPr>
          <w:rFonts w:hint="default" w:ascii="Times New Roman" w:hAnsi="Times New Roman" w:eastAsia="宋体" w:cs="Times New Roman"/>
          <w:b/>
          <w:bCs/>
          <w:color w:val="auto"/>
          <w:kern w:val="0"/>
          <w:sz w:val="28"/>
          <w:szCs w:val="28"/>
          <w:lang w:bidi="ar"/>
        </w:rPr>
        <w:t>2.2评价因子与评价标准</w:t>
      </w:r>
      <w:bookmarkEnd w:id="81"/>
      <w:bookmarkEnd w:id="82"/>
      <w:bookmarkEnd w:id="83"/>
    </w:p>
    <w:p w14:paraId="7A3244EE">
      <w:pPr>
        <w:widowControl/>
        <w:kinsoku w:val="0"/>
        <w:autoSpaceDE w:val="0"/>
        <w:autoSpaceDN w:val="0"/>
        <w:adjustRightInd w:val="0"/>
        <w:snapToGrid w:val="0"/>
        <w:spacing w:before="156" w:beforeLines="50" w:after="156" w:afterLines="50"/>
        <w:outlineLvl w:val="2"/>
        <w:rPr>
          <w:rFonts w:hint="default" w:ascii="Times New Roman" w:hAnsi="Times New Roman" w:eastAsia="宋体" w:cs="Times New Roman"/>
          <w:b/>
          <w:bCs/>
          <w:color w:val="auto"/>
          <w:sz w:val="24"/>
        </w:rPr>
      </w:pPr>
      <w:bookmarkStart w:id="84" w:name="_Toc16258"/>
      <w:r>
        <w:rPr>
          <w:rFonts w:hint="default" w:ascii="Times New Roman" w:hAnsi="Times New Roman" w:eastAsia="宋体" w:cs="Times New Roman"/>
          <w:b/>
          <w:bCs/>
          <w:color w:val="auto"/>
          <w:spacing w:val="-2"/>
          <w:kern w:val="0"/>
          <w:sz w:val="24"/>
          <w:lang w:bidi="ar"/>
        </w:rPr>
        <w:t>2.2.1评价因子</w:t>
      </w:r>
      <w:bookmarkEnd w:id="84"/>
    </w:p>
    <w:p w14:paraId="758B4689">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本工程建设期间无电磁环境影响。根据《环境影响评价技术导则 输变电》（HJ24-2020）、工程所在地环境特征、环境影响因素识别结果，确定工程电磁环境评价因子见表2-1。</w:t>
      </w:r>
    </w:p>
    <w:p w14:paraId="7B1DF213">
      <w:pPr>
        <w:widowControl/>
        <w:kinsoku w:val="0"/>
        <w:autoSpaceDE w:val="0"/>
        <w:autoSpaceDN w:val="0"/>
        <w:adjustRightInd w:val="0"/>
        <w:snapToGrid w:val="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pacing w:val="-3"/>
          <w:kern w:val="0"/>
          <w:sz w:val="24"/>
          <w:lang w:bidi="ar"/>
        </w:rPr>
        <w:t>表2-1 电磁环境公众曝露控制限值</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5"/>
        <w:gridCol w:w="1694"/>
        <w:gridCol w:w="2717"/>
        <w:gridCol w:w="2602"/>
      </w:tblGrid>
      <w:tr w14:paraId="5E484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5" w:type="dxa"/>
            <w:vMerge w:val="restart"/>
            <w:vAlign w:val="center"/>
          </w:tcPr>
          <w:p w14:paraId="46DCA9EE">
            <w:pPr>
              <w:widowControl/>
              <w:kinsoku w:val="0"/>
              <w:autoSpaceDE w:val="0"/>
              <w:autoSpaceDN w:val="0"/>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时段</w:t>
            </w:r>
          </w:p>
        </w:tc>
        <w:tc>
          <w:tcPr>
            <w:tcW w:w="1694" w:type="dxa"/>
            <w:vMerge w:val="restart"/>
            <w:vAlign w:val="center"/>
          </w:tcPr>
          <w:p w14:paraId="1A6FE003">
            <w:pPr>
              <w:widowControl/>
              <w:kinsoku w:val="0"/>
              <w:autoSpaceDE w:val="0"/>
              <w:autoSpaceDN w:val="0"/>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环境要素</w:t>
            </w:r>
          </w:p>
        </w:tc>
        <w:tc>
          <w:tcPr>
            <w:tcW w:w="5319" w:type="dxa"/>
            <w:gridSpan w:val="2"/>
            <w:vAlign w:val="center"/>
          </w:tcPr>
          <w:p w14:paraId="50F190AE">
            <w:pPr>
              <w:widowControl/>
              <w:kinsoku w:val="0"/>
              <w:autoSpaceDE w:val="0"/>
              <w:autoSpaceDN w:val="0"/>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评价因子</w:t>
            </w:r>
          </w:p>
        </w:tc>
      </w:tr>
      <w:tr w14:paraId="2E055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5" w:type="dxa"/>
            <w:vMerge w:val="continue"/>
            <w:vAlign w:val="center"/>
          </w:tcPr>
          <w:p w14:paraId="162118F7">
            <w:pPr>
              <w:widowControl/>
              <w:kinsoku w:val="0"/>
              <w:autoSpaceDE w:val="0"/>
              <w:autoSpaceDN w:val="0"/>
              <w:adjustRightInd w:val="0"/>
              <w:snapToGrid w:val="0"/>
              <w:jc w:val="center"/>
              <w:rPr>
                <w:rFonts w:hint="default" w:ascii="Times New Roman" w:hAnsi="Times New Roman" w:eastAsia="宋体" w:cs="Times New Roman"/>
                <w:b/>
                <w:bCs/>
                <w:color w:val="auto"/>
                <w:szCs w:val="21"/>
              </w:rPr>
            </w:pPr>
          </w:p>
        </w:tc>
        <w:tc>
          <w:tcPr>
            <w:tcW w:w="1694" w:type="dxa"/>
            <w:vMerge w:val="continue"/>
            <w:vAlign w:val="center"/>
          </w:tcPr>
          <w:p w14:paraId="0EC76FCF">
            <w:pPr>
              <w:widowControl/>
              <w:kinsoku w:val="0"/>
              <w:autoSpaceDE w:val="0"/>
              <w:autoSpaceDN w:val="0"/>
              <w:adjustRightInd w:val="0"/>
              <w:snapToGrid w:val="0"/>
              <w:jc w:val="center"/>
              <w:rPr>
                <w:rFonts w:hint="default" w:ascii="Times New Roman" w:hAnsi="Times New Roman" w:eastAsia="宋体" w:cs="Times New Roman"/>
                <w:b/>
                <w:bCs/>
                <w:color w:val="auto"/>
                <w:szCs w:val="21"/>
              </w:rPr>
            </w:pPr>
          </w:p>
        </w:tc>
        <w:tc>
          <w:tcPr>
            <w:tcW w:w="2717" w:type="dxa"/>
            <w:vAlign w:val="center"/>
          </w:tcPr>
          <w:p w14:paraId="141914E5">
            <w:pPr>
              <w:widowControl/>
              <w:kinsoku w:val="0"/>
              <w:autoSpaceDE w:val="0"/>
              <w:autoSpaceDN w:val="0"/>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现状评价因子</w:t>
            </w:r>
          </w:p>
        </w:tc>
        <w:tc>
          <w:tcPr>
            <w:tcW w:w="2602" w:type="dxa"/>
            <w:vAlign w:val="center"/>
          </w:tcPr>
          <w:p w14:paraId="21434D9D">
            <w:pPr>
              <w:widowControl/>
              <w:kinsoku w:val="0"/>
              <w:autoSpaceDE w:val="0"/>
              <w:autoSpaceDN w:val="0"/>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预测评价因子</w:t>
            </w:r>
          </w:p>
        </w:tc>
      </w:tr>
      <w:tr w14:paraId="62841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5" w:type="dxa"/>
            <w:vAlign w:val="center"/>
          </w:tcPr>
          <w:p w14:paraId="1D0B26EC">
            <w:pPr>
              <w:widowControl/>
              <w:kinsoku w:val="0"/>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运营期</w:t>
            </w:r>
          </w:p>
        </w:tc>
        <w:tc>
          <w:tcPr>
            <w:tcW w:w="1694" w:type="dxa"/>
            <w:vAlign w:val="center"/>
          </w:tcPr>
          <w:p w14:paraId="4FE0EC52">
            <w:pPr>
              <w:widowControl/>
              <w:kinsoku w:val="0"/>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电磁环境影响</w:t>
            </w:r>
          </w:p>
        </w:tc>
        <w:tc>
          <w:tcPr>
            <w:tcW w:w="2717" w:type="dxa"/>
            <w:vAlign w:val="center"/>
          </w:tcPr>
          <w:p w14:paraId="02D6F5A9">
            <w:pPr>
              <w:widowControl/>
              <w:kinsoku w:val="0"/>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工频电场强度（kV/m）</w:t>
            </w:r>
          </w:p>
          <w:p w14:paraId="0B9B0F24">
            <w:pPr>
              <w:widowControl/>
              <w:kinsoku w:val="0"/>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工频磁感应强度（μT）</w:t>
            </w:r>
          </w:p>
        </w:tc>
        <w:tc>
          <w:tcPr>
            <w:tcW w:w="2602" w:type="dxa"/>
            <w:vAlign w:val="center"/>
          </w:tcPr>
          <w:p w14:paraId="56A09B24">
            <w:pPr>
              <w:widowControl/>
              <w:kinsoku w:val="0"/>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工频电场强度（kV/m）</w:t>
            </w:r>
          </w:p>
          <w:p w14:paraId="6A6C9459">
            <w:pPr>
              <w:widowControl/>
              <w:kinsoku w:val="0"/>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工频磁感应强度（μT）</w:t>
            </w:r>
          </w:p>
        </w:tc>
      </w:tr>
    </w:tbl>
    <w:p w14:paraId="01092ACD">
      <w:pPr>
        <w:widowControl/>
        <w:kinsoku w:val="0"/>
        <w:autoSpaceDE w:val="0"/>
        <w:autoSpaceDN w:val="0"/>
        <w:adjustRightInd w:val="0"/>
        <w:snapToGrid w:val="0"/>
        <w:spacing w:before="156" w:beforeLines="50" w:after="156" w:afterLines="50"/>
        <w:outlineLvl w:val="2"/>
        <w:rPr>
          <w:rFonts w:hint="default" w:ascii="Times New Roman" w:hAnsi="Times New Roman" w:eastAsia="宋体" w:cs="Times New Roman"/>
          <w:b/>
          <w:bCs/>
          <w:color w:val="auto"/>
          <w:sz w:val="24"/>
        </w:rPr>
      </w:pPr>
      <w:bookmarkStart w:id="85" w:name="_Toc25814"/>
      <w:r>
        <w:rPr>
          <w:rFonts w:hint="default" w:ascii="Times New Roman" w:hAnsi="Times New Roman" w:eastAsia="宋体" w:cs="Times New Roman"/>
          <w:b/>
          <w:bCs/>
          <w:color w:val="auto"/>
          <w:spacing w:val="-2"/>
          <w:kern w:val="0"/>
          <w:sz w:val="24"/>
          <w:lang w:bidi="ar"/>
        </w:rPr>
        <w:t>2.2.2评价标准</w:t>
      </w:r>
      <w:bookmarkEnd w:id="85"/>
    </w:p>
    <w:p w14:paraId="57BB98E4">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spacing w:val="9"/>
          <w:kern w:val="0"/>
          <w:sz w:val="24"/>
          <w:lang w:bidi="ar"/>
        </w:rPr>
      </w:pPr>
      <w:bookmarkStart w:id="86" w:name="_bookmark24"/>
      <w:bookmarkEnd w:id="86"/>
      <w:r>
        <w:rPr>
          <w:rFonts w:hint="default" w:ascii="Times New Roman" w:hAnsi="Times New Roman" w:eastAsia="宋体" w:cs="Times New Roman"/>
          <w:color w:val="auto"/>
          <w:sz w:val="24"/>
          <w:szCs w:val="24"/>
        </w:rPr>
        <w:t>根据《电磁环境控制限值》（GB 8702-2014）表1公众</w:t>
      </w:r>
      <w:r>
        <w:rPr>
          <w:rFonts w:hint="default" w:ascii="Times New Roman" w:hAnsi="Times New Roman" w:eastAsia="宋体" w:cs="Times New Roman"/>
          <w:color w:val="auto"/>
          <w:sz w:val="24"/>
          <w:szCs w:val="24"/>
          <w:lang w:eastAsia="zh-CN"/>
        </w:rPr>
        <w:t>曝露</w:t>
      </w:r>
      <w:r>
        <w:rPr>
          <w:rFonts w:hint="default" w:ascii="Times New Roman" w:hAnsi="Times New Roman" w:eastAsia="宋体" w:cs="Times New Roman"/>
          <w:color w:val="auto"/>
          <w:sz w:val="24"/>
          <w:szCs w:val="24"/>
        </w:rPr>
        <w:t>控制限值（居民区），0.025kHz～1.2kHz频率范围内，电场强度E（V/m）为200/f，磁感应强度B（μT）为5/f，其中f为频率；本项目的频率为50Hz（0.05kHz）</w:t>
      </w:r>
      <w:r>
        <w:rPr>
          <w:rFonts w:hint="default" w:ascii="Times New Roman" w:hAnsi="Times New Roman" w:eastAsia="宋体" w:cs="Times New Roman"/>
          <w:color w:val="auto"/>
          <w:spacing w:val="9"/>
          <w:kern w:val="0"/>
          <w:sz w:val="24"/>
          <w:lang w:bidi="ar"/>
        </w:rPr>
        <w:t>。</w:t>
      </w:r>
    </w:p>
    <w:p w14:paraId="52E5594A">
      <w:pPr>
        <w:widowControl/>
        <w:kinsoku w:val="0"/>
        <w:autoSpaceDE w:val="0"/>
        <w:autoSpaceDN w:val="0"/>
        <w:adjustRightInd w:val="0"/>
        <w:snapToGrid w:val="0"/>
        <w:jc w:val="center"/>
        <w:rPr>
          <w:rFonts w:hint="default" w:ascii="Times New Roman" w:hAnsi="Times New Roman" w:eastAsia="宋体" w:cs="Times New Roman"/>
          <w:b/>
          <w:bCs/>
          <w:color w:val="auto"/>
          <w:spacing w:val="-3"/>
          <w:kern w:val="0"/>
          <w:sz w:val="24"/>
          <w:lang w:bidi="ar"/>
        </w:rPr>
      </w:pPr>
      <w:r>
        <w:rPr>
          <w:rFonts w:hint="default" w:ascii="Times New Roman" w:hAnsi="Times New Roman" w:eastAsia="宋体" w:cs="Times New Roman"/>
          <w:b/>
          <w:bCs/>
          <w:color w:val="auto"/>
          <w:spacing w:val="-3"/>
          <w:kern w:val="0"/>
          <w:sz w:val="24"/>
          <w:lang w:bidi="ar"/>
        </w:rPr>
        <w:t>表2-2 电磁环境公众曝露控制限值</w:t>
      </w:r>
    </w:p>
    <w:tbl>
      <w:tblPr>
        <w:tblStyle w:val="30"/>
        <w:tblW w:w="4999"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3121"/>
        <w:gridCol w:w="2558"/>
        <w:gridCol w:w="2841"/>
      </w:tblGrid>
      <w:tr w14:paraId="5860F1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32" w:type="pct"/>
            <w:tcBorders>
              <w:top w:val="single" w:color="auto" w:sz="6" w:space="0"/>
              <w:left w:val="single" w:color="auto" w:sz="6" w:space="0"/>
              <w:bottom w:val="single" w:color="auto" w:sz="6" w:space="0"/>
              <w:right w:val="single" w:color="auto" w:sz="6" w:space="0"/>
            </w:tcBorders>
            <w:vAlign w:val="center"/>
          </w:tcPr>
          <w:p w14:paraId="439F57DB">
            <w:pPr>
              <w:widowControl/>
              <w:kinsoku w:val="0"/>
              <w:autoSpaceDE w:val="0"/>
              <w:autoSpaceDN w:val="0"/>
              <w:adjustRightInd w:val="0"/>
              <w:snapToGrid w:val="0"/>
              <w:jc w:val="center"/>
              <w:rPr>
                <w:rFonts w:hint="default" w:ascii="Times New Roman" w:hAnsi="Times New Roman" w:eastAsia="宋体" w:cs="Times New Roman"/>
                <w:b/>
                <w:bCs/>
                <w:color w:val="auto"/>
                <w:spacing w:val="-7"/>
                <w:kern w:val="0"/>
                <w:szCs w:val="21"/>
                <w:lang w:bidi="ar"/>
              </w:rPr>
            </w:pPr>
            <w:r>
              <w:rPr>
                <w:rFonts w:hint="default" w:ascii="Times New Roman" w:hAnsi="Times New Roman" w:eastAsia="宋体" w:cs="Times New Roman"/>
                <w:b/>
                <w:bCs/>
                <w:color w:val="auto"/>
                <w:spacing w:val="-7"/>
                <w:kern w:val="0"/>
                <w:szCs w:val="21"/>
                <w:lang w:bidi="ar"/>
              </w:rPr>
              <w:t>频率范围</w:t>
            </w:r>
          </w:p>
        </w:tc>
        <w:tc>
          <w:tcPr>
            <w:tcW w:w="1501" w:type="pct"/>
            <w:tcBorders>
              <w:top w:val="single" w:color="auto" w:sz="6" w:space="0"/>
              <w:left w:val="single" w:color="auto" w:sz="6" w:space="0"/>
              <w:bottom w:val="single" w:color="auto" w:sz="6" w:space="0"/>
              <w:right w:val="single" w:color="auto" w:sz="6" w:space="0"/>
            </w:tcBorders>
            <w:vAlign w:val="center"/>
          </w:tcPr>
          <w:p w14:paraId="52FA3C95">
            <w:pPr>
              <w:widowControl/>
              <w:kinsoku w:val="0"/>
              <w:autoSpaceDE w:val="0"/>
              <w:autoSpaceDN w:val="0"/>
              <w:adjustRightInd w:val="0"/>
              <w:snapToGrid w:val="0"/>
              <w:jc w:val="center"/>
              <w:rPr>
                <w:rFonts w:hint="default" w:ascii="Times New Roman" w:hAnsi="Times New Roman" w:eastAsia="宋体" w:cs="Times New Roman"/>
                <w:b/>
                <w:bCs/>
                <w:color w:val="auto"/>
                <w:spacing w:val="-7"/>
                <w:kern w:val="0"/>
                <w:szCs w:val="21"/>
                <w:lang w:bidi="ar"/>
              </w:rPr>
            </w:pPr>
            <w:r>
              <w:rPr>
                <w:rFonts w:hint="default" w:ascii="Times New Roman" w:hAnsi="Times New Roman" w:eastAsia="宋体" w:cs="Times New Roman"/>
                <w:b/>
                <w:bCs/>
                <w:color w:val="auto"/>
                <w:spacing w:val="-7"/>
                <w:kern w:val="0"/>
                <w:szCs w:val="21"/>
                <w:lang w:bidi="ar"/>
              </w:rPr>
              <w:t>电场强度E（V/m）</w:t>
            </w:r>
          </w:p>
        </w:tc>
        <w:tc>
          <w:tcPr>
            <w:tcW w:w="1666" w:type="pct"/>
            <w:tcBorders>
              <w:top w:val="single" w:color="auto" w:sz="6" w:space="0"/>
              <w:left w:val="single" w:color="auto" w:sz="6" w:space="0"/>
              <w:bottom w:val="single" w:color="auto" w:sz="6" w:space="0"/>
              <w:right w:val="single" w:color="auto" w:sz="6" w:space="0"/>
            </w:tcBorders>
            <w:vAlign w:val="center"/>
          </w:tcPr>
          <w:p w14:paraId="64F2F9AB">
            <w:pPr>
              <w:widowControl/>
              <w:kinsoku w:val="0"/>
              <w:autoSpaceDE w:val="0"/>
              <w:autoSpaceDN w:val="0"/>
              <w:adjustRightInd w:val="0"/>
              <w:snapToGrid w:val="0"/>
              <w:jc w:val="center"/>
              <w:rPr>
                <w:rFonts w:hint="default" w:ascii="Times New Roman" w:hAnsi="Times New Roman" w:eastAsia="宋体" w:cs="Times New Roman"/>
                <w:b/>
                <w:bCs/>
                <w:color w:val="auto"/>
                <w:spacing w:val="-7"/>
                <w:kern w:val="0"/>
                <w:szCs w:val="21"/>
                <w:lang w:bidi="ar"/>
              </w:rPr>
            </w:pPr>
            <w:r>
              <w:rPr>
                <w:rFonts w:hint="default" w:ascii="Times New Roman" w:hAnsi="Times New Roman" w:eastAsia="宋体" w:cs="Times New Roman"/>
                <w:b/>
                <w:bCs/>
                <w:color w:val="auto"/>
                <w:spacing w:val="-7"/>
                <w:kern w:val="0"/>
                <w:szCs w:val="21"/>
                <w:lang w:bidi="ar"/>
              </w:rPr>
              <w:t>磁感应强度B（μT）</w:t>
            </w:r>
          </w:p>
        </w:tc>
      </w:tr>
      <w:tr w14:paraId="7ED67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32" w:type="pct"/>
            <w:tcBorders>
              <w:top w:val="single" w:color="auto" w:sz="6" w:space="0"/>
              <w:left w:val="single" w:color="auto" w:sz="6" w:space="0"/>
              <w:bottom w:val="single" w:color="auto" w:sz="6" w:space="0"/>
              <w:right w:val="single" w:color="auto" w:sz="6" w:space="0"/>
            </w:tcBorders>
            <w:vAlign w:val="center"/>
          </w:tcPr>
          <w:p w14:paraId="1A154108">
            <w:pPr>
              <w:widowControl/>
              <w:kinsoku w:val="0"/>
              <w:autoSpaceDE w:val="0"/>
              <w:autoSpaceDN w:val="0"/>
              <w:adjustRightInd w:val="0"/>
              <w:snapToGrid w:val="0"/>
              <w:jc w:val="center"/>
              <w:rPr>
                <w:rFonts w:hint="default" w:ascii="Times New Roman" w:hAnsi="Times New Roman" w:eastAsia="宋体" w:cs="Times New Roman"/>
                <w:color w:val="auto"/>
                <w:spacing w:val="-7"/>
                <w:kern w:val="0"/>
                <w:szCs w:val="21"/>
                <w:lang w:bidi="ar"/>
              </w:rPr>
            </w:pPr>
            <w:r>
              <w:rPr>
                <w:rFonts w:hint="default" w:ascii="Times New Roman" w:hAnsi="Times New Roman" w:eastAsia="宋体" w:cs="Times New Roman"/>
                <w:color w:val="auto"/>
                <w:spacing w:val="-7"/>
                <w:kern w:val="0"/>
                <w:szCs w:val="21"/>
                <w:lang w:bidi="ar"/>
              </w:rPr>
              <w:t>0.025kHz~1.2kHz</w:t>
            </w:r>
          </w:p>
        </w:tc>
        <w:tc>
          <w:tcPr>
            <w:tcW w:w="1501" w:type="pct"/>
            <w:tcBorders>
              <w:top w:val="single" w:color="auto" w:sz="6" w:space="0"/>
              <w:left w:val="single" w:color="auto" w:sz="6" w:space="0"/>
              <w:bottom w:val="single" w:color="auto" w:sz="6" w:space="0"/>
              <w:right w:val="single" w:color="auto" w:sz="6" w:space="0"/>
            </w:tcBorders>
            <w:vAlign w:val="center"/>
          </w:tcPr>
          <w:p w14:paraId="3C6C9CA2">
            <w:pPr>
              <w:widowControl/>
              <w:kinsoku w:val="0"/>
              <w:autoSpaceDE w:val="0"/>
              <w:autoSpaceDN w:val="0"/>
              <w:adjustRightInd w:val="0"/>
              <w:snapToGrid w:val="0"/>
              <w:jc w:val="center"/>
              <w:rPr>
                <w:rFonts w:hint="default" w:ascii="Times New Roman" w:hAnsi="Times New Roman" w:eastAsia="宋体" w:cs="Times New Roman"/>
                <w:color w:val="auto"/>
                <w:spacing w:val="-7"/>
                <w:kern w:val="0"/>
                <w:szCs w:val="21"/>
                <w:lang w:bidi="ar"/>
              </w:rPr>
            </w:pPr>
            <w:r>
              <w:rPr>
                <w:rFonts w:hint="default" w:ascii="Times New Roman" w:hAnsi="Times New Roman" w:eastAsia="宋体" w:cs="Times New Roman"/>
                <w:color w:val="auto"/>
                <w:spacing w:val="-7"/>
                <w:kern w:val="0"/>
                <w:szCs w:val="21"/>
                <w:lang w:bidi="ar"/>
              </w:rPr>
              <w:t>200/f</w:t>
            </w:r>
          </w:p>
        </w:tc>
        <w:tc>
          <w:tcPr>
            <w:tcW w:w="1666" w:type="pct"/>
            <w:tcBorders>
              <w:top w:val="single" w:color="auto" w:sz="6" w:space="0"/>
              <w:left w:val="single" w:color="auto" w:sz="6" w:space="0"/>
              <w:bottom w:val="single" w:color="auto" w:sz="6" w:space="0"/>
              <w:right w:val="single" w:color="auto" w:sz="6" w:space="0"/>
            </w:tcBorders>
            <w:vAlign w:val="center"/>
          </w:tcPr>
          <w:p w14:paraId="2DC1CCB1">
            <w:pPr>
              <w:widowControl/>
              <w:kinsoku w:val="0"/>
              <w:autoSpaceDE w:val="0"/>
              <w:autoSpaceDN w:val="0"/>
              <w:adjustRightInd w:val="0"/>
              <w:snapToGrid w:val="0"/>
              <w:jc w:val="center"/>
              <w:rPr>
                <w:rFonts w:hint="default" w:ascii="Times New Roman" w:hAnsi="Times New Roman" w:eastAsia="宋体" w:cs="Times New Roman"/>
                <w:color w:val="auto"/>
                <w:spacing w:val="-7"/>
                <w:kern w:val="0"/>
                <w:szCs w:val="21"/>
                <w:lang w:bidi="ar"/>
              </w:rPr>
            </w:pPr>
            <w:r>
              <w:rPr>
                <w:rFonts w:hint="default" w:ascii="Times New Roman" w:hAnsi="Times New Roman" w:eastAsia="宋体" w:cs="Times New Roman"/>
                <w:color w:val="auto"/>
                <w:spacing w:val="-7"/>
                <w:kern w:val="0"/>
                <w:szCs w:val="21"/>
                <w:lang w:bidi="ar"/>
              </w:rPr>
              <w:t>5/f</w:t>
            </w:r>
          </w:p>
        </w:tc>
      </w:tr>
      <w:tr w14:paraId="0BACD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32" w:type="pct"/>
            <w:tcBorders>
              <w:top w:val="single" w:color="auto" w:sz="6" w:space="0"/>
              <w:left w:val="single" w:color="auto" w:sz="6" w:space="0"/>
              <w:bottom w:val="single" w:color="auto" w:sz="6" w:space="0"/>
              <w:right w:val="single" w:color="auto" w:sz="6" w:space="0"/>
            </w:tcBorders>
            <w:vAlign w:val="center"/>
          </w:tcPr>
          <w:p w14:paraId="042BF0DA">
            <w:pPr>
              <w:widowControl/>
              <w:kinsoku w:val="0"/>
              <w:autoSpaceDE w:val="0"/>
              <w:autoSpaceDN w:val="0"/>
              <w:adjustRightInd w:val="0"/>
              <w:snapToGrid w:val="0"/>
              <w:jc w:val="center"/>
              <w:rPr>
                <w:rFonts w:hint="default" w:ascii="Times New Roman" w:hAnsi="Times New Roman" w:eastAsia="宋体" w:cs="Times New Roman"/>
                <w:color w:val="auto"/>
                <w:spacing w:val="-7"/>
                <w:kern w:val="0"/>
                <w:szCs w:val="21"/>
                <w:lang w:bidi="ar"/>
              </w:rPr>
            </w:pPr>
            <w:r>
              <w:rPr>
                <w:rFonts w:hint="default" w:ascii="Times New Roman" w:hAnsi="Times New Roman" w:eastAsia="宋体" w:cs="Times New Roman"/>
                <w:color w:val="auto"/>
                <w:spacing w:val="-7"/>
                <w:kern w:val="0"/>
                <w:szCs w:val="21"/>
                <w:lang w:bidi="ar"/>
              </w:rPr>
              <w:t>输电线路工作频率（0.05kHz）</w:t>
            </w:r>
          </w:p>
        </w:tc>
        <w:tc>
          <w:tcPr>
            <w:tcW w:w="1501" w:type="pct"/>
            <w:tcBorders>
              <w:top w:val="single" w:color="auto" w:sz="6" w:space="0"/>
              <w:left w:val="single" w:color="auto" w:sz="6" w:space="0"/>
              <w:bottom w:val="single" w:color="auto" w:sz="6" w:space="0"/>
              <w:right w:val="single" w:color="auto" w:sz="6" w:space="0"/>
            </w:tcBorders>
            <w:vAlign w:val="center"/>
          </w:tcPr>
          <w:p w14:paraId="24C38322">
            <w:pPr>
              <w:widowControl/>
              <w:kinsoku w:val="0"/>
              <w:autoSpaceDE w:val="0"/>
              <w:autoSpaceDN w:val="0"/>
              <w:adjustRightInd w:val="0"/>
              <w:snapToGrid w:val="0"/>
              <w:jc w:val="center"/>
              <w:rPr>
                <w:rFonts w:hint="default" w:ascii="Times New Roman" w:hAnsi="Times New Roman" w:eastAsia="宋体" w:cs="Times New Roman"/>
                <w:color w:val="auto"/>
                <w:spacing w:val="-7"/>
                <w:kern w:val="0"/>
                <w:szCs w:val="21"/>
                <w:lang w:bidi="ar"/>
              </w:rPr>
            </w:pPr>
            <w:r>
              <w:rPr>
                <w:rFonts w:hint="default" w:ascii="Times New Roman" w:hAnsi="Times New Roman" w:eastAsia="宋体" w:cs="Times New Roman"/>
                <w:color w:val="auto"/>
                <w:spacing w:val="-7"/>
                <w:kern w:val="0"/>
                <w:szCs w:val="21"/>
                <w:lang w:bidi="ar"/>
              </w:rPr>
              <w:t>4000V/m</w:t>
            </w:r>
            <w:r>
              <w:rPr>
                <w:rFonts w:hint="default" w:ascii="Times New Roman" w:hAnsi="Times New Roman" w:eastAsia="宋体" w:cs="Times New Roman"/>
                <w:color w:val="auto"/>
                <w:spacing w:val="-7"/>
                <w:kern w:val="0"/>
                <w:szCs w:val="21"/>
                <w:lang w:eastAsia="zh-CN" w:bidi="ar"/>
              </w:rPr>
              <w:t>(</w:t>
            </w:r>
            <w:r>
              <w:rPr>
                <w:rFonts w:hint="default" w:ascii="Times New Roman" w:hAnsi="Times New Roman" w:eastAsia="宋体" w:cs="Times New Roman"/>
                <w:color w:val="auto"/>
                <w:spacing w:val="-7"/>
                <w:kern w:val="0"/>
                <w:szCs w:val="21"/>
                <w:lang w:bidi="ar"/>
              </w:rPr>
              <w:t>4kV/m</w:t>
            </w:r>
            <w:r>
              <w:rPr>
                <w:rFonts w:hint="default" w:ascii="Times New Roman" w:hAnsi="Times New Roman" w:eastAsia="宋体" w:cs="Times New Roman"/>
                <w:color w:val="auto"/>
                <w:spacing w:val="-7"/>
                <w:kern w:val="0"/>
                <w:szCs w:val="21"/>
                <w:lang w:eastAsia="zh-CN" w:bidi="ar"/>
              </w:rPr>
              <w:t>)</w:t>
            </w:r>
          </w:p>
        </w:tc>
        <w:tc>
          <w:tcPr>
            <w:tcW w:w="1666" w:type="pct"/>
            <w:tcBorders>
              <w:top w:val="single" w:color="auto" w:sz="6" w:space="0"/>
              <w:left w:val="single" w:color="auto" w:sz="6" w:space="0"/>
              <w:bottom w:val="single" w:color="auto" w:sz="6" w:space="0"/>
              <w:right w:val="single" w:color="auto" w:sz="6" w:space="0"/>
            </w:tcBorders>
            <w:vAlign w:val="center"/>
          </w:tcPr>
          <w:p w14:paraId="7B8A8212">
            <w:pPr>
              <w:widowControl/>
              <w:kinsoku w:val="0"/>
              <w:autoSpaceDE w:val="0"/>
              <w:autoSpaceDN w:val="0"/>
              <w:adjustRightInd w:val="0"/>
              <w:snapToGrid w:val="0"/>
              <w:jc w:val="center"/>
              <w:rPr>
                <w:rFonts w:hint="default" w:ascii="Times New Roman" w:hAnsi="Times New Roman" w:eastAsia="宋体" w:cs="Times New Roman"/>
                <w:color w:val="auto"/>
                <w:spacing w:val="-7"/>
                <w:kern w:val="0"/>
                <w:szCs w:val="21"/>
                <w:lang w:bidi="ar"/>
              </w:rPr>
            </w:pPr>
            <w:r>
              <w:rPr>
                <w:rFonts w:hint="default" w:ascii="Times New Roman" w:hAnsi="Times New Roman" w:eastAsia="宋体" w:cs="Times New Roman"/>
                <w:color w:val="auto"/>
                <w:spacing w:val="-7"/>
                <w:kern w:val="0"/>
                <w:szCs w:val="21"/>
                <w:lang w:bidi="ar"/>
              </w:rPr>
              <w:t>100μT</w:t>
            </w:r>
            <w:r>
              <w:rPr>
                <w:rFonts w:hint="default" w:ascii="Times New Roman" w:hAnsi="Times New Roman" w:eastAsia="宋体" w:cs="Times New Roman"/>
                <w:color w:val="auto"/>
                <w:spacing w:val="-7"/>
                <w:kern w:val="0"/>
                <w:szCs w:val="21"/>
                <w:lang w:eastAsia="zh-CN" w:bidi="ar"/>
              </w:rPr>
              <w:t>(</w:t>
            </w:r>
            <w:r>
              <w:rPr>
                <w:rFonts w:hint="default" w:ascii="Times New Roman" w:hAnsi="Times New Roman" w:eastAsia="宋体" w:cs="Times New Roman"/>
                <w:color w:val="auto"/>
                <w:spacing w:val="-7"/>
                <w:kern w:val="0"/>
                <w:szCs w:val="21"/>
                <w:lang w:bidi="ar"/>
              </w:rPr>
              <w:t>0.1mT</w:t>
            </w:r>
            <w:r>
              <w:rPr>
                <w:rFonts w:hint="default" w:ascii="Times New Roman" w:hAnsi="Times New Roman" w:eastAsia="宋体" w:cs="Times New Roman"/>
                <w:color w:val="auto"/>
                <w:spacing w:val="-7"/>
                <w:kern w:val="0"/>
                <w:szCs w:val="21"/>
                <w:lang w:eastAsia="zh-CN" w:bidi="ar"/>
              </w:rPr>
              <w:t>)</w:t>
            </w:r>
          </w:p>
        </w:tc>
      </w:tr>
      <w:tr w14:paraId="08D784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000" w:type="pct"/>
            <w:gridSpan w:val="3"/>
            <w:tcBorders>
              <w:top w:val="single" w:color="auto" w:sz="6" w:space="0"/>
              <w:left w:val="single" w:color="auto" w:sz="6" w:space="0"/>
              <w:bottom w:val="single" w:color="auto" w:sz="6" w:space="0"/>
              <w:right w:val="single" w:color="auto" w:sz="6" w:space="0"/>
            </w:tcBorders>
            <w:vAlign w:val="center"/>
          </w:tcPr>
          <w:p w14:paraId="015125D0">
            <w:pPr>
              <w:widowControl/>
              <w:kinsoku w:val="0"/>
              <w:autoSpaceDE w:val="0"/>
              <w:autoSpaceDN w:val="0"/>
              <w:adjustRightInd w:val="0"/>
              <w:snapToGrid w:val="0"/>
              <w:rPr>
                <w:rFonts w:hint="default" w:ascii="Times New Roman" w:hAnsi="Times New Roman" w:eastAsia="宋体" w:cs="Times New Roman"/>
                <w:color w:val="auto"/>
                <w:spacing w:val="-7"/>
                <w:kern w:val="0"/>
                <w:szCs w:val="21"/>
                <w:lang w:bidi="ar"/>
              </w:rPr>
            </w:pPr>
            <w:r>
              <w:rPr>
                <w:rFonts w:hint="default" w:ascii="Times New Roman" w:hAnsi="Times New Roman" w:eastAsia="宋体" w:cs="Times New Roman"/>
                <w:color w:val="auto"/>
                <w:spacing w:val="-7"/>
                <w:kern w:val="0"/>
                <w:szCs w:val="21"/>
                <w:lang w:bidi="ar"/>
              </w:rPr>
              <w:t>注：1、频率f的取值为0.05kHz。</w:t>
            </w:r>
          </w:p>
          <w:p w14:paraId="21244E2B">
            <w:pPr>
              <w:widowControl/>
              <w:kinsoku w:val="0"/>
              <w:autoSpaceDE w:val="0"/>
              <w:autoSpaceDN w:val="0"/>
              <w:adjustRightInd w:val="0"/>
              <w:snapToGrid w:val="0"/>
              <w:rPr>
                <w:rFonts w:hint="default" w:ascii="Times New Roman" w:hAnsi="Times New Roman" w:eastAsia="宋体" w:cs="Times New Roman"/>
                <w:color w:val="auto"/>
                <w:spacing w:val="-7"/>
                <w:kern w:val="0"/>
                <w:szCs w:val="21"/>
                <w:lang w:bidi="ar"/>
              </w:rPr>
            </w:pPr>
            <w:r>
              <w:rPr>
                <w:rFonts w:hint="default" w:ascii="Times New Roman" w:hAnsi="Times New Roman" w:eastAsia="宋体" w:cs="Times New Roman"/>
                <w:color w:val="auto"/>
                <w:spacing w:val="-7"/>
                <w:kern w:val="0"/>
                <w:szCs w:val="21"/>
                <w:lang w:bidi="ar"/>
              </w:rPr>
              <w:t>2、架空输电线路线下的耕地、园地、牧草地、畜禽饲养地、养殖水面、道路等场所，其频率50Hz的电场强度控制限值为10kV/m，且应给出警示和防护指示标志。</w:t>
            </w:r>
          </w:p>
        </w:tc>
      </w:tr>
    </w:tbl>
    <w:p w14:paraId="4F047AF6">
      <w:pPr>
        <w:keepNext w:val="0"/>
        <w:keepLines w:val="0"/>
        <w:pageBreakBefore w:val="0"/>
        <w:widowControl w:val="0"/>
        <w:kinsoku/>
        <w:wordWrap/>
        <w:overflowPunct w:val="0"/>
        <w:topLinePunct/>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本工程工频电场、工频磁场执行标准如下：</w:t>
      </w:r>
    </w:p>
    <w:p w14:paraId="79EE02DF">
      <w:pPr>
        <w:keepNext w:val="0"/>
        <w:keepLines w:val="0"/>
        <w:pageBreakBefore w:val="0"/>
        <w:widowControl w:val="0"/>
        <w:kinsoku/>
        <w:wordWrap/>
        <w:overflowPunct w:val="0"/>
        <w:topLinePunct/>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（1）工频电场强度限值：以4kV/m作为居民区工频电场强度公众曝露控制限值；以10kV/m作为非居民区工频电场强度公众曝露控制限值。</w:t>
      </w:r>
    </w:p>
    <w:p w14:paraId="3AF122E4">
      <w:pPr>
        <w:keepNext w:val="0"/>
        <w:keepLines w:val="0"/>
        <w:pageBreakBefore w:val="0"/>
        <w:widowControl w:val="0"/>
        <w:kinsoku/>
        <w:wordWrap/>
        <w:overflowPunct w:val="0"/>
        <w:topLinePunct/>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（2）工频磁感应强度限值：以100μT作为工频磁感应强度公众曝露控制限值。</w:t>
      </w:r>
    </w:p>
    <w:p w14:paraId="4FD464A9">
      <w:pPr>
        <w:widowControl/>
        <w:kinsoku w:val="0"/>
        <w:autoSpaceDE w:val="0"/>
        <w:autoSpaceDN w:val="0"/>
        <w:adjustRightInd w:val="0"/>
        <w:snapToGrid w:val="0"/>
        <w:spacing w:before="156" w:beforeLines="50" w:after="156" w:afterLines="50"/>
        <w:outlineLvl w:val="1"/>
        <w:rPr>
          <w:rFonts w:hint="default" w:ascii="Times New Roman" w:hAnsi="Times New Roman" w:eastAsia="宋体" w:cs="Times New Roman"/>
          <w:b/>
          <w:bCs/>
          <w:color w:val="auto"/>
          <w:sz w:val="28"/>
          <w:szCs w:val="28"/>
        </w:rPr>
      </w:pPr>
      <w:bookmarkStart w:id="87" w:name="_Toc20365"/>
      <w:bookmarkStart w:id="88" w:name="_Toc32200"/>
      <w:bookmarkStart w:id="89" w:name="_Toc22543"/>
      <w:r>
        <w:rPr>
          <w:rFonts w:hint="default" w:ascii="Times New Roman" w:hAnsi="Times New Roman" w:eastAsia="宋体" w:cs="Times New Roman"/>
          <w:b/>
          <w:bCs/>
          <w:color w:val="auto"/>
          <w:spacing w:val="-2"/>
          <w:kern w:val="0"/>
          <w:sz w:val="28"/>
          <w:szCs w:val="28"/>
          <w:lang w:bidi="ar"/>
        </w:rPr>
        <w:t>2.3评价工作等级与评价方法</w:t>
      </w:r>
      <w:bookmarkEnd w:id="87"/>
      <w:bookmarkEnd w:id="88"/>
      <w:bookmarkEnd w:id="89"/>
    </w:p>
    <w:p w14:paraId="22268D73">
      <w:pPr>
        <w:widowControl/>
        <w:kinsoku w:val="0"/>
        <w:autoSpaceDE w:val="0"/>
        <w:autoSpaceDN w:val="0"/>
        <w:adjustRightInd w:val="0"/>
        <w:snapToGrid w:val="0"/>
        <w:spacing w:before="156" w:beforeLines="50" w:after="156" w:afterLines="50"/>
        <w:outlineLvl w:val="2"/>
        <w:rPr>
          <w:rFonts w:hint="default" w:ascii="Times New Roman" w:hAnsi="Times New Roman" w:eastAsia="宋体" w:cs="Times New Roman"/>
          <w:b/>
          <w:bCs/>
          <w:color w:val="auto"/>
          <w:spacing w:val="-2"/>
          <w:kern w:val="0"/>
          <w:sz w:val="24"/>
          <w:lang w:bidi="ar"/>
        </w:rPr>
      </w:pPr>
      <w:bookmarkStart w:id="90" w:name="_Toc25878"/>
      <w:r>
        <w:rPr>
          <w:rFonts w:hint="default" w:ascii="Times New Roman" w:hAnsi="Times New Roman" w:eastAsia="宋体" w:cs="Times New Roman"/>
          <w:b/>
          <w:bCs/>
          <w:color w:val="auto"/>
          <w:spacing w:val="-4"/>
          <w:kern w:val="0"/>
          <w:sz w:val="24"/>
          <w:lang w:bidi="ar"/>
        </w:rPr>
        <w:t>2.3.1</w:t>
      </w:r>
      <w:r>
        <w:rPr>
          <w:rFonts w:hint="default" w:ascii="Times New Roman" w:hAnsi="Times New Roman" w:eastAsia="宋体" w:cs="Times New Roman"/>
          <w:b/>
          <w:bCs/>
          <w:color w:val="auto"/>
          <w:spacing w:val="-2"/>
          <w:kern w:val="0"/>
          <w:sz w:val="24"/>
          <w:lang w:bidi="ar"/>
        </w:rPr>
        <w:t>评价工作等级</w:t>
      </w:r>
      <w:bookmarkEnd w:id="90"/>
    </w:p>
    <w:p w14:paraId="3C0D3764">
      <w:pPr>
        <w:keepNext w:val="0"/>
        <w:keepLines w:val="0"/>
        <w:pageBreakBefore w:val="0"/>
        <w:widowControl w:val="0"/>
        <w:kinsoku/>
        <w:wordWrap/>
        <w:overflowPunct w:val="0"/>
        <w:topLinePunct/>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根据《环境影响评价技术导则 输变电》（HJ24-2020）关于电磁环境影响评价工作等级判定方法，见表2-3。</w:t>
      </w:r>
    </w:p>
    <w:p w14:paraId="636410B9">
      <w:pPr>
        <w:widowControl/>
        <w:kinsoku w:val="0"/>
        <w:autoSpaceDE w:val="0"/>
        <w:autoSpaceDN w:val="0"/>
        <w:adjustRightInd w:val="0"/>
        <w:snapToGrid w:val="0"/>
        <w:jc w:val="center"/>
        <w:rPr>
          <w:rFonts w:hint="default" w:ascii="Times New Roman" w:hAnsi="Times New Roman" w:eastAsia="宋体" w:cs="Times New Roman"/>
          <w:color w:val="auto"/>
          <w:sz w:val="24"/>
        </w:rPr>
      </w:pPr>
      <w:r>
        <w:rPr>
          <w:rFonts w:hint="default" w:ascii="Times New Roman" w:hAnsi="Times New Roman" w:eastAsia="宋体" w:cs="Times New Roman"/>
          <w:b/>
          <w:bCs/>
          <w:color w:val="auto"/>
          <w:spacing w:val="-3"/>
          <w:kern w:val="0"/>
          <w:sz w:val="24"/>
          <w:lang w:bidi="ar"/>
        </w:rPr>
        <w:t>表2-3 输变电建设项目电磁环境影响评价工作等级</w:t>
      </w:r>
    </w:p>
    <w:tbl>
      <w:tblPr>
        <w:tblStyle w:val="3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1458"/>
        <w:gridCol w:w="1165"/>
        <w:gridCol w:w="3640"/>
        <w:gridCol w:w="1534"/>
      </w:tblGrid>
      <w:tr w14:paraId="1025D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 w:hRule="atLeast"/>
        </w:trPr>
        <w:tc>
          <w:tcPr>
            <w:tcW w:w="424" w:type="pct"/>
            <w:tcBorders>
              <w:top w:val="single" w:color="auto" w:sz="4" w:space="0"/>
              <w:left w:val="single" w:color="auto" w:sz="4" w:space="0"/>
              <w:bottom w:val="single" w:color="auto" w:sz="4" w:space="0"/>
              <w:right w:val="single" w:color="auto" w:sz="4" w:space="0"/>
            </w:tcBorders>
            <w:vAlign w:val="center"/>
          </w:tcPr>
          <w:p w14:paraId="10E26F7D">
            <w:pPr>
              <w:adjustRightInd w:val="0"/>
              <w:snapToGrid w:val="0"/>
              <w:jc w:val="center"/>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lang w:bidi="ar"/>
              </w:rPr>
              <w:t>分类</w:t>
            </w:r>
          </w:p>
        </w:tc>
        <w:tc>
          <w:tcPr>
            <w:tcW w:w="856" w:type="pct"/>
            <w:tcBorders>
              <w:top w:val="single" w:color="auto" w:sz="4" w:space="0"/>
              <w:left w:val="single" w:color="auto" w:sz="4" w:space="0"/>
              <w:bottom w:val="single" w:color="auto" w:sz="4" w:space="0"/>
              <w:right w:val="single" w:color="auto" w:sz="4" w:space="0"/>
            </w:tcBorders>
            <w:vAlign w:val="center"/>
          </w:tcPr>
          <w:p w14:paraId="59DBBF90">
            <w:pPr>
              <w:adjustRightInd w:val="0"/>
              <w:snapToGrid w:val="0"/>
              <w:jc w:val="center"/>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lang w:bidi="ar"/>
              </w:rPr>
              <w:t>电压等级</w:t>
            </w:r>
          </w:p>
        </w:tc>
        <w:tc>
          <w:tcPr>
            <w:tcW w:w="684" w:type="pct"/>
            <w:tcBorders>
              <w:top w:val="single" w:color="auto" w:sz="4" w:space="0"/>
              <w:left w:val="single" w:color="auto" w:sz="4" w:space="0"/>
              <w:bottom w:val="single" w:color="auto" w:sz="4" w:space="0"/>
              <w:right w:val="single" w:color="auto" w:sz="4" w:space="0"/>
            </w:tcBorders>
            <w:vAlign w:val="center"/>
          </w:tcPr>
          <w:p w14:paraId="5E50D725">
            <w:pPr>
              <w:adjustRightInd w:val="0"/>
              <w:snapToGrid w:val="0"/>
              <w:jc w:val="center"/>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lang w:bidi="ar"/>
              </w:rPr>
              <w:t>工程</w:t>
            </w:r>
          </w:p>
        </w:tc>
        <w:tc>
          <w:tcPr>
            <w:tcW w:w="2136" w:type="pct"/>
            <w:tcBorders>
              <w:top w:val="single" w:color="auto" w:sz="4" w:space="0"/>
              <w:left w:val="single" w:color="auto" w:sz="4" w:space="0"/>
              <w:bottom w:val="single" w:color="auto" w:sz="4" w:space="0"/>
              <w:right w:val="single" w:color="auto" w:sz="4" w:space="0"/>
            </w:tcBorders>
            <w:vAlign w:val="center"/>
          </w:tcPr>
          <w:p w14:paraId="5E5A8C7E">
            <w:pPr>
              <w:adjustRightInd w:val="0"/>
              <w:snapToGrid w:val="0"/>
              <w:jc w:val="center"/>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lang w:bidi="ar"/>
              </w:rPr>
              <w:t>条件</w:t>
            </w:r>
          </w:p>
        </w:tc>
        <w:tc>
          <w:tcPr>
            <w:tcW w:w="900" w:type="pct"/>
            <w:tcBorders>
              <w:top w:val="single" w:color="auto" w:sz="4" w:space="0"/>
              <w:left w:val="single" w:color="auto" w:sz="4" w:space="0"/>
              <w:bottom w:val="single" w:color="auto" w:sz="4" w:space="0"/>
              <w:right w:val="single" w:color="auto" w:sz="4" w:space="0"/>
            </w:tcBorders>
            <w:vAlign w:val="center"/>
          </w:tcPr>
          <w:p w14:paraId="52CCA6BF">
            <w:pPr>
              <w:adjustRightInd w:val="0"/>
              <w:snapToGrid w:val="0"/>
              <w:jc w:val="center"/>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lang w:bidi="ar"/>
              </w:rPr>
              <w:t>评价工作等级</w:t>
            </w:r>
          </w:p>
        </w:tc>
      </w:tr>
      <w:tr w14:paraId="75608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4" w:type="pct"/>
            <w:tcBorders>
              <w:top w:val="single" w:color="auto" w:sz="4" w:space="0"/>
              <w:left w:val="single" w:color="auto" w:sz="4" w:space="0"/>
              <w:right w:val="single" w:color="auto" w:sz="4" w:space="0"/>
            </w:tcBorders>
            <w:vAlign w:val="center"/>
          </w:tcPr>
          <w:p w14:paraId="17190E0F">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交流</w:t>
            </w:r>
          </w:p>
        </w:tc>
        <w:tc>
          <w:tcPr>
            <w:tcW w:w="856" w:type="pct"/>
            <w:tcBorders>
              <w:top w:val="single" w:color="auto" w:sz="4" w:space="0"/>
              <w:left w:val="single" w:color="auto" w:sz="4" w:space="0"/>
              <w:right w:val="single" w:color="auto" w:sz="4" w:space="0"/>
            </w:tcBorders>
            <w:vAlign w:val="center"/>
          </w:tcPr>
          <w:p w14:paraId="373D22A0">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val="en-US" w:eastAsia="zh-CN" w:bidi="ar"/>
              </w:rPr>
              <w:t>110</w:t>
            </w:r>
            <w:r>
              <w:rPr>
                <w:rFonts w:hint="default" w:ascii="Times New Roman" w:hAnsi="Times New Roman" w:eastAsia="宋体" w:cs="Times New Roman"/>
                <w:color w:val="auto"/>
                <w:kern w:val="0"/>
                <w:szCs w:val="21"/>
                <w:lang w:bidi="ar"/>
              </w:rPr>
              <w:t>kV</w:t>
            </w:r>
          </w:p>
        </w:tc>
        <w:tc>
          <w:tcPr>
            <w:tcW w:w="684" w:type="pct"/>
            <w:tcBorders>
              <w:top w:val="single" w:color="auto" w:sz="4" w:space="0"/>
              <w:left w:val="single" w:color="auto" w:sz="4" w:space="0"/>
              <w:bottom w:val="single" w:color="auto" w:sz="4" w:space="0"/>
              <w:right w:val="single" w:color="auto" w:sz="4" w:space="0"/>
            </w:tcBorders>
            <w:vAlign w:val="center"/>
          </w:tcPr>
          <w:p w14:paraId="3F663169">
            <w:pPr>
              <w:adjustRightInd w:val="0"/>
              <w:snapToGrid w:val="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bidi="ar"/>
              </w:rPr>
              <w:t>输电线路</w:t>
            </w:r>
          </w:p>
        </w:tc>
        <w:tc>
          <w:tcPr>
            <w:tcW w:w="2136" w:type="pct"/>
            <w:tcBorders>
              <w:top w:val="single" w:color="auto" w:sz="4" w:space="0"/>
              <w:left w:val="single" w:color="auto" w:sz="4" w:space="0"/>
              <w:right w:val="single" w:color="auto" w:sz="4" w:space="0"/>
            </w:tcBorders>
            <w:vAlign w:val="center"/>
          </w:tcPr>
          <w:p w14:paraId="4E826874">
            <w:pPr>
              <w:adjustRightInd w:val="0"/>
              <w:snapToGrid w:val="0"/>
              <w:jc w:val="left"/>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边导线地面投影外两侧各1</w:t>
            </w:r>
            <w:r>
              <w:rPr>
                <w:rFonts w:hint="default" w:ascii="Times New Roman" w:hAnsi="Times New Roman" w:eastAsia="宋体" w:cs="Times New Roman"/>
                <w:color w:val="auto"/>
                <w:kern w:val="0"/>
                <w:szCs w:val="21"/>
                <w:lang w:val="en-US" w:eastAsia="zh-CN"/>
              </w:rPr>
              <w:t>0</w:t>
            </w:r>
            <w:r>
              <w:rPr>
                <w:rFonts w:hint="default" w:ascii="Times New Roman" w:hAnsi="Times New Roman" w:eastAsia="宋体" w:cs="Times New Roman"/>
                <w:color w:val="auto"/>
                <w:kern w:val="0"/>
                <w:szCs w:val="21"/>
              </w:rPr>
              <w:t>m范围内没有电磁环境敏感目标的架空线</w:t>
            </w:r>
          </w:p>
        </w:tc>
        <w:tc>
          <w:tcPr>
            <w:tcW w:w="900" w:type="pct"/>
            <w:tcBorders>
              <w:top w:val="single" w:color="auto" w:sz="4" w:space="0"/>
              <w:left w:val="single" w:color="auto" w:sz="4" w:space="0"/>
              <w:bottom w:val="single" w:color="auto" w:sz="4" w:space="0"/>
              <w:right w:val="single" w:color="auto" w:sz="4" w:space="0"/>
            </w:tcBorders>
            <w:vAlign w:val="center"/>
          </w:tcPr>
          <w:p w14:paraId="7BEE05C6">
            <w:pPr>
              <w:adjustRightInd w:val="0"/>
              <w:snapToGrid w:val="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bidi="ar"/>
              </w:rPr>
              <w:t>三级</w:t>
            </w:r>
          </w:p>
        </w:tc>
      </w:tr>
    </w:tbl>
    <w:p w14:paraId="5A279105">
      <w:pPr>
        <w:keepNext w:val="0"/>
        <w:keepLines w:val="0"/>
        <w:pageBreakBefore w:val="0"/>
        <w:widowControl w:val="0"/>
        <w:kinsoku/>
        <w:wordWrap/>
        <w:overflowPunct w:val="0"/>
        <w:topLinePunct/>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本项目边导线地面投影外两侧1</w:t>
      </w:r>
      <w:r>
        <w:rPr>
          <w:rFonts w:hint="default" w:ascii="Times New Roman" w:hAnsi="Times New Roman" w:eastAsia="宋体" w:cs="Times New Roman"/>
          <w:color w:val="auto"/>
          <w:sz w:val="24"/>
          <w:szCs w:val="24"/>
          <w:lang w:val="en-US" w:eastAsia="zh-CN"/>
        </w:rPr>
        <w:t>0</w:t>
      </w:r>
      <w:r>
        <w:rPr>
          <w:rFonts w:hint="default" w:ascii="Times New Roman" w:hAnsi="Times New Roman" w:eastAsia="宋体" w:cs="Times New Roman"/>
          <w:color w:val="auto"/>
          <w:sz w:val="24"/>
          <w:szCs w:val="24"/>
        </w:rPr>
        <w:t>m范围内没有电磁环境敏感目标，因此确定本项目电磁环境影响评价工作等级为三级</w:t>
      </w:r>
    </w:p>
    <w:p w14:paraId="173563F5">
      <w:pPr>
        <w:widowControl/>
        <w:kinsoku w:val="0"/>
        <w:autoSpaceDE w:val="0"/>
        <w:autoSpaceDN w:val="0"/>
        <w:adjustRightInd w:val="0"/>
        <w:snapToGrid w:val="0"/>
        <w:spacing w:before="156" w:beforeLines="50" w:after="156" w:afterLines="50"/>
        <w:outlineLvl w:val="2"/>
        <w:rPr>
          <w:rFonts w:hint="default" w:ascii="Times New Roman" w:hAnsi="Times New Roman" w:eastAsia="宋体" w:cs="Times New Roman"/>
          <w:b/>
          <w:bCs/>
          <w:color w:val="auto"/>
          <w:spacing w:val="-1"/>
          <w:kern w:val="0"/>
          <w:sz w:val="24"/>
          <w:lang w:bidi="ar"/>
        </w:rPr>
      </w:pPr>
      <w:bookmarkStart w:id="91" w:name="_Toc29167"/>
      <w:r>
        <w:rPr>
          <w:rFonts w:hint="default" w:ascii="Times New Roman" w:hAnsi="Times New Roman" w:eastAsia="宋体" w:cs="Times New Roman"/>
          <w:b/>
          <w:bCs/>
          <w:color w:val="auto"/>
          <w:spacing w:val="-1"/>
          <w:kern w:val="0"/>
          <w:sz w:val="24"/>
          <w:lang w:bidi="ar"/>
        </w:rPr>
        <w:t>2.3.2评价方法</w:t>
      </w:r>
      <w:bookmarkEnd w:id="91"/>
    </w:p>
    <w:p w14:paraId="55760BAF">
      <w:pPr>
        <w:keepNext w:val="0"/>
        <w:keepLines w:val="0"/>
        <w:pageBreakBefore w:val="0"/>
        <w:widowControl w:val="0"/>
        <w:kinsoku/>
        <w:wordWrap/>
        <w:overflowPunct w:val="0"/>
        <w:topLinePunct/>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对于输电线路，重点调查评价范围内主要电磁环境敏感目标和典型线位的电磁环境现状，可利用评价范围内已有的最近3年内的电磁环境现状监测资料；若无现状监测资料时应进行实测，并对电磁环境现状进行评价。电磁环境影响预测一般采用模式预测的方式。输电线路为地下电缆时，可采用定性分析的方式。</w:t>
      </w:r>
    </w:p>
    <w:p w14:paraId="56260B6F">
      <w:pPr>
        <w:keepNext w:val="0"/>
        <w:keepLines w:val="0"/>
        <w:pageBreakBefore w:val="0"/>
        <w:widowControl w:val="0"/>
        <w:kinsoku/>
        <w:wordWrap/>
        <w:overflowPunct w:val="0"/>
        <w:topLinePunct/>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本次环评对</w:t>
      </w:r>
      <w:r>
        <w:rPr>
          <w:rFonts w:hint="default" w:ascii="Times New Roman" w:hAnsi="Times New Roman" w:eastAsia="宋体" w:cs="Times New Roman"/>
          <w:color w:val="auto"/>
          <w:sz w:val="24"/>
          <w:szCs w:val="24"/>
          <w:lang w:val="en-US" w:eastAsia="zh-CN"/>
        </w:rPr>
        <w:t>110</w:t>
      </w:r>
      <w:r>
        <w:rPr>
          <w:rFonts w:hint="default" w:ascii="Times New Roman" w:hAnsi="Times New Roman" w:eastAsia="宋体" w:cs="Times New Roman"/>
          <w:color w:val="auto"/>
          <w:sz w:val="24"/>
          <w:szCs w:val="24"/>
        </w:rPr>
        <w:t>kV输电线路电磁环境现状采用现状实测数据进行评价；运营期输电线路电磁环境影响预测采用《环境影响评价技术导则·输变电》</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HJ24-2020</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附录C、D推荐的计算模式对输电线路的工频电场、磁场进行模式计算预测的方式，并根据评价标准进行评价。</w:t>
      </w:r>
    </w:p>
    <w:p w14:paraId="0C918F3F">
      <w:pPr>
        <w:widowControl/>
        <w:kinsoku w:val="0"/>
        <w:autoSpaceDE w:val="0"/>
        <w:autoSpaceDN w:val="0"/>
        <w:adjustRightInd w:val="0"/>
        <w:snapToGrid w:val="0"/>
        <w:spacing w:before="156" w:beforeLines="50" w:after="156" w:afterLines="50"/>
        <w:outlineLvl w:val="1"/>
        <w:rPr>
          <w:rFonts w:hint="default" w:ascii="Times New Roman" w:hAnsi="Times New Roman" w:eastAsia="宋体" w:cs="Times New Roman"/>
          <w:color w:val="auto"/>
          <w:sz w:val="28"/>
          <w:szCs w:val="28"/>
        </w:rPr>
      </w:pPr>
      <w:bookmarkStart w:id="92" w:name="_Toc21628"/>
      <w:bookmarkStart w:id="93" w:name="_Toc14220"/>
      <w:bookmarkStart w:id="94" w:name="_Toc6147"/>
      <w:r>
        <w:rPr>
          <w:rFonts w:hint="default" w:ascii="Times New Roman" w:hAnsi="Times New Roman" w:eastAsia="宋体" w:cs="Times New Roman"/>
          <w:b/>
          <w:bCs/>
          <w:color w:val="auto"/>
          <w:spacing w:val="-2"/>
          <w:kern w:val="0"/>
          <w:sz w:val="28"/>
          <w:szCs w:val="28"/>
          <w:lang w:bidi="ar"/>
        </w:rPr>
        <w:t>2.4评价范围</w:t>
      </w:r>
      <w:bookmarkEnd w:id="92"/>
      <w:bookmarkEnd w:id="93"/>
      <w:bookmarkEnd w:id="94"/>
    </w:p>
    <w:p w14:paraId="47312945">
      <w:pPr>
        <w:keepNext w:val="0"/>
        <w:keepLines w:val="0"/>
        <w:pageBreakBefore w:val="0"/>
        <w:widowControl w:val="0"/>
        <w:kinsoku/>
        <w:wordWrap/>
        <w:overflowPunct w:val="0"/>
        <w:topLinePunct/>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本项目电磁环境影响评价范围见表2-4。</w:t>
      </w:r>
    </w:p>
    <w:p w14:paraId="44091D8C">
      <w:pPr>
        <w:widowControl/>
        <w:kinsoku w:val="0"/>
        <w:autoSpaceDE w:val="0"/>
        <w:autoSpaceDN w:val="0"/>
        <w:adjustRightInd w:val="0"/>
        <w:snapToGrid w:val="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pacing w:val="-3"/>
          <w:kern w:val="0"/>
          <w:sz w:val="24"/>
          <w:lang w:bidi="ar"/>
        </w:rPr>
        <w:t>表2-4 电磁环境影响评价范围</w:t>
      </w:r>
    </w:p>
    <w:tbl>
      <w:tblPr>
        <w:tblStyle w:val="91"/>
        <w:tblW w:w="845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55"/>
        <w:gridCol w:w="1978"/>
        <w:gridCol w:w="5126"/>
      </w:tblGrid>
      <w:tr w14:paraId="68A55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355" w:type="dxa"/>
            <w:tcBorders>
              <w:top w:val="single" w:color="000000" w:sz="2" w:space="0"/>
              <w:left w:val="single" w:color="000000" w:sz="2" w:space="0"/>
              <w:bottom w:val="single" w:color="000000" w:sz="2" w:space="0"/>
              <w:right w:val="single" w:color="000000" w:sz="2" w:space="0"/>
            </w:tcBorders>
            <w:vAlign w:val="center"/>
          </w:tcPr>
          <w:p w14:paraId="2CBF69C3">
            <w:pPr>
              <w:widowControl/>
              <w:kinsoku w:val="0"/>
              <w:autoSpaceDE w:val="0"/>
              <w:autoSpaceDN w:val="0"/>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pacing w:val="-3"/>
                <w:kern w:val="0"/>
                <w:szCs w:val="21"/>
                <w:lang w:bidi="ar"/>
              </w:rPr>
              <w:t>分类</w:t>
            </w:r>
          </w:p>
        </w:tc>
        <w:tc>
          <w:tcPr>
            <w:tcW w:w="1978" w:type="dxa"/>
            <w:tcBorders>
              <w:top w:val="single" w:color="000000" w:sz="2" w:space="0"/>
              <w:left w:val="single" w:color="000000" w:sz="2" w:space="0"/>
              <w:bottom w:val="single" w:color="000000" w:sz="2" w:space="0"/>
              <w:right w:val="single" w:color="000000" w:sz="2" w:space="0"/>
            </w:tcBorders>
            <w:vAlign w:val="center"/>
          </w:tcPr>
          <w:p w14:paraId="464938E1">
            <w:pPr>
              <w:widowControl/>
              <w:kinsoku w:val="0"/>
              <w:autoSpaceDE w:val="0"/>
              <w:autoSpaceDN w:val="0"/>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pacing w:val="-3"/>
                <w:kern w:val="0"/>
                <w:szCs w:val="21"/>
                <w:lang w:bidi="ar"/>
              </w:rPr>
              <w:t>项目</w:t>
            </w:r>
          </w:p>
        </w:tc>
        <w:tc>
          <w:tcPr>
            <w:tcW w:w="5126" w:type="dxa"/>
            <w:tcBorders>
              <w:top w:val="single" w:color="000000" w:sz="2" w:space="0"/>
              <w:left w:val="single" w:color="000000" w:sz="2" w:space="0"/>
              <w:bottom w:val="single" w:color="000000" w:sz="2" w:space="0"/>
              <w:right w:val="single" w:color="000000" w:sz="2" w:space="0"/>
            </w:tcBorders>
            <w:vAlign w:val="center"/>
          </w:tcPr>
          <w:p w14:paraId="0217DDD1">
            <w:pPr>
              <w:widowControl/>
              <w:kinsoku w:val="0"/>
              <w:autoSpaceDE w:val="0"/>
              <w:autoSpaceDN w:val="0"/>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pacing w:val="-2"/>
                <w:kern w:val="0"/>
                <w:szCs w:val="21"/>
                <w:lang w:bidi="ar"/>
              </w:rPr>
              <w:t>评价范围</w:t>
            </w:r>
          </w:p>
        </w:tc>
      </w:tr>
      <w:tr w14:paraId="0B59D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355" w:type="dxa"/>
            <w:tcBorders>
              <w:top w:val="single" w:color="000000" w:sz="2" w:space="0"/>
              <w:left w:val="single" w:color="000000" w:sz="2" w:space="0"/>
              <w:bottom w:val="single" w:color="000000" w:sz="2" w:space="0"/>
              <w:right w:val="single" w:color="000000" w:sz="2" w:space="0"/>
            </w:tcBorders>
            <w:vAlign w:val="center"/>
          </w:tcPr>
          <w:p w14:paraId="2A4A453F">
            <w:pPr>
              <w:widowControl/>
              <w:kinsoku w:val="0"/>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pacing w:val="-4"/>
                <w:kern w:val="0"/>
                <w:szCs w:val="21"/>
                <w:lang w:bidi="ar"/>
              </w:rPr>
              <w:t>交流</w:t>
            </w:r>
          </w:p>
        </w:tc>
        <w:tc>
          <w:tcPr>
            <w:tcW w:w="1978" w:type="dxa"/>
            <w:tcBorders>
              <w:top w:val="single" w:color="000000" w:sz="2" w:space="0"/>
              <w:left w:val="single" w:color="000000" w:sz="2" w:space="0"/>
              <w:right w:val="single" w:color="000000" w:sz="2" w:space="0"/>
            </w:tcBorders>
            <w:vAlign w:val="center"/>
          </w:tcPr>
          <w:p w14:paraId="7E4F52A8">
            <w:pPr>
              <w:widowControl/>
              <w:kinsoku w:val="0"/>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pacing w:val="-5"/>
                <w:kern w:val="0"/>
                <w:szCs w:val="21"/>
                <w:lang w:val="en-US" w:eastAsia="zh-CN" w:bidi="ar"/>
              </w:rPr>
              <w:t>11</w:t>
            </w:r>
            <w:r>
              <w:rPr>
                <w:rFonts w:hint="default" w:ascii="Times New Roman" w:hAnsi="Times New Roman" w:eastAsia="宋体" w:cs="Times New Roman"/>
                <w:color w:val="auto"/>
                <w:spacing w:val="-5"/>
                <w:kern w:val="0"/>
                <w:szCs w:val="21"/>
                <w:lang w:bidi="ar"/>
              </w:rPr>
              <w:t>0kV输电线路</w:t>
            </w:r>
          </w:p>
        </w:tc>
        <w:tc>
          <w:tcPr>
            <w:tcW w:w="5126" w:type="dxa"/>
            <w:tcBorders>
              <w:top w:val="single" w:color="000000" w:sz="2" w:space="0"/>
              <w:left w:val="single" w:color="000000" w:sz="2" w:space="0"/>
              <w:bottom w:val="single" w:color="000000" w:sz="2" w:space="0"/>
              <w:right w:val="single" w:color="000000" w:sz="2" w:space="0"/>
            </w:tcBorders>
            <w:vAlign w:val="center"/>
          </w:tcPr>
          <w:p w14:paraId="4422EFE4">
            <w:pPr>
              <w:widowControl/>
              <w:kinsoku w:val="0"/>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pacing w:val="-1"/>
                <w:kern w:val="0"/>
                <w:szCs w:val="21"/>
                <w:lang w:bidi="ar"/>
              </w:rPr>
              <w:t>边导线地面投影外两侧各</w:t>
            </w:r>
            <w:r>
              <w:rPr>
                <w:rFonts w:hint="default" w:ascii="Times New Roman" w:hAnsi="Times New Roman" w:eastAsia="宋体" w:cs="Times New Roman"/>
                <w:color w:val="auto"/>
                <w:spacing w:val="-1"/>
                <w:kern w:val="0"/>
                <w:szCs w:val="21"/>
                <w:lang w:val="en-US" w:eastAsia="zh-CN" w:bidi="ar"/>
              </w:rPr>
              <w:t>3</w:t>
            </w:r>
            <w:r>
              <w:rPr>
                <w:rFonts w:hint="default" w:ascii="Times New Roman" w:hAnsi="Times New Roman" w:eastAsia="宋体" w:cs="Times New Roman"/>
                <w:color w:val="auto"/>
                <w:spacing w:val="-1"/>
                <w:kern w:val="0"/>
                <w:szCs w:val="21"/>
                <w:lang w:bidi="ar"/>
              </w:rPr>
              <w:t>0m</w:t>
            </w:r>
          </w:p>
        </w:tc>
      </w:tr>
    </w:tbl>
    <w:p w14:paraId="10A24D92">
      <w:pPr>
        <w:widowControl/>
        <w:kinsoku w:val="0"/>
        <w:autoSpaceDE w:val="0"/>
        <w:autoSpaceDN w:val="0"/>
        <w:adjustRightInd w:val="0"/>
        <w:snapToGrid w:val="0"/>
        <w:spacing w:line="58" w:lineRule="exact"/>
        <w:jc w:val="left"/>
        <w:rPr>
          <w:rFonts w:hint="default" w:ascii="Times New Roman" w:hAnsi="Times New Roman" w:eastAsia="宋体" w:cs="Times New Roman"/>
          <w:color w:val="auto"/>
        </w:rPr>
      </w:pPr>
    </w:p>
    <w:p w14:paraId="3D86A5CB">
      <w:pPr>
        <w:widowControl/>
        <w:kinsoku w:val="0"/>
        <w:autoSpaceDE w:val="0"/>
        <w:autoSpaceDN w:val="0"/>
        <w:adjustRightInd w:val="0"/>
        <w:snapToGrid w:val="0"/>
        <w:spacing w:before="156" w:beforeLines="50" w:after="156" w:afterLines="50"/>
        <w:outlineLvl w:val="1"/>
        <w:rPr>
          <w:rFonts w:hint="default" w:ascii="Times New Roman" w:hAnsi="Times New Roman" w:eastAsia="宋体" w:cs="Times New Roman"/>
          <w:b/>
          <w:bCs/>
          <w:color w:val="auto"/>
          <w:sz w:val="28"/>
          <w:szCs w:val="28"/>
        </w:rPr>
      </w:pPr>
      <w:bookmarkStart w:id="95" w:name="_Toc13176"/>
      <w:bookmarkStart w:id="96" w:name="_Toc17642"/>
      <w:bookmarkStart w:id="97" w:name="_Toc14523"/>
      <w:r>
        <w:rPr>
          <w:rFonts w:hint="default" w:ascii="Times New Roman" w:hAnsi="Times New Roman" w:eastAsia="宋体" w:cs="Times New Roman"/>
          <w:b/>
          <w:bCs/>
          <w:color w:val="auto"/>
          <w:spacing w:val="-1"/>
          <w:kern w:val="0"/>
          <w:sz w:val="28"/>
          <w:szCs w:val="28"/>
          <w:lang w:bidi="ar"/>
        </w:rPr>
        <w:t>2.5环境敏感目标</w:t>
      </w:r>
      <w:bookmarkEnd w:id="95"/>
      <w:bookmarkEnd w:id="96"/>
      <w:bookmarkEnd w:id="97"/>
    </w:p>
    <w:p w14:paraId="1968E2A9">
      <w:pPr>
        <w:keepNext w:val="0"/>
        <w:keepLines w:val="0"/>
        <w:pageBreakBefore w:val="0"/>
        <w:widowControl w:val="0"/>
        <w:kinsoku/>
        <w:wordWrap/>
        <w:overflowPunct w:val="0"/>
        <w:topLinePunct/>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电磁环境敏感目标主要是输电线路电磁环境影响评价内的住宅、学校、医院、办公楼等有公众居住、工作或学习的建筑物。</w:t>
      </w:r>
      <w:bookmarkStart w:id="98" w:name="_Toc23073"/>
      <w:bookmarkStart w:id="99" w:name="_Toc21960"/>
      <w:r>
        <w:rPr>
          <w:rFonts w:hint="default" w:ascii="Times New Roman" w:hAnsi="Times New Roman" w:eastAsia="宋体" w:cs="Times New Roman"/>
          <w:color w:val="auto"/>
          <w:sz w:val="24"/>
          <w:szCs w:val="24"/>
        </w:rPr>
        <w:t>经现场勘查，本项目输电线路电磁环境敏感目标概况详见表2-5。</w:t>
      </w:r>
    </w:p>
    <w:p w14:paraId="500C0AEF">
      <w:pPr>
        <w:widowControl/>
        <w:shd w:val="clear" w:color="auto" w:fill="FFFFFF"/>
        <w:kinsoku w:val="0"/>
        <w:autoSpaceDE w:val="0"/>
        <w:autoSpaceDN w:val="0"/>
        <w:adjustRightInd w:val="0"/>
        <w:snapToGrid w:val="0"/>
        <w:jc w:val="center"/>
        <w:rPr>
          <w:rFonts w:hint="default" w:ascii="Times New Roman" w:hAnsi="Times New Roman" w:eastAsia="宋体" w:cs="Times New Roman"/>
          <w:b/>
          <w:bCs/>
          <w:color w:val="auto"/>
          <w:spacing w:val="-2"/>
          <w:kern w:val="0"/>
          <w:sz w:val="24"/>
          <w:shd w:val="clear" w:color="auto" w:fill="FFFFFF"/>
          <w:lang w:bidi="ar"/>
        </w:rPr>
        <w:sectPr>
          <w:footerReference r:id="rId10"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p>
    <w:p w14:paraId="06374DB5">
      <w:pPr>
        <w:widowControl/>
        <w:shd w:val="clear" w:color="auto" w:fill="FFFFFF"/>
        <w:kinsoku w:val="0"/>
        <w:autoSpaceDE w:val="0"/>
        <w:autoSpaceDN w:val="0"/>
        <w:adjustRightInd w:val="0"/>
        <w:snapToGrid w:val="0"/>
        <w:jc w:val="center"/>
        <w:rPr>
          <w:rFonts w:hint="default" w:ascii="Times New Roman" w:hAnsi="Times New Roman" w:eastAsia="宋体" w:cs="Times New Roman"/>
          <w:b/>
          <w:bCs/>
          <w:color w:val="auto"/>
          <w:spacing w:val="-2"/>
          <w:kern w:val="0"/>
          <w:sz w:val="24"/>
          <w:shd w:val="clear" w:color="auto" w:fill="FFFFFF"/>
          <w:lang w:bidi="ar"/>
        </w:rPr>
      </w:pPr>
      <w:r>
        <w:rPr>
          <w:rFonts w:hint="default" w:ascii="Times New Roman" w:hAnsi="Times New Roman" w:eastAsia="宋体" w:cs="Times New Roman"/>
          <w:b/>
          <w:bCs/>
          <w:color w:val="auto"/>
          <w:spacing w:val="-2"/>
          <w:kern w:val="0"/>
          <w:sz w:val="24"/>
          <w:shd w:val="clear" w:color="auto" w:fill="FFFFFF"/>
          <w:lang w:bidi="ar"/>
        </w:rPr>
        <w:t xml:space="preserve">表2-5 </w:t>
      </w:r>
      <w:r>
        <w:rPr>
          <w:rFonts w:hint="default" w:ascii="Times New Roman" w:hAnsi="Times New Roman" w:eastAsia="宋体" w:cs="Times New Roman"/>
          <w:b/>
          <w:bCs/>
          <w:color w:val="auto"/>
          <w:spacing w:val="-2"/>
          <w:kern w:val="0"/>
          <w:sz w:val="24"/>
          <w:shd w:val="clear" w:color="auto" w:fill="FFFFFF"/>
          <w:lang w:val="en-US" w:eastAsia="zh-CN" w:bidi="ar"/>
        </w:rPr>
        <w:t xml:space="preserve"> </w:t>
      </w:r>
      <w:r>
        <w:rPr>
          <w:rFonts w:hint="default" w:ascii="Times New Roman" w:hAnsi="Times New Roman" w:eastAsia="宋体" w:cs="Times New Roman"/>
          <w:b/>
          <w:bCs/>
          <w:color w:val="auto"/>
          <w:spacing w:val="-2"/>
          <w:kern w:val="0"/>
          <w:sz w:val="24"/>
          <w:shd w:val="clear" w:color="auto" w:fill="FFFFFF"/>
          <w:lang w:bidi="ar"/>
        </w:rPr>
        <w:t>输电线路电磁环境敏感目标一览表</w:t>
      </w:r>
    </w:p>
    <w:tbl>
      <w:tblPr>
        <w:tblStyle w:val="30"/>
        <w:tblW w:w="47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2"/>
        <w:gridCol w:w="402"/>
        <w:gridCol w:w="786"/>
        <w:gridCol w:w="735"/>
        <w:gridCol w:w="2222"/>
        <w:gridCol w:w="1583"/>
        <w:gridCol w:w="857"/>
        <w:gridCol w:w="868"/>
        <w:gridCol w:w="688"/>
        <w:gridCol w:w="470"/>
        <w:gridCol w:w="1512"/>
        <w:gridCol w:w="3073"/>
      </w:tblGrid>
      <w:tr w14:paraId="1CDC19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7" w:type="pct"/>
            <w:noWrap/>
            <w:vAlign w:val="center"/>
          </w:tcPr>
          <w:p w14:paraId="2DC1D74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Cs w:val="21"/>
                <w:lang w:val="en-US" w:eastAsia="zh-CN"/>
              </w:rPr>
            </w:pPr>
            <w:r>
              <w:rPr>
                <w:rFonts w:hint="default" w:ascii="Times New Roman" w:hAnsi="Times New Roman" w:eastAsia="宋体" w:cs="Times New Roman"/>
                <w:b/>
                <w:bCs/>
                <w:color w:val="auto"/>
                <w:kern w:val="0"/>
                <w:szCs w:val="21"/>
                <w:lang w:val="en-US" w:eastAsia="zh-CN"/>
              </w:rPr>
              <w:t>序号</w:t>
            </w:r>
          </w:p>
        </w:tc>
        <w:tc>
          <w:tcPr>
            <w:tcW w:w="147" w:type="pct"/>
            <w:noWrap/>
            <w:vAlign w:val="center"/>
          </w:tcPr>
          <w:p w14:paraId="60E12F1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类别</w:t>
            </w:r>
          </w:p>
        </w:tc>
        <w:tc>
          <w:tcPr>
            <w:tcW w:w="288" w:type="pct"/>
            <w:noWrap/>
            <w:vAlign w:val="center"/>
          </w:tcPr>
          <w:p w14:paraId="75F3CC8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区域</w:t>
            </w:r>
          </w:p>
        </w:tc>
        <w:tc>
          <w:tcPr>
            <w:tcW w:w="270" w:type="pct"/>
            <w:noWrap/>
            <w:vAlign w:val="center"/>
          </w:tcPr>
          <w:p w14:paraId="2DFA6D6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名称</w:t>
            </w:r>
          </w:p>
        </w:tc>
        <w:tc>
          <w:tcPr>
            <w:tcW w:w="816" w:type="pct"/>
            <w:noWrap/>
            <w:vAlign w:val="center"/>
          </w:tcPr>
          <w:p w14:paraId="17681C9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Cs w:val="21"/>
                <w:lang w:val="en-US" w:eastAsia="zh-CN"/>
              </w:rPr>
            </w:pPr>
            <w:r>
              <w:rPr>
                <w:rFonts w:hint="default" w:ascii="Times New Roman" w:hAnsi="Times New Roman" w:eastAsia="宋体" w:cs="Times New Roman"/>
                <w:b/>
                <w:bCs/>
                <w:color w:val="auto"/>
                <w:kern w:val="0"/>
                <w:szCs w:val="21"/>
              </w:rPr>
              <w:t>最近</w:t>
            </w:r>
            <w:r>
              <w:rPr>
                <w:rFonts w:hint="default" w:ascii="Times New Roman" w:hAnsi="Times New Roman" w:eastAsia="宋体" w:cs="Times New Roman"/>
                <w:b/>
                <w:bCs/>
                <w:color w:val="auto"/>
                <w:kern w:val="0"/>
                <w:szCs w:val="21"/>
                <w:lang w:val="en-US" w:eastAsia="zh-CN"/>
              </w:rPr>
              <w:t>保护</w:t>
            </w:r>
            <w:r>
              <w:rPr>
                <w:rFonts w:hint="default" w:ascii="Times New Roman" w:hAnsi="Times New Roman" w:eastAsia="宋体" w:cs="Times New Roman"/>
                <w:b/>
                <w:bCs/>
                <w:color w:val="auto"/>
                <w:kern w:val="0"/>
                <w:szCs w:val="21"/>
              </w:rPr>
              <w:t>目标相对方位</w:t>
            </w:r>
            <w:r>
              <w:rPr>
                <w:rFonts w:hint="default" w:ascii="Times New Roman" w:hAnsi="Times New Roman" w:eastAsia="宋体" w:cs="Times New Roman"/>
                <w:b/>
                <w:bCs/>
                <w:color w:val="auto"/>
                <w:kern w:val="0"/>
                <w:szCs w:val="21"/>
                <w:lang w:val="en-US" w:eastAsia="zh-CN"/>
              </w:rPr>
              <w:t>及距离（</w:t>
            </w:r>
            <w:r>
              <w:rPr>
                <w:rFonts w:hint="default" w:ascii="Times New Roman" w:hAnsi="Times New Roman" w:eastAsia="宋体" w:cs="Times New Roman"/>
                <w:b/>
                <w:bCs/>
                <w:color w:val="auto"/>
                <w:kern w:val="0"/>
                <w:szCs w:val="21"/>
              </w:rPr>
              <w:t>m</w:t>
            </w:r>
            <w:r>
              <w:rPr>
                <w:rFonts w:hint="default" w:ascii="Times New Roman" w:hAnsi="Times New Roman" w:eastAsia="宋体" w:cs="Times New Roman"/>
                <w:b/>
                <w:bCs/>
                <w:color w:val="auto"/>
                <w:kern w:val="0"/>
                <w:szCs w:val="21"/>
                <w:lang w:eastAsia="zh-CN"/>
              </w:rPr>
              <w:t>）</w:t>
            </w:r>
          </w:p>
        </w:tc>
        <w:tc>
          <w:tcPr>
            <w:tcW w:w="582" w:type="pct"/>
            <w:noWrap/>
            <w:vAlign w:val="center"/>
          </w:tcPr>
          <w:p w14:paraId="396CDD3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Cs w:val="21"/>
                <w:lang w:val="en-US" w:eastAsia="zh-CN"/>
              </w:rPr>
            </w:pPr>
            <w:r>
              <w:rPr>
                <w:rFonts w:hint="default" w:ascii="Times New Roman" w:hAnsi="Times New Roman" w:eastAsia="宋体" w:cs="Times New Roman"/>
                <w:b/>
                <w:bCs/>
                <w:color w:val="auto"/>
                <w:kern w:val="0"/>
                <w:szCs w:val="21"/>
                <w:highlight w:val="none"/>
                <w:lang w:val="en-US" w:eastAsia="zh-CN"/>
              </w:rPr>
              <w:t>保护目标处导线对地高度（m）</w:t>
            </w:r>
          </w:p>
        </w:tc>
        <w:tc>
          <w:tcPr>
            <w:tcW w:w="315" w:type="pct"/>
            <w:noWrap/>
            <w:vAlign w:val="center"/>
          </w:tcPr>
          <w:p w14:paraId="736E0C2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房屋层数及结构</w:t>
            </w:r>
          </w:p>
        </w:tc>
        <w:tc>
          <w:tcPr>
            <w:tcW w:w="319" w:type="pct"/>
            <w:noWrap/>
            <w:vAlign w:val="center"/>
          </w:tcPr>
          <w:p w14:paraId="5D0C45D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房屋高度</w:t>
            </w:r>
            <w:r>
              <w:rPr>
                <w:rFonts w:hint="default" w:ascii="Times New Roman" w:hAnsi="Times New Roman" w:eastAsia="宋体" w:cs="Times New Roman"/>
                <w:b/>
                <w:bCs/>
                <w:color w:val="auto"/>
                <w:kern w:val="0"/>
                <w:szCs w:val="21"/>
                <w:lang w:eastAsia="zh-CN"/>
              </w:rPr>
              <w:t>（</w:t>
            </w:r>
            <w:r>
              <w:rPr>
                <w:rFonts w:hint="default" w:ascii="Times New Roman" w:hAnsi="Times New Roman" w:eastAsia="宋体" w:cs="Times New Roman"/>
                <w:b/>
                <w:bCs/>
                <w:color w:val="auto"/>
                <w:kern w:val="0"/>
                <w:szCs w:val="21"/>
              </w:rPr>
              <w:t>m</w:t>
            </w:r>
            <w:r>
              <w:rPr>
                <w:rFonts w:hint="default" w:ascii="Times New Roman" w:hAnsi="Times New Roman" w:eastAsia="宋体" w:cs="Times New Roman"/>
                <w:b/>
                <w:bCs/>
                <w:color w:val="auto"/>
                <w:kern w:val="0"/>
                <w:szCs w:val="21"/>
                <w:lang w:eastAsia="zh-CN"/>
              </w:rPr>
              <w:t>）</w:t>
            </w:r>
          </w:p>
        </w:tc>
        <w:tc>
          <w:tcPr>
            <w:tcW w:w="253" w:type="pct"/>
            <w:noWrap/>
            <w:vAlign w:val="center"/>
          </w:tcPr>
          <w:p w14:paraId="3EDEFED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影响规模</w:t>
            </w:r>
          </w:p>
        </w:tc>
        <w:tc>
          <w:tcPr>
            <w:tcW w:w="172" w:type="pct"/>
            <w:noWrap/>
            <w:vAlign w:val="center"/>
          </w:tcPr>
          <w:p w14:paraId="14A2ABC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功能</w:t>
            </w:r>
          </w:p>
        </w:tc>
        <w:tc>
          <w:tcPr>
            <w:tcW w:w="555" w:type="pct"/>
            <w:noWrap/>
            <w:vAlign w:val="center"/>
          </w:tcPr>
          <w:p w14:paraId="5763063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保护级别</w:t>
            </w:r>
          </w:p>
        </w:tc>
        <w:tc>
          <w:tcPr>
            <w:tcW w:w="1129" w:type="pct"/>
            <w:noWrap/>
            <w:vAlign w:val="center"/>
          </w:tcPr>
          <w:p w14:paraId="0F5A7BA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Cs w:val="21"/>
                <w:lang w:val="en-US" w:eastAsia="zh-CN"/>
              </w:rPr>
            </w:pPr>
            <w:r>
              <w:rPr>
                <w:rFonts w:hint="default" w:ascii="Times New Roman" w:hAnsi="Times New Roman" w:eastAsia="宋体" w:cs="Times New Roman"/>
                <w:b/>
                <w:bCs/>
                <w:color w:val="auto"/>
                <w:kern w:val="0"/>
                <w:szCs w:val="21"/>
                <w:lang w:val="en-US" w:eastAsia="zh-CN"/>
              </w:rPr>
              <w:t>照片</w:t>
            </w:r>
          </w:p>
        </w:tc>
      </w:tr>
      <w:tr w14:paraId="07C969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12"/>
            <w:noWrap/>
            <w:vAlign w:val="center"/>
          </w:tcPr>
          <w:p w14:paraId="1D931BE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架空线路</w:t>
            </w:r>
          </w:p>
        </w:tc>
      </w:tr>
      <w:tr w14:paraId="7C999D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7" w:type="pct"/>
            <w:noWrap/>
            <w:vAlign w:val="center"/>
          </w:tcPr>
          <w:p w14:paraId="092C7C2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1</w:t>
            </w:r>
          </w:p>
        </w:tc>
        <w:tc>
          <w:tcPr>
            <w:tcW w:w="147" w:type="pct"/>
            <w:vMerge w:val="restart"/>
            <w:noWrap/>
            <w:vAlign w:val="center"/>
          </w:tcPr>
          <w:p w14:paraId="3204489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rPr>
              <w:t>电磁</w:t>
            </w:r>
            <w:r>
              <w:rPr>
                <w:rFonts w:hint="default" w:ascii="Times New Roman" w:hAnsi="Times New Roman" w:eastAsia="宋体" w:cs="Times New Roman"/>
                <w:color w:val="auto"/>
                <w:kern w:val="0"/>
                <w:szCs w:val="21"/>
                <w:lang w:val="en-US" w:eastAsia="zh-CN"/>
              </w:rPr>
              <w:t>环境</w:t>
            </w:r>
          </w:p>
        </w:tc>
        <w:tc>
          <w:tcPr>
            <w:tcW w:w="288" w:type="pct"/>
            <w:noWrap/>
            <w:vAlign w:val="center"/>
          </w:tcPr>
          <w:p w14:paraId="2F60355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eastAsia="zh-CN"/>
              </w:rPr>
              <w:t>会泽县</w:t>
            </w:r>
            <w:r>
              <w:rPr>
                <w:rFonts w:hint="default" w:ascii="Times New Roman" w:hAnsi="Times New Roman" w:eastAsia="宋体" w:cs="Times New Roman"/>
                <w:color w:val="auto"/>
                <w:kern w:val="0"/>
                <w:szCs w:val="21"/>
                <w:lang w:val="en-US" w:eastAsia="zh-CN"/>
              </w:rPr>
              <w:t>乐业镇</w:t>
            </w:r>
          </w:p>
        </w:tc>
        <w:tc>
          <w:tcPr>
            <w:tcW w:w="270" w:type="pct"/>
            <w:shd w:val="clear" w:color="auto" w:fill="auto"/>
            <w:noWrap/>
            <w:vAlign w:val="center"/>
          </w:tcPr>
          <w:p w14:paraId="63E1DE47">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pacing w:val="-3"/>
                <w:kern w:val="2"/>
                <w:sz w:val="21"/>
                <w:szCs w:val="21"/>
                <w:lang w:val="en-US" w:eastAsia="zh-CN" w:bidi="ar-SA"/>
              </w:rPr>
            </w:pPr>
            <w:r>
              <w:rPr>
                <w:rFonts w:hint="default" w:ascii="Times New Roman" w:hAnsi="Times New Roman" w:eastAsia="宋体" w:cs="Times New Roman"/>
                <w:bCs/>
                <w:color w:val="auto"/>
                <w:kern w:val="0"/>
                <w:szCs w:val="21"/>
                <w:lang w:val="en-US" w:eastAsia="zh-CN"/>
              </w:rPr>
              <w:t>红地丫口散户</w:t>
            </w:r>
          </w:p>
        </w:tc>
        <w:tc>
          <w:tcPr>
            <w:tcW w:w="816" w:type="pct"/>
            <w:noWrap/>
            <w:vAlign w:val="center"/>
          </w:tcPr>
          <w:p w14:paraId="44F461D1">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0"/>
                <w:szCs w:val="21"/>
                <w:highlight w:val="none"/>
                <w:lang w:eastAsia="zh-CN"/>
              </w:rPr>
            </w:pPr>
            <w:r>
              <w:rPr>
                <w:rFonts w:hint="default" w:ascii="Times New Roman" w:hAnsi="Times New Roman" w:eastAsia="宋体" w:cs="Times New Roman"/>
                <w:bCs/>
                <w:color w:val="auto"/>
                <w:kern w:val="0"/>
                <w:szCs w:val="21"/>
                <w:lang w:val="en-US" w:eastAsia="zh-CN"/>
              </w:rPr>
              <w:t>线路塔基N22-N23之间</w:t>
            </w:r>
            <w:r>
              <w:rPr>
                <w:rFonts w:hint="eastAsia" w:ascii="Times New Roman" w:hAnsi="Times New Roman" w:eastAsia="宋体" w:cs="Times New Roman"/>
                <w:bCs/>
                <w:color w:val="auto"/>
                <w:kern w:val="0"/>
                <w:szCs w:val="21"/>
                <w:lang w:val="en-US" w:eastAsia="zh-CN"/>
              </w:rPr>
              <w:t>右侧</w:t>
            </w:r>
            <w:r>
              <w:rPr>
                <w:rFonts w:hint="default" w:ascii="Times New Roman" w:hAnsi="Times New Roman" w:eastAsia="宋体" w:cs="Times New Roman"/>
                <w:bCs/>
                <w:color w:val="auto"/>
                <w:kern w:val="0"/>
                <w:szCs w:val="21"/>
                <w:lang w:val="en-US" w:eastAsia="zh-CN"/>
              </w:rPr>
              <w:t>23m</w:t>
            </w:r>
          </w:p>
        </w:tc>
        <w:tc>
          <w:tcPr>
            <w:tcW w:w="582" w:type="pct"/>
            <w:noWrap/>
            <w:vAlign w:val="center"/>
          </w:tcPr>
          <w:p w14:paraId="0B71D4F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eastAsia="宋体" w:cs="Times New Roman"/>
                <w:bCs/>
                <w:color w:val="auto"/>
                <w:kern w:val="0"/>
                <w:szCs w:val="21"/>
                <w:highlight w:val="none"/>
                <w:lang w:val="en-US" w:eastAsia="zh-CN"/>
              </w:rPr>
              <w:t>12</w:t>
            </w:r>
            <w:r>
              <w:rPr>
                <w:rFonts w:hint="eastAsia" w:ascii="Times New Roman" w:hAnsi="Times New Roman" w:cs="Times New Roman"/>
                <w:bCs/>
                <w:color w:val="auto"/>
                <w:kern w:val="0"/>
                <w:szCs w:val="21"/>
                <w:highlight w:val="none"/>
                <w:lang w:val="en-US" w:eastAsia="zh-CN"/>
              </w:rPr>
              <w:t>m</w:t>
            </w:r>
          </w:p>
        </w:tc>
        <w:tc>
          <w:tcPr>
            <w:tcW w:w="315" w:type="pct"/>
            <w:shd w:val="clear" w:color="auto" w:fill="auto"/>
            <w:noWrap/>
            <w:vAlign w:val="center"/>
          </w:tcPr>
          <w:p w14:paraId="6587F17B">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pacing w:val="-2"/>
                <w:kern w:val="0"/>
                <w:sz w:val="21"/>
                <w:szCs w:val="21"/>
                <w:lang w:val="en-US" w:eastAsia="zh-CN" w:bidi="ar"/>
              </w:rPr>
            </w:pPr>
            <w:r>
              <w:rPr>
                <w:rFonts w:hint="default" w:ascii="Times New Roman" w:hAnsi="Times New Roman" w:eastAsia="宋体" w:cs="Times New Roman"/>
                <w:color w:val="auto"/>
                <w:kern w:val="0"/>
                <w:szCs w:val="21"/>
                <w:lang w:val="en-US" w:eastAsia="zh-CN"/>
              </w:rPr>
              <w:t>2</w:t>
            </w:r>
            <w:r>
              <w:rPr>
                <w:rFonts w:hint="default" w:ascii="Times New Roman" w:hAnsi="Times New Roman" w:eastAsia="宋体" w:cs="Times New Roman"/>
                <w:color w:val="auto"/>
                <w:kern w:val="0"/>
                <w:szCs w:val="21"/>
              </w:rPr>
              <w:t>F，</w:t>
            </w:r>
            <w:r>
              <w:rPr>
                <w:rFonts w:hint="default" w:ascii="Times New Roman" w:hAnsi="Times New Roman" w:eastAsia="宋体" w:cs="Times New Roman"/>
                <w:color w:val="auto"/>
                <w:kern w:val="0"/>
                <w:szCs w:val="21"/>
                <w:lang w:eastAsia="zh-CN"/>
              </w:rPr>
              <w:t>尖顶</w:t>
            </w:r>
            <w:r>
              <w:rPr>
                <w:rFonts w:hint="default" w:ascii="Times New Roman" w:hAnsi="Times New Roman" w:eastAsia="宋体" w:cs="Times New Roman"/>
                <w:color w:val="auto"/>
                <w:kern w:val="0"/>
                <w:szCs w:val="21"/>
                <w:lang w:val="en-US" w:eastAsia="zh-CN"/>
              </w:rPr>
              <w:t>瓦房</w:t>
            </w:r>
          </w:p>
        </w:tc>
        <w:tc>
          <w:tcPr>
            <w:tcW w:w="319" w:type="pct"/>
            <w:noWrap/>
            <w:vAlign w:val="center"/>
          </w:tcPr>
          <w:p w14:paraId="54D0146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6</w:t>
            </w:r>
          </w:p>
        </w:tc>
        <w:tc>
          <w:tcPr>
            <w:tcW w:w="253" w:type="pct"/>
            <w:noWrap/>
            <w:vAlign w:val="center"/>
          </w:tcPr>
          <w:p w14:paraId="3817EF78">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2</w:t>
            </w:r>
            <w:r>
              <w:rPr>
                <w:rFonts w:hint="default" w:ascii="Times New Roman" w:hAnsi="Times New Roman" w:eastAsia="宋体" w:cs="Times New Roman"/>
                <w:color w:val="auto"/>
                <w:kern w:val="0"/>
                <w:szCs w:val="21"/>
              </w:rPr>
              <w:t>户约8人</w:t>
            </w:r>
          </w:p>
        </w:tc>
        <w:tc>
          <w:tcPr>
            <w:tcW w:w="172" w:type="pct"/>
            <w:noWrap/>
            <w:vAlign w:val="center"/>
          </w:tcPr>
          <w:p w14:paraId="17427F0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居住</w:t>
            </w:r>
          </w:p>
        </w:tc>
        <w:tc>
          <w:tcPr>
            <w:tcW w:w="555" w:type="pct"/>
            <w:vMerge w:val="restart"/>
            <w:noWrap/>
            <w:vAlign w:val="center"/>
          </w:tcPr>
          <w:p w14:paraId="6D3E11F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《电磁环境控制限值》（GB8702-2014）工频电场强度4000V/m和工频磁感应强度限值100μT</w:t>
            </w:r>
          </w:p>
        </w:tc>
        <w:tc>
          <w:tcPr>
            <w:tcW w:w="1129" w:type="pct"/>
            <w:noWrap/>
            <w:vAlign w:val="center"/>
          </w:tcPr>
          <w:p w14:paraId="4D650EE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rPr>
              <w:drawing>
                <wp:inline distT="0" distB="0" distL="114300" distR="114300">
                  <wp:extent cx="1781810" cy="1560195"/>
                  <wp:effectExtent l="0" t="0" r="8890" b="1905"/>
                  <wp:docPr id="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
                          <pic:cNvPicPr>
                            <a:picLocks noChangeAspect="1"/>
                          </pic:cNvPicPr>
                        </pic:nvPicPr>
                        <pic:blipFill>
                          <a:blip r:embed="rId38"/>
                          <a:stretch>
                            <a:fillRect/>
                          </a:stretch>
                        </pic:blipFill>
                        <pic:spPr>
                          <a:xfrm>
                            <a:off x="0" y="0"/>
                            <a:ext cx="1781810" cy="1560195"/>
                          </a:xfrm>
                          <a:prstGeom prst="rect">
                            <a:avLst/>
                          </a:prstGeom>
                          <a:noFill/>
                          <a:ln>
                            <a:noFill/>
                          </a:ln>
                        </pic:spPr>
                      </pic:pic>
                    </a:graphicData>
                  </a:graphic>
                </wp:inline>
              </w:drawing>
            </w:r>
          </w:p>
        </w:tc>
      </w:tr>
      <w:tr w14:paraId="3A2ED3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7" w:type="pct"/>
            <w:noWrap/>
            <w:vAlign w:val="center"/>
          </w:tcPr>
          <w:p w14:paraId="4619418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2</w:t>
            </w:r>
          </w:p>
        </w:tc>
        <w:tc>
          <w:tcPr>
            <w:tcW w:w="147" w:type="pct"/>
            <w:vMerge w:val="continue"/>
            <w:noWrap/>
            <w:vAlign w:val="center"/>
          </w:tcPr>
          <w:p w14:paraId="6EDAA9A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rPr>
            </w:pPr>
          </w:p>
        </w:tc>
        <w:tc>
          <w:tcPr>
            <w:tcW w:w="288" w:type="pct"/>
            <w:noWrap/>
            <w:vAlign w:val="center"/>
          </w:tcPr>
          <w:p w14:paraId="1718B3F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eastAsia="zh-CN"/>
              </w:rPr>
              <w:t>会泽县</w:t>
            </w:r>
            <w:r>
              <w:rPr>
                <w:rFonts w:hint="default" w:ascii="Times New Roman" w:hAnsi="Times New Roman" w:eastAsia="宋体" w:cs="Times New Roman"/>
                <w:color w:val="auto"/>
                <w:kern w:val="0"/>
                <w:szCs w:val="21"/>
                <w:lang w:val="en-US" w:eastAsia="zh-CN"/>
              </w:rPr>
              <w:t>五星乡</w:t>
            </w:r>
          </w:p>
        </w:tc>
        <w:tc>
          <w:tcPr>
            <w:tcW w:w="270" w:type="pct"/>
            <w:shd w:val="clear" w:color="auto" w:fill="auto"/>
            <w:noWrap/>
            <w:vAlign w:val="center"/>
          </w:tcPr>
          <w:p w14:paraId="1DF710CB">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val="en-US" w:eastAsia="zh-CN" w:bidi="ar"/>
              </w:rPr>
              <w:t>石碓窝居民</w:t>
            </w:r>
          </w:p>
        </w:tc>
        <w:tc>
          <w:tcPr>
            <w:tcW w:w="816" w:type="pct"/>
            <w:noWrap/>
            <w:vAlign w:val="center"/>
          </w:tcPr>
          <w:p w14:paraId="2F717DBA">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color w:val="auto"/>
                <w:kern w:val="0"/>
                <w:szCs w:val="21"/>
                <w:highlight w:val="none"/>
              </w:rPr>
            </w:pPr>
            <w:r>
              <w:rPr>
                <w:rFonts w:hint="default" w:ascii="Times New Roman" w:hAnsi="Times New Roman" w:eastAsia="宋体" w:cs="Times New Roman"/>
                <w:color w:val="auto"/>
                <w:kern w:val="0"/>
                <w:sz w:val="21"/>
                <w:szCs w:val="21"/>
                <w:lang w:val="en-US" w:eastAsia="zh-CN" w:bidi="ar"/>
              </w:rPr>
              <w:t>线路塔基N10~N11间</w:t>
            </w:r>
            <w:r>
              <w:rPr>
                <w:rFonts w:hint="eastAsia" w:ascii="Times New Roman" w:hAnsi="Times New Roman" w:eastAsia="宋体" w:cs="Times New Roman"/>
                <w:color w:val="auto"/>
                <w:kern w:val="0"/>
                <w:sz w:val="21"/>
                <w:szCs w:val="21"/>
                <w:lang w:val="en-US" w:eastAsia="zh-CN" w:bidi="ar"/>
              </w:rPr>
              <w:t>左</w:t>
            </w:r>
            <w:r>
              <w:rPr>
                <w:rFonts w:hint="default" w:ascii="Times New Roman" w:hAnsi="Times New Roman" w:eastAsia="宋体" w:cs="Times New Roman"/>
                <w:color w:val="auto"/>
                <w:kern w:val="0"/>
                <w:sz w:val="21"/>
                <w:szCs w:val="21"/>
                <w:lang w:val="en-US" w:eastAsia="zh-CN" w:bidi="ar"/>
              </w:rPr>
              <w:t>侧29m处</w:t>
            </w:r>
          </w:p>
        </w:tc>
        <w:tc>
          <w:tcPr>
            <w:tcW w:w="582" w:type="pct"/>
            <w:noWrap/>
            <w:vAlign w:val="center"/>
          </w:tcPr>
          <w:p w14:paraId="09DA6F5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eastAsia="宋体" w:cs="Times New Roman"/>
                <w:bCs/>
                <w:color w:val="auto"/>
                <w:kern w:val="0"/>
                <w:szCs w:val="21"/>
                <w:highlight w:val="none"/>
                <w:lang w:val="en-US" w:eastAsia="zh-CN"/>
              </w:rPr>
              <w:t>14</w:t>
            </w:r>
            <w:r>
              <w:rPr>
                <w:rFonts w:hint="eastAsia" w:ascii="Times New Roman" w:hAnsi="Times New Roman" w:cs="Times New Roman"/>
                <w:bCs/>
                <w:color w:val="auto"/>
                <w:kern w:val="0"/>
                <w:szCs w:val="21"/>
                <w:highlight w:val="none"/>
                <w:lang w:val="en-US" w:eastAsia="zh-CN"/>
              </w:rPr>
              <w:t>m</w:t>
            </w:r>
          </w:p>
        </w:tc>
        <w:tc>
          <w:tcPr>
            <w:tcW w:w="315" w:type="pct"/>
            <w:shd w:val="clear" w:color="auto" w:fill="auto"/>
            <w:noWrap/>
            <w:vAlign w:val="center"/>
          </w:tcPr>
          <w:p w14:paraId="38953FBC">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Cs w:val="21"/>
                <w:lang w:val="en-US" w:eastAsia="zh-CN"/>
              </w:rPr>
              <w:t>2</w:t>
            </w:r>
            <w:r>
              <w:rPr>
                <w:rFonts w:hint="default" w:ascii="Times New Roman" w:hAnsi="Times New Roman" w:eastAsia="宋体" w:cs="Times New Roman"/>
                <w:color w:val="auto"/>
                <w:kern w:val="0"/>
                <w:szCs w:val="21"/>
              </w:rPr>
              <w:t>F，</w:t>
            </w:r>
            <w:r>
              <w:rPr>
                <w:rFonts w:hint="default" w:ascii="Times New Roman" w:hAnsi="Times New Roman" w:eastAsia="宋体" w:cs="Times New Roman"/>
                <w:color w:val="auto"/>
                <w:kern w:val="0"/>
                <w:szCs w:val="21"/>
                <w:lang w:eastAsia="zh-CN"/>
              </w:rPr>
              <w:t>尖顶</w:t>
            </w:r>
            <w:r>
              <w:rPr>
                <w:rFonts w:hint="default" w:ascii="Times New Roman" w:hAnsi="Times New Roman" w:eastAsia="宋体" w:cs="Times New Roman"/>
                <w:color w:val="auto"/>
                <w:kern w:val="0"/>
                <w:szCs w:val="21"/>
                <w:lang w:val="en-US" w:eastAsia="zh-CN"/>
              </w:rPr>
              <w:t>瓦房</w:t>
            </w:r>
          </w:p>
        </w:tc>
        <w:tc>
          <w:tcPr>
            <w:tcW w:w="319" w:type="pct"/>
            <w:noWrap/>
            <w:vAlign w:val="center"/>
          </w:tcPr>
          <w:p w14:paraId="01146CC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6</w:t>
            </w:r>
          </w:p>
        </w:tc>
        <w:tc>
          <w:tcPr>
            <w:tcW w:w="253" w:type="pct"/>
            <w:noWrap/>
            <w:vAlign w:val="center"/>
          </w:tcPr>
          <w:p w14:paraId="4FC1D7D6">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lang w:val="en-US" w:eastAsia="zh-CN"/>
              </w:rPr>
              <w:t>1户，约4人</w:t>
            </w:r>
          </w:p>
        </w:tc>
        <w:tc>
          <w:tcPr>
            <w:tcW w:w="172" w:type="pct"/>
            <w:noWrap/>
            <w:vAlign w:val="center"/>
          </w:tcPr>
          <w:p w14:paraId="3A90060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居住</w:t>
            </w:r>
          </w:p>
        </w:tc>
        <w:tc>
          <w:tcPr>
            <w:tcW w:w="555" w:type="pct"/>
            <w:vMerge w:val="continue"/>
            <w:noWrap/>
            <w:vAlign w:val="center"/>
          </w:tcPr>
          <w:p w14:paraId="587E3A8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rPr>
            </w:pPr>
          </w:p>
        </w:tc>
        <w:tc>
          <w:tcPr>
            <w:tcW w:w="1129" w:type="pct"/>
            <w:noWrap/>
            <w:vAlign w:val="center"/>
          </w:tcPr>
          <w:p w14:paraId="556E755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rPr>
              <w:drawing>
                <wp:inline distT="0" distB="0" distL="114300" distR="114300">
                  <wp:extent cx="1783715" cy="1348740"/>
                  <wp:effectExtent l="0" t="0" r="6985" b="3810"/>
                  <wp:docPr id="4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
                          <pic:cNvPicPr>
                            <a:picLocks noChangeAspect="1"/>
                          </pic:cNvPicPr>
                        </pic:nvPicPr>
                        <pic:blipFill>
                          <a:blip r:embed="rId39"/>
                          <a:stretch>
                            <a:fillRect/>
                          </a:stretch>
                        </pic:blipFill>
                        <pic:spPr>
                          <a:xfrm>
                            <a:off x="0" y="0"/>
                            <a:ext cx="1783715" cy="1348740"/>
                          </a:xfrm>
                          <a:prstGeom prst="rect">
                            <a:avLst/>
                          </a:prstGeom>
                          <a:noFill/>
                          <a:ln>
                            <a:noFill/>
                          </a:ln>
                        </pic:spPr>
                      </pic:pic>
                    </a:graphicData>
                  </a:graphic>
                </wp:inline>
              </w:drawing>
            </w:r>
          </w:p>
        </w:tc>
      </w:tr>
      <w:tr w14:paraId="4A57DD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12"/>
            <w:noWrap/>
            <w:vAlign w:val="center"/>
          </w:tcPr>
          <w:p w14:paraId="7325C6D3">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注：表中建筑物与线路的距离为：输电线路边导线地面投影距环境敏感目标的最近距离</w:t>
            </w:r>
            <w:r>
              <w:rPr>
                <w:rFonts w:hint="default" w:ascii="Times New Roman" w:hAnsi="Times New Roman" w:eastAsia="宋体" w:cs="Times New Roman"/>
                <w:b/>
                <w:bCs/>
                <w:color w:val="auto"/>
                <w:sz w:val="18"/>
                <w:szCs w:val="18"/>
                <w:lang w:eastAsia="zh-CN"/>
              </w:rPr>
              <w:t>。</w:t>
            </w:r>
          </w:p>
        </w:tc>
      </w:tr>
    </w:tbl>
    <w:p w14:paraId="379BAD18">
      <w:pPr>
        <w:widowControl/>
        <w:shd w:val="clear" w:color="auto" w:fill="FFFFFF"/>
        <w:kinsoku w:val="0"/>
        <w:autoSpaceDE w:val="0"/>
        <w:autoSpaceDN w:val="0"/>
        <w:adjustRightInd w:val="0"/>
        <w:snapToGrid w:val="0"/>
        <w:jc w:val="center"/>
        <w:rPr>
          <w:rFonts w:hint="default" w:ascii="Times New Roman" w:hAnsi="Times New Roman" w:eastAsia="宋体" w:cs="Times New Roman"/>
          <w:b/>
          <w:bCs/>
          <w:color w:val="auto"/>
          <w:spacing w:val="-2"/>
          <w:kern w:val="0"/>
          <w:sz w:val="24"/>
          <w:shd w:val="clear" w:color="auto" w:fill="FFFFFF"/>
          <w:lang w:bidi="ar"/>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7751FAFC">
      <w:pPr>
        <w:widowControl/>
        <w:shd w:val="clear" w:color="auto" w:fill="FFFFFF"/>
        <w:kinsoku w:val="0"/>
        <w:autoSpaceDE w:val="0"/>
        <w:autoSpaceDN w:val="0"/>
        <w:adjustRightInd w:val="0"/>
        <w:snapToGrid w:val="0"/>
        <w:spacing w:line="360" w:lineRule="auto"/>
        <w:rPr>
          <w:rFonts w:hint="default" w:ascii="Times New Roman" w:hAnsi="Times New Roman" w:eastAsia="宋体" w:cs="Times New Roman"/>
          <w:b/>
          <w:bCs/>
          <w:color w:val="auto"/>
          <w:spacing w:val="-1"/>
          <w:kern w:val="0"/>
          <w:sz w:val="28"/>
          <w:szCs w:val="28"/>
          <w:lang w:bidi="ar"/>
        </w:rPr>
      </w:pPr>
      <w:r>
        <w:rPr>
          <w:rFonts w:hint="default" w:ascii="Times New Roman" w:hAnsi="Times New Roman" w:eastAsia="宋体" w:cs="Times New Roman"/>
          <w:b/>
          <w:bCs/>
          <w:color w:val="auto"/>
          <w:spacing w:val="-1"/>
          <w:kern w:val="0"/>
          <w:sz w:val="28"/>
          <w:szCs w:val="28"/>
          <w:lang w:bidi="ar"/>
        </w:rPr>
        <w:t>2.6评价重点</w:t>
      </w:r>
      <w:bookmarkEnd w:id="98"/>
      <w:bookmarkEnd w:id="99"/>
    </w:p>
    <w:p w14:paraId="1F168E2F">
      <w:pPr>
        <w:spacing w:line="360" w:lineRule="auto"/>
        <w:ind w:firstLine="480" w:firstLineChars="200"/>
        <w:rPr>
          <w:rFonts w:hint="default" w:ascii="Times New Roman" w:hAnsi="Times New Roman" w:eastAsia="宋体" w:cs="Times New Roman"/>
          <w:b/>
          <w:bCs/>
          <w:color w:val="auto"/>
          <w:kern w:val="0"/>
          <w:sz w:val="24"/>
          <w:lang w:bidi="ar"/>
        </w:rPr>
      </w:pPr>
      <w:r>
        <w:rPr>
          <w:rFonts w:hint="default" w:ascii="Times New Roman" w:hAnsi="Times New Roman" w:eastAsia="宋体" w:cs="Times New Roman"/>
          <w:color w:val="auto"/>
          <w:sz w:val="24"/>
          <w:lang w:bidi="ar"/>
        </w:rPr>
        <w:t>电磁环境评价重点为工程运营期产生的工频电场、工频磁场对周围环境的影响，特别是对工程电磁环境敏感目标的影响。</w:t>
      </w:r>
      <w:bookmarkStart w:id="100" w:name="_Toc24114"/>
      <w:r>
        <w:rPr>
          <w:rFonts w:hint="default" w:ascii="Times New Roman" w:hAnsi="Times New Roman" w:eastAsia="宋体" w:cs="Times New Roman"/>
          <w:b/>
          <w:bCs/>
          <w:color w:val="auto"/>
          <w:kern w:val="0"/>
          <w:sz w:val="24"/>
          <w:lang w:bidi="ar"/>
        </w:rPr>
        <w:br w:type="page"/>
      </w:r>
    </w:p>
    <w:p w14:paraId="3F5965A2">
      <w:pPr>
        <w:widowControl/>
        <w:kinsoku w:val="0"/>
        <w:autoSpaceDE w:val="0"/>
        <w:autoSpaceDN w:val="0"/>
        <w:adjustRightInd w:val="0"/>
        <w:snapToGrid w:val="0"/>
        <w:spacing w:before="156" w:beforeLines="50" w:after="156" w:afterLines="50"/>
        <w:outlineLvl w:val="0"/>
        <w:rPr>
          <w:rFonts w:hint="default" w:ascii="Times New Roman" w:hAnsi="Times New Roman" w:eastAsia="宋体" w:cs="Times New Roman"/>
          <w:b/>
          <w:bCs/>
          <w:color w:val="auto"/>
          <w:kern w:val="0"/>
          <w:sz w:val="30"/>
          <w:szCs w:val="30"/>
          <w:lang w:bidi="ar"/>
        </w:rPr>
      </w:pPr>
      <w:bookmarkStart w:id="101" w:name="_Toc2582"/>
      <w:bookmarkStart w:id="102" w:name="_Toc6842"/>
      <w:r>
        <w:rPr>
          <w:rFonts w:hint="default" w:ascii="Times New Roman" w:hAnsi="Times New Roman" w:eastAsia="宋体" w:cs="Times New Roman"/>
          <w:b/>
          <w:bCs/>
          <w:color w:val="auto"/>
          <w:kern w:val="0"/>
          <w:sz w:val="30"/>
          <w:szCs w:val="30"/>
          <w:lang w:bidi="ar"/>
        </w:rPr>
        <w:t>3.工程概况及工程分析</w:t>
      </w:r>
      <w:bookmarkEnd w:id="100"/>
      <w:bookmarkEnd w:id="101"/>
      <w:bookmarkEnd w:id="102"/>
    </w:p>
    <w:p w14:paraId="639CD968">
      <w:pPr>
        <w:widowControl/>
        <w:kinsoku w:val="0"/>
        <w:autoSpaceDE w:val="0"/>
        <w:autoSpaceDN w:val="0"/>
        <w:adjustRightInd w:val="0"/>
        <w:snapToGrid w:val="0"/>
        <w:spacing w:before="156" w:beforeLines="50" w:after="156" w:afterLines="50"/>
        <w:outlineLvl w:val="1"/>
        <w:rPr>
          <w:rFonts w:hint="default" w:ascii="Times New Roman" w:hAnsi="Times New Roman" w:eastAsia="宋体" w:cs="Times New Roman"/>
          <w:b/>
          <w:bCs/>
          <w:color w:val="auto"/>
          <w:kern w:val="0"/>
          <w:sz w:val="28"/>
          <w:szCs w:val="28"/>
          <w:lang w:bidi="ar"/>
        </w:rPr>
      </w:pPr>
      <w:bookmarkStart w:id="103" w:name="_Toc28578"/>
      <w:bookmarkStart w:id="104" w:name="_Toc13500"/>
      <w:bookmarkStart w:id="105" w:name="_Toc20150"/>
      <w:r>
        <w:rPr>
          <w:rFonts w:hint="default" w:ascii="Times New Roman" w:hAnsi="Times New Roman" w:eastAsia="宋体" w:cs="Times New Roman"/>
          <w:b/>
          <w:bCs/>
          <w:color w:val="auto"/>
          <w:kern w:val="0"/>
          <w:sz w:val="28"/>
          <w:szCs w:val="28"/>
          <w:lang w:bidi="ar"/>
        </w:rPr>
        <w:t>3.1工程概况</w:t>
      </w:r>
      <w:bookmarkEnd w:id="103"/>
      <w:bookmarkEnd w:id="104"/>
      <w:bookmarkEnd w:id="105"/>
    </w:p>
    <w:p w14:paraId="134D57A8">
      <w:pPr>
        <w:adjustRightInd w:val="0"/>
        <w:snapToGrid w:val="0"/>
        <w:spacing w:before="156" w:beforeLines="50" w:after="156" w:afterLines="50"/>
        <w:outlineLvl w:val="2"/>
        <w:rPr>
          <w:rFonts w:hint="default" w:ascii="Times New Roman" w:hAnsi="Times New Roman" w:eastAsia="宋体" w:cs="Times New Roman"/>
          <w:b/>
          <w:color w:val="auto"/>
          <w:sz w:val="24"/>
          <w:szCs w:val="20"/>
          <w:lang w:bidi="ar"/>
        </w:rPr>
      </w:pPr>
      <w:bookmarkStart w:id="106" w:name="_Toc1287"/>
      <w:bookmarkStart w:id="107" w:name="_Toc23461"/>
      <w:r>
        <w:rPr>
          <w:rFonts w:hint="default" w:ascii="Times New Roman" w:hAnsi="Times New Roman" w:eastAsia="宋体" w:cs="Times New Roman"/>
          <w:b/>
          <w:color w:val="auto"/>
          <w:sz w:val="24"/>
          <w:szCs w:val="20"/>
          <w:lang w:val="en-US" w:eastAsia="zh-CN" w:bidi="ar"/>
        </w:rPr>
        <w:t>3.1.1</w:t>
      </w:r>
      <w:r>
        <w:rPr>
          <w:rFonts w:hint="default" w:ascii="Times New Roman" w:hAnsi="Times New Roman" w:eastAsia="宋体" w:cs="Times New Roman"/>
          <w:b/>
          <w:color w:val="auto"/>
          <w:sz w:val="24"/>
          <w:szCs w:val="20"/>
          <w:lang w:bidi="ar"/>
        </w:rPr>
        <w:t>建设内容</w:t>
      </w:r>
      <w:bookmarkEnd w:id="106"/>
      <w:bookmarkEnd w:id="107"/>
    </w:p>
    <w:p w14:paraId="2D26F054">
      <w:pPr>
        <w:pStyle w:val="25"/>
        <w:adjustRightInd w:val="0"/>
        <w:snapToGrid w:val="0"/>
        <w:spacing w:beforeAutospacing="0" w:afterAutospacing="0" w:line="360" w:lineRule="auto"/>
        <w:ind w:firstLine="480" w:firstLineChars="200"/>
        <w:jc w:val="both"/>
        <w:rPr>
          <w:rFonts w:hint="default" w:ascii="Times New Roman" w:hAnsi="Times New Roman" w:eastAsia="宋体" w:cs="Times New Roman"/>
          <w:color w:val="auto"/>
          <w:kern w:val="2"/>
          <w:lang w:eastAsia="zh-TW" w:bidi="ar"/>
        </w:rPr>
      </w:pPr>
      <w:r>
        <w:rPr>
          <w:rFonts w:hint="default" w:ascii="Times New Roman" w:hAnsi="Times New Roman" w:eastAsia="宋体" w:cs="Times New Roman"/>
          <w:color w:val="auto"/>
          <w:kern w:val="2"/>
          <w:lang w:eastAsia="zh-TW" w:bidi="ar"/>
        </w:rPr>
        <w:t>本项目新建1回110kV架空输电线路，</w:t>
      </w:r>
      <w:r>
        <w:rPr>
          <w:rFonts w:hint="default" w:ascii="Times New Roman" w:hAnsi="Times New Roman" w:eastAsia="宋体" w:cs="Times New Roman"/>
          <w:color w:val="auto"/>
          <w:kern w:val="2"/>
          <w:lang w:val="zh-CN" w:eastAsia="zh-TW" w:bidi="ar"/>
        </w:rPr>
        <w:t>起于大草山光伏升压站，止于六合一光伏升压站，</w:t>
      </w:r>
      <w:r>
        <w:rPr>
          <w:rFonts w:hint="default" w:ascii="Times New Roman" w:hAnsi="Times New Roman" w:eastAsia="宋体" w:cs="Times New Roman"/>
          <w:color w:val="auto"/>
          <w:kern w:val="2"/>
          <w:lang w:eastAsia="zh-TW" w:bidi="ar"/>
        </w:rPr>
        <w:t>长</w:t>
      </w:r>
      <w:r>
        <w:rPr>
          <w:rFonts w:hint="default" w:ascii="Times New Roman" w:hAnsi="Times New Roman" w:eastAsia="宋体" w:cs="Times New Roman"/>
          <w:color w:val="auto"/>
          <w:kern w:val="2"/>
          <w:lang w:val="en-US" w:eastAsia="zh-TW" w:bidi="ar"/>
        </w:rPr>
        <w:t>16</w:t>
      </w:r>
      <w:r>
        <w:rPr>
          <w:rFonts w:hint="default" w:ascii="Times New Roman" w:hAnsi="Times New Roman" w:eastAsia="宋体" w:cs="Times New Roman"/>
          <w:color w:val="auto"/>
          <w:kern w:val="2"/>
          <w:lang w:eastAsia="zh-TW" w:bidi="ar"/>
        </w:rPr>
        <w:t>km，采用单回路架设，使用杆塔4</w:t>
      </w:r>
      <w:r>
        <w:rPr>
          <w:rFonts w:hint="default" w:ascii="Times New Roman" w:hAnsi="Times New Roman" w:eastAsia="宋体" w:cs="Times New Roman"/>
          <w:color w:val="auto"/>
          <w:kern w:val="2"/>
          <w:lang w:val="en-US" w:eastAsia="zh-CN" w:bidi="ar"/>
        </w:rPr>
        <w:t>5</w:t>
      </w:r>
      <w:r>
        <w:rPr>
          <w:rFonts w:hint="default" w:ascii="Times New Roman" w:hAnsi="Times New Roman" w:eastAsia="宋体" w:cs="Times New Roman"/>
          <w:color w:val="auto"/>
          <w:kern w:val="2"/>
          <w:lang w:eastAsia="zh-TW" w:bidi="ar"/>
        </w:rPr>
        <w:t>基，其中单回耐张塔1</w:t>
      </w:r>
      <w:r>
        <w:rPr>
          <w:rFonts w:hint="default" w:ascii="Times New Roman" w:hAnsi="Times New Roman" w:eastAsia="宋体" w:cs="Times New Roman"/>
          <w:color w:val="auto"/>
          <w:kern w:val="2"/>
          <w:lang w:val="en-US" w:eastAsia="zh-CN" w:bidi="ar"/>
        </w:rPr>
        <w:t>7</w:t>
      </w:r>
      <w:r>
        <w:rPr>
          <w:rFonts w:hint="default" w:ascii="Times New Roman" w:hAnsi="Times New Roman" w:eastAsia="宋体" w:cs="Times New Roman"/>
          <w:color w:val="auto"/>
          <w:kern w:val="2"/>
          <w:lang w:eastAsia="zh-TW" w:bidi="ar"/>
        </w:rPr>
        <w:t>基，单回塔基直线塔2</w:t>
      </w:r>
      <w:r>
        <w:rPr>
          <w:rFonts w:hint="default" w:ascii="Times New Roman" w:hAnsi="Times New Roman" w:eastAsia="宋体" w:cs="Times New Roman"/>
          <w:color w:val="auto"/>
          <w:kern w:val="2"/>
          <w:lang w:val="en-US" w:eastAsia="zh-CN" w:bidi="ar"/>
        </w:rPr>
        <w:t>8</w:t>
      </w:r>
      <w:r>
        <w:rPr>
          <w:rFonts w:hint="default" w:ascii="Times New Roman" w:hAnsi="Times New Roman" w:eastAsia="宋体" w:cs="Times New Roman"/>
          <w:color w:val="auto"/>
          <w:kern w:val="2"/>
          <w:lang w:eastAsia="zh-TW" w:bidi="ar"/>
        </w:rPr>
        <w:t>基。</w:t>
      </w:r>
      <w:r>
        <w:rPr>
          <w:rFonts w:hint="default" w:ascii="Times New Roman" w:hAnsi="Times New Roman" w:eastAsia="宋体" w:cs="Times New Roman"/>
          <w:color w:val="auto"/>
          <w:kern w:val="2"/>
          <w:lang w:val="en-US" w:eastAsia="zh-TW" w:bidi="ar"/>
        </w:rPr>
        <w:t>采用三角排列、水平排列，</w:t>
      </w:r>
      <w:r>
        <w:rPr>
          <w:rFonts w:hint="default" w:ascii="Times New Roman" w:hAnsi="Times New Roman" w:eastAsia="宋体" w:cs="Times New Roman"/>
          <w:color w:val="auto"/>
          <w:kern w:val="2"/>
          <w:lang w:eastAsia="zh-TW" w:bidi="ar"/>
        </w:rPr>
        <w:t>其中线路塔基N</w:t>
      </w:r>
      <w:r>
        <w:rPr>
          <w:rFonts w:hint="default" w:ascii="Times New Roman" w:hAnsi="Times New Roman" w:eastAsia="宋体" w:cs="Times New Roman"/>
          <w:color w:val="auto"/>
          <w:kern w:val="2"/>
          <w:lang w:val="en-US" w:eastAsia="zh-TW" w:bidi="ar"/>
        </w:rPr>
        <w:t>1</w:t>
      </w:r>
      <w:r>
        <w:rPr>
          <w:rFonts w:hint="default" w:ascii="Times New Roman" w:hAnsi="Times New Roman" w:eastAsia="宋体" w:cs="Times New Roman"/>
          <w:color w:val="auto"/>
          <w:kern w:val="2"/>
          <w:lang w:eastAsia="zh-TW" w:bidi="ar"/>
        </w:rPr>
        <w:t>-N</w:t>
      </w:r>
      <w:r>
        <w:rPr>
          <w:rFonts w:hint="default" w:ascii="Times New Roman" w:hAnsi="Times New Roman" w:eastAsia="宋体" w:cs="Times New Roman"/>
          <w:color w:val="auto"/>
          <w:kern w:val="2"/>
          <w:lang w:val="en-US" w:eastAsia="zh-TW" w:bidi="ar"/>
        </w:rPr>
        <w:t>28</w:t>
      </w:r>
      <w:r>
        <w:rPr>
          <w:rFonts w:hint="default" w:ascii="Times New Roman" w:hAnsi="Times New Roman" w:eastAsia="宋体" w:cs="Times New Roman"/>
          <w:color w:val="auto"/>
          <w:kern w:val="2"/>
          <w:lang w:eastAsia="zh-TW" w:bidi="ar"/>
        </w:rPr>
        <w:t>共2</w:t>
      </w:r>
      <w:r>
        <w:rPr>
          <w:rFonts w:hint="default" w:ascii="Times New Roman" w:hAnsi="Times New Roman" w:eastAsia="宋体" w:cs="Times New Roman"/>
          <w:color w:val="auto"/>
          <w:kern w:val="2"/>
          <w:lang w:val="en-US" w:eastAsia="zh-TW" w:bidi="ar"/>
        </w:rPr>
        <w:t>8</w:t>
      </w:r>
      <w:r>
        <w:rPr>
          <w:rFonts w:hint="default" w:ascii="Times New Roman" w:hAnsi="Times New Roman" w:eastAsia="宋体" w:cs="Times New Roman"/>
          <w:color w:val="auto"/>
          <w:kern w:val="2"/>
          <w:lang w:eastAsia="zh-TW" w:bidi="ar"/>
        </w:rPr>
        <w:t>基水平排列，长度</w:t>
      </w:r>
      <w:r>
        <w:rPr>
          <w:rFonts w:hint="default" w:ascii="Times New Roman" w:hAnsi="Times New Roman" w:eastAsia="宋体" w:cs="Times New Roman"/>
          <w:color w:val="auto"/>
          <w:kern w:val="2"/>
          <w:lang w:val="en-US" w:eastAsia="zh-TW" w:bidi="ar"/>
        </w:rPr>
        <w:t>7.77</w:t>
      </w:r>
      <w:r>
        <w:rPr>
          <w:rFonts w:hint="default" w:ascii="Times New Roman" w:hAnsi="Times New Roman" w:eastAsia="宋体" w:cs="Times New Roman"/>
          <w:color w:val="auto"/>
          <w:kern w:val="2"/>
          <w:lang w:eastAsia="zh-TW" w:bidi="ar"/>
        </w:rPr>
        <w:t>km；其余线路导线架设为三角排列，长度</w:t>
      </w:r>
      <w:r>
        <w:rPr>
          <w:rFonts w:hint="default" w:ascii="Times New Roman" w:hAnsi="Times New Roman" w:eastAsia="宋体" w:cs="Times New Roman"/>
          <w:color w:val="auto"/>
          <w:kern w:val="2"/>
          <w:lang w:val="en-US" w:eastAsia="zh-TW" w:bidi="ar"/>
        </w:rPr>
        <w:t>8.23</w:t>
      </w:r>
      <w:r>
        <w:rPr>
          <w:rFonts w:hint="default" w:ascii="Times New Roman" w:hAnsi="Times New Roman" w:eastAsia="宋体" w:cs="Times New Roman"/>
          <w:color w:val="auto"/>
          <w:kern w:val="2"/>
          <w:lang w:eastAsia="zh-TW" w:bidi="ar"/>
        </w:rPr>
        <w:t>km，共</w:t>
      </w:r>
      <w:r>
        <w:rPr>
          <w:rFonts w:hint="default" w:ascii="Times New Roman" w:hAnsi="Times New Roman" w:eastAsia="宋体" w:cs="Times New Roman"/>
          <w:color w:val="auto"/>
          <w:kern w:val="2"/>
          <w:lang w:val="en-US" w:eastAsia="zh-TW" w:bidi="ar"/>
        </w:rPr>
        <w:t>17</w:t>
      </w:r>
      <w:r>
        <w:rPr>
          <w:rFonts w:hint="default" w:ascii="Times New Roman" w:hAnsi="Times New Roman" w:eastAsia="宋体" w:cs="Times New Roman"/>
          <w:color w:val="auto"/>
          <w:kern w:val="2"/>
          <w:lang w:eastAsia="zh-TW" w:bidi="ar"/>
        </w:rPr>
        <w:t>基塔。</w:t>
      </w:r>
    </w:p>
    <w:p w14:paraId="40A6E0F1">
      <w:pPr>
        <w:pStyle w:val="25"/>
        <w:adjustRightInd w:val="0"/>
        <w:snapToGrid w:val="0"/>
        <w:spacing w:beforeAutospacing="0" w:afterAutospacing="0" w:line="360" w:lineRule="auto"/>
        <w:ind w:firstLine="480" w:firstLineChars="200"/>
        <w:jc w:val="both"/>
        <w:rPr>
          <w:rFonts w:hint="default" w:ascii="Times New Roman" w:hAnsi="Times New Roman" w:eastAsia="宋体" w:cs="Times New Roman"/>
          <w:color w:val="auto"/>
          <w:kern w:val="2"/>
          <w:sz w:val="32"/>
          <w:szCs w:val="32"/>
          <w:lang w:bidi="ar"/>
        </w:rPr>
      </w:pPr>
      <w:r>
        <w:rPr>
          <w:rFonts w:hint="default" w:ascii="Times New Roman" w:hAnsi="Times New Roman" w:eastAsia="宋体" w:cs="Times New Roman"/>
          <w:color w:val="auto"/>
          <w:kern w:val="2"/>
          <w:lang w:eastAsia="zh-TW" w:bidi="ar"/>
        </w:rPr>
        <w:t>项目主要包括塔基建设和线路布设，不包括升压站建设。</w:t>
      </w:r>
    </w:p>
    <w:p w14:paraId="5D105E35">
      <w:pPr>
        <w:autoSpaceDE w:val="0"/>
        <w:autoSpaceDN w:val="0"/>
        <w:adjustRightInd w:val="0"/>
        <w:snapToGrid w:val="0"/>
        <w:jc w:val="center"/>
        <w:rPr>
          <w:rFonts w:hint="default" w:ascii="Times New Roman" w:hAnsi="Times New Roman" w:eastAsia="宋体" w:cs="Times New Roman"/>
          <w:b/>
          <w:color w:val="auto"/>
          <w:sz w:val="24"/>
          <w:szCs w:val="20"/>
          <w:lang w:bidi="ar"/>
        </w:rPr>
      </w:pPr>
      <w:r>
        <w:rPr>
          <w:rFonts w:hint="default" w:ascii="Times New Roman" w:hAnsi="Times New Roman" w:eastAsia="宋体" w:cs="Times New Roman"/>
          <w:b/>
          <w:color w:val="auto"/>
          <w:sz w:val="24"/>
          <w:szCs w:val="20"/>
          <w:lang w:bidi="ar"/>
        </w:rPr>
        <w:t>表3-1</w:t>
      </w:r>
      <w:r>
        <w:rPr>
          <w:rFonts w:hint="eastAsia" w:ascii="Times New Roman" w:hAnsi="Times New Roman" w:cs="Times New Roman"/>
          <w:b/>
          <w:color w:val="auto"/>
          <w:sz w:val="24"/>
          <w:szCs w:val="20"/>
          <w:lang w:val="en-US" w:eastAsia="zh-CN" w:bidi="ar"/>
        </w:rPr>
        <w:t xml:space="preserve"> </w:t>
      </w:r>
      <w:r>
        <w:rPr>
          <w:rFonts w:hint="default" w:ascii="Times New Roman" w:hAnsi="Times New Roman" w:eastAsia="宋体" w:cs="Times New Roman"/>
          <w:b/>
          <w:color w:val="auto"/>
          <w:sz w:val="24"/>
          <w:szCs w:val="20"/>
          <w:lang w:bidi="ar"/>
        </w:rPr>
        <w:t xml:space="preserve"> 项目组成</w:t>
      </w:r>
    </w:p>
    <w:tbl>
      <w:tblPr>
        <w:tblStyle w:val="30"/>
        <w:tblW w:w="83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8"/>
        <w:gridCol w:w="1229"/>
        <w:gridCol w:w="5932"/>
      </w:tblGrid>
      <w:tr w14:paraId="07817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6" w:type="pct"/>
            <w:vAlign w:val="center"/>
          </w:tcPr>
          <w:p w14:paraId="57FAFD3B">
            <w:pPr>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工程类别</w:t>
            </w:r>
          </w:p>
        </w:tc>
        <w:tc>
          <w:tcPr>
            <w:tcW w:w="737" w:type="pct"/>
            <w:vAlign w:val="center"/>
          </w:tcPr>
          <w:p w14:paraId="52D1A270">
            <w:pPr>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项目名称</w:t>
            </w:r>
          </w:p>
        </w:tc>
        <w:tc>
          <w:tcPr>
            <w:tcW w:w="3557" w:type="pct"/>
            <w:vAlign w:val="center"/>
          </w:tcPr>
          <w:p w14:paraId="4F519301">
            <w:pPr>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工程建设内容及规模</w:t>
            </w:r>
          </w:p>
        </w:tc>
      </w:tr>
      <w:tr w14:paraId="65D7C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706" w:type="pct"/>
            <w:vMerge w:val="restart"/>
            <w:vAlign w:val="center"/>
          </w:tcPr>
          <w:p w14:paraId="0BFC1513">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主体工程</w:t>
            </w:r>
          </w:p>
        </w:tc>
        <w:tc>
          <w:tcPr>
            <w:tcW w:w="737" w:type="pct"/>
            <w:vAlign w:val="center"/>
          </w:tcPr>
          <w:p w14:paraId="60C11F11">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线路长度</w:t>
            </w:r>
          </w:p>
        </w:tc>
        <w:tc>
          <w:tcPr>
            <w:tcW w:w="3557" w:type="pct"/>
            <w:vAlign w:val="center"/>
          </w:tcPr>
          <w:p w14:paraId="6BD1AC9C">
            <w:pPr>
              <w:adjustRightInd w:val="0"/>
              <w:snapToGrid w:val="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本工程线路全长</w:t>
            </w:r>
            <w:r>
              <w:rPr>
                <w:rFonts w:hint="default" w:ascii="Times New Roman" w:hAnsi="Times New Roman" w:eastAsia="宋体" w:cs="Times New Roman"/>
                <w:color w:val="auto"/>
                <w:szCs w:val="21"/>
                <w:lang w:val="en-US" w:eastAsia="zh-CN"/>
              </w:rPr>
              <w:t>16</w:t>
            </w:r>
            <w:r>
              <w:rPr>
                <w:rFonts w:hint="default" w:ascii="Times New Roman" w:hAnsi="Times New Roman" w:eastAsia="宋体" w:cs="Times New Roman"/>
                <w:color w:val="auto"/>
                <w:szCs w:val="21"/>
              </w:rPr>
              <w:t>km，共用杆塔</w:t>
            </w:r>
            <w:r>
              <w:rPr>
                <w:rFonts w:hint="default" w:ascii="Times New Roman" w:hAnsi="Times New Roman" w:eastAsia="宋体" w:cs="Times New Roman"/>
                <w:color w:val="auto"/>
                <w:szCs w:val="21"/>
                <w:lang w:val="en-US" w:eastAsia="zh-CN"/>
              </w:rPr>
              <w:t>45</w:t>
            </w:r>
            <w:r>
              <w:rPr>
                <w:rFonts w:hint="default" w:ascii="Times New Roman" w:hAnsi="Times New Roman" w:eastAsia="宋体" w:cs="Times New Roman"/>
                <w:color w:val="auto"/>
                <w:szCs w:val="21"/>
              </w:rPr>
              <w:t>基，其中单回路直线塔</w:t>
            </w:r>
            <w:r>
              <w:rPr>
                <w:rFonts w:hint="default" w:ascii="Times New Roman" w:hAnsi="Times New Roman" w:eastAsia="宋体" w:cs="Times New Roman"/>
                <w:color w:val="auto"/>
                <w:szCs w:val="21"/>
                <w:lang w:val="en-US" w:eastAsia="zh-CN"/>
              </w:rPr>
              <w:t>28</w:t>
            </w:r>
            <w:r>
              <w:rPr>
                <w:rFonts w:hint="default" w:ascii="Times New Roman" w:hAnsi="Times New Roman" w:eastAsia="宋体" w:cs="Times New Roman"/>
                <w:color w:val="auto"/>
                <w:szCs w:val="21"/>
              </w:rPr>
              <w:t>基，单回路耐张塔</w:t>
            </w:r>
            <w:r>
              <w:rPr>
                <w:rFonts w:hint="default" w:ascii="Times New Roman" w:hAnsi="Times New Roman" w:eastAsia="宋体" w:cs="Times New Roman"/>
                <w:color w:val="auto"/>
                <w:szCs w:val="21"/>
                <w:lang w:val="en-US" w:eastAsia="zh-CN"/>
              </w:rPr>
              <w:t>17</w:t>
            </w:r>
            <w:r>
              <w:rPr>
                <w:rFonts w:hint="default" w:ascii="Times New Roman" w:hAnsi="Times New Roman" w:eastAsia="宋体" w:cs="Times New Roman"/>
                <w:color w:val="auto"/>
                <w:szCs w:val="21"/>
              </w:rPr>
              <w:t>基。</w:t>
            </w:r>
          </w:p>
        </w:tc>
      </w:tr>
      <w:tr w14:paraId="25118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6" w:type="pct"/>
            <w:vMerge w:val="continue"/>
            <w:vAlign w:val="center"/>
          </w:tcPr>
          <w:p w14:paraId="226A0FEB">
            <w:pPr>
              <w:adjustRightInd w:val="0"/>
              <w:snapToGrid w:val="0"/>
              <w:jc w:val="center"/>
              <w:rPr>
                <w:rFonts w:hint="default" w:ascii="Times New Roman" w:hAnsi="Times New Roman" w:eastAsia="宋体" w:cs="Times New Roman"/>
                <w:color w:val="auto"/>
                <w:szCs w:val="21"/>
              </w:rPr>
            </w:pPr>
          </w:p>
        </w:tc>
        <w:tc>
          <w:tcPr>
            <w:tcW w:w="737" w:type="pct"/>
            <w:vAlign w:val="center"/>
          </w:tcPr>
          <w:p w14:paraId="59F17227">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电压等级</w:t>
            </w:r>
          </w:p>
        </w:tc>
        <w:tc>
          <w:tcPr>
            <w:tcW w:w="3557" w:type="pct"/>
            <w:vAlign w:val="center"/>
          </w:tcPr>
          <w:p w14:paraId="1EB51C75">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电压</w:t>
            </w:r>
            <w:r>
              <w:rPr>
                <w:rFonts w:hint="default" w:ascii="Times New Roman" w:hAnsi="Times New Roman" w:eastAsia="宋体" w:cs="Times New Roman"/>
                <w:color w:val="auto"/>
                <w:szCs w:val="21"/>
                <w:lang w:val="en-US" w:eastAsia="zh-CN"/>
              </w:rPr>
              <w:t>11</w:t>
            </w:r>
            <w:r>
              <w:rPr>
                <w:rFonts w:hint="default" w:ascii="Times New Roman" w:hAnsi="Times New Roman" w:eastAsia="宋体" w:cs="Times New Roman"/>
                <w:color w:val="auto"/>
                <w:szCs w:val="21"/>
              </w:rPr>
              <w:t>0kV</w:t>
            </w:r>
          </w:p>
        </w:tc>
      </w:tr>
      <w:tr w14:paraId="0959E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6" w:type="pct"/>
            <w:vMerge w:val="continue"/>
            <w:vAlign w:val="center"/>
          </w:tcPr>
          <w:p w14:paraId="2CD97FCA">
            <w:pPr>
              <w:adjustRightInd w:val="0"/>
              <w:snapToGrid w:val="0"/>
              <w:jc w:val="center"/>
              <w:rPr>
                <w:rFonts w:hint="default" w:ascii="Times New Roman" w:hAnsi="Times New Roman" w:eastAsia="宋体" w:cs="Times New Roman"/>
                <w:color w:val="auto"/>
                <w:szCs w:val="21"/>
              </w:rPr>
            </w:pPr>
          </w:p>
        </w:tc>
        <w:tc>
          <w:tcPr>
            <w:tcW w:w="737" w:type="pct"/>
            <w:vAlign w:val="center"/>
          </w:tcPr>
          <w:p w14:paraId="2F0838DB">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电流</w:t>
            </w:r>
          </w:p>
        </w:tc>
        <w:tc>
          <w:tcPr>
            <w:tcW w:w="3557" w:type="pct"/>
            <w:vAlign w:val="center"/>
          </w:tcPr>
          <w:p w14:paraId="697A068B">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660</w:t>
            </w:r>
            <w:r>
              <w:rPr>
                <w:rFonts w:hint="default" w:ascii="Times New Roman" w:hAnsi="Times New Roman" w:eastAsia="宋体" w:cs="Times New Roman"/>
                <w:color w:val="auto"/>
                <w:szCs w:val="21"/>
              </w:rPr>
              <w:t>A</w:t>
            </w:r>
          </w:p>
        </w:tc>
      </w:tr>
      <w:tr w14:paraId="33EAF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6" w:type="pct"/>
            <w:vMerge w:val="continue"/>
            <w:vAlign w:val="center"/>
          </w:tcPr>
          <w:p w14:paraId="59CAE55E">
            <w:pPr>
              <w:adjustRightInd w:val="0"/>
              <w:snapToGrid w:val="0"/>
              <w:jc w:val="center"/>
              <w:rPr>
                <w:rFonts w:hint="default" w:ascii="Times New Roman" w:hAnsi="Times New Roman" w:eastAsia="宋体" w:cs="Times New Roman"/>
                <w:color w:val="auto"/>
                <w:szCs w:val="21"/>
              </w:rPr>
            </w:pPr>
          </w:p>
        </w:tc>
        <w:tc>
          <w:tcPr>
            <w:tcW w:w="737" w:type="pct"/>
            <w:vAlign w:val="center"/>
          </w:tcPr>
          <w:p w14:paraId="57CE251B">
            <w:pPr>
              <w:widowControl/>
              <w:kinsoku w:val="0"/>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pacing w:val="-2"/>
                <w:kern w:val="0"/>
                <w:szCs w:val="21"/>
                <w:lang w:bidi="ar"/>
              </w:rPr>
              <w:t>架线形式</w:t>
            </w:r>
          </w:p>
        </w:tc>
        <w:tc>
          <w:tcPr>
            <w:tcW w:w="3557" w:type="pct"/>
            <w:vAlign w:val="center"/>
          </w:tcPr>
          <w:p w14:paraId="1A727479">
            <w:pPr>
              <w:widowControl/>
              <w:kinsoku w:val="0"/>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单回路直线塔</w:t>
            </w:r>
            <w:r>
              <w:rPr>
                <w:rFonts w:hint="default" w:ascii="Times New Roman" w:hAnsi="Times New Roman" w:eastAsia="宋体" w:cs="Times New Roman"/>
                <w:color w:val="auto"/>
                <w:szCs w:val="21"/>
                <w:lang w:val="en-US" w:eastAsia="zh-CN"/>
              </w:rPr>
              <w:t>28</w:t>
            </w:r>
            <w:r>
              <w:rPr>
                <w:rFonts w:hint="default" w:ascii="Times New Roman" w:hAnsi="Times New Roman" w:eastAsia="宋体" w:cs="Times New Roman"/>
                <w:color w:val="auto"/>
                <w:szCs w:val="21"/>
              </w:rPr>
              <w:t>基，单回路耐张塔</w:t>
            </w:r>
            <w:r>
              <w:rPr>
                <w:rFonts w:hint="default" w:ascii="Times New Roman" w:hAnsi="Times New Roman" w:eastAsia="宋体" w:cs="Times New Roman"/>
                <w:color w:val="auto"/>
                <w:szCs w:val="21"/>
                <w:lang w:val="en-US" w:eastAsia="zh-CN"/>
              </w:rPr>
              <w:t>17</w:t>
            </w:r>
            <w:r>
              <w:rPr>
                <w:rFonts w:hint="default" w:ascii="Times New Roman" w:hAnsi="Times New Roman" w:eastAsia="宋体" w:cs="Times New Roman"/>
                <w:color w:val="auto"/>
                <w:szCs w:val="21"/>
              </w:rPr>
              <w:t>基</w:t>
            </w:r>
          </w:p>
        </w:tc>
      </w:tr>
      <w:tr w14:paraId="6AA81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6" w:type="pct"/>
            <w:vMerge w:val="continue"/>
            <w:vAlign w:val="center"/>
          </w:tcPr>
          <w:p w14:paraId="58E5C3B1">
            <w:pPr>
              <w:adjustRightInd w:val="0"/>
              <w:snapToGrid w:val="0"/>
              <w:jc w:val="center"/>
              <w:rPr>
                <w:rFonts w:hint="default" w:ascii="Times New Roman" w:hAnsi="Times New Roman" w:eastAsia="宋体" w:cs="Times New Roman"/>
                <w:color w:val="auto"/>
                <w:szCs w:val="21"/>
              </w:rPr>
            </w:pPr>
          </w:p>
        </w:tc>
        <w:tc>
          <w:tcPr>
            <w:tcW w:w="737" w:type="pct"/>
            <w:vAlign w:val="center"/>
          </w:tcPr>
          <w:p w14:paraId="01914D8C">
            <w:pPr>
              <w:widowControl/>
              <w:kinsoku w:val="0"/>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pacing w:val="-3"/>
                <w:kern w:val="0"/>
                <w:szCs w:val="21"/>
                <w:lang w:bidi="ar"/>
              </w:rPr>
              <w:t>导线型号</w:t>
            </w:r>
          </w:p>
        </w:tc>
        <w:tc>
          <w:tcPr>
            <w:tcW w:w="3557" w:type="pct"/>
            <w:vAlign w:val="center"/>
          </w:tcPr>
          <w:p w14:paraId="4492A54B">
            <w:pPr>
              <w:pStyle w:val="7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（10mm、20mm冰区）</w:t>
            </w:r>
            <w:r>
              <w:rPr>
                <w:rFonts w:hint="eastAsia" w:cs="Times New Roman"/>
                <w:color w:val="auto"/>
                <w:sz w:val="21"/>
                <w:szCs w:val="21"/>
                <w:lang w:val="en-US" w:eastAsia="zh-CN"/>
              </w:rPr>
              <w:t>采用</w:t>
            </w:r>
            <w:r>
              <w:rPr>
                <w:rFonts w:hint="default" w:ascii="Times New Roman" w:hAnsi="Times New Roman" w:eastAsia="宋体" w:cs="Times New Roman"/>
                <w:color w:val="auto"/>
                <w:sz w:val="21"/>
                <w:szCs w:val="21"/>
              </w:rPr>
              <w:t>JNRLH1/LB20A-400/50铝包钢芯耐热铝合金绞线</w:t>
            </w:r>
            <w:r>
              <w:rPr>
                <w:rFonts w:hint="eastAsia" w:cs="Times New Roman"/>
                <w:color w:val="auto"/>
                <w:sz w:val="21"/>
                <w:szCs w:val="21"/>
                <w:lang w:eastAsia="zh-CN"/>
              </w:rPr>
              <w:t>；（</w:t>
            </w:r>
            <w:r>
              <w:rPr>
                <w:rFonts w:hint="eastAsia" w:cs="Times New Roman"/>
                <w:color w:val="auto"/>
                <w:sz w:val="21"/>
                <w:szCs w:val="21"/>
                <w:lang w:val="en-US" w:eastAsia="zh-CN"/>
              </w:rPr>
              <w:t>30</w:t>
            </w:r>
            <w:r>
              <w:rPr>
                <w:rFonts w:hint="eastAsia" w:cs="Times New Roman"/>
                <w:color w:val="auto"/>
                <w:sz w:val="21"/>
                <w:szCs w:val="21"/>
                <w:lang w:eastAsia="zh-CN"/>
              </w:rPr>
              <w:t>mm冰区）</w:t>
            </w:r>
            <w:r>
              <w:rPr>
                <w:rFonts w:hint="eastAsia" w:cs="Times New Roman"/>
                <w:color w:val="auto"/>
                <w:sz w:val="21"/>
                <w:szCs w:val="21"/>
                <w:lang w:val="en-US" w:eastAsia="zh-CN"/>
              </w:rPr>
              <w:t>采用</w:t>
            </w:r>
            <w:r>
              <w:rPr>
                <w:rFonts w:hint="default" w:ascii="Times New Roman" w:hAnsi="Times New Roman" w:eastAsia="宋体" w:cs="Times New Roman"/>
                <w:color w:val="auto"/>
                <w:sz w:val="21"/>
                <w:szCs w:val="21"/>
              </w:rPr>
              <w:t>JNRLH1/LB20A-400/65铝包钢芯耐热铝合金绞线</w:t>
            </w:r>
          </w:p>
        </w:tc>
      </w:tr>
      <w:tr w14:paraId="5F5B0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6" w:type="pct"/>
            <w:vMerge w:val="continue"/>
            <w:vAlign w:val="center"/>
          </w:tcPr>
          <w:p w14:paraId="4DE52765">
            <w:pPr>
              <w:adjustRightInd w:val="0"/>
              <w:snapToGrid w:val="0"/>
              <w:jc w:val="center"/>
              <w:rPr>
                <w:rFonts w:hint="default" w:ascii="Times New Roman" w:hAnsi="Times New Roman" w:eastAsia="宋体" w:cs="Times New Roman"/>
                <w:color w:val="auto"/>
                <w:szCs w:val="21"/>
              </w:rPr>
            </w:pPr>
          </w:p>
        </w:tc>
        <w:tc>
          <w:tcPr>
            <w:tcW w:w="737" w:type="pct"/>
            <w:vAlign w:val="center"/>
          </w:tcPr>
          <w:p w14:paraId="6B2526A1">
            <w:pPr>
              <w:widowControl/>
              <w:kinsoku w:val="0"/>
              <w:autoSpaceDE w:val="0"/>
              <w:autoSpaceDN w:val="0"/>
              <w:adjustRightInd w:val="0"/>
              <w:snapToGrid w:val="0"/>
              <w:jc w:val="center"/>
              <w:rPr>
                <w:rFonts w:hint="default" w:ascii="Times New Roman" w:hAnsi="Times New Roman" w:eastAsia="宋体" w:cs="Times New Roman"/>
                <w:color w:val="auto"/>
                <w:spacing w:val="-3"/>
                <w:kern w:val="0"/>
                <w:szCs w:val="21"/>
                <w:lang w:bidi="ar"/>
              </w:rPr>
            </w:pPr>
            <w:r>
              <w:rPr>
                <w:rFonts w:hint="default" w:ascii="Times New Roman" w:hAnsi="Times New Roman" w:eastAsia="宋体" w:cs="Times New Roman"/>
                <w:color w:val="auto"/>
                <w:spacing w:val="-3"/>
                <w:kern w:val="0"/>
                <w:szCs w:val="21"/>
                <w:lang w:bidi="ar"/>
              </w:rPr>
              <w:t>地线型号</w:t>
            </w:r>
          </w:p>
        </w:tc>
        <w:tc>
          <w:tcPr>
            <w:tcW w:w="3557" w:type="pct"/>
            <w:vAlign w:val="center"/>
          </w:tcPr>
          <w:p w14:paraId="0B47DFA2">
            <w:pPr>
              <w:widowControl/>
              <w:kinsoku w:val="0"/>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10、20mm冰区地线采用2根OPGW-100光缆（24芯G.652D），30mm冰区地线采用2根OPGW-120光缆（24芯G.652D）</w:t>
            </w:r>
          </w:p>
        </w:tc>
      </w:tr>
      <w:tr w14:paraId="04831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6" w:type="pct"/>
            <w:vMerge w:val="continue"/>
            <w:vAlign w:val="center"/>
          </w:tcPr>
          <w:p w14:paraId="42533E91">
            <w:pPr>
              <w:adjustRightInd w:val="0"/>
              <w:snapToGrid w:val="0"/>
              <w:jc w:val="center"/>
              <w:rPr>
                <w:rFonts w:hint="default" w:ascii="Times New Roman" w:hAnsi="Times New Roman" w:eastAsia="宋体" w:cs="Times New Roman"/>
                <w:color w:val="auto"/>
                <w:szCs w:val="21"/>
              </w:rPr>
            </w:pPr>
          </w:p>
        </w:tc>
        <w:tc>
          <w:tcPr>
            <w:tcW w:w="737" w:type="pct"/>
            <w:vAlign w:val="center"/>
          </w:tcPr>
          <w:p w14:paraId="0E940816">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基础型式</w:t>
            </w:r>
          </w:p>
        </w:tc>
        <w:tc>
          <w:tcPr>
            <w:tcW w:w="3557" w:type="pct"/>
            <w:vAlign w:val="center"/>
          </w:tcPr>
          <w:p w14:paraId="6006EB70">
            <w:pPr>
              <w:pStyle w:val="7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 w:val="21"/>
                <w:szCs w:val="21"/>
              </w:rPr>
              <w:t>人工挖孔桩基础、掏挖基础</w:t>
            </w:r>
          </w:p>
        </w:tc>
      </w:tr>
      <w:tr w14:paraId="1E783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6" w:type="pct"/>
            <w:vMerge w:val="continue"/>
            <w:vAlign w:val="center"/>
          </w:tcPr>
          <w:p w14:paraId="333FCE4D">
            <w:pPr>
              <w:adjustRightInd w:val="0"/>
              <w:snapToGrid w:val="0"/>
              <w:jc w:val="center"/>
              <w:rPr>
                <w:rFonts w:hint="default" w:ascii="Times New Roman" w:hAnsi="Times New Roman" w:eastAsia="宋体" w:cs="Times New Roman"/>
                <w:color w:val="auto"/>
                <w:szCs w:val="21"/>
              </w:rPr>
            </w:pPr>
          </w:p>
        </w:tc>
        <w:tc>
          <w:tcPr>
            <w:tcW w:w="737" w:type="pct"/>
            <w:vAlign w:val="center"/>
          </w:tcPr>
          <w:p w14:paraId="31DA1BB1">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铁塔数量</w:t>
            </w:r>
          </w:p>
        </w:tc>
        <w:tc>
          <w:tcPr>
            <w:tcW w:w="3557" w:type="pct"/>
            <w:vAlign w:val="center"/>
          </w:tcPr>
          <w:p w14:paraId="1765263A">
            <w:pPr>
              <w:adjustRightInd w:val="0"/>
              <w:snapToGrid w:val="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共用杆塔</w:t>
            </w:r>
            <w:r>
              <w:rPr>
                <w:rFonts w:hint="default" w:ascii="Times New Roman" w:hAnsi="Times New Roman" w:eastAsia="宋体" w:cs="Times New Roman"/>
                <w:color w:val="auto"/>
                <w:szCs w:val="21"/>
                <w:lang w:val="en-US" w:eastAsia="zh-CN"/>
              </w:rPr>
              <w:t>45</w:t>
            </w:r>
            <w:r>
              <w:rPr>
                <w:rFonts w:hint="default" w:ascii="Times New Roman" w:hAnsi="Times New Roman" w:eastAsia="宋体" w:cs="Times New Roman"/>
                <w:color w:val="auto"/>
                <w:szCs w:val="21"/>
              </w:rPr>
              <w:t>基，其中单回路直线塔</w:t>
            </w:r>
            <w:r>
              <w:rPr>
                <w:rFonts w:hint="default" w:ascii="Times New Roman" w:hAnsi="Times New Roman" w:eastAsia="宋体" w:cs="Times New Roman"/>
                <w:color w:val="auto"/>
                <w:szCs w:val="21"/>
                <w:lang w:val="en-US" w:eastAsia="zh-CN"/>
              </w:rPr>
              <w:t>28</w:t>
            </w:r>
            <w:r>
              <w:rPr>
                <w:rFonts w:hint="default" w:ascii="Times New Roman" w:hAnsi="Times New Roman" w:eastAsia="宋体" w:cs="Times New Roman"/>
                <w:color w:val="auto"/>
                <w:szCs w:val="21"/>
              </w:rPr>
              <w:t>基，单回路耐张塔</w:t>
            </w:r>
            <w:r>
              <w:rPr>
                <w:rFonts w:hint="default" w:ascii="Times New Roman" w:hAnsi="Times New Roman" w:eastAsia="宋体" w:cs="Times New Roman"/>
                <w:color w:val="auto"/>
                <w:szCs w:val="21"/>
                <w:lang w:val="en-US" w:eastAsia="zh-CN"/>
              </w:rPr>
              <w:t>17</w:t>
            </w:r>
            <w:r>
              <w:rPr>
                <w:rFonts w:hint="default" w:ascii="Times New Roman" w:hAnsi="Times New Roman" w:eastAsia="宋体" w:cs="Times New Roman"/>
                <w:color w:val="auto"/>
                <w:szCs w:val="21"/>
              </w:rPr>
              <w:t>基。</w:t>
            </w:r>
          </w:p>
        </w:tc>
      </w:tr>
      <w:tr w14:paraId="30DE2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jc w:val="center"/>
        </w:trPr>
        <w:tc>
          <w:tcPr>
            <w:tcW w:w="706" w:type="pct"/>
            <w:vMerge w:val="restart"/>
            <w:vAlign w:val="center"/>
          </w:tcPr>
          <w:p w14:paraId="71D89BBC">
            <w:pPr>
              <w:pStyle w:val="25"/>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环保工程</w:t>
            </w:r>
          </w:p>
        </w:tc>
        <w:tc>
          <w:tcPr>
            <w:tcW w:w="737" w:type="pct"/>
            <w:vMerge w:val="restart"/>
            <w:vAlign w:val="center"/>
          </w:tcPr>
          <w:p w14:paraId="1DDB6ED7">
            <w:pPr>
              <w:pStyle w:val="25"/>
              <w:adjustRightInd w:val="0"/>
              <w:snapToGrid w:val="0"/>
              <w:spacing w:beforeAutospacing="0" w:afterAutospacing="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电磁环境</w:t>
            </w:r>
          </w:p>
        </w:tc>
        <w:tc>
          <w:tcPr>
            <w:tcW w:w="3557" w:type="pct"/>
            <w:vAlign w:val="center"/>
          </w:tcPr>
          <w:p w14:paraId="0637E52E">
            <w:pPr>
              <w:pStyle w:val="25"/>
              <w:adjustRightInd w:val="0"/>
              <w:snapToGrid w:val="0"/>
              <w:spacing w:beforeAutospacing="0" w:afterAutospacing="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施工期：（1）选址选线合理，进行线路路径协调工作，避开城镇规划区、开发区、居民区、军事设施、厂矿、大型采石场，将区域环境影响控制在最低程度。</w:t>
            </w:r>
          </w:p>
          <w:p w14:paraId="295FDC98">
            <w:pPr>
              <w:pStyle w:val="25"/>
              <w:adjustRightInd w:val="0"/>
              <w:snapToGrid w:val="0"/>
              <w:spacing w:beforeAutospacing="0" w:afterAutospacing="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2）严格按照相关规范进行设计、施工。线路经过农田时，适当增加导线对地距离，以保证农田等环境中工频电场强度符合《电磁环境控制限值》（GB8702-2014）的限值要求；在经过有林地段时抬高导线对地高度，以减少电磁场的影响。</w:t>
            </w:r>
          </w:p>
          <w:p w14:paraId="259F153F">
            <w:pPr>
              <w:pStyle w:val="25"/>
              <w:adjustRightInd w:val="0"/>
              <w:snapToGrid w:val="0"/>
              <w:spacing w:beforeAutospacing="0" w:afterAutospacing="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（3）采用更为先进的导线，减轻工频电磁场强度，架设导线时清理导线表面的毛刺，减轻因此而引起的工频电磁场畸变等。</w:t>
            </w:r>
          </w:p>
          <w:p w14:paraId="62FECE0D">
            <w:pPr>
              <w:pStyle w:val="25"/>
              <w:adjustRightInd w:val="0"/>
              <w:snapToGrid w:val="0"/>
              <w:spacing w:beforeAutospacing="0" w:afterAutospacing="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（4）架设线路时，应在杆塔及线路周边设置警告牌和标语。</w:t>
            </w:r>
          </w:p>
          <w:p w14:paraId="6433C374">
            <w:pPr>
              <w:pStyle w:val="25"/>
              <w:adjustRightInd w:val="0"/>
              <w:snapToGrid w:val="0"/>
              <w:spacing w:beforeAutospacing="0" w:afterAutospacing="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（5）线路架设时，对邻近的通信线路采取适当有效的保护措施，如线路与通信线路之间的距离应满足《110-750kV架空送电线路设计技术规程》（GB 50545-2010）的相关要求。</w:t>
            </w:r>
          </w:p>
        </w:tc>
      </w:tr>
      <w:tr w14:paraId="27AD4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3" w:hRule="atLeast"/>
          <w:jc w:val="center"/>
        </w:trPr>
        <w:tc>
          <w:tcPr>
            <w:tcW w:w="706" w:type="pct"/>
            <w:vMerge w:val="continue"/>
            <w:vAlign w:val="center"/>
          </w:tcPr>
          <w:p w14:paraId="559315F0">
            <w:pPr>
              <w:pStyle w:val="25"/>
              <w:adjustRightInd w:val="0"/>
              <w:snapToGrid w:val="0"/>
              <w:spacing w:beforeAutospacing="0" w:afterAutospacing="0"/>
              <w:rPr>
                <w:rFonts w:hint="default" w:ascii="Times New Roman" w:hAnsi="Times New Roman" w:eastAsia="宋体" w:cs="Times New Roman"/>
                <w:color w:val="auto"/>
                <w:sz w:val="21"/>
                <w:szCs w:val="21"/>
              </w:rPr>
            </w:pPr>
          </w:p>
        </w:tc>
        <w:tc>
          <w:tcPr>
            <w:tcW w:w="737" w:type="pct"/>
            <w:vMerge w:val="continue"/>
            <w:vAlign w:val="center"/>
          </w:tcPr>
          <w:p w14:paraId="06BD716E">
            <w:pPr>
              <w:pStyle w:val="25"/>
              <w:adjustRightInd w:val="0"/>
              <w:snapToGrid w:val="0"/>
              <w:spacing w:beforeAutospacing="0" w:afterAutospacing="0"/>
              <w:jc w:val="center"/>
              <w:rPr>
                <w:rFonts w:hint="default" w:ascii="Times New Roman" w:hAnsi="Times New Roman" w:eastAsia="宋体" w:cs="Times New Roman"/>
                <w:color w:val="auto"/>
                <w:sz w:val="21"/>
                <w:szCs w:val="21"/>
              </w:rPr>
            </w:pPr>
          </w:p>
        </w:tc>
        <w:tc>
          <w:tcPr>
            <w:tcW w:w="3557" w:type="pct"/>
            <w:vAlign w:val="center"/>
          </w:tcPr>
          <w:p w14:paraId="54FEF8AF">
            <w:pPr>
              <w:pStyle w:val="25"/>
              <w:adjustRightInd w:val="0"/>
              <w:snapToGrid w:val="0"/>
              <w:spacing w:beforeAutospacing="0" w:afterAutospacing="0"/>
              <w:jc w:val="both"/>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bidi="ar"/>
              </w:rPr>
              <w:t>运营期：</w:t>
            </w:r>
            <w:r>
              <w:rPr>
                <w:rFonts w:hint="default" w:ascii="Times New Roman" w:hAnsi="Times New Roman" w:eastAsia="宋体" w:cs="Times New Roman"/>
                <w:color w:val="auto"/>
                <w:sz w:val="21"/>
                <w:szCs w:val="21"/>
                <w:lang w:val="en-US" w:eastAsia="zh-CN" w:bidi="ar"/>
              </w:rPr>
              <w:t>（1）安全警示标志：依据《电力安全设施配置技术规范 第2部分：线路》（GB/T 36291.2-2018）及《架空输电线路标识配置及制作安装规范》（Q/GDW11451-2025）执行。</w:t>
            </w:r>
          </w:p>
          <w:p w14:paraId="00AC71A3">
            <w:pPr>
              <w:pStyle w:val="25"/>
              <w:adjustRightInd w:val="0"/>
              <w:snapToGrid w:val="0"/>
              <w:spacing w:beforeAutospacing="0" w:afterAutospacing="0"/>
              <w:jc w:val="both"/>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（2）净空距离：线路在与其他电力线、通信线、公路、建筑物等交叉跨越时，净空距离严格执行《110kV～750kV架空输电线路设计规范》（GB 50545-2010）及《35kV及以下架空电力线路设计规范》（GB 50061-2010）的规定要求。</w:t>
            </w:r>
          </w:p>
          <w:p w14:paraId="2F21D057">
            <w:pPr>
              <w:pStyle w:val="25"/>
              <w:adjustRightInd w:val="0"/>
              <w:snapToGrid w:val="0"/>
              <w:spacing w:beforeAutospacing="0" w:afterAutospacing="0"/>
              <w:jc w:val="both"/>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（3）依据《国家电网有限公司输变电工程通用设计35～110kV输电线路绝缘子及金具分册（2024年版）》及相关行业规范执行。结合输电线路外绝缘配置及所经区域的污秽等级，选择适宜的绝缘子串型。</w:t>
            </w:r>
          </w:p>
          <w:p w14:paraId="7733F401">
            <w:pPr>
              <w:pStyle w:val="25"/>
              <w:adjustRightInd w:val="0"/>
              <w:snapToGrid w:val="0"/>
              <w:spacing w:beforeAutospacing="0" w:afterAutospacing="0"/>
              <w:jc w:val="both"/>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（4）接地设计：依据GB/T 50065-2011《交流电气装置的接地设计规范》和GB50169-2016《电气装置安装工程接地装置施工及验收规范》执行。</w:t>
            </w:r>
          </w:p>
          <w:p w14:paraId="6FC876C9">
            <w:pPr>
              <w:pStyle w:val="25"/>
              <w:adjustRightInd w:val="0"/>
              <w:snapToGrid w:val="0"/>
              <w:spacing w:beforeAutospacing="0" w:afterAutospacing="0"/>
              <w:jc w:val="both"/>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5）导线排列优化：平行跨导线的相序排列避免同相布置，减少同相母线交叉与相同转角布置，以降低线路下方的工频电场强度和工频磁感应强度。设计阶段由设计单位出具相序排列方案图，经校核签字确认后实施。</w:t>
            </w:r>
          </w:p>
          <w:p w14:paraId="39F5D9B2">
            <w:pPr>
              <w:pStyle w:val="25"/>
              <w:adjustRightInd w:val="0"/>
              <w:snapToGrid w:val="0"/>
              <w:spacing w:beforeAutospacing="0" w:afterAutospacing="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bidi="ar"/>
              </w:rPr>
              <w:t>（6）巡检及违建管控：运行期委托专业巡线单位按DL/T741-2019《架空输电线路运行规程》要求，110kV及35kV线路巡视频次一月一次、10kV线路一季度一次，重点检查线路通道内是否存在新建违章建筑，一经发现应立即通知当事人整改并报告当地电力管理部门。同步建立巡线巡查台账，保存影像资料备查。</w:t>
            </w:r>
          </w:p>
        </w:tc>
      </w:tr>
      <w:tr w14:paraId="5D23D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6" w:type="pct"/>
            <w:vMerge w:val="continue"/>
            <w:vAlign w:val="center"/>
          </w:tcPr>
          <w:p w14:paraId="3DED3472">
            <w:pPr>
              <w:pStyle w:val="25"/>
              <w:adjustRightInd w:val="0"/>
              <w:snapToGrid w:val="0"/>
              <w:spacing w:beforeAutospacing="0" w:afterAutospacing="0"/>
              <w:jc w:val="center"/>
              <w:rPr>
                <w:rFonts w:hint="default" w:ascii="Times New Roman" w:hAnsi="Times New Roman" w:eastAsia="宋体" w:cs="Times New Roman"/>
                <w:color w:val="auto"/>
                <w:sz w:val="21"/>
                <w:szCs w:val="21"/>
              </w:rPr>
            </w:pPr>
          </w:p>
        </w:tc>
        <w:tc>
          <w:tcPr>
            <w:tcW w:w="737" w:type="pct"/>
            <w:vAlign w:val="center"/>
          </w:tcPr>
          <w:p w14:paraId="5001C64A">
            <w:pPr>
              <w:pStyle w:val="25"/>
              <w:adjustRightInd w:val="0"/>
              <w:snapToGrid w:val="0"/>
              <w:spacing w:beforeAutospacing="0" w:afterAutospacing="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警示牌</w:t>
            </w:r>
          </w:p>
        </w:tc>
        <w:tc>
          <w:tcPr>
            <w:tcW w:w="3557" w:type="pct"/>
            <w:vAlign w:val="center"/>
          </w:tcPr>
          <w:p w14:paraId="6F20ECA8">
            <w:pPr>
              <w:pStyle w:val="25"/>
              <w:adjustRightInd w:val="0"/>
              <w:snapToGrid w:val="0"/>
              <w:spacing w:beforeAutospacing="0" w:afterAutospacing="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设置塔基安全警示牌和电力设施保护标识牌。</w:t>
            </w:r>
          </w:p>
        </w:tc>
      </w:tr>
    </w:tbl>
    <w:p w14:paraId="7D74C419">
      <w:pPr>
        <w:adjustRightInd w:val="0"/>
        <w:snapToGrid w:val="0"/>
        <w:spacing w:before="156" w:beforeLines="50" w:after="156" w:afterLines="50"/>
        <w:outlineLvl w:val="2"/>
        <w:rPr>
          <w:rFonts w:hint="default" w:ascii="Times New Roman" w:hAnsi="Times New Roman" w:eastAsia="宋体" w:cs="Times New Roman"/>
          <w:b/>
          <w:color w:val="auto"/>
          <w:sz w:val="24"/>
          <w:szCs w:val="20"/>
          <w:lang w:val="en-US" w:eastAsia="zh-CN" w:bidi="ar"/>
        </w:rPr>
      </w:pPr>
      <w:bookmarkStart w:id="108" w:name="_Toc30870"/>
      <w:bookmarkStart w:id="109" w:name="_Toc31054"/>
      <w:r>
        <w:rPr>
          <w:rFonts w:hint="default" w:ascii="Times New Roman" w:hAnsi="Times New Roman" w:eastAsia="宋体" w:cs="Times New Roman"/>
          <w:b/>
          <w:color w:val="auto"/>
          <w:sz w:val="24"/>
          <w:szCs w:val="20"/>
          <w:lang w:val="en-US" w:eastAsia="zh-CN" w:bidi="ar"/>
        </w:rPr>
        <w:t>3.1.2主要工程参数</w:t>
      </w:r>
      <w:bookmarkEnd w:id="108"/>
      <w:bookmarkEnd w:id="109"/>
    </w:p>
    <w:p w14:paraId="0393EC8B">
      <w:pPr>
        <w:tabs>
          <w:tab w:val="right" w:pos="1064"/>
        </w:tabs>
        <w:adjustRightInd w:val="0"/>
        <w:snapToGrid w:val="0"/>
        <w:spacing w:line="360" w:lineRule="auto"/>
        <w:ind w:firstLine="482" w:firstLineChars="200"/>
        <w:rPr>
          <w:rFonts w:hint="default" w:ascii="Times New Roman" w:hAnsi="Times New Roman" w:eastAsia="宋体" w:cs="Times New Roman"/>
          <w:b/>
          <w:bCs/>
          <w:color w:val="auto"/>
          <w:sz w:val="24"/>
        </w:rPr>
      </w:pPr>
      <w:bookmarkStart w:id="110" w:name="_Toc27319"/>
      <w:bookmarkStart w:id="111" w:name="_Toc31530"/>
      <w:r>
        <w:rPr>
          <w:rFonts w:hint="default" w:ascii="Times New Roman" w:hAnsi="Times New Roman" w:eastAsia="宋体" w:cs="Times New Roman"/>
          <w:b/>
          <w:bCs/>
          <w:color w:val="auto"/>
          <w:sz w:val="24"/>
        </w:rPr>
        <w:t>（1）导线及地线</w:t>
      </w:r>
      <w:bookmarkEnd w:id="110"/>
      <w:bookmarkEnd w:id="111"/>
    </w:p>
    <w:p w14:paraId="5CE654E7">
      <w:pPr>
        <w:keepNext w:val="0"/>
        <w:keepLines w:val="0"/>
        <w:pageBreakBefore w:val="0"/>
        <w:widowControl w:val="0"/>
        <w:tabs>
          <w:tab w:val="right" w:pos="1064"/>
        </w:tabs>
        <w:kinsoku/>
        <w:wordWrap/>
        <w:overflowPunct/>
        <w:topLinePunct w:val="0"/>
        <w:autoSpaceDE/>
        <w:autoSpaceDN/>
        <w:bidi w:val="0"/>
        <w:adjustRightInd w:val="0"/>
        <w:snapToGrid w:val="0"/>
        <w:spacing w:line="360" w:lineRule="auto"/>
        <w:ind w:firstLine="464" w:firstLineChars="200"/>
        <w:textAlignment w:val="auto"/>
        <w:rPr>
          <w:rFonts w:hint="default" w:ascii="Times New Roman" w:hAnsi="Times New Roman" w:eastAsia="宋体" w:cs="Times New Roman"/>
          <w:color w:val="auto"/>
          <w:spacing w:val="-2"/>
          <w:kern w:val="0"/>
          <w:sz w:val="24"/>
          <w:lang w:bidi="ar"/>
        </w:rPr>
      </w:pPr>
      <w:r>
        <w:rPr>
          <w:rFonts w:hint="default" w:ascii="Times New Roman" w:hAnsi="Times New Roman" w:eastAsia="宋体" w:cs="Times New Roman"/>
          <w:color w:val="auto"/>
          <w:spacing w:val="-4"/>
          <w:kern w:val="0"/>
          <w:sz w:val="24"/>
          <w:lang w:bidi="ar"/>
        </w:rPr>
        <w:t>新建线路导线（10mm、20mm冰区）采用JNRLH1/LB20A-400/50型铝包钢芯耐热铝合金绞线，导线（30mm冰区）采用JNRLH1/LB20A-400/50型铝包钢芯耐热铝合金绞线；10、20mm冰区地线采用2根OPGW-100光缆（24芯G.652D），30mm冰区地线采用2根OPGW-120光缆（24芯G.652D）。</w:t>
      </w:r>
    </w:p>
    <w:p w14:paraId="0B541BE8">
      <w:pPr>
        <w:tabs>
          <w:tab w:val="right" w:pos="1064"/>
        </w:tabs>
        <w:adjustRightInd w:val="0"/>
        <w:snapToGrid w:val="0"/>
        <w:spacing w:line="360" w:lineRule="auto"/>
        <w:ind w:firstLine="474" w:firstLineChars="200"/>
        <w:rPr>
          <w:rFonts w:hint="default" w:ascii="Times New Roman" w:hAnsi="Times New Roman" w:eastAsia="宋体" w:cs="Times New Roman"/>
          <w:b/>
          <w:bCs/>
          <w:color w:val="auto"/>
          <w:spacing w:val="-2"/>
          <w:kern w:val="0"/>
          <w:sz w:val="24"/>
          <w:lang w:bidi="ar"/>
        </w:rPr>
      </w:pPr>
      <w:bookmarkStart w:id="112" w:name="_Toc21227"/>
      <w:bookmarkStart w:id="113" w:name="_Toc28584"/>
      <w:r>
        <w:rPr>
          <w:rFonts w:hint="default" w:ascii="Times New Roman" w:hAnsi="Times New Roman" w:eastAsia="宋体" w:cs="Times New Roman"/>
          <w:b/>
          <w:bCs/>
          <w:color w:val="auto"/>
          <w:spacing w:val="-2"/>
          <w:kern w:val="0"/>
          <w:sz w:val="24"/>
          <w:lang w:bidi="ar"/>
        </w:rPr>
        <w:t>（2）杆塔及基础</w:t>
      </w:r>
      <w:bookmarkEnd w:id="112"/>
      <w:bookmarkEnd w:id="113"/>
    </w:p>
    <w:p w14:paraId="34BF3BAB">
      <w:pPr>
        <w:tabs>
          <w:tab w:val="right" w:pos="1064"/>
        </w:tabs>
        <w:adjustRightInd w:val="0"/>
        <w:snapToGrid w:val="0"/>
        <w:spacing w:line="360" w:lineRule="auto"/>
        <w:ind w:firstLine="472"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pacing w:val="-2"/>
          <w:kern w:val="0"/>
          <w:sz w:val="24"/>
          <w:lang w:bidi="ar"/>
        </w:rPr>
        <w:t>本项目均采用同单回路架设。共计使用杆塔</w:t>
      </w:r>
      <w:r>
        <w:rPr>
          <w:rFonts w:hint="default" w:ascii="Times New Roman" w:hAnsi="Times New Roman" w:eastAsia="宋体" w:cs="Times New Roman"/>
          <w:color w:val="auto"/>
          <w:spacing w:val="-2"/>
          <w:kern w:val="0"/>
          <w:sz w:val="24"/>
          <w:lang w:val="en-US" w:eastAsia="zh-CN" w:bidi="ar"/>
        </w:rPr>
        <w:t>45</w:t>
      </w:r>
      <w:r>
        <w:rPr>
          <w:rFonts w:hint="default" w:ascii="Times New Roman" w:hAnsi="Times New Roman" w:eastAsia="宋体" w:cs="Times New Roman"/>
          <w:color w:val="auto"/>
          <w:spacing w:val="-2"/>
          <w:kern w:val="0"/>
          <w:sz w:val="24"/>
          <w:lang w:bidi="ar"/>
        </w:rPr>
        <w:t>基，其中</w:t>
      </w:r>
      <w:r>
        <w:rPr>
          <w:rFonts w:hint="default" w:ascii="Times New Roman" w:hAnsi="Times New Roman" w:eastAsia="宋体" w:cs="Times New Roman"/>
          <w:color w:val="auto"/>
          <w:sz w:val="24"/>
          <w:lang w:eastAsia="zh-TW" w:bidi="ar"/>
        </w:rPr>
        <w:t>单回路直线塔</w:t>
      </w:r>
      <w:r>
        <w:rPr>
          <w:rFonts w:hint="default" w:ascii="Times New Roman" w:hAnsi="Times New Roman" w:eastAsia="宋体" w:cs="Times New Roman"/>
          <w:color w:val="auto"/>
          <w:sz w:val="24"/>
          <w:lang w:val="en-US" w:eastAsia="zh-CN" w:bidi="ar"/>
        </w:rPr>
        <w:t>28</w:t>
      </w:r>
      <w:r>
        <w:rPr>
          <w:rFonts w:hint="default" w:ascii="Times New Roman" w:hAnsi="Times New Roman" w:eastAsia="宋体" w:cs="Times New Roman"/>
          <w:color w:val="auto"/>
          <w:sz w:val="24"/>
          <w:lang w:bidi="ar"/>
        </w:rPr>
        <w:t>基，单回路耐张塔</w:t>
      </w:r>
      <w:r>
        <w:rPr>
          <w:rFonts w:hint="default" w:ascii="Times New Roman" w:hAnsi="Times New Roman" w:eastAsia="宋体" w:cs="Times New Roman"/>
          <w:color w:val="auto"/>
          <w:sz w:val="24"/>
          <w:lang w:val="en-US" w:eastAsia="zh-CN" w:bidi="ar"/>
        </w:rPr>
        <w:t>17</w:t>
      </w:r>
      <w:r>
        <w:rPr>
          <w:rFonts w:hint="default" w:ascii="Times New Roman" w:hAnsi="Times New Roman" w:eastAsia="宋体" w:cs="Times New Roman"/>
          <w:color w:val="auto"/>
          <w:sz w:val="24"/>
          <w:lang w:bidi="ar"/>
        </w:rPr>
        <w:t>基</w:t>
      </w:r>
      <w:r>
        <w:rPr>
          <w:rFonts w:hint="default" w:ascii="Times New Roman" w:hAnsi="Times New Roman" w:eastAsia="宋体" w:cs="Times New Roman"/>
          <w:color w:val="auto"/>
          <w:spacing w:val="-2"/>
          <w:kern w:val="0"/>
          <w:sz w:val="24"/>
          <w:lang w:bidi="ar"/>
        </w:rPr>
        <w:t>。基础采用掏挖基础、人工挖孔桩基础，铁塔与基础的连接采用地脚螺栓连接。</w:t>
      </w:r>
    </w:p>
    <w:p w14:paraId="2760E54A">
      <w:pPr>
        <w:widowControl/>
        <w:kinsoku w:val="0"/>
        <w:autoSpaceDE w:val="0"/>
        <w:autoSpaceDN w:val="0"/>
        <w:adjustRightInd w:val="0"/>
        <w:snapToGrid w:val="0"/>
        <w:jc w:val="center"/>
        <w:rPr>
          <w:rFonts w:hint="default" w:ascii="Times New Roman" w:hAnsi="Times New Roman" w:eastAsia="宋体" w:cs="Times New Roman"/>
          <w:b/>
          <w:bCs/>
          <w:color w:val="auto"/>
          <w:spacing w:val="-1"/>
          <w:kern w:val="0"/>
          <w:sz w:val="24"/>
          <w:lang w:bidi="ar"/>
        </w:rPr>
      </w:pPr>
      <w:r>
        <w:rPr>
          <w:rFonts w:hint="default" w:ascii="Times New Roman" w:hAnsi="Times New Roman" w:eastAsia="宋体" w:cs="Times New Roman"/>
          <w:b/>
          <w:bCs/>
          <w:color w:val="auto"/>
          <w:spacing w:val="-1"/>
          <w:kern w:val="0"/>
          <w:sz w:val="24"/>
          <w:lang w:bidi="ar"/>
        </w:rPr>
        <w:t>表3-2</w:t>
      </w:r>
      <w:r>
        <w:rPr>
          <w:rFonts w:hint="default" w:ascii="Times New Roman" w:hAnsi="Times New Roman" w:eastAsia="宋体" w:cs="Times New Roman"/>
          <w:b/>
          <w:bCs/>
          <w:color w:val="auto"/>
          <w:spacing w:val="2"/>
          <w:kern w:val="0"/>
          <w:sz w:val="24"/>
          <w:lang w:bidi="ar"/>
        </w:rPr>
        <w:t xml:space="preserve"> </w:t>
      </w:r>
      <w:r>
        <w:rPr>
          <w:rFonts w:hint="eastAsia" w:ascii="Times New Roman" w:hAnsi="Times New Roman" w:cs="Times New Roman"/>
          <w:b/>
          <w:bCs/>
          <w:color w:val="auto"/>
          <w:spacing w:val="2"/>
          <w:kern w:val="0"/>
          <w:sz w:val="24"/>
          <w:lang w:val="en-US" w:eastAsia="zh-CN" w:bidi="ar"/>
        </w:rPr>
        <w:t xml:space="preserve"> </w:t>
      </w:r>
      <w:r>
        <w:rPr>
          <w:rFonts w:hint="default" w:ascii="Times New Roman" w:hAnsi="Times New Roman" w:eastAsia="宋体" w:cs="Times New Roman"/>
          <w:b/>
          <w:bCs/>
          <w:color w:val="auto"/>
          <w:spacing w:val="-1"/>
          <w:kern w:val="0"/>
          <w:sz w:val="24"/>
          <w:lang w:bidi="ar"/>
        </w:rPr>
        <w:t>本项目使用的杆塔情况一览表</w:t>
      </w:r>
    </w:p>
    <w:tbl>
      <w:tblPr>
        <w:tblStyle w:val="91"/>
        <w:tblW w:w="499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801"/>
        <w:gridCol w:w="1452"/>
        <w:gridCol w:w="1804"/>
        <w:gridCol w:w="1128"/>
        <w:gridCol w:w="1299"/>
        <w:gridCol w:w="819"/>
      </w:tblGrid>
      <w:tr w14:paraId="4266E0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084" w:type="pct"/>
            <w:vMerge w:val="restart"/>
            <w:tcBorders>
              <w:tl2br w:val="nil"/>
              <w:tr2bl w:val="nil"/>
            </w:tcBorders>
            <w:vAlign w:val="center"/>
          </w:tcPr>
          <w:p w14:paraId="4EF8CF61">
            <w:pPr>
              <w:autoSpaceDE w:val="0"/>
              <w:autoSpaceDN w:val="0"/>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塔型</w:t>
            </w:r>
          </w:p>
        </w:tc>
        <w:tc>
          <w:tcPr>
            <w:tcW w:w="874" w:type="pct"/>
            <w:vMerge w:val="restart"/>
            <w:tcBorders>
              <w:tl2br w:val="nil"/>
              <w:tr2bl w:val="nil"/>
            </w:tcBorders>
            <w:vAlign w:val="center"/>
          </w:tcPr>
          <w:p w14:paraId="3A389E78">
            <w:pPr>
              <w:autoSpaceDE w:val="0"/>
              <w:autoSpaceDN w:val="0"/>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数量</w:t>
            </w:r>
          </w:p>
        </w:tc>
        <w:tc>
          <w:tcPr>
            <w:tcW w:w="1086" w:type="pct"/>
            <w:vMerge w:val="restart"/>
            <w:tcBorders>
              <w:tl2br w:val="nil"/>
              <w:tr2bl w:val="nil"/>
            </w:tcBorders>
            <w:vAlign w:val="center"/>
          </w:tcPr>
          <w:p w14:paraId="24E45F72">
            <w:pPr>
              <w:autoSpaceDE w:val="0"/>
              <w:autoSpaceDN w:val="0"/>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转角范围（°）</w:t>
            </w:r>
          </w:p>
        </w:tc>
        <w:tc>
          <w:tcPr>
            <w:tcW w:w="1461" w:type="pct"/>
            <w:gridSpan w:val="2"/>
            <w:tcBorders>
              <w:tl2br w:val="nil"/>
              <w:tr2bl w:val="nil"/>
            </w:tcBorders>
            <w:vAlign w:val="center"/>
          </w:tcPr>
          <w:p w14:paraId="68952987">
            <w:pPr>
              <w:autoSpaceDE w:val="0"/>
              <w:autoSpaceDN w:val="0"/>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常用呼高/相应水平档距（m）</w:t>
            </w:r>
          </w:p>
        </w:tc>
        <w:tc>
          <w:tcPr>
            <w:tcW w:w="493" w:type="pct"/>
            <w:vMerge w:val="restart"/>
            <w:tcBorders>
              <w:tl2br w:val="nil"/>
              <w:tr2bl w:val="nil"/>
            </w:tcBorders>
            <w:vAlign w:val="center"/>
          </w:tcPr>
          <w:p w14:paraId="6EC97A54">
            <w:pPr>
              <w:autoSpaceDE w:val="0"/>
              <w:autoSpaceDN w:val="0"/>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合计</w:t>
            </w:r>
          </w:p>
        </w:tc>
      </w:tr>
      <w:tr w14:paraId="3AEBE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continue"/>
            <w:tcBorders>
              <w:tl2br w:val="nil"/>
              <w:tr2bl w:val="nil"/>
            </w:tcBorders>
            <w:vAlign w:val="center"/>
          </w:tcPr>
          <w:p w14:paraId="7DE82D7B">
            <w:pPr>
              <w:autoSpaceDE w:val="0"/>
              <w:autoSpaceDN w:val="0"/>
              <w:adjustRightInd w:val="0"/>
              <w:snapToGrid w:val="0"/>
              <w:jc w:val="center"/>
              <w:rPr>
                <w:rFonts w:hint="default" w:ascii="Times New Roman" w:hAnsi="Times New Roman" w:eastAsia="宋体" w:cs="Times New Roman"/>
                <w:b/>
                <w:bCs/>
                <w:color w:val="auto"/>
                <w:szCs w:val="21"/>
              </w:rPr>
            </w:pPr>
          </w:p>
        </w:tc>
        <w:tc>
          <w:tcPr>
            <w:tcW w:w="874" w:type="pct"/>
            <w:vMerge w:val="continue"/>
            <w:tcBorders>
              <w:tl2br w:val="nil"/>
              <w:tr2bl w:val="nil"/>
            </w:tcBorders>
            <w:vAlign w:val="center"/>
          </w:tcPr>
          <w:p w14:paraId="4F25D213">
            <w:pPr>
              <w:autoSpaceDE w:val="0"/>
              <w:autoSpaceDN w:val="0"/>
              <w:adjustRightInd w:val="0"/>
              <w:snapToGrid w:val="0"/>
              <w:jc w:val="center"/>
              <w:rPr>
                <w:rFonts w:hint="default" w:ascii="Times New Roman" w:hAnsi="Times New Roman" w:eastAsia="宋体" w:cs="Times New Roman"/>
                <w:b/>
                <w:bCs/>
                <w:color w:val="auto"/>
                <w:szCs w:val="21"/>
              </w:rPr>
            </w:pPr>
          </w:p>
        </w:tc>
        <w:tc>
          <w:tcPr>
            <w:tcW w:w="1086" w:type="pct"/>
            <w:vMerge w:val="continue"/>
            <w:tcBorders>
              <w:tl2br w:val="nil"/>
              <w:tr2bl w:val="nil"/>
            </w:tcBorders>
            <w:vAlign w:val="center"/>
          </w:tcPr>
          <w:p w14:paraId="78F90F9F">
            <w:pPr>
              <w:autoSpaceDE w:val="0"/>
              <w:autoSpaceDN w:val="0"/>
              <w:adjustRightInd w:val="0"/>
              <w:snapToGrid w:val="0"/>
              <w:jc w:val="center"/>
              <w:rPr>
                <w:rFonts w:hint="default" w:ascii="Times New Roman" w:hAnsi="Times New Roman" w:eastAsia="宋体" w:cs="Times New Roman"/>
                <w:b/>
                <w:bCs/>
                <w:color w:val="auto"/>
                <w:szCs w:val="21"/>
              </w:rPr>
            </w:pPr>
          </w:p>
        </w:tc>
        <w:tc>
          <w:tcPr>
            <w:tcW w:w="679" w:type="pct"/>
            <w:tcBorders>
              <w:tl2br w:val="nil"/>
              <w:tr2bl w:val="nil"/>
            </w:tcBorders>
            <w:vAlign w:val="center"/>
          </w:tcPr>
          <w:p w14:paraId="56AFF238">
            <w:pPr>
              <w:autoSpaceDE w:val="0"/>
              <w:autoSpaceDN w:val="0"/>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呼高</w:t>
            </w:r>
          </w:p>
        </w:tc>
        <w:tc>
          <w:tcPr>
            <w:tcW w:w="781" w:type="pct"/>
            <w:tcBorders>
              <w:tl2br w:val="nil"/>
              <w:tr2bl w:val="nil"/>
            </w:tcBorders>
            <w:vAlign w:val="center"/>
          </w:tcPr>
          <w:p w14:paraId="05D9361C">
            <w:pPr>
              <w:autoSpaceDE w:val="0"/>
              <w:autoSpaceDN w:val="0"/>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水平档距</w:t>
            </w:r>
          </w:p>
        </w:tc>
        <w:tc>
          <w:tcPr>
            <w:tcW w:w="493" w:type="pct"/>
            <w:vMerge w:val="continue"/>
            <w:tcBorders>
              <w:tl2br w:val="nil"/>
              <w:tr2bl w:val="nil"/>
            </w:tcBorders>
            <w:vAlign w:val="center"/>
          </w:tcPr>
          <w:p w14:paraId="303D4E27">
            <w:pPr>
              <w:autoSpaceDE w:val="0"/>
              <w:autoSpaceDN w:val="0"/>
              <w:adjustRightInd w:val="0"/>
              <w:snapToGrid w:val="0"/>
              <w:jc w:val="center"/>
              <w:rPr>
                <w:rFonts w:hint="default" w:ascii="Times New Roman" w:hAnsi="Times New Roman" w:eastAsia="宋体" w:cs="Times New Roman"/>
                <w:b/>
                <w:bCs/>
                <w:color w:val="auto"/>
                <w:szCs w:val="21"/>
              </w:rPr>
            </w:pPr>
          </w:p>
        </w:tc>
      </w:tr>
      <w:tr w14:paraId="617992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restart"/>
            <w:tcBorders>
              <w:tl2br w:val="nil"/>
              <w:tr2bl w:val="nil"/>
            </w:tcBorders>
            <w:vAlign w:val="center"/>
          </w:tcPr>
          <w:p w14:paraId="144ADB0B">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1D1Y1-ZM2</w:t>
            </w:r>
          </w:p>
        </w:tc>
        <w:tc>
          <w:tcPr>
            <w:tcW w:w="874" w:type="pct"/>
            <w:tcBorders>
              <w:tl2br w:val="nil"/>
              <w:tr2bl w:val="nil"/>
            </w:tcBorders>
            <w:vAlign w:val="center"/>
          </w:tcPr>
          <w:p w14:paraId="16C201A7">
            <w:pPr>
              <w:autoSpaceDE w:val="0"/>
              <w:autoSpaceDN w:val="0"/>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2</w:t>
            </w:r>
          </w:p>
        </w:tc>
        <w:tc>
          <w:tcPr>
            <w:tcW w:w="1086" w:type="pct"/>
            <w:tcBorders>
              <w:tl2br w:val="nil"/>
              <w:tr2bl w:val="nil"/>
            </w:tcBorders>
            <w:vAlign w:val="center"/>
          </w:tcPr>
          <w:p w14:paraId="55138520">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w:t>
            </w:r>
          </w:p>
        </w:tc>
        <w:tc>
          <w:tcPr>
            <w:tcW w:w="679" w:type="pct"/>
            <w:tcBorders>
              <w:tl2br w:val="nil"/>
              <w:tr2bl w:val="nil"/>
            </w:tcBorders>
            <w:vAlign w:val="center"/>
          </w:tcPr>
          <w:p w14:paraId="6E43B25A">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24</w:t>
            </w:r>
          </w:p>
        </w:tc>
        <w:tc>
          <w:tcPr>
            <w:tcW w:w="781" w:type="pct"/>
            <w:vMerge w:val="restart"/>
            <w:tcBorders>
              <w:tl2br w:val="nil"/>
              <w:tr2bl w:val="nil"/>
            </w:tcBorders>
            <w:vAlign w:val="center"/>
          </w:tcPr>
          <w:p w14:paraId="386101A7">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466</w:t>
            </w:r>
          </w:p>
        </w:tc>
        <w:tc>
          <w:tcPr>
            <w:tcW w:w="493" w:type="pct"/>
            <w:vMerge w:val="restart"/>
            <w:tcBorders>
              <w:tl2br w:val="nil"/>
              <w:tr2bl w:val="nil"/>
            </w:tcBorders>
            <w:vAlign w:val="center"/>
          </w:tcPr>
          <w:p w14:paraId="68676423">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48</w:t>
            </w:r>
          </w:p>
        </w:tc>
      </w:tr>
      <w:tr w14:paraId="6EAA2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continue"/>
            <w:tcBorders>
              <w:tl2br w:val="nil"/>
              <w:tr2bl w:val="nil"/>
            </w:tcBorders>
            <w:vAlign w:val="center"/>
          </w:tcPr>
          <w:p w14:paraId="3A3BF42F">
            <w:pPr>
              <w:autoSpaceDE w:val="0"/>
              <w:autoSpaceDN w:val="0"/>
              <w:adjustRightInd w:val="0"/>
              <w:snapToGrid w:val="0"/>
              <w:jc w:val="center"/>
              <w:rPr>
                <w:rFonts w:hint="default" w:ascii="Times New Roman" w:hAnsi="Times New Roman" w:eastAsia="宋体" w:cs="Times New Roman"/>
                <w:color w:val="auto"/>
                <w:szCs w:val="21"/>
              </w:rPr>
            </w:pPr>
          </w:p>
        </w:tc>
        <w:tc>
          <w:tcPr>
            <w:tcW w:w="874" w:type="pct"/>
            <w:tcBorders>
              <w:tl2br w:val="nil"/>
              <w:tr2bl w:val="nil"/>
            </w:tcBorders>
            <w:vAlign w:val="center"/>
          </w:tcPr>
          <w:p w14:paraId="755B3368">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1086" w:type="pct"/>
            <w:tcBorders>
              <w:tl2br w:val="nil"/>
              <w:tr2bl w:val="nil"/>
            </w:tcBorders>
            <w:vAlign w:val="center"/>
          </w:tcPr>
          <w:p w14:paraId="2267A569">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w:t>
            </w:r>
          </w:p>
        </w:tc>
        <w:tc>
          <w:tcPr>
            <w:tcW w:w="679" w:type="pct"/>
            <w:tcBorders>
              <w:tl2br w:val="nil"/>
              <w:tr2bl w:val="nil"/>
            </w:tcBorders>
            <w:vAlign w:val="center"/>
          </w:tcPr>
          <w:p w14:paraId="193071F4">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30</w:t>
            </w:r>
          </w:p>
        </w:tc>
        <w:tc>
          <w:tcPr>
            <w:tcW w:w="781" w:type="pct"/>
            <w:vMerge w:val="continue"/>
            <w:tcBorders>
              <w:tl2br w:val="nil"/>
              <w:tr2bl w:val="nil"/>
            </w:tcBorders>
            <w:vAlign w:val="center"/>
          </w:tcPr>
          <w:p w14:paraId="16857EC7">
            <w:pPr>
              <w:autoSpaceDE w:val="0"/>
              <w:autoSpaceDN w:val="0"/>
              <w:adjustRightInd w:val="0"/>
              <w:snapToGrid w:val="0"/>
              <w:jc w:val="center"/>
              <w:rPr>
                <w:rFonts w:hint="default" w:ascii="Times New Roman" w:hAnsi="Times New Roman" w:eastAsia="宋体" w:cs="Times New Roman"/>
                <w:color w:val="auto"/>
                <w:szCs w:val="21"/>
              </w:rPr>
            </w:pPr>
          </w:p>
        </w:tc>
        <w:tc>
          <w:tcPr>
            <w:tcW w:w="493" w:type="pct"/>
            <w:vMerge w:val="continue"/>
            <w:tcBorders>
              <w:tl2br w:val="nil"/>
              <w:tr2bl w:val="nil"/>
            </w:tcBorders>
            <w:vAlign w:val="center"/>
          </w:tcPr>
          <w:p w14:paraId="2566E6DB">
            <w:pPr>
              <w:autoSpaceDE w:val="0"/>
              <w:autoSpaceDN w:val="0"/>
              <w:adjustRightInd w:val="0"/>
              <w:snapToGrid w:val="0"/>
              <w:jc w:val="center"/>
              <w:rPr>
                <w:rFonts w:hint="default" w:ascii="Times New Roman" w:hAnsi="Times New Roman" w:eastAsia="宋体" w:cs="Times New Roman"/>
                <w:color w:val="auto"/>
                <w:szCs w:val="21"/>
              </w:rPr>
            </w:pPr>
          </w:p>
        </w:tc>
      </w:tr>
      <w:tr w14:paraId="143D4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continue"/>
            <w:tcBorders>
              <w:tl2br w:val="nil"/>
              <w:tr2bl w:val="nil"/>
            </w:tcBorders>
            <w:vAlign w:val="center"/>
          </w:tcPr>
          <w:p w14:paraId="53C8B50A">
            <w:pPr>
              <w:autoSpaceDE w:val="0"/>
              <w:autoSpaceDN w:val="0"/>
              <w:adjustRightInd w:val="0"/>
              <w:snapToGrid w:val="0"/>
              <w:jc w:val="center"/>
              <w:rPr>
                <w:rFonts w:hint="default" w:ascii="Times New Roman" w:hAnsi="Times New Roman" w:eastAsia="宋体" w:cs="Times New Roman"/>
                <w:color w:val="auto"/>
                <w:szCs w:val="21"/>
              </w:rPr>
            </w:pPr>
          </w:p>
        </w:tc>
        <w:tc>
          <w:tcPr>
            <w:tcW w:w="874" w:type="pct"/>
            <w:tcBorders>
              <w:tl2br w:val="nil"/>
              <w:tr2bl w:val="nil"/>
            </w:tcBorders>
            <w:vAlign w:val="center"/>
          </w:tcPr>
          <w:p w14:paraId="162C425B">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1086" w:type="pct"/>
            <w:tcBorders>
              <w:tl2br w:val="nil"/>
              <w:tr2bl w:val="nil"/>
            </w:tcBorders>
            <w:vAlign w:val="center"/>
          </w:tcPr>
          <w:p w14:paraId="79C035B7">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w:t>
            </w:r>
          </w:p>
        </w:tc>
        <w:tc>
          <w:tcPr>
            <w:tcW w:w="679" w:type="pct"/>
            <w:tcBorders>
              <w:tl2br w:val="nil"/>
              <w:tr2bl w:val="nil"/>
            </w:tcBorders>
            <w:vAlign w:val="center"/>
          </w:tcPr>
          <w:p w14:paraId="18E2E804">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36</w:t>
            </w:r>
          </w:p>
        </w:tc>
        <w:tc>
          <w:tcPr>
            <w:tcW w:w="781" w:type="pct"/>
            <w:vMerge w:val="continue"/>
            <w:tcBorders>
              <w:tl2br w:val="nil"/>
              <w:tr2bl w:val="nil"/>
            </w:tcBorders>
            <w:vAlign w:val="center"/>
          </w:tcPr>
          <w:p w14:paraId="12CFEB60">
            <w:pPr>
              <w:autoSpaceDE w:val="0"/>
              <w:autoSpaceDN w:val="0"/>
              <w:adjustRightInd w:val="0"/>
              <w:snapToGrid w:val="0"/>
              <w:jc w:val="center"/>
              <w:rPr>
                <w:rFonts w:hint="default" w:ascii="Times New Roman" w:hAnsi="Times New Roman" w:eastAsia="宋体" w:cs="Times New Roman"/>
                <w:color w:val="auto"/>
                <w:szCs w:val="21"/>
              </w:rPr>
            </w:pPr>
          </w:p>
        </w:tc>
        <w:tc>
          <w:tcPr>
            <w:tcW w:w="493" w:type="pct"/>
            <w:vMerge w:val="continue"/>
            <w:tcBorders>
              <w:tl2br w:val="nil"/>
              <w:tr2bl w:val="nil"/>
            </w:tcBorders>
            <w:vAlign w:val="center"/>
          </w:tcPr>
          <w:p w14:paraId="75C53B76">
            <w:pPr>
              <w:autoSpaceDE w:val="0"/>
              <w:autoSpaceDN w:val="0"/>
              <w:adjustRightInd w:val="0"/>
              <w:snapToGrid w:val="0"/>
              <w:jc w:val="center"/>
              <w:rPr>
                <w:rFonts w:hint="default" w:ascii="Times New Roman" w:hAnsi="Times New Roman" w:eastAsia="宋体" w:cs="Times New Roman"/>
                <w:color w:val="auto"/>
                <w:szCs w:val="21"/>
              </w:rPr>
            </w:pPr>
          </w:p>
        </w:tc>
      </w:tr>
      <w:tr w14:paraId="26D61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continue"/>
            <w:tcBorders>
              <w:tl2br w:val="nil"/>
              <w:tr2bl w:val="nil"/>
            </w:tcBorders>
            <w:vAlign w:val="center"/>
          </w:tcPr>
          <w:p w14:paraId="3C284F5D">
            <w:pPr>
              <w:autoSpaceDE w:val="0"/>
              <w:autoSpaceDN w:val="0"/>
              <w:adjustRightInd w:val="0"/>
              <w:snapToGrid w:val="0"/>
              <w:jc w:val="center"/>
              <w:rPr>
                <w:rFonts w:hint="default" w:ascii="Times New Roman" w:hAnsi="Times New Roman" w:eastAsia="宋体" w:cs="Times New Roman"/>
                <w:color w:val="auto"/>
                <w:szCs w:val="21"/>
              </w:rPr>
            </w:pPr>
          </w:p>
        </w:tc>
        <w:tc>
          <w:tcPr>
            <w:tcW w:w="874" w:type="pct"/>
            <w:tcBorders>
              <w:tl2br w:val="nil"/>
              <w:tr2bl w:val="nil"/>
            </w:tcBorders>
            <w:vAlign w:val="center"/>
          </w:tcPr>
          <w:p w14:paraId="05C631C7">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1086" w:type="pct"/>
            <w:tcBorders>
              <w:tl2br w:val="nil"/>
              <w:tr2bl w:val="nil"/>
            </w:tcBorders>
            <w:vAlign w:val="center"/>
          </w:tcPr>
          <w:p w14:paraId="56409FEF">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w:t>
            </w:r>
          </w:p>
        </w:tc>
        <w:tc>
          <w:tcPr>
            <w:tcW w:w="679" w:type="pct"/>
            <w:tcBorders>
              <w:tl2br w:val="nil"/>
              <w:tr2bl w:val="nil"/>
            </w:tcBorders>
            <w:vAlign w:val="center"/>
          </w:tcPr>
          <w:p w14:paraId="6CE93B31">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39</w:t>
            </w:r>
          </w:p>
        </w:tc>
        <w:tc>
          <w:tcPr>
            <w:tcW w:w="781" w:type="pct"/>
            <w:vMerge w:val="continue"/>
            <w:tcBorders>
              <w:tl2br w:val="nil"/>
              <w:tr2bl w:val="nil"/>
            </w:tcBorders>
            <w:vAlign w:val="center"/>
          </w:tcPr>
          <w:p w14:paraId="67A7260D">
            <w:pPr>
              <w:autoSpaceDE w:val="0"/>
              <w:autoSpaceDN w:val="0"/>
              <w:adjustRightInd w:val="0"/>
              <w:snapToGrid w:val="0"/>
              <w:jc w:val="center"/>
              <w:rPr>
                <w:rFonts w:hint="default" w:ascii="Times New Roman" w:hAnsi="Times New Roman" w:eastAsia="宋体" w:cs="Times New Roman"/>
                <w:color w:val="auto"/>
                <w:szCs w:val="21"/>
              </w:rPr>
            </w:pPr>
          </w:p>
        </w:tc>
        <w:tc>
          <w:tcPr>
            <w:tcW w:w="493" w:type="pct"/>
            <w:vMerge w:val="continue"/>
            <w:tcBorders>
              <w:tl2br w:val="nil"/>
              <w:tr2bl w:val="nil"/>
            </w:tcBorders>
            <w:vAlign w:val="center"/>
          </w:tcPr>
          <w:p w14:paraId="703A46F6">
            <w:pPr>
              <w:autoSpaceDE w:val="0"/>
              <w:autoSpaceDN w:val="0"/>
              <w:adjustRightInd w:val="0"/>
              <w:snapToGrid w:val="0"/>
              <w:jc w:val="center"/>
              <w:rPr>
                <w:rFonts w:hint="default" w:ascii="Times New Roman" w:hAnsi="Times New Roman" w:eastAsia="宋体" w:cs="Times New Roman"/>
                <w:color w:val="auto"/>
                <w:szCs w:val="21"/>
              </w:rPr>
            </w:pPr>
          </w:p>
        </w:tc>
      </w:tr>
      <w:tr w14:paraId="46440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restart"/>
            <w:tcBorders>
              <w:tl2br w:val="nil"/>
              <w:tr2bl w:val="nil"/>
            </w:tcBorders>
            <w:vAlign w:val="center"/>
          </w:tcPr>
          <w:p w14:paraId="170ED997">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1D1Y1-ZM</w:t>
            </w:r>
            <w:r>
              <w:rPr>
                <w:rFonts w:hint="default" w:ascii="Times New Roman" w:hAnsi="Times New Roman" w:eastAsia="宋体" w:cs="Times New Roman"/>
                <w:color w:val="auto"/>
                <w:szCs w:val="21"/>
                <w:lang w:val="en-US" w:eastAsia="zh-CN"/>
              </w:rPr>
              <w:t>3</w:t>
            </w:r>
          </w:p>
        </w:tc>
        <w:tc>
          <w:tcPr>
            <w:tcW w:w="874" w:type="pct"/>
            <w:tcBorders>
              <w:tl2br w:val="nil"/>
              <w:tr2bl w:val="nil"/>
            </w:tcBorders>
            <w:vAlign w:val="center"/>
          </w:tcPr>
          <w:p w14:paraId="2FBE3FF6">
            <w:pPr>
              <w:autoSpaceDE w:val="0"/>
              <w:autoSpaceDN w:val="0"/>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1</w:t>
            </w:r>
          </w:p>
        </w:tc>
        <w:tc>
          <w:tcPr>
            <w:tcW w:w="1086" w:type="pct"/>
            <w:tcBorders>
              <w:tl2br w:val="nil"/>
              <w:tr2bl w:val="nil"/>
            </w:tcBorders>
            <w:vAlign w:val="center"/>
          </w:tcPr>
          <w:p w14:paraId="01DD0A23">
            <w:pPr>
              <w:autoSpaceDE w:val="0"/>
              <w:autoSpaceDN w:val="0"/>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w:t>
            </w:r>
          </w:p>
        </w:tc>
        <w:tc>
          <w:tcPr>
            <w:tcW w:w="679" w:type="pct"/>
            <w:tcBorders>
              <w:tl2br w:val="nil"/>
              <w:tr2bl w:val="nil"/>
            </w:tcBorders>
            <w:vAlign w:val="center"/>
          </w:tcPr>
          <w:p w14:paraId="3C9C24C0">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21</w:t>
            </w:r>
          </w:p>
        </w:tc>
        <w:tc>
          <w:tcPr>
            <w:tcW w:w="781" w:type="pct"/>
            <w:vMerge w:val="restart"/>
            <w:tcBorders>
              <w:tl2br w:val="nil"/>
              <w:tr2bl w:val="nil"/>
            </w:tcBorders>
            <w:vAlign w:val="center"/>
          </w:tcPr>
          <w:p w14:paraId="39654640">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583</w:t>
            </w:r>
          </w:p>
        </w:tc>
        <w:tc>
          <w:tcPr>
            <w:tcW w:w="493" w:type="pct"/>
            <w:vMerge w:val="continue"/>
            <w:tcBorders>
              <w:tl2br w:val="nil"/>
              <w:tr2bl w:val="nil"/>
            </w:tcBorders>
            <w:vAlign w:val="center"/>
          </w:tcPr>
          <w:p w14:paraId="4D22AC98">
            <w:pPr>
              <w:autoSpaceDE w:val="0"/>
              <w:autoSpaceDN w:val="0"/>
              <w:adjustRightInd w:val="0"/>
              <w:snapToGrid w:val="0"/>
              <w:jc w:val="center"/>
              <w:rPr>
                <w:rFonts w:hint="default" w:ascii="Times New Roman" w:hAnsi="Times New Roman" w:eastAsia="宋体" w:cs="Times New Roman"/>
                <w:color w:val="auto"/>
                <w:szCs w:val="21"/>
              </w:rPr>
            </w:pPr>
          </w:p>
        </w:tc>
      </w:tr>
      <w:tr w14:paraId="2EAE13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continue"/>
            <w:tcBorders>
              <w:tl2br w:val="nil"/>
              <w:tr2bl w:val="nil"/>
            </w:tcBorders>
            <w:vAlign w:val="center"/>
          </w:tcPr>
          <w:p w14:paraId="67BBF164">
            <w:pPr>
              <w:autoSpaceDE w:val="0"/>
              <w:autoSpaceDN w:val="0"/>
              <w:adjustRightInd w:val="0"/>
              <w:snapToGrid w:val="0"/>
              <w:jc w:val="center"/>
              <w:rPr>
                <w:rFonts w:hint="default" w:ascii="Times New Roman" w:hAnsi="Times New Roman" w:eastAsia="宋体" w:cs="Times New Roman"/>
                <w:color w:val="auto"/>
                <w:szCs w:val="21"/>
              </w:rPr>
            </w:pPr>
          </w:p>
        </w:tc>
        <w:tc>
          <w:tcPr>
            <w:tcW w:w="874" w:type="pct"/>
            <w:tcBorders>
              <w:tl2br w:val="nil"/>
              <w:tr2bl w:val="nil"/>
            </w:tcBorders>
            <w:vAlign w:val="center"/>
          </w:tcPr>
          <w:p w14:paraId="1ECB23AD">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1086" w:type="pct"/>
            <w:tcBorders>
              <w:tl2br w:val="nil"/>
              <w:tr2bl w:val="nil"/>
            </w:tcBorders>
            <w:vAlign w:val="center"/>
          </w:tcPr>
          <w:p w14:paraId="52302560">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w:t>
            </w:r>
          </w:p>
        </w:tc>
        <w:tc>
          <w:tcPr>
            <w:tcW w:w="679" w:type="pct"/>
            <w:tcBorders>
              <w:tl2br w:val="nil"/>
              <w:tr2bl w:val="nil"/>
            </w:tcBorders>
            <w:vAlign w:val="center"/>
          </w:tcPr>
          <w:p w14:paraId="2B808B2B">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24</w:t>
            </w:r>
          </w:p>
        </w:tc>
        <w:tc>
          <w:tcPr>
            <w:tcW w:w="781" w:type="pct"/>
            <w:vMerge w:val="continue"/>
            <w:tcBorders>
              <w:tl2br w:val="nil"/>
              <w:tr2bl w:val="nil"/>
            </w:tcBorders>
            <w:vAlign w:val="center"/>
          </w:tcPr>
          <w:p w14:paraId="198D18C8">
            <w:pPr>
              <w:autoSpaceDE w:val="0"/>
              <w:autoSpaceDN w:val="0"/>
              <w:adjustRightInd w:val="0"/>
              <w:snapToGrid w:val="0"/>
              <w:jc w:val="center"/>
              <w:rPr>
                <w:rFonts w:hint="default" w:ascii="Times New Roman" w:hAnsi="Times New Roman" w:eastAsia="宋体" w:cs="Times New Roman"/>
                <w:color w:val="auto"/>
                <w:szCs w:val="21"/>
              </w:rPr>
            </w:pPr>
          </w:p>
        </w:tc>
        <w:tc>
          <w:tcPr>
            <w:tcW w:w="493" w:type="pct"/>
            <w:vMerge w:val="continue"/>
            <w:tcBorders>
              <w:tl2br w:val="nil"/>
              <w:tr2bl w:val="nil"/>
            </w:tcBorders>
            <w:vAlign w:val="center"/>
          </w:tcPr>
          <w:p w14:paraId="5D939947">
            <w:pPr>
              <w:autoSpaceDE w:val="0"/>
              <w:autoSpaceDN w:val="0"/>
              <w:adjustRightInd w:val="0"/>
              <w:snapToGrid w:val="0"/>
              <w:jc w:val="center"/>
              <w:rPr>
                <w:rFonts w:hint="default" w:ascii="Times New Roman" w:hAnsi="Times New Roman" w:eastAsia="宋体" w:cs="Times New Roman"/>
                <w:color w:val="auto"/>
                <w:szCs w:val="21"/>
              </w:rPr>
            </w:pPr>
          </w:p>
        </w:tc>
      </w:tr>
      <w:tr w14:paraId="3EC4D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continue"/>
            <w:tcBorders>
              <w:tl2br w:val="nil"/>
              <w:tr2bl w:val="nil"/>
            </w:tcBorders>
            <w:vAlign w:val="center"/>
          </w:tcPr>
          <w:p w14:paraId="79864209">
            <w:pPr>
              <w:autoSpaceDE w:val="0"/>
              <w:autoSpaceDN w:val="0"/>
              <w:adjustRightInd w:val="0"/>
              <w:snapToGrid w:val="0"/>
              <w:jc w:val="center"/>
              <w:rPr>
                <w:rFonts w:hint="default" w:ascii="Times New Roman" w:hAnsi="Times New Roman" w:eastAsia="宋体" w:cs="Times New Roman"/>
                <w:color w:val="auto"/>
                <w:szCs w:val="21"/>
              </w:rPr>
            </w:pPr>
          </w:p>
        </w:tc>
        <w:tc>
          <w:tcPr>
            <w:tcW w:w="874" w:type="pct"/>
            <w:tcBorders>
              <w:tl2br w:val="nil"/>
              <w:tr2bl w:val="nil"/>
            </w:tcBorders>
            <w:vAlign w:val="center"/>
          </w:tcPr>
          <w:p w14:paraId="15BCDEE8">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w:t>
            </w:r>
          </w:p>
        </w:tc>
        <w:tc>
          <w:tcPr>
            <w:tcW w:w="1086" w:type="pct"/>
            <w:tcBorders>
              <w:tl2br w:val="nil"/>
              <w:tr2bl w:val="nil"/>
            </w:tcBorders>
            <w:vAlign w:val="center"/>
          </w:tcPr>
          <w:p w14:paraId="5DBFEBCF">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w:t>
            </w:r>
          </w:p>
        </w:tc>
        <w:tc>
          <w:tcPr>
            <w:tcW w:w="679" w:type="pct"/>
            <w:tcBorders>
              <w:tl2br w:val="nil"/>
              <w:tr2bl w:val="nil"/>
            </w:tcBorders>
            <w:vAlign w:val="center"/>
          </w:tcPr>
          <w:p w14:paraId="098F4DF1">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33</w:t>
            </w:r>
          </w:p>
        </w:tc>
        <w:tc>
          <w:tcPr>
            <w:tcW w:w="781" w:type="pct"/>
            <w:vMerge w:val="continue"/>
            <w:tcBorders>
              <w:tl2br w:val="nil"/>
              <w:tr2bl w:val="nil"/>
            </w:tcBorders>
            <w:vAlign w:val="center"/>
          </w:tcPr>
          <w:p w14:paraId="592F10BA">
            <w:pPr>
              <w:autoSpaceDE w:val="0"/>
              <w:autoSpaceDN w:val="0"/>
              <w:adjustRightInd w:val="0"/>
              <w:snapToGrid w:val="0"/>
              <w:jc w:val="center"/>
              <w:rPr>
                <w:rFonts w:hint="default" w:ascii="Times New Roman" w:hAnsi="Times New Roman" w:eastAsia="宋体" w:cs="Times New Roman"/>
                <w:color w:val="auto"/>
                <w:szCs w:val="21"/>
              </w:rPr>
            </w:pPr>
          </w:p>
        </w:tc>
        <w:tc>
          <w:tcPr>
            <w:tcW w:w="493" w:type="pct"/>
            <w:vMerge w:val="continue"/>
            <w:tcBorders>
              <w:tl2br w:val="nil"/>
              <w:tr2bl w:val="nil"/>
            </w:tcBorders>
            <w:vAlign w:val="center"/>
          </w:tcPr>
          <w:p w14:paraId="7A45685C">
            <w:pPr>
              <w:autoSpaceDE w:val="0"/>
              <w:autoSpaceDN w:val="0"/>
              <w:adjustRightInd w:val="0"/>
              <w:snapToGrid w:val="0"/>
              <w:jc w:val="center"/>
              <w:rPr>
                <w:rFonts w:hint="default" w:ascii="Times New Roman" w:hAnsi="Times New Roman" w:eastAsia="宋体" w:cs="Times New Roman"/>
                <w:color w:val="auto"/>
                <w:szCs w:val="21"/>
              </w:rPr>
            </w:pPr>
          </w:p>
        </w:tc>
      </w:tr>
      <w:tr w14:paraId="68F3B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continue"/>
            <w:tcBorders>
              <w:tl2br w:val="nil"/>
              <w:tr2bl w:val="nil"/>
            </w:tcBorders>
            <w:vAlign w:val="center"/>
          </w:tcPr>
          <w:p w14:paraId="7B07840C">
            <w:pPr>
              <w:autoSpaceDE w:val="0"/>
              <w:autoSpaceDN w:val="0"/>
              <w:adjustRightInd w:val="0"/>
              <w:snapToGrid w:val="0"/>
              <w:jc w:val="center"/>
              <w:rPr>
                <w:rFonts w:hint="default" w:ascii="Times New Roman" w:hAnsi="Times New Roman" w:eastAsia="宋体" w:cs="Times New Roman"/>
                <w:color w:val="auto"/>
                <w:szCs w:val="21"/>
              </w:rPr>
            </w:pPr>
          </w:p>
        </w:tc>
        <w:tc>
          <w:tcPr>
            <w:tcW w:w="874" w:type="pct"/>
            <w:tcBorders>
              <w:tl2br w:val="nil"/>
              <w:tr2bl w:val="nil"/>
            </w:tcBorders>
            <w:vAlign w:val="center"/>
          </w:tcPr>
          <w:p w14:paraId="186F99AD">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1086" w:type="pct"/>
            <w:tcBorders>
              <w:tl2br w:val="nil"/>
              <w:tr2bl w:val="nil"/>
            </w:tcBorders>
            <w:vAlign w:val="center"/>
          </w:tcPr>
          <w:p w14:paraId="5616CA9E">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w:t>
            </w:r>
          </w:p>
        </w:tc>
        <w:tc>
          <w:tcPr>
            <w:tcW w:w="679" w:type="pct"/>
            <w:tcBorders>
              <w:tl2br w:val="nil"/>
              <w:tr2bl w:val="nil"/>
            </w:tcBorders>
            <w:vAlign w:val="center"/>
          </w:tcPr>
          <w:p w14:paraId="5E75652F">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42</w:t>
            </w:r>
          </w:p>
        </w:tc>
        <w:tc>
          <w:tcPr>
            <w:tcW w:w="781" w:type="pct"/>
            <w:vMerge w:val="continue"/>
            <w:tcBorders>
              <w:tl2br w:val="nil"/>
              <w:tr2bl w:val="nil"/>
            </w:tcBorders>
            <w:vAlign w:val="center"/>
          </w:tcPr>
          <w:p w14:paraId="6F693878">
            <w:pPr>
              <w:autoSpaceDE w:val="0"/>
              <w:autoSpaceDN w:val="0"/>
              <w:adjustRightInd w:val="0"/>
              <w:snapToGrid w:val="0"/>
              <w:jc w:val="center"/>
              <w:rPr>
                <w:rFonts w:hint="default" w:ascii="Times New Roman" w:hAnsi="Times New Roman" w:eastAsia="宋体" w:cs="Times New Roman"/>
                <w:color w:val="auto"/>
                <w:szCs w:val="21"/>
              </w:rPr>
            </w:pPr>
          </w:p>
        </w:tc>
        <w:tc>
          <w:tcPr>
            <w:tcW w:w="493" w:type="pct"/>
            <w:vMerge w:val="continue"/>
            <w:tcBorders>
              <w:tl2br w:val="nil"/>
              <w:tr2bl w:val="nil"/>
            </w:tcBorders>
            <w:vAlign w:val="center"/>
          </w:tcPr>
          <w:p w14:paraId="50DD9957">
            <w:pPr>
              <w:autoSpaceDE w:val="0"/>
              <w:autoSpaceDN w:val="0"/>
              <w:adjustRightInd w:val="0"/>
              <w:snapToGrid w:val="0"/>
              <w:jc w:val="center"/>
              <w:rPr>
                <w:rFonts w:hint="default" w:ascii="Times New Roman" w:hAnsi="Times New Roman" w:eastAsia="宋体" w:cs="Times New Roman"/>
                <w:color w:val="auto"/>
                <w:szCs w:val="21"/>
              </w:rPr>
            </w:pPr>
          </w:p>
        </w:tc>
      </w:tr>
      <w:tr w14:paraId="673532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tcBorders>
              <w:tl2br w:val="nil"/>
              <w:tr2bl w:val="nil"/>
            </w:tcBorders>
            <w:vAlign w:val="center"/>
          </w:tcPr>
          <w:p w14:paraId="4C2B9271">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2D1R7-Z1</w:t>
            </w:r>
          </w:p>
        </w:tc>
        <w:tc>
          <w:tcPr>
            <w:tcW w:w="874" w:type="pct"/>
            <w:tcBorders>
              <w:tl2br w:val="nil"/>
              <w:tr2bl w:val="nil"/>
            </w:tcBorders>
            <w:vAlign w:val="center"/>
          </w:tcPr>
          <w:p w14:paraId="3E9DD031">
            <w:pPr>
              <w:autoSpaceDE w:val="0"/>
              <w:autoSpaceDN w:val="0"/>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1</w:t>
            </w:r>
          </w:p>
        </w:tc>
        <w:tc>
          <w:tcPr>
            <w:tcW w:w="1086" w:type="pct"/>
            <w:tcBorders>
              <w:tl2br w:val="nil"/>
              <w:tr2bl w:val="nil"/>
            </w:tcBorders>
            <w:vAlign w:val="center"/>
          </w:tcPr>
          <w:p w14:paraId="3606DDE6">
            <w:pPr>
              <w:autoSpaceDE w:val="0"/>
              <w:autoSpaceDN w:val="0"/>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w:t>
            </w:r>
          </w:p>
        </w:tc>
        <w:tc>
          <w:tcPr>
            <w:tcW w:w="679" w:type="pct"/>
            <w:tcBorders>
              <w:tl2br w:val="nil"/>
              <w:tr2bl w:val="nil"/>
            </w:tcBorders>
            <w:vAlign w:val="center"/>
          </w:tcPr>
          <w:p w14:paraId="61FF82E5">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27</w:t>
            </w:r>
          </w:p>
        </w:tc>
        <w:tc>
          <w:tcPr>
            <w:tcW w:w="781" w:type="pct"/>
            <w:tcBorders>
              <w:tl2br w:val="nil"/>
              <w:tr2bl w:val="nil"/>
            </w:tcBorders>
            <w:vAlign w:val="center"/>
          </w:tcPr>
          <w:p w14:paraId="5623C78B">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320</w:t>
            </w:r>
          </w:p>
        </w:tc>
        <w:tc>
          <w:tcPr>
            <w:tcW w:w="493" w:type="pct"/>
            <w:vMerge w:val="continue"/>
            <w:tcBorders>
              <w:tl2br w:val="nil"/>
              <w:tr2bl w:val="nil"/>
            </w:tcBorders>
            <w:vAlign w:val="center"/>
          </w:tcPr>
          <w:p w14:paraId="4EA691D3">
            <w:pPr>
              <w:autoSpaceDE w:val="0"/>
              <w:autoSpaceDN w:val="0"/>
              <w:adjustRightInd w:val="0"/>
              <w:snapToGrid w:val="0"/>
              <w:jc w:val="center"/>
              <w:rPr>
                <w:rFonts w:hint="default" w:ascii="Times New Roman" w:hAnsi="Times New Roman" w:eastAsia="宋体" w:cs="Times New Roman"/>
                <w:color w:val="auto"/>
                <w:szCs w:val="21"/>
              </w:rPr>
            </w:pPr>
          </w:p>
        </w:tc>
      </w:tr>
      <w:tr w14:paraId="70E74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restart"/>
            <w:tcBorders>
              <w:tl2br w:val="nil"/>
              <w:tr2bl w:val="nil"/>
            </w:tcBorders>
            <w:vAlign w:val="center"/>
          </w:tcPr>
          <w:p w14:paraId="48EE3973">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2D1R7-Z2</w:t>
            </w:r>
          </w:p>
        </w:tc>
        <w:tc>
          <w:tcPr>
            <w:tcW w:w="874" w:type="pct"/>
            <w:tcBorders>
              <w:tl2br w:val="nil"/>
              <w:tr2bl w:val="nil"/>
            </w:tcBorders>
            <w:vAlign w:val="center"/>
          </w:tcPr>
          <w:p w14:paraId="761EDB19">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1086" w:type="pct"/>
            <w:tcBorders>
              <w:tl2br w:val="nil"/>
              <w:tr2bl w:val="nil"/>
            </w:tcBorders>
            <w:vAlign w:val="center"/>
          </w:tcPr>
          <w:p w14:paraId="6232171A">
            <w:pPr>
              <w:autoSpaceDE w:val="0"/>
              <w:autoSpaceDN w:val="0"/>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w:t>
            </w:r>
          </w:p>
        </w:tc>
        <w:tc>
          <w:tcPr>
            <w:tcW w:w="679" w:type="pct"/>
            <w:tcBorders>
              <w:tl2br w:val="nil"/>
              <w:tr2bl w:val="nil"/>
            </w:tcBorders>
            <w:vAlign w:val="center"/>
          </w:tcPr>
          <w:p w14:paraId="0F408909">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42</w:t>
            </w:r>
          </w:p>
        </w:tc>
        <w:tc>
          <w:tcPr>
            <w:tcW w:w="781" w:type="pct"/>
            <w:tcBorders>
              <w:tl2br w:val="nil"/>
              <w:tr2bl w:val="nil"/>
            </w:tcBorders>
            <w:vAlign w:val="center"/>
          </w:tcPr>
          <w:p w14:paraId="7D990DFA">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445</w:t>
            </w:r>
          </w:p>
        </w:tc>
        <w:tc>
          <w:tcPr>
            <w:tcW w:w="493" w:type="pct"/>
            <w:vMerge w:val="continue"/>
            <w:tcBorders>
              <w:tl2br w:val="nil"/>
              <w:tr2bl w:val="nil"/>
            </w:tcBorders>
            <w:vAlign w:val="center"/>
          </w:tcPr>
          <w:p w14:paraId="55FD4906">
            <w:pPr>
              <w:autoSpaceDE w:val="0"/>
              <w:autoSpaceDN w:val="0"/>
              <w:adjustRightInd w:val="0"/>
              <w:snapToGrid w:val="0"/>
              <w:jc w:val="center"/>
              <w:rPr>
                <w:rFonts w:hint="default" w:ascii="Times New Roman" w:hAnsi="Times New Roman" w:eastAsia="宋体" w:cs="Times New Roman"/>
                <w:color w:val="auto"/>
                <w:szCs w:val="21"/>
              </w:rPr>
            </w:pPr>
          </w:p>
        </w:tc>
      </w:tr>
      <w:tr w14:paraId="55CD0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continue"/>
            <w:tcBorders>
              <w:tl2br w:val="nil"/>
              <w:tr2bl w:val="nil"/>
            </w:tcBorders>
            <w:vAlign w:val="center"/>
          </w:tcPr>
          <w:p w14:paraId="1E2B12E4">
            <w:pPr>
              <w:autoSpaceDE w:val="0"/>
              <w:autoSpaceDN w:val="0"/>
              <w:adjustRightInd w:val="0"/>
              <w:snapToGrid w:val="0"/>
              <w:jc w:val="center"/>
              <w:rPr>
                <w:rFonts w:hint="default" w:ascii="Times New Roman" w:hAnsi="Times New Roman" w:eastAsia="宋体" w:cs="Times New Roman"/>
                <w:color w:val="auto"/>
                <w:szCs w:val="21"/>
              </w:rPr>
            </w:pPr>
          </w:p>
        </w:tc>
        <w:tc>
          <w:tcPr>
            <w:tcW w:w="874" w:type="pct"/>
            <w:tcBorders>
              <w:tl2br w:val="nil"/>
              <w:tr2bl w:val="nil"/>
            </w:tcBorders>
            <w:vAlign w:val="center"/>
          </w:tcPr>
          <w:p w14:paraId="30014087">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w:t>
            </w:r>
          </w:p>
        </w:tc>
        <w:tc>
          <w:tcPr>
            <w:tcW w:w="1086" w:type="pct"/>
            <w:tcBorders>
              <w:tl2br w:val="nil"/>
              <w:tr2bl w:val="nil"/>
            </w:tcBorders>
            <w:vAlign w:val="center"/>
          </w:tcPr>
          <w:p w14:paraId="4F4BD465">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w:t>
            </w:r>
          </w:p>
        </w:tc>
        <w:tc>
          <w:tcPr>
            <w:tcW w:w="679" w:type="pct"/>
            <w:tcBorders>
              <w:tl2br w:val="nil"/>
              <w:tr2bl w:val="nil"/>
            </w:tcBorders>
            <w:vAlign w:val="center"/>
          </w:tcPr>
          <w:p w14:paraId="6FB47544">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45</w:t>
            </w:r>
          </w:p>
        </w:tc>
        <w:tc>
          <w:tcPr>
            <w:tcW w:w="781" w:type="pct"/>
            <w:tcBorders>
              <w:tl2br w:val="nil"/>
              <w:tr2bl w:val="nil"/>
            </w:tcBorders>
            <w:vAlign w:val="center"/>
          </w:tcPr>
          <w:p w14:paraId="185DBEB0">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420</w:t>
            </w:r>
          </w:p>
        </w:tc>
        <w:tc>
          <w:tcPr>
            <w:tcW w:w="493" w:type="pct"/>
            <w:vMerge w:val="continue"/>
            <w:tcBorders>
              <w:tl2br w:val="nil"/>
              <w:tr2bl w:val="nil"/>
            </w:tcBorders>
            <w:vAlign w:val="center"/>
          </w:tcPr>
          <w:p w14:paraId="001AE717">
            <w:pPr>
              <w:autoSpaceDE w:val="0"/>
              <w:autoSpaceDN w:val="0"/>
              <w:adjustRightInd w:val="0"/>
              <w:snapToGrid w:val="0"/>
              <w:jc w:val="center"/>
              <w:rPr>
                <w:rFonts w:hint="default" w:ascii="Times New Roman" w:hAnsi="Times New Roman" w:eastAsia="宋体" w:cs="Times New Roman"/>
                <w:color w:val="auto"/>
                <w:szCs w:val="21"/>
              </w:rPr>
            </w:pPr>
          </w:p>
        </w:tc>
      </w:tr>
      <w:tr w14:paraId="6A306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 w:hRule="atLeast"/>
          <w:jc w:val="center"/>
        </w:trPr>
        <w:tc>
          <w:tcPr>
            <w:tcW w:w="1084" w:type="pct"/>
            <w:vMerge w:val="continue"/>
            <w:tcBorders>
              <w:tl2br w:val="nil"/>
              <w:tr2bl w:val="nil"/>
            </w:tcBorders>
            <w:vAlign w:val="center"/>
          </w:tcPr>
          <w:p w14:paraId="59BFABC5">
            <w:pPr>
              <w:autoSpaceDE w:val="0"/>
              <w:autoSpaceDN w:val="0"/>
              <w:adjustRightInd w:val="0"/>
              <w:snapToGrid w:val="0"/>
              <w:jc w:val="center"/>
              <w:rPr>
                <w:rFonts w:hint="default" w:ascii="Times New Roman" w:hAnsi="Times New Roman" w:eastAsia="宋体" w:cs="Times New Roman"/>
                <w:color w:val="auto"/>
                <w:szCs w:val="21"/>
              </w:rPr>
            </w:pPr>
          </w:p>
        </w:tc>
        <w:tc>
          <w:tcPr>
            <w:tcW w:w="874" w:type="pct"/>
            <w:tcBorders>
              <w:tl2br w:val="nil"/>
              <w:tr2bl w:val="nil"/>
            </w:tcBorders>
            <w:vAlign w:val="center"/>
          </w:tcPr>
          <w:p w14:paraId="6BCDC08C">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w:t>
            </w:r>
          </w:p>
        </w:tc>
        <w:tc>
          <w:tcPr>
            <w:tcW w:w="1086" w:type="pct"/>
            <w:tcBorders>
              <w:tl2br w:val="nil"/>
              <w:tr2bl w:val="nil"/>
            </w:tcBorders>
            <w:vAlign w:val="center"/>
          </w:tcPr>
          <w:p w14:paraId="0F6517FF">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w:t>
            </w:r>
          </w:p>
        </w:tc>
        <w:tc>
          <w:tcPr>
            <w:tcW w:w="679" w:type="pct"/>
            <w:tcBorders>
              <w:tl2br w:val="nil"/>
              <w:tr2bl w:val="nil"/>
            </w:tcBorders>
            <w:vAlign w:val="center"/>
          </w:tcPr>
          <w:p w14:paraId="7ADC4E1F">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48</w:t>
            </w:r>
          </w:p>
        </w:tc>
        <w:tc>
          <w:tcPr>
            <w:tcW w:w="781" w:type="pct"/>
            <w:tcBorders>
              <w:tl2br w:val="nil"/>
              <w:tr2bl w:val="nil"/>
            </w:tcBorders>
            <w:vAlign w:val="center"/>
          </w:tcPr>
          <w:p w14:paraId="287F99C4">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420</w:t>
            </w:r>
          </w:p>
        </w:tc>
        <w:tc>
          <w:tcPr>
            <w:tcW w:w="493" w:type="pct"/>
            <w:vMerge w:val="continue"/>
            <w:tcBorders>
              <w:tl2br w:val="nil"/>
              <w:tr2bl w:val="nil"/>
            </w:tcBorders>
            <w:vAlign w:val="center"/>
          </w:tcPr>
          <w:p w14:paraId="60B70962">
            <w:pPr>
              <w:autoSpaceDE w:val="0"/>
              <w:autoSpaceDN w:val="0"/>
              <w:adjustRightInd w:val="0"/>
              <w:snapToGrid w:val="0"/>
              <w:jc w:val="center"/>
              <w:rPr>
                <w:rFonts w:hint="default" w:ascii="Times New Roman" w:hAnsi="Times New Roman" w:eastAsia="宋体" w:cs="Times New Roman"/>
                <w:color w:val="auto"/>
                <w:szCs w:val="21"/>
              </w:rPr>
            </w:pPr>
          </w:p>
        </w:tc>
      </w:tr>
      <w:tr w14:paraId="6DAF4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tcBorders>
              <w:tl2br w:val="nil"/>
              <w:tr2bl w:val="nil"/>
            </w:tcBorders>
            <w:vAlign w:val="center"/>
          </w:tcPr>
          <w:p w14:paraId="6887B12C">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2D1R8-Z1</w:t>
            </w:r>
          </w:p>
        </w:tc>
        <w:tc>
          <w:tcPr>
            <w:tcW w:w="874" w:type="pct"/>
            <w:tcBorders>
              <w:tl2br w:val="nil"/>
              <w:tr2bl w:val="nil"/>
            </w:tcBorders>
            <w:vAlign w:val="center"/>
          </w:tcPr>
          <w:p w14:paraId="38A4E257">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1086" w:type="pct"/>
            <w:tcBorders>
              <w:tl2br w:val="nil"/>
              <w:tr2bl w:val="nil"/>
            </w:tcBorders>
            <w:vAlign w:val="center"/>
          </w:tcPr>
          <w:p w14:paraId="2BA21F80">
            <w:pPr>
              <w:autoSpaceDE w:val="0"/>
              <w:autoSpaceDN w:val="0"/>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0</w:t>
            </w:r>
          </w:p>
        </w:tc>
        <w:tc>
          <w:tcPr>
            <w:tcW w:w="679" w:type="pct"/>
            <w:tcBorders>
              <w:tl2br w:val="nil"/>
              <w:tr2bl w:val="nil"/>
            </w:tcBorders>
            <w:vAlign w:val="center"/>
          </w:tcPr>
          <w:p w14:paraId="5E20D86C">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36</w:t>
            </w:r>
          </w:p>
        </w:tc>
        <w:tc>
          <w:tcPr>
            <w:tcW w:w="781" w:type="pct"/>
            <w:tcBorders>
              <w:tl2br w:val="nil"/>
              <w:tr2bl w:val="nil"/>
            </w:tcBorders>
            <w:vAlign w:val="center"/>
          </w:tcPr>
          <w:p w14:paraId="4794F627">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280</w:t>
            </w:r>
          </w:p>
        </w:tc>
        <w:tc>
          <w:tcPr>
            <w:tcW w:w="493" w:type="pct"/>
            <w:vMerge w:val="continue"/>
            <w:tcBorders>
              <w:tl2br w:val="nil"/>
              <w:tr2bl w:val="nil"/>
            </w:tcBorders>
            <w:vAlign w:val="center"/>
          </w:tcPr>
          <w:p w14:paraId="1CDD37B8">
            <w:pPr>
              <w:autoSpaceDE w:val="0"/>
              <w:autoSpaceDN w:val="0"/>
              <w:adjustRightInd w:val="0"/>
              <w:snapToGrid w:val="0"/>
              <w:jc w:val="center"/>
              <w:rPr>
                <w:rFonts w:hint="default" w:ascii="Times New Roman" w:hAnsi="Times New Roman" w:eastAsia="宋体" w:cs="Times New Roman"/>
                <w:color w:val="auto"/>
                <w:szCs w:val="21"/>
              </w:rPr>
            </w:pPr>
          </w:p>
        </w:tc>
      </w:tr>
      <w:tr w14:paraId="46B9A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restart"/>
            <w:tcBorders>
              <w:tl2br w:val="nil"/>
              <w:tr2bl w:val="nil"/>
            </w:tcBorders>
            <w:vAlign w:val="center"/>
          </w:tcPr>
          <w:p w14:paraId="17A9E35C">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2D1R8-Z2</w:t>
            </w:r>
          </w:p>
        </w:tc>
        <w:tc>
          <w:tcPr>
            <w:tcW w:w="874" w:type="pct"/>
            <w:tcBorders>
              <w:tl2br w:val="nil"/>
              <w:tr2bl w:val="nil"/>
            </w:tcBorders>
            <w:vAlign w:val="center"/>
          </w:tcPr>
          <w:p w14:paraId="6B840DBF">
            <w:pPr>
              <w:autoSpaceDE w:val="0"/>
              <w:autoSpaceDN w:val="0"/>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1</w:t>
            </w:r>
          </w:p>
        </w:tc>
        <w:tc>
          <w:tcPr>
            <w:tcW w:w="1086" w:type="pct"/>
            <w:tcBorders>
              <w:tl2br w:val="nil"/>
              <w:tr2bl w:val="nil"/>
            </w:tcBorders>
            <w:vAlign w:val="center"/>
          </w:tcPr>
          <w:p w14:paraId="49F4E778">
            <w:pPr>
              <w:autoSpaceDE w:val="0"/>
              <w:autoSpaceDN w:val="0"/>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0</w:t>
            </w:r>
          </w:p>
        </w:tc>
        <w:tc>
          <w:tcPr>
            <w:tcW w:w="679" w:type="pct"/>
            <w:tcBorders>
              <w:tl2br w:val="nil"/>
              <w:tr2bl w:val="nil"/>
            </w:tcBorders>
            <w:vAlign w:val="center"/>
          </w:tcPr>
          <w:p w14:paraId="1763B757">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21</w:t>
            </w:r>
          </w:p>
        </w:tc>
        <w:tc>
          <w:tcPr>
            <w:tcW w:w="781" w:type="pct"/>
            <w:tcBorders>
              <w:tl2br w:val="nil"/>
              <w:tr2bl w:val="nil"/>
            </w:tcBorders>
            <w:vAlign w:val="center"/>
          </w:tcPr>
          <w:p w14:paraId="6EC5AF2C">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480</w:t>
            </w:r>
          </w:p>
        </w:tc>
        <w:tc>
          <w:tcPr>
            <w:tcW w:w="493" w:type="pct"/>
            <w:vMerge w:val="continue"/>
            <w:tcBorders>
              <w:tl2br w:val="nil"/>
              <w:tr2bl w:val="nil"/>
            </w:tcBorders>
            <w:vAlign w:val="center"/>
          </w:tcPr>
          <w:p w14:paraId="3EFE8ED0">
            <w:pPr>
              <w:autoSpaceDE w:val="0"/>
              <w:autoSpaceDN w:val="0"/>
              <w:adjustRightInd w:val="0"/>
              <w:snapToGrid w:val="0"/>
              <w:jc w:val="center"/>
              <w:rPr>
                <w:rFonts w:hint="default" w:ascii="Times New Roman" w:hAnsi="Times New Roman" w:eastAsia="宋体" w:cs="Times New Roman"/>
                <w:color w:val="auto"/>
                <w:szCs w:val="21"/>
              </w:rPr>
            </w:pPr>
          </w:p>
        </w:tc>
      </w:tr>
      <w:tr w14:paraId="21635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continue"/>
            <w:tcBorders>
              <w:tl2br w:val="nil"/>
              <w:tr2bl w:val="nil"/>
            </w:tcBorders>
            <w:vAlign w:val="center"/>
          </w:tcPr>
          <w:p w14:paraId="7BD5766B">
            <w:pPr>
              <w:autoSpaceDE w:val="0"/>
              <w:autoSpaceDN w:val="0"/>
              <w:adjustRightInd w:val="0"/>
              <w:snapToGrid w:val="0"/>
              <w:jc w:val="center"/>
              <w:rPr>
                <w:rFonts w:hint="default" w:ascii="Times New Roman" w:hAnsi="Times New Roman" w:eastAsia="宋体" w:cs="Times New Roman"/>
                <w:color w:val="auto"/>
                <w:szCs w:val="21"/>
              </w:rPr>
            </w:pPr>
          </w:p>
        </w:tc>
        <w:tc>
          <w:tcPr>
            <w:tcW w:w="874" w:type="pct"/>
            <w:tcBorders>
              <w:tl2br w:val="nil"/>
              <w:tr2bl w:val="nil"/>
            </w:tcBorders>
            <w:vAlign w:val="center"/>
          </w:tcPr>
          <w:p w14:paraId="1B3D62B0">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w:t>
            </w:r>
          </w:p>
        </w:tc>
        <w:tc>
          <w:tcPr>
            <w:tcW w:w="1086" w:type="pct"/>
            <w:tcBorders>
              <w:tl2br w:val="nil"/>
              <w:tr2bl w:val="nil"/>
            </w:tcBorders>
            <w:vAlign w:val="center"/>
          </w:tcPr>
          <w:p w14:paraId="477C6C85">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0</w:t>
            </w:r>
          </w:p>
        </w:tc>
        <w:tc>
          <w:tcPr>
            <w:tcW w:w="679" w:type="pct"/>
            <w:tcBorders>
              <w:tl2br w:val="nil"/>
              <w:tr2bl w:val="nil"/>
            </w:tcBorders>
            <w:vAlign w:val="center"/>
          </w:tcPr>
          <w:p w14:paraId="6B0739AC">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33</w:t>
            </w:r>
          </w:p>
        </w:tc>
        <w:tc>
          <w:tcPr>
            <w:tcW w:w="781" w:type="pct"/>
            <w:tcBorders>
              <w:tl2br w:val="nil"/>
              <w:tr2bl w:val="nil"/>
            </w:tcBorders>
            <w:vAlign w:val="center"/>
          </w:tcPr>
          <w:p w14:paraId="7FA3E18C">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453</w:t>
            </w:r>
          </w:p>
        </w:tc>
        <w:tc>
          <w:tcPr>
            <w:tcW w:w="493" w:type="pct"/>
            <w:vMerge w:val="continue"/>
            <w:tcBorders>
              <w:tl2br w:val="nil"/>
              <w:tr2bl w:val="nil"/>
            </w:tcBorders>
            <w:vAlign w:val="center"/>
          </w:tcPr>
          <w:p w14:paraId="0B780210">
            <w:pPr>
              <w:autoSpaceDE w:val="0"/>
              <w:autoSpaceDN w:val="0"/>
              <w:adjustRightInd w:val="0"/>
              <w:snapToGrid w:val="0"/>
              <w:jc w:val="center"/>
              <w:rPr>
                <w:rFonts w:hint="default" w:ascii="Times New Roman" w:hAnsi="Times New Roman" w:eastAsia="宋体" w:cs="Times New Roman"/>
                <w:color w:val="auto"/>
                <w:szCs w:val="21"/>
              </w:rPr>
            </w:pPr>
          </w:p>
        </w:tc>
      </w:tr>
      <w:tr w14:paraId="51432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continue"/>
            <w:tcBorders>
              <w:tl2br w:val="nil"/>
              <w:tr2bl w:val="nil"/>
            </w:tcBorders>
            <w:vAlign w:val="center"/>
          </w:tcPr>
          <w:p w14:paraId="287DDB0D">
            <w:pPr>
              <w:autoSpaceDE w:val="0"/>
              <w:autoSpaceDN w:val="0"/>
              <w:adjustRightInd w:val="0"/>
              <w:snapToGrid w:val="0"/>
              <w:jc w:val="center"/>
              <w:rPr>
                <w:rFonts w:hint="default" w:ascii="Times New Roman" w:hAnsi="Times New Roman" w:eastAsia="宋体" w:cs="Times New Roman"/>
                <w:color w:val="auto"/>
                <w:szCs w:val="21"/>
              </w:rPr>
            </w:pPr>
          </w:p>
        </w:tc>
        <w:tc>
          <w:tcPr>
            <w:tcW w:w="874" w:type="pct"/>
            <w:tcBorders>
              <w:tl2br w:val="nil"/>
              <w:tr2bl w:val="nil"/>
            </w:tcBorders>
            <w:vAlign w:val="center"/>
          </w:tcPr>
          <w:p w14:paraId="343C29C9">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w:t>
            </w:r>
          </w:p>
        </w:tc>
        <w:tc>
          <w:tcPr>
            <w:tcW w:w="1086" w:type="pct"/>
            <w:tcBorders>
              <w:tl2br w:val="nil"/>
              <w:tr2bl w:val="nil"/>
            </w:tcBorders>
            <w:vAlign w:val="center"/>
          </w:tcPr>
          <w:p w14:paraId="7D1A328F">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0</w:t>
            </w:r>
          </w:p>
        </w:tc>
        <w:tc>
          <w:tcPr>
            <w:tcW w:w="679" w:type="pct"/>
            <w:tcBorders>
              <w:tl2br w:val="nil"/>
              <w:tr2bl w:val="nil"/>
            </w:tcBorders>
            <w:vAlign w:val="center"/>
          </w:tcPr>
          <w:p w14:paraId="13F2E2C2">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36</w:t>
            </w:r>
          </w:p>
        </w:tc>
        <w:tc>
          <w:tcPr>
            <w:tcW w:w="781" w:type="pct"/>
            <w:tcBorders>
              <w:tl2br w:val="nil"/>
              <w:tr2bl w:val="nil"/>
            </w:tcBorders>
            <w:vAlign w:val="center"/>
          </w:tcPr>
          <w:p w14:paraId="48994ACA">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427</w:t>
            </w:r>
          </w:p>
        </w:tc>
        <w:tc>
          <w:tcPr>
            <w:tcW w:w="493" w:type="pct"/>
            <w:vMerge w:val="continue"/>
            <w:tcBorders>
              <w:tl2br w:val="nil"/>
              <w:tr2bl w:val="nil"/>
            </w:tcBorders>
            <w:vAlign w:val="center"/>
          </w:tcPr>
          <w:p w14:paraId="55C7D901">
            <w:pPr>
              <w:autoSpaceDE w:val="0"/>
              <w:autoSpaceDN w:val="0"/>
              <w:adjustRightInd w:val="0"/>
              <w:snapToGrid w:val="0"/>
              <w:jc w:val="center"/>
              <w:rPr>
                <w:rFonts w:hint="default" w:ascii="Times New Roman" w:hAnsi="Times New Roman" w:eastAsia="宋体" w:cs="Times New Roman"/>
                <w:color w:val="auto"/>
                <w:szCs w:val="21"/>
              </w:rPr>
            </w:pPr>
          </w:p>
        </w:tc>
      </w:tr>
      <w:tr w14:paraId="46A7F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continue"/>
            <w:tcBorders>
              <w:tl2br w:val="nil"/>
              <w:tr2bl w:val="nil"/>
            </w:tcBorders>
            <w:vAlign w:val="center"/>
          </w:tcPr>
          <w:p w14:paraId="03C9C396">
            <w:pPr>
              <w:autoSpaceDE w:val="0"/>
              <w:autoSpaceDN w:val="0"/>
              <w:adjustRightInd w:val="0"/>
              <w:snapToGrid w:val="0"/>
              <w:jc w:val="center"/>
              <w:rPr>
                <w:rFonts w:hint="default" w:ascii="Times New Roman" w:hAnsi="Times New Roman" w:eastAsia="宋体" w:cs="Times New Roman"/>
                <w:color w:val="auto"/>
                <w:szCs w:val="21"/>
              </w:rPr>
            </w:pPr>
          </w:p>
        </w:tc>
        <w:tc>
          <w:tcPr>
            <w:tcW w:w="874" w:type="pct"/>
            <w:tcBorders>
              <w:tl2br w:val="nil"/>
              <w:tr2bl w:val="nil"/>
            </w:tcBorders>
            <w:vAlign w:val="center"/>
          </w:tcPr>
          <w:p w14:paraId="18D9E422">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w:t>
            </w:r>
          </w:p>
        </w:tc>
        <w:tc>
          <w:tcPr>
            <w:tcW w:w="1086" w:type="pct"/>
            <w:tcBorders>
              <w:tl2br w:val="nil"/>
              <w:tr2bl w:val="nil"/>
            </w:tcBorders>
            <w:vAlign w:val="center"/>
          </w:tcPr>
          <w:p w14:paraId="0CA4DAA6">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0</w:t>
            </w:r>
          </w:p>
        </w:tc>
        <w:tc>
          <w:tcPr>
            <w:tcW w:w="679" w:type="pct"/>
            <w:tcBorders>
              <w:tl2br w:val="nil"/>
              <w:tr2bl w:val="nil"/>
            </w:tcBorders>
            <w:vAlign w:val="center"/>
          </w:tcPr>
          <w:p w14:paraId="28945580">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42</w:t>
            </w:r>
          </w:p>
        </w:tc>
        <w:tc>
          <w:tcPr>
            <w:tcW w:w="781" w:type="pct"/>
            <w:tcBorders>
              <w:tl2br w:val="nil"/>
              <w:tr2bl w:val="nil"/>
            </w:tcBorders>
            <w:vAlign w:val="center"/>
          </w:tcPr>
          <w:p w14:paraId="6F92FB90">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400</w:t>
            </w:r>
          </w:p>
        </w:tc>
        <w:tc>
          <w:tcPr>
            <w:tcW w:w="493" w:type="pct"/>
            <w:vMerge w:val="continue"/>
            <w:tcBorders>
              <w:tl2br w:val="nil"/>
              <w:tr2bl w:val="nil"/>
            </w:tcBorders>
            <w:vAlign w:val="center"/>
          </w:tcPr>
          <w:p w14:paraId="61894913">
            <w:pPr>
              <w:autoSpaceDE w:val="0"/>
              <w:autoSpaceDN w:val="0"/>
              <w:adjustRightInd w:val="0"/>
              <w:snapToGrid w:val="0"/>
              <w:jc w:val="center"/>
              <w:rPr>
                <w:rFonts w:hint="default" w:ascii="Times New Roman" w:hAnsi="Times New Roman" w:eastAsia="宋体" w:cs="Times New Roman"/>
                <w:color w:val="auto"/>
                <w:szCs w:val="21"/>
              </w:rPr>
            </w:pPr>
          </w:p>
        </w:tc>
      </w:tr>
      <w:tr w14:paraId="37B87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tcBorders>
              <w:tl2br w:val="nil"/>
              <w:tr2bl w:val="nil"/>
            </w:tcBorders>
            <w:vAlign w:val="center"/>
          </w:tcPr>
          <w:p w14:paraId="501B5432">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2D1Z5-ZM3</w:t>
            </w:r>
          </w:p>
        </w:tc>
        <w:tc>
          <w:tcPr>
            <w:tcW w:w="874" w:type="pct"/>
            <w:tcBorders>
              <w:tl2br w:val="nil"/>
              <w:tr2bl w:val="nil"/>
            </w:tcBorders>
            <w:vAlign w:val="center"/>
          </w:tcPr>
          <w:p w14:paraId="4379F015">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1086" w:type="pct"/>
            <w:tcBorders>
              <w:tl2br w:val="nil"/>
              <w:tr2bl w:val="nil"/>
            </w:tcBorders>
            <w:vAlign w:val="center"/>
          </w:tcPr>
          <w:p w14:paraId="37FC4160">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w:t>
            </w:r>
          </w:p>
        </w:tc>
        <w:tc>
          <w:tcPr>
            <w:tcW w:w="679" w:type="pct"/>
            <w:tcBorders>
              <w:tl2br w:val="nil"/>
              <w:tr2bl w:val="nil"/>
            </w:tcBorders>
            <w:vAlign w:val="center"/>
          </w:tcPr>
          <w:p w14:paraId="6364E15B">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21</w:t>
            </w:r>
          </w:p>
        </w:tc>
        <w:tc>
          <w:tcPr>
            <w:tcW w:w="781" w:type="pct"/>
            <w:tcBorders>
              <w:tl2br w:val="nil"/>
              <w:tr2bl w:val="nil"/>
            </w:tcBorders>
            <w:vAlign w:val="center"/>
          </w:tcPr>
          <w:p w14:paraId="302645F6">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800</w:t>
            </w:r>
          </w:p>
        </w:tc>
        <w:tc>
          <w:tcPr>
            <w:tcW w:w="493" w:type="pct"/>
            <w:vMerge w:val="continue"/>
            <w:tcBorders>
              <w:tl2br w:val="nil"/>
              <w:tr2bl w:val="nil"/>
            </w:tcBorders>
            <w:vAlign w:val="center"/>
          </w:tcPr>
          <w:p w14:paraId="677968DB">
            <w:pPr>
              <w:autoSpaceDE w:val="0"/>
              <w:autoSpaceDN w:val="0"/>
              <w:adjustRightInd w:val="0"/>
              <w:snapToGrid w:val="0"/>
              <w:jc w:val="center"/>
              <w:rPr>
                <w:rFonts w:hint="default" w:ascii="Times New Roman" w:hAnsi="Times New Roman" w:eastAsia="宋体" w:cs="Times New Roman"/>
                <w:color w:val="auto"/>
                <w:szCs w:val="21"/>
              </w:rPr>
            </w:pPr>
          </w:p>
        </w:tc>
      </w:tr>
      <w:tr w14:paraId="63138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tcBorders>
              <w:tl2br w:val="nil"/>
              <w:tr2bl w:val="nil"/>
            </w:tcBorders>
            <w:vAlign w:val="center"/>
          </w:tcPr>
          <w:p w14:paraId="1DC57413">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1D1Y1-J2</w:t>
            </w:r>
          </w:p>
        </w:tc>
        <w:tc>
          <w:tcPr>
            <w:tcW w:w="874" w:type="pct"/>
            <w:tcBorders>
              <w:tl2br w:val="nil"/>
              <w:tr2bl w:val="nil"/>
            </w:tcBorders>
            <w:vAlign w:val="center"/>
          </w:tcPr>
          <w:p w14:paraId="3B02C403">
            <w:pPr>
              <w:autoSpaceDE w:val="0"/>
              <w:autoSpaceDN w:val="0"/>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1</w:t>
            </w:r>
          </w:p>
        </w:tc>
        <w:tc>
          <w:tcPr>
            <w:tcW w:w="1086" w:type="pct"/>
            <w:tcBorders>
              <w:tl2br w:val="nil"/>
              <w:tr2bl w:val="nil"/>
            </w:tcBorders>
            <w:vAlign w:val="center"/>
          </w:tcPr>
          <w:p w14:paraId="4172B79E">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20-40</w:t>
            </w:r>
          </w:p>
        </w:tc>
        <w:tc>
          <w:tcPr>
            <w:tcW w:w="679" w:type="pct"/>
            <w:tcBorders>
              <w:tl2br w:val="nil"/>
              <w:tr2bl w:val="nil"/>
            </w:tcBorders>
            <w:vAlign w:val="center"/>
          </w:tcPr>
          <w:p w14:paraId="4967749A">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33</w:t>
            </w:r>
          </w:p>
        </w:tc>
        <w:tc>
          <w:tcPr>
            <w:tcW w:w="781" w:type="pct"/>
            <w:tcBorders>
              <w:tl2br w:val="nil"/>
              <w:tr2bl w:val="nil"/>
            </w:tcBorders>
            <w:vAlign w:val="center"/>
          </w:tcPr>
          <w:p w14:paraId="540F3A7F">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270/80</w:t>
            </w:r>
          </w:p>
        </w:tc>
        <w:tc>
          <w:tcPr>
            <w:tcW w:w="493" w:type="pct"/>
            <w:vMerge w:val="continue"/>
            <w:tcBorders>
              <w:tl2br w:val="nil"/>
              <w:tr2bl w:val="nil"/>
            </w:tcBorders>
            <w:vAlign w:val="center"/>
          </w:tcPr>
          <w:p w14:paraId="00980564">
            <w:pPr>
              <w:autoSpaceDE w:val="0"/>
              <w:autoSpaceDN w:val="0"/>
              <w:adjustRightInd w:val="0"/>
              <w:snapToGrid w:val="0"/>
              <w:jc w:val="center"/>
              <w:rPr>
                <w:rFonts w:hint="default" w:ascii="Times New Roman" w:hAnsi="Times New Roman" w:eastAsia="宋体" w:cs="Times New Roman"/>
                <w:color w:val="auto"/>
                <w:szCs w:val="21"/>
              </w:rPr>
            </w:pPr>
          </w:p>
        </w:tc>
      </w:tr>
      <w:tr w14:paraId="3B468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tcBorders>
              <w:tl2br w:val="nil"/>
              <w:tr2bl w:val="nil"/>
            </w:tcBorders>
            <w:vAlign w:val="center"/>
          </w:tcPr>
          <w:p w14:paraId="023D69A7">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1D1Y1-J3</w:t>
            </w:r>
          </w:p>
        </w:tc>
        <w:tc>
          <w:tcPr>
            <w:tcW w:w="874" w:type="pct"/>
            <w:tcBorders>
              <w:tl2br w:val="nil"/>
              <w:tr2bl w:val="nil"/>
            </w:tcBorders>
            <w:vAlign w:val="center"/>
          </w:tcPr>
          <w:p w14:paraId="090AD6C1">
            <w:pPr>
              <w:autoSpaceDE w:val="0"/>
              <w:autoSpaceDN w:val="0"/>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2</w:t>
            </w:r>
          </w:p>
        </w:tc>
        <w:tc>
          <w:tcPr>
            <w:tcW w:w="1086" w:type="pct"/>
            <w:tcBorders>
              <w:tl2br w:val="nil"/>
              <w:tr2bl w:val="nil"/>
            </w:tcBorders>
            <w:vAlign w:val="center"/>
          </w:tcPr>
          <w:p w14:paraId="008BF018">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40-60</w:t>
            </w:r>
          </w:p>
        </w:tc>
        <w:tc>
          <w:tcPr>
            <w:tcW w:w="679" w:type="pct"/>
            <w:tcBorders>
              <w:tl2br w:val="nil"/>
              <w:tr2bl w:val="nil"/>
            </w:tcBorders>
            <w:vAlign w:val="center"/>
          </w:tcPr>
          <w:p w14:paraId="5D85E3B2">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30</w:t>
            </w:r>
          </w:p>
        </w:tc>
        <w:tc>
          <w:tcPr>
            <w:tcW w:w="781" w:type="pct"/>
            <w:tcBorders>
              <w:tl2br w:val="nil"/>
              <w:tr2bl w:val="nil"/>
            </w:tcBorders>
            <w:vAlign w:val="center"/>
          </w:tcPr>
          <w:p w14:paraId="370D174F">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270/80</w:t>
            </w:r>
          </w:p>
        </w:tc>
        <w:tc>
          <w:tcPr>
            <w:tcW w:w="493" w:type="pct"/>
            <w:vMerge w:val="continue"/>
            <w:tcBorders>
              <w:tl2br w:val="nil"/>
              <w:tr2bl w:val="nil"/>
            </w:tcBorders>
            <w:vAlign w:val="center"/>
          </w:tcPr>
          <w:p w14:paraId="6CE8D529">
            <w:pPr>
              <w:autoSpaceDE w:val="0"/>
              <w:autoSpaceDN w:val="0"/>
              <w:adjustRightInd w:val="0"/>
              <w:snapToGrid w:val="0"/>
              <w:jc w:val="center"/>
              <w:rPr>
                <w:rFonts w:hint="default" w:ascii="Times New Roman" w:hAnsi="Times New Roman" w:eastAsia="宋体" w:cs="Times New Roman"/>
                <w:color w:val="auto"/>
                <w:szCs w:val="21"/>
              </w:rPr>
            </w:pPr>
          </w:p>
        </w:tc>
      </w:tr>
      <w:tr w14:paraId="77BA2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restart"/>
            <w:tcBorders>
              <w:tl2br w:val="nil"/>
              <w:tr2bl w:val="nil"/>
            </w:tcBorders>
            <w:vAlign w:val="center"/>
          </w:tcPr>
          <w:p w14:paraId="52307440">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1D1Y1-J4</w:t>
            </w:r>
          </w:p>
        </w:tc>
        <w:tc>
          <w:tcPr>
            <w:tcW w:w="874" w:type="pct"/>
            <w:tcBorders>
              <w:tl2br w:val="nil"/>
              <w:tr2bl w:val="nil"/>
            </w:tcBorders>
            <w:vAlign w:val="center"/>
          </w:tcPr>
          <w:p w14:paraId="27E89F35">
            <w:pPr>
              <w:autoSpaceDE w:val="0"/>
              <w:autoSpaceDN w:val="0"/>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2</w:t>
            </w:r>
          </w:p>
        </w:tc>
        <w:tc>
          <w:tcPr>
            <w:tcW w:w="1086" w:type="pct"/>
            <w:vMerge w:val="restart"/>
            <w:tcBorders>
              <w:tl2br w:val="nil"/>
              <w:tr2bl w:val="nil"/>
            </w:tcBorders>
            <w:vAlign w:val="center"/>
          </w:tcPr>
          <w:p w14:paraId="22307392">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60-90兼0-90终端</w:t>
            </w:r>
          </w:p>
        </w:tc>
        <w:tc>
          <w:tcPr>
            <w:tcW w:w="679" w:type="pct"/>
            <w:tcBorders>
              <w:tl2br w:val="nil"/>
              <w:tr2bl w:val="nil"/>
            </w:tcBorders>
            <w:vAlign w:val="center"/>
          </w:tcPr>
          <w:p w14:paraId="37CE6E2C">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21</w:t>
            </w:r>
          </w:p>
        </w:tc>
        <w:tc>
          <w:tcPr>
            <w:tcW w:w="781" w:type="pct"/>
            <w:vMerge w:val="restart"/>
            <w:tcBorders>
              <w:tl2br w:val="nil"/>
              <w:tr2bl w:val="nil"/>
            </w:tcBorders>
            <w:vAlign w:val="center"/>
          </w:tcPr>
          <w:p w14:paraId="0565686D">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270/80</w:t>
            </w:r>
          </w:p>
          <w:p w14:paraId="37AACDDF">
            <w:pPr>
              <w:autoSpaceDE w:val="0"/>
              <w:autoSpaceDN w:val="0"/>
              <w:adjustRightInd w:val="0"/>
              <w:snapToGrid w:val="0"/>
              <w:jc w:val="center"/>
              <w:rPr>
                <w:rFonts w:hint="default" w:ascii="Times New Roman" w:hAnsi="Times New Roman" w:eastAsia="宋体" w:cs="Times New Roman"/>
                <w:color w:val="auto"/>
                <w:lang w:val="en-US"/>
              </w:rPr>
            </w:pPr>
            <w:r>
              <w:rPr>
                <w:rFonts w:hint="default" w:ascii="Times New Roman" w:hAnsi="Times New Roman" w:eastAsia="宋体" w:cs="Times New Roman"/>
                <w:color w:val="auto"/>
                <w:szCs w:val="21"/>
                <w:lang w:val="en-US" w:eastAsia="zh-CN"/>
              </w:rPr>
              <w:t>300/50</w:t>
            </w:r>
          </w:p>
        </w:tc>
        <w:tc>
          <w:tcPr>
            <w:tcW w:w="493" w:type="pct"/>
            <w:vMerge w:val="continue"/>
            <w:tcBorders>
              <w:tl2br w:val="nil"/>
              <w:tr2bl w:val="nil"/>
            </w:tcBorders>
            <w:vAlign w:val="center"/>
          </w:tcPr>
          <w:p w14:paraId="1E63DA4B">
            <w:pPr>
              <w:autoSpaceDE w:val="0"/>
              <w:autoSpaceDN w:val="0"/>
              <w:adjustRightInd w:val="0"/>
              <w:snapToGrid w:val="0"/>
              <w:jc w:val="center"/>
              <w:rPr>
                <w:rFonts w:hint="default" w:ascii="Times New Roman" w:hAnsi="Times New Roman" w:eastAsia="宋体" w:cs="Times New Roman"/>
                <w:color w:val="auto"/>
                <w:szCs w:val="21"/>
              </w:rPr>
            </w:pPr>
          </w:p>
        </w:tc>
      </w:tr>
      <w:tr w14:paraId="4A6222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continue"/>
            <w:tcBorders>
              <w:tl2br w:val="nil"/>
              <w:tr2bl w:val="nil"/>
            </w:tcBorders>
            <w:vAlign w:val="center"/>
          </w:tcPr>
          <w:p w14:paraId="2849454C">
            <w:pPr>
              <w:autoSpaceDE w:val="0"/>
              <w:autoSpaceDN w:val="0"/>
              <w:adjustRightInd w:val="0"/>
              <w:snapToGrid w:val="0"/>
              <w:jc w:val="center"/>
              <w:rPr>
                <w:rFonts w:hint="default" w:ascii="Times New Roman" w:hAnsi="Times New Roman" w:eastAsia="宋体" w:cs="Times New Roman"/>
                <w:color w:val="auto"/>
                <w:szCs w:val="21"/>
              </w:rPr>
            </w:pPr>
            <w:bookmarkStart w:id="114" w:name="_Toc12144"/>
            <w:bookmarkStart w:id="115" w:name="_Toc17457"/>
          </w:p>
        </w:tc>
        <w:tc>
          <w:tcPr>
            <w:tcW w:w="874" w:type="pct"/>
            <w:tcBorders>
              <w:tl2br w:val="nil"/>
              <w:tr2bl w:val="nil"/>
            </w:tcBorders>
            <w:vAlign w:val="center"/>
          </w:tcPr>
          <w:p w14:paraId="001F4FCB">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1086" w:type="pct"/>
            <w:vMerge w:val="continue"/>
            <w:tcBorders>
              <w:tl2br w:val="nil"/>
              <w:tr2bl w:val="nil"/>
            </w:tcBorders>
            <w:vAlign w:val="center"/>
          </w:tcPr>
          <w:p w14:paraId="1EFB17D1">
            <w:pPr>
              <w:autoSpaceDE w:val="0"/>
              <w:autoSpaceDN w:val="0"/>
              <w:adjustRightInd w:val="0"/>
              <w:snapToGrid w:val="0"/>
              <w:jc w:val="center"/>
              <w:rPr>
                <w:rFonts w:hint="default" w:ascii="Times New Roman" w:hAnsi="Times New Roman" w:eastAsia="宋体" w:cs="Times New Roman"/>
                <w:color w:val="auto"/>
                <w:szCs w:val="21"/>
              </w:rPr>
            </w:pPr>
          </w:p>
        </w:tc>
        <w:tc>
          <w:tcPr>
            <w:tcW w:w="679" w:type="pct"/>
            <w:tcBorders>
              <w:tl2br w:val="nil"/>
              <w:tr2bl w:val="nil"/>
            </w:tcBorders>
            <w:vAlign w:val="center"/>
          </w:tcPr>
          <w:p w14:paraId="29D883EE">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27</w:t>
            </w:r>
          </w:p>
        </w:tc>
        <w:tc>
          <w:tcPr>
            <w:tcW w:w="781" w:type="pct"/>
            <w:vMerge w:val="continue"/>
            <w:tcBorders>
              <w:tl2br w:val="nil"/>
              <w:tr2bl w:val="nil"/>
            </w:tcBorders>
            <w:vAlign w:val="center"/>
          </w:tcPr>
          <w:p w14:paraId="2F2407A1">
            <w:pPr>
              <w:autoSpaceDE w:val="0"/>
              <w:autoSpaceDN w:val="0"/>
              <w:adjustRightInd w:val="0"/>
              <w:snapToGrid w:val="0"/>
              <w:jc w:val="center"/>
              <w:rPr>
                <w:rFonts w:hint="default" w:ascii="Times New Roman" w:hAnsi="Times New Roman" w:eastAsia="宋体" w:cs="Times New Roman"/>
                <w:color w:val="auto"/>
                <w:szCs w:val="21"/>
              </w:rPr>
            </w:pPr>
          </w:p>
        </w:tc>
        <w:tc>
          <w:tcPr>
            <w:tcW w:w="493" w:type="pct"/>
            <w:vMerge w:val="continue"/>
            <w:tcBorders>
              <w:tl2br w:val="nil"/>
              <w:tr2bl w:val="nil"/>
            </w:tcBorders>
            <w:vAlign w:val="center"/>
          </w:tcPr>
          <w:p w14:paraId="3B29A86D">
            <w:pPr>
              <w:autoSpaceDE w:val="0"/>
              <w:autoSpaceDN w:val="0"/>
              <w:adjustRightInd w:val="0"/>
              <w:snapToGrid w:val="0"/>
              <w:jc w:val="center"/>
              <w:rPr>
                <w:rFonts w:hint="default" w:ascii="Times New Roman" w:hAnsi="Times New Roman" w:eastAsia="宋体" w:cs="Times New Roman"/>
                <w:color w:val="auto"/>
                <w:szCs w:val="21"/>
              </w:rPr>
            </w:pPr>
          </w:p>
        </w:tc>
      </w:tr>
      <w:tr w14:paraId="4BDE94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continue"/>
            <w:tcBorders>
              <w:tl2br w:val="nil"/>
              <w:tr2bl w:val="nil"/>
            </w:tcBorders>
            <w:vAlign w:val="center"/>
          </w:tcPr>
          <w:p w14:paraId="4F8AD736">
            <w:pPr>
              <w:autoSpaceDE w:val="0"/>
              <w:autoSpaceDN w:val="0"/>
              <w:adjustRightInd w:val="0"/>
              <w:snapToGrid w:val="0"/>
              <w:jc w:val="center"/>
              <w:rPr>
                <w:rFonts w:hint="default" w:ascii="Times New Roman" w:hAnsi="Times New Roman" w:eastAsia="宋体" w:cs="Times New Roman"/>
                <w:color w:val="auto"/>
                <w:szCs w:val="21"/>
              </w:rPr>
            </w:pPr>
          </w:p>
        </w:tc>
        <w:tc>
          <w:tcPr>
            <w:tcW w:w="874" w:type="pct"/>
            <w:tcBorders>
              <w:tl2br w:val="nil"/>
              <w:tr2bl w:val="nil"/>
            </w:tcBorders>
            <w:vAlign w:val="center"/>
          </w:tcPr>
          <w:p w14:paraId="02B3AC4D">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1086" w:type="pct"/>
            <w:vMerge w:val="continue"/>
            <w:tcBorders>
              <w:tl2br w:val="nil"/>
              <w:tr2bl w:val="nil"/>
            </w:tcBorders>
            <w:vAlign w:val="center"/>
          </w:tcPr>
          <w:p w14:paraId="268A4143">
            <w:pPr>
              <w:autoSpaceDE w:val="0"/>
              <w:autoSpaceDN w:val="0"/>
              <w:adjustRightInd w:val="0"/>
              <w:snapToGrid w:val="0"/>
              <w:jc w:val="center"/>
              <w:rPr>
                <w:rFonts w:hint="default" w:ascii="Times New Roman" w:hAnsi="Times New Roman" w:eastAsia="宋体" w:cs="Times New Roman"/>
                <w:color w:val="auto"/>
                <w:szCs w:val="21"/>
              </w:rPr>
            </w:pPr>
          </w:p>
        </w:tc>
        <w:tc>
          <w:tcPr>
            <w:tcW w:w="679" w:type="pct"/>
            <w:tcBorders>
              <w:tl2br w:val="nil"/>
              <w:tr2bl w:val="nil"/>
            </w:tcBorders>
            <w:vAlign w:val="center"/>
          </w:tcPr>
          <w:p w14:paraId="3D0D0E70">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30</w:t>
            </w:r>
          </w:p>
        </w:tc>
        <w:tc>
          <w:tcPr>
            <w:tcW w:w="781" w:type="pct"/>
            <w:vMerge w:val="continue"/>
            <w:tcBorders>
              <w:tl2br w:val="nil"/>
              <w:tr2bl w:val="nil"/>
            </w:tcBorders>
            <w:vAlign w:val="center"/>
          </w:tcPr>
          <w:p w14:paraId="58A95A77">
            <w:pPr>
              <w:autoSpaceDE w:val="0"/>
              <w:autoSpaceDN w:val="0"/>
              <w:adjustRightInd w:val="0"/>
              <w:snapToGrid w:val="0"/>
              <w:jc w:val="center"/>
              <w:rPr>
                <w:rFonts w:hint="default" w:ascii="Times New Roman" w:hAnsi="Times New Roman" w:eastAsia="宋体" w:cs="Times New Roman"/>
                <w:color w:val="auto"/>
                <w:szCs w:val="21"/>
              </w:rPr>
            </w:pPr>
          </w:p>
        </w:tc>
        <w:tc>
          <w:tcPr>
            <w:tcW w:w="493" w:type="pct"/>
            <w:vMerge w:val="continue"/>
            <w:tcBorders>
              <w:tl2br w:val="nil"/>
              <w:tr2bl w:val="nil"/>
            </w:tcBorders>
            <w:vAlign w:val="center"/>
          </w:tcPr>
          <w:p w14:paraId="510D9039">
            <w:pPr>
              <w:autoSpaceDE w:val="0"/>
              <w:autoSpaceDN w:val="0"/>
              <w:adjustRightInd w:val="0"/>
              <w:snapToGrid w:val="0"/>
              <w:jc w:val="center"/>
              <w:rPr>
                <w:rFonts w:hint="default" w:ascii="Times New Roman" w:hAnsi="Times New Roman" w:eastAsia="宋体" w:cs="Times New Roman"/>
                <w:color w:val="auto"/>
                <w:szCs w:val="21"/>
              </w:rPr>
            </w:pPr>
          </w:p>
        </w:tc>
      </w:tr>
      <w:tr w14:paraId="57F7A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restart"/>
            <w:tcBorders>
              <w:tl2br w:val="nil"/>
              <w:tr2bl w:val="nil"/>
            </w:tcBorders>
            <w:vAlign w:val="center"/>
          </w:tcPr>
          <w:p w14:paraId="1E08C2FF">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2D1R7-J2</w:t>
            </w:r>
          </w:p>
        </w:tc>
        <w:tc>
          <w:tcPr>
            <w:tcW w:w="874" w:type="pct"/>
            <w:tcBorders>
              <w:tl2br w:val="nil"/>
              <w:tr2bl w:val="nil"/>
            </w:tcBorders>
            <w:vAlign w:val="center"/>
          </w:tcPr>
          <w:p w14:paraId="38A0629B">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1086" w:type="pct"/>
            <w:tcBorders>
              <w:tl2br w:val="nil"/>
              <w:tr2bl w:val="nil"/>
            </w:tcBorders>
            <w:vAlign w:val="center"/>
          </w:tcPr>
          <w:p w14:paraId="49B6565D">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5-30</w:t>
            </w:r>
          </w:p>
        </w:tc>
        <w:tc>
          <w:tcPr>
            <w:tcW w:w="679" w:type="pct"/>
            <w:tcBorders>
              <w:tl2br w:val="nil"/>
              <w:tr2bl w:val="nil"/>
            </w:tcBorders>
            <w:vAlign w:val="center"/>
          </w:tcPr>
          <w:p w14:paraId="025CD47A">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24</w:t>
            </w:r>
          </w:p>
        </w:tc>
        <w:tc>
          <w:tcPr>
            <w:tcW w:w="781" w:type="pct"/>
            <w:tcBorders>
              <w:tl2br w:val="nil"/>
              <w:tr2bl w:val="nil"/>
            </w:tcBorders>
            <w:vAlign w:val="center"/>
          </w:tcPr>
          <w:p w14:paraId="751C34E0">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300/100</w:t>
            </w:r>
          </w:p>
        </w:tc>
        <w:tc>
          <w:tcPr>
            <w:tcW w:w="493" w:type="pct"/>
            <w:vMerge w:val="continue"/>
            <w:tcBorders>
              <w:tl2br w:val="nil"/>
              <w:tr2bl w:val="nil"/>
            </w:tcBorders>
            <w:vAlign w:val="center"/>
          </w:tcPr>
          <w:p w14:paraId="374DD00B">
            <w:pPr>
              <w:autoSpaceDE w:val="0"/>
              <w:autoSpaceDN w:val="0"/>
              <w:adjustRightInd w:val="0"/>
              <w:snapToGrid w:val="0"/>
              <w:jc w:val="center"/>
              <w:rPr>
                <w:rFonts w:hint="default" w:ascii="Times New Roman" w:hAnsi="Times New Roman" w:eastAsia="宋体" w:cs="Times New Roman"/>
                <w:color w:val="auto"/>
                <w:szCs w:val="21"/>
              </w:rPr>
            </w:pPr>
          </w:p>
        </w:tc>
      </w:tr>
      <w:tr w14:paraId="0365F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continue"/>
            <w:tcBorders>
              <w:tl2br w:val="nil"/>
              <w:tr2bl w:val="nil"/>
            </w:tcBorders>
            <w:vAlign w:val="center"/>
          </w:tcPr>
          <w:p w14:paraId="4E44AC19">
            <w:pPr>
              <w:autoSpaceDE w:val="0"/>
              <w:autoSpaceDN w:val="0"/>
              <w:adjustRightInd w:val="0"/>
              <w:snapToGrid w:val="0"/>
              <w:jc w:val="center"/>
              <w:rPr>
                <w:rFonts w:hint="default" w:ascii="Times New Roman" w:hAnsi="Times New Roman" w:eastAsia="宋体" w:cs="Times New Roman"/>
                <w:color w:val="auto"/>
                <w:szCs w:val="21"/>
              </w:rPr>
            </w:pPr>
          </w:p>
        </w:tc>
        <w:tc>
          <w:tcPr>
            <w:tcW w:w="874" w:type="pct"/>
            <w:tcBorders>
              <w:tl2br w:val="nil"/>
              <w:tr2bl w:val="nil"/>
            </w:tcBorders>
            <w:vAlign w:val="center"/>
          </w:tcPr>
          <w:p w14:paraId="535F1BB7">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1086" w:type="pct"/>
            <w:tcBorders>
              <w:tl2br w:val="nil"/>
              <w:tr2bl w:val="nil"/>
            </w:tcBorders>
            <w:vAlign w:val="center"/>
          </w:tcPr>
          <w:p w14:paraId="00B30011">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5-30</w:t>
            </w:r>
          </w:p>
        </w:tc>
        <w:tc>
          <w:tcPr>
            <w:tcW w:w="679" w:type="pct"/>
            <w:tcBorders>
              <w:tl2br w:val="nil"/>
              <w:tr2bl w:val="nil"/>
            </w:tcBorders>
            <w:vAlign w:val="center"/>
          </w:tcPr>
          <w:p w14:paraId="6DEF98CC">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27</w:t>
            </w:r>
          </w:p>
        </w:tc>
        <w:tc>
          <w:tcPr>
            <w:tcW w:w="781" w:type="pct"/>
            <w:tcBorders>
              <w:tl2br w:val="nil"/>
              <w:tr2bl w:val="nil"/>
            </w:tcBorders>
            <w:vAlign w:val="center"/>
          </w:tcPr>
          <w:p w14:paraId="5017068C">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300/100</w:t>
            </w:r>
          </w:p>
        </w:tc>
        <w:tc>
          <w:tcPr>
            <w:tcW w:w="493" w:type="pct"/>
            <w:vMerge w:val="continue"/>
            <w:tcBorders>
              <w:tl2br w:val="nil"/>
              <w:tr2bl w:val="nil"/>
            </w:tcBorders>
            <w:vAlign w:val="center"/>
          </w:tcPr>
          <w:p w14:paraId="66EDD9A2">
            <w:pPr>
              <w:autoSpaceDE w:val="0"/>
              <w:autoSpaceDN w:val="0"/>
              <w:adjustRightInd w:val="0"/>
              <w:snapToGrid w:val="0"/>
              <w:jc w:val="center"/>
              <w:rPr>
                <w:rFonts w:hint="default" w:ascii="Times New Roman" w:hAnsi="Times New Roman" w:eastAsia="宋体" w:cs="Times New Roman"/>
                <w:color w:val="auto"/>
                <w:szCs w:val="21"/>
              </w:rPr>
            </w:pPr>
          </w:p>
        </w:tc>
      </w:tr>
      <w:tr w14:paraId="06629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tcBorders>
              <w:tl2br w:val="nil"/>
              <w:tr2bl w:val="nil"/>
            </w:tcBorders>
            <w:vAlign w:val="center"/>
          </w:tcPr>
          <w:p w14:paraId="42F4231D">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2D1Z5-J2</w:t>
            </w:r>
          </w:p>
        </w:tc>
        <w:tc>
          <w:tcPr>
            <w:tcW w:w="874" w:type="pct"/>
            <w:tcBorders>
              <w:tl2br w:val="nil"/>
              <w:tr2bl w:val="nil"/>
            </w:tcBorders>
            <w:vAlign w:val="center"/>
          </w:tcPr>
          <w:p w14:paraId="23FDD16C">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1086" w:type="pct"/>
            <w:tcBorders>
              <w:tl2br w:val="nil"/>
              <w:tr2bl w:val="nil"/>
            </w:tcBorders>
            <w:vAlign w:val="center"/>
          </w:tcPr>
          <w:p w14:paraId="24A60E90">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20-40</w:t>
            </w:r>
          </w:p>
        </w:tc>
        <w:tc>
          <w:tcPr>
            <w:tcW w:w="679" w:type="pct"/>
            <w:tcBorders>
              <w:tl2br w:val="nil"/>
              <w:tr2bl w:val="nil"/>
            </w:tcBorders>
            <w:vAlign w:val="center"/>
          </w:tcPr>
          <w:p w14:paraId="425DD221">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24</w:t>
            </w:r>
          </w:p>
        </w:tc>
        <w:tc>
          <w:tcPr>
            <w:tcW w:w="781" w:type="pct"/>
            <w:tcBorders>
              <w:tl2br w:val="nil"/>
              <w:tr2bl w:val="nil"/>
            </w:tcBorders>
            <w:vAlign w:val="center"/>
          </w:tcPr>
          <w:p w14:paraId="319EC3E1">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137.5/412.5</w:t>
            </w:r>
          </w:p>
        </w:tc>
        <w:tc>
          <w:tcPr>
            <w:tcW w:w="493" w:type="pct"/>
            <w:vMerge w:val="continue"/>
            <w:tcBorders>
              <w:tl2br w:val="nil"/>
              <w:tr2bl w:val="nil"/>
            </w:tcBorders>
            <w:vAlign w:val="center"/>
          </w:tcPr>
          <w:p w14:paraId="11DA57D0">
            <w:pPr>
              <w:autoSpaceDE w:val="0"/>
              <w:autoSpaceDN w:val="0"/>
              <w:adjustRightInd w:val="0"/>
              <w:snapToGrid w:val="0"/>
              <w:jc w:val="center"/>
              <w:rPr>
                <w:rFonts w:hint="default" w:ascii="Times New Roman" w:hAnsi="Times New Roman" w:eastAsia="宋体" w:cs="Times New Roman"/>
                <w:color w:val="auto"/>
                <w:szCs w:val="21"/>
              </w:rPr>
            </w:pPr>
          </w:p>
        </w:tc>
      </w:tr>
      <w:tr w14:paraId="163C8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restart"/>
            <w:tcBorders>
              <w:tl2br w:val="nil"/>
              <w:tr2bl w:val="nil"/>
            </w:tcBorders>
            <w:vAlign w:val="center"/>
          </w:tcPr>
          <w:p w14:paraId="7E76F5B5">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2D1R8-JB1</w:t>
            </w:r>
          </w:p>
        </w:tc>
        <w:tc>
          <w:tcPr>
            <w:tcW w:w="874" w:type="pct"/>
            <w:tcBorders>
              <w:tl2br w:val="nil"/>
              <w:tr2bl w:val="nil"/>
            </w:tcBorders>
            <w:vAlign w:val="center"/>
          </w:tcPr>
          <w:p w14:paraId="0DEC2FC9">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1086" w:type="pct"/>
            <w:tcBorders>
              <w:tl2br w:val="nil"/>
              <w:tr2bl w:val="nil"/>
            </w:tcBorders>
            <w:vAlign w:val="center"/>
          </w:tcPr>
          <w:p w14:paraId="4E7E38DF">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0-5</w:t>
            </w:r>
          </w:p>
        </w:tc>
        <w:tc>
          <w:tcPr>
            <w:tcW w:w="679" w:type="pct"/>
            <w:tcBorders>
              <w:tl2br w:val="nil"/>
              <w:tr2bl w:val="nil"/>
            </w:tcBorders>
            <w:vAlign w:val="center"/>
          </w:tcPr>
          <w:p w14:paraId="1118DA94">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24</w:t>
            </w:r>
          </w:p>
        </w:tc>
        <w:tc>
          <w:tcPr>
            <w:tcW w:w="781" w:type="pct"/>
            <w:tcBorders>
              <w:tl2br w:val="nil"/>
              <w:tr2bl w:val="nil"/>
            </w:tcBorders>
            <w:vAlign w:val="center"/>
          </w:tcPr>
          <w:p w14:paraId="4DE9B08C">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300/100</w:t>
            </w:r>
          </w:p>
        </w:tc>
        <w:tc>
          <w:tcPr>
            <w:tcW w:w="493" w:type="pct"/>
            <w:vMerge w:val="continue"/>
            <w:tcBorders>
              <w:tl2br w:val="nil"/>
              <w:tr2bl w:val="nil"/>
            </w:tcBorders>
            <w:vAlign w:val="center"/>
          </w:tcPr>
          <w:p w14:paraId="7FBED363">
            <w:pPr>
              <w:autoSpaceDE w:val="0"/>
              <w:autoSpaceDN w:val="0"/>
              <w:adjustRightInd w:val="0"/>
              <w:snapToGrid w:val="0"/>
              <w:jc w:val="center"/>
              <w:rPr>
                <w:rFonts w:hint="default" w:ascii="Times New Roman" w:hAnsi="Times New Roman" w:eastAsia="宋体" w:cs="Times New Roman"/>
                <w:color w:val="auto"/>
                <w:szCs w:val="21"/>
              </w:rPr>
            </w:pPr>
          </w:p>
        </w:tc>
      </w:tr>
      <w:tr w14:paraId="5E223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continue"/>
            <w:tcBorders>
              <w:tl2br w:val="nil"/>
              <w:tr2bl w:val="nil"/>
            </w:tcBorders>
            <w:vAlign w:val="center"/>
          </w:tcPr>
          <w:p w14:paraId="720CB1A5">
            <w:pPr>
              <w:autoSpaceDE w:val="0"/>
              <w:autoSpaceDN w:val="0"/>
              <w:adjustRightInd w:val="0"/>
              <w:snapToGrid w:val="0"/>
              <w:jc w:val="center"/>
              <w:rPr>
                <w:rFonts w:hint="default" w:ascii="Times New Roman" w:hAnsi="Times New Roman" w:eastAsia="宋体" w:cs="Times New Roman"/>
                <w:color w:val="auto"/>
                <w:szCs w:val="21"/>
              </w:rPr>
            </w:pPr>
          </w:p>
        </w:tc>
        <w:tc>
          <w:tcPr>
            <w:tcW w:w="874" w:type="pct"/>
            <w:tcBorders>
              <w:tl2br w:val="nil"/>
              <w:tr2bl w:val="nil"/>
            </w:tcBorders>
            <w:vAlign w:val="center"/>
          </w:tcPr>
          <w:p w14:paraId="6FEB1E6E">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1086" w:type="pct"/>
            <w:tcBorders>
              <w:tl2br w:val="nil"/>
              <w:tr2bl w:val="nil"/>
            </w:tcBorders>
            <w:vAlign w:val="center"/>
          </w:tcPr>
          <w:p w14:paraId="26B443B0">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0-5</w:t>
            </w:r>
          </w:p>
        </w:tc>
        <w:tc>
          <w:tcPr>
            <w:tcW w:w="679" w:type="pct"/>
            <w:tcBorders>
              <w:tl2br w:val="nil"/>
              <w:tr2bl w:val="nil"/>
            </w:tcBorders>
            <w:vAlign w:val="center"/>
          </w:tcPr>
          <w:p w14:paraId="52CF1785">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27</w:t>
            </w:r>
          </w:p>
        </w:tc>
        <w:tc>
          <w:tcPr>
            <w:tcW w:w="781" w:type="pct"/>
            <w:tcBorders>
              <w:tl2br w:val="nil"/>
              <w:tr2bl w:val="nil"/>
            </w:tcBorders>
            <w:vAlign w:val="center"/>
          </w:tcPr>
          <w:p w14:paraId="1C381AB5">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300/100</w:t>
            </w:r>
          </w:p>
        </w:tc>
        <w:tc>
          <w:tcPr>
            <w:tcW w:w="493" w:type="pct"/>
            <w:vMerge w:val="continue"/>
            <w:tcBorders>
              <w:tl2br w:val="nil"/>
              <w:tr2bl w:val="nil"/>
            </w:tcBorders>
            <w:vAlign w:val="center"/>
          </w:tcPr>
          <w:p w14:paraId="11A16729">
            <w:pPr>
              <w:autoSpaceDE w:val="0"/>
              <w:autoSpaceDN w:val="0"/>
              <w:adjustRightInd w:val="0"/>
              <w:snapToGrid w:val="0"/>
              <w:jc w:val="center"/>
              <w:rPr>
                <w:rFonts w:hint="default" w:ascii="Times New Roman" w:hAnsi="Times New Roman" w:eastAsia="宋体" w:cs="Times New Roman"/>
                <w:color w:val="auto"/>
                <w:szCs w:val="21"/>
              </w:rPr>
            </w:pPr>
          </w:p>
        </w:tc>
      </w:tr>
      <w:tr w14:paraId="67F26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continue"/>
            <w:tcBorders>
              <w:tl2br w:val="nil"/>
              <w:tr2bl w:val="nil"/>
            </w:tcBorders>
            <w:vAlign w:val="center"/>
          </w:tcPr>
          <w:p w14:paraId="3B1C4CC0">
            <w:pPr>
              <w:autoSpaceDE w:val="0"/>
              <w:autoSpaceDN w:val="0"/>
              <w:adjustRightInd w:val="0"/>
              <w:snapToGrid w:val="0"/>
              <w:jc w:val="center"/>
              <w:rPr>
                <w:rFonts w:hint="default" w:ascii="Times New Roman" w:hAnsi="Times New Roman" w:eastAsia="宋体" w:cs="Times New Roman"/>
                <w:color w:val="auto"/>
                <w:szCs w:val="21"/>
              </w:rPr>
            </w:pPr>
          </w:p>
        </w:tc>
        <w:tc>
          <w:tcPr>
            <w:tcW w:w="874" w:type="pct"/>
            <w:tcBorders>
              <w:tl2br w:val="nil"/>
              <w:tr2bl w:val="nil"/>
            </w:tcBorders>
            <w:vAlign w:val="center"/>
          </w:tcPr>
          <w:p w14:paraId="5DCE5AD1">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1086" w:type="pct"/>
            <w:tcBorders>
              <w:tl2br w:val="nil"/>
              <w:tr2bl w:val="nil"/>
            </w:tcBorders>
            <w:vAlign w:val="center"/>
          </w:tcPr>
          <w:p w14:paraId="7F31AF88">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0-5</w:t>
            </w:r>
          </w:p>
        </w:tc>
        <w:tc>
          <w:tcPr>
            <w:tcW w:w="679" w:type="pct"/>
            <w:tcBorders>
              <w:tl2br w:val="nil"/>
              <w:tr2bl w:val="nil"/>
            </w:tcBorders>
            <w:vAlign w:val="center"/>
          </w:tcPr>
          <w:p w14:paraId="6FFD4984">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36</w:t>
            </w:r>
          </w:p>
        </w:tc>
        <w:tc>
          <w:tcPr>
            <w:tcW w:w="781" w:type="pct"/>
            <w:tcBorders>
              <w:tl2br w:val="nil"/>
              <w:tr2bl w:val="nil"/>
            </w:tcBorders>
            <w:vAlign w:val="center"/>
          </w:tcPr>
          <w:p w14:paraId="1968E032">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300/100</w:t>
            </w:r>
          </w:p>
        </w:tc>
        <w:tc>
          <w:tcPr>
            <w:tcW w:w="493" w:type="pct"/>
            <w:vMerge w:val="continue"/>
            <w:tcBorders>
              <w:tl2br w:val="nil"/>
              <w:tr2bl w:val="nil"/>
            </w:tcBorders>
            <w:vAlign w:val="center"/>
          </w:tcPr>
          <w:p w14:paraId="05ECCAFE">
            <w:pPr>
              <w:autoSpaceDE w:val="0"/>
              <w:autoSpaceDN w:val="0"/>
              <w:adjustRightInd w:val="0"/>
              <w:snapToGrid w:val="0"/>
              <w:jc w:val="center"/>
              <w:rPr>
                <w:rFonts w:hint="default" w:ascii="Times New Roman" w:hAnsi="Times New Roman" w:eastAsia="宋体" w:cs="Times New Roman"/>
                <w:color w:val="auto"/>
                <w:szCs w:val="21"/>
              </w:rPr>
            </w:pPr>
          </w:p>
        </w:tc>
      </w:tr>
      <w:tr w14:paraId="528C68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restart"/>
            <w:tcBorders>
              <w:tl2br w:val="nil"/>
              <w:tr2bl w:val="nil"/>
            </w:tcBorders>
            <w:vAlign w:val="center"/>
          </w:tcPr>
          <w:p w14:paraId="0409FA0A">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2D1R8-JB3</w:t>
            </w:r>
          </w:p>
        </w:tc>
        <w:tc>
          <w:tcPr>
            <w:tcW w:w="874" w:type="pct"/>
            <w:tcBorders>
              <w:tl2br w:val="nil"/>
              <w:tr2bl w:val="nil"/>
            </w:tcBorders>
            <w:vAlign w:val="center"/>
          </w:tcPr>
          <w:p w14:paraId="4B11B6DE">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1086" w:type="pct"/>
            <w:vMerge w:val="restart"/>
            <w:tcBorders>
              <w:tl2br w:val="nil"/>
              <w:tr2bl w:val="nil"/>
            </w:tcBorders>
            <w:vAlign w:val="center"/>
          </w:tcPr>
          <w:p w14:paraId="71147B5A">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20-40兼0-30终端</w:t>
            </w:r>
          </w:p>
        </w:tc>
        <w:tc>
          <w:tcPr>
            <w:tcW w:w="679" w:type="pct"/>
            <w:tcBorders>
              <w:tl2br w:val="nil"/>
              <w:tr2bl w:val="nil"/>
            </w:tcBorders>
            <w:vAlign w:val="center"/>
          </w:tcPr>
          <w:p w14:paraId="2AEA05AE">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21</w:t>
            </w:r>
          </w:p>
        </w:tc>
        <w:tc>
          <w:tcPr>
            <w:tcW w:w="781" w:type="pct"/>
            <w:tcBorders>
              <w:tl2br w:val="nil"/>
              <w:tr2bl w:val="nil"/>
            </w:tcBorders>
            <w:vAlign w:val="center"/>
          </w:tcPr>
          <w:p w14:paraId="77ACE46A">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300/100</w:t>
            </w:r>
          </w:p>
        </w:tc>
        <w:tc>
          <w:tcPr>
            <w:tcW w:w="493" w:type="pct"/>
            <w:vMerge w:val="continue"/>
            <w:tcBorders>
              <w:tl2br w:val="nil"/>
              <w:tr2bl w:val="nil"/>
            </w:tcBorders>
            <w:vAlign w:val="center"/>
          </w:tcPr>
          <w:p w14:paraId="7691A0E9">
            <w:pPr>
              <w:autoSpaceDE w:val="0"/>
              <w:autoSpaceDN w:val="0"/>
              <w:adjustRightInd w:val="0"/>
              <w:snapToGrid w:val="0"/>
              <w:jc w:val="center"/>
              <w:rPr>
                <w:rFonts w:hint="default" w:ascii="Times New Roman" w:hAnsi="Times New Roman" w:eastAsia="宋体" w:cs="Times New Roman"/>
                <w:color w:val="auto"/>
                <w:szCs w:val="21"/>
              </w:rPr>
            </w:pPr>
          </w:p>
        </w:tc>
      </w:tr>
      <w:tr w14:paraId="3D90C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continue"/>
            <w:tcBorders>
              <w:tl2br w:val="nil"/>
              <w:tr2bl w:val="nil"/>
            </w:tcBorders>
            <w:vAlign w:val="center"/>
          </w:tcPr>
          <w:p w14:paraId="2E239F51">
            <w:pPr>
              <w:autoSpaceDE w:val="0"/>
              <w:autoSpaceDN w:val="0"/>
              <w:adjustRightInd w:val="0"/>
              <w:snapToGrid w:val="0"/>
              <w:jc w:val="center"/>
              <w:rPr>
                <w:rFonts w:hint="default" w:ascii="Times New Roman" w:hAnsi="Times New Roman" w:eastAsia="宋体" w:cs="Times New Roman"/>
                <w:color w:val="auto"/>
                <w:szCs w:val="21"/>
              </w:rPr>
            </w:pPr>
          </w:p>
        </w:tc>
        <w:tc>
          <w:tcPr>
            <w:tcW w:w="874" w:type="pct"/>
            <w:tcBorders>
              <w:tl2br w:val="nil"/>
              <w:tr2bl w:val="nil"/>
            </w:tcBorders>
            <w:vAlign w:val="center"/>
          </w:tcPr>
          <w:p w14:paraId="3E973309">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1086" w:type="pct"/>
            <w:vMerge w:val="continue"/>
            <w:tcBorders>
              <w:tl2br w:val="nil"/>
              <w:tr2bl w:val="nil"/>
            </w:tcBorders>
            <w:vAlign w:val="center"/>
          </w:tcPr>
          <w:p w14:paraId="41E83B7F">
            <w:pPr>
              <w:autoSpaceDE w:val="0"/>
              <w:autoSpaceDN w:val="0"/>
              <w:adjustRightInd w:val="0"/>
              <w:snapToGrid w:val="0"/>
              <w:jc w:val="center"/>
              <w:rPr>
                <w:rFonts w:hint="default" w:ascii="Times New Roman" w:hAnsi="Times New Roman" w:eastAsia="宋体" w:cs="Times New Roman"/>
                <w:color w:val="auto"/>
                <w:szCs w:val="21"/>
              </w:rPr>
            </w:pPr>
          </w:p>
        </w:tc>
        <w:tc>
          <w:tcPr>
            <w:tcW w:w="679" w:type="pct"/>
            <w:tcBorders>
              <w:tl2br w:val="nil"/>
              <w:tr2bl w:val="nil"/>
            </w:tcBorders>
            <w:vAlign w:val="center"/>
          </w:tcPr>
          <w:p w14:paraId="5784331D">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24</w:t>
            </w:r>
          </w:p>
        </w:tc>
        <w:tc>
          <w:tcPr>
            <w:tcW w:w="781" w:type="pct"/>
            <w:tcBorders>
              <w:tl2br w:val="nil"/>
              <w:tr2bl w:val="nil"/>
            </w:tcBorders>
            <w:vAlign w:val="center"/>
          </w:tcPr>
          <w:p w14:paraId="44B6A0EC">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300/100</w:t>
            </w:r>
          </w:p>
        </w:tc>
        <w:tc>
          <w:tcPr>
            <w:tcW w:w="493" w:type="pct"/>
            <w:vMerge w:val="continue"/>
            <w:tcBorders>
              <w:tl2br w:val="nil"/>
              <w:tr2bl w:val="nil"/>
            </w:tcBorders>
            <w:vAlign w:val="center"/>
          </w:tcPr>
          <w:p w14:paraId="3B981BC3">
            <w:pPr>
              <w:autoSpaceDE w:val="0"/>
              <w:autoSpaceDN w:val="0"/>
              <w:adjustRightInd w:val="0"/>
              <w:snapToGrid w:val="0"/>
              <w:jc w:val="center"/>
              <w:rPr>
                <w:rFonts w:hint="default" w:ascii="Times New Roman" w:hAnsi="Times New Roman" w:eastAsia="宋体" w:cs="Times New Roman"/>
                <w:color w:val="auto"/>
                <w:szCs w:val="21"/>
              </w:rPr>
            </w:pPr>
          </w:p>
        </w:tc>
      </w:tr>
      <w:tr w14:paraId="7CF71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continue"/>
            <w:tcBorders>
              <w:tl2br w:val="nil"/>
              <w:tr2bl w:val="nil"/>
            </w:tcBorders>
            <w:vAlign w:val="center"/>
          </w:tcPr>
          <w:p w14:paraId="223385EE">
            <w:pPr>
              <w:autoSpaceDE w:val="0"/>
              <w:autoSpaceDN w:val="0"/>
              <w:adjustRightInd w:val="0"/>
              <w:snapToGrid w:val="0"/>
              <w:jc w:val="center"/>
              <w:rPr>
                <w:rFonts w:hint="default" w:ascii="Times New Roman" w:hAnsi="Times New Roman" w:eastAsia="宋体" w:cs="Times New Roman"/>
                <w:color w:val="auto"/>
                <w:szCs w:val="21"/>
              </w:rPr>
            </w:pPr>
          </w:p>
        </w:tc>
        <w:tc>
          <w:tcPr>
            <w:tcW w:w="874" w:type="pct"/>
            <w:tcBorders>
              <w:tl2br w:val="nil"/>
              <w:tr2bl w:val="nil"/>
            </w:tcBorders>
            <w:vAlign w:val="center"/>
          </w:tcPr>
          <w:p w14:paraId="585D992F">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1086" w:type="pct"/>
            <w:vMerge w:val="continue"/>
            <w:tcBorders>
              <w:tl2br w:val="nil"/>
              <w:tr2bl w:val="nil"/>
            </w:tcBorders>
            <w:vAlign w:val="center"/>
          </w:tcPr>
          <w:p w14:paraId="6CC52E4A">
            <w:pPr>
              <w:autoSpaceDE w:val="0"/>
              <w:autoSpaceDN w:val="0"/>
              <w:adjustRightInd w:val="0"/>
              <w:snapToGrid w:val="0"/>
              <w:jc w:val="center"/>
              <w:rPr>
                <w:rFonts w:hint="default" w:ascii="Times New Roman" w:hAnsi="Times New Roman" w:eastAsia="宋体" w:cs="Times New Roman"/>
                <w:color w:val="auto"/>
                <w:szCs w:val="21"/>
              </w:rPr>
            </w:pPr>
          </w:p>
        </w:tc>
        <w:tc>
          <w:tcPr>
            <w:tcW w:w="679" w:type="pct"/>
            <w:tcBorders>
              <w:tl2br w:val="nil"/>
              <w:tr2bl w:val="nil"/>
            </w:tcBorders>
            <w:vAlign w:val="center"/>
          </w:tcPr>
          <w:p w14:paraId="6517EF29">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27</w:t>
            </w:r>
          </w:p>
        </w:tc>
        <w:tc>
          <w:tcPr>
            <w:tcW w:w="781" w:type="pct"/>
            <w:tcBorders>
              <w:tl2br w:val="nil"/>
              <w:tr2bl w:val="nil"/>
            </w:tcBorders>
            <w:vAlign w:val="center"/>
          </w:tcPr>
          <w:p w14:paraId="1EB7A48F">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300/100</w:t>
            </w:r>
          </w:p>
        </w:tc>
        <w:tc>
          <w:tcPr>
            <w:tcW w:w="493" w:type="pct"/>
            <w:vMerge w:val="continue"/>
            <w:tcBorders>
              <w:tl2br w:val="nil"/>
              <w:tr2bl w:val="nil"/>
            </w:tcBorders>
            <w:vAlign w:val="center"/>
          </w:tcPr>
          <w:p w14:paraId="38B4228E">
            <w:pPr>
              <w:autoSpaceDE w:val="0"/>
              <w:autoSpaceDN w:val="0"/>
              <w:adjustRightInd w:val="0"/>
              <w:snapToGrid w:val="0"/>
              <w:jc w:val="center"/>
              <w:rPr>
                <w:rFonts w:hint="default" w:ascii="Times New Roman" w:hAnsi="Times New Roman" w:eastAsia="宋体" w:cs="Times New Roman"/>
                <w:color w:val="auto"/>
                <w:szCs w:val="21"/>
              </w:rPr>
            </w:pPr>
          </w:p>
        </w:tc>
      </w:tr>
      <w:tr w14:paraId="37FFF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continue"/>
            <w:tcBorders>
              <w:tl2br w:val="nil"/>
              <w:tr2bl w:val="nil"/>
            </w:tcBorders>
            <w:vAlign w:val="center"/>
          </w:tcPr>
          <w:p w14:paraId="358363CD">
            <w:pPr>
              <w:autoSpaceDE w:val="0"/>
              <w:autoSpaceDN w:val="0"/>
              <w:adjustRightInd w:val="0"/>
              <w:snapToGrid w:val="0"/>
              <w:jc w:val="center"/>
              <w:rPr>
                <w:rFonts w:hint="default" w:ascii="Times New Roman" w:hAnsi="Times New Roman" w:eastAsia="宋体" w:cs="Times New Roman"/>
                <w:color w:val="auto"/>
                <w:szCs w:val="21"/>
              </w:rPr>
            </w:pPr>
          </w:p>
        </w:tc>
        <w:tc>
          <w:tcPr>
            <w:tcW w:w="874" w:type="pct"/>
            <w:tcBorders>
              <w:tl2br w:val="nil"/>
              <w:tr2bl w:val="nil"/>
            </w:tcBorders>
            <w:vAlign w:val="center"/>
          </w:tcPr>
          <w:p w14:paraId="66A6FA17">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w:t>
            </w:r>
          </w:p>
        </w:tc>
        <w:tc>
          <w:tcPr>
            <w:tcW w:w="1086" w:type="pct"/>
            <w:vMerge w:val="continue"/>
            <w:tcBorders>
              <w:tl2br w:val="nil"/>
              <w:tr2bl w:val="nil"/>
            </w:tcBorders>
            <w:vAlign w:val="center"/>
          </w:tcPr>
          <w:p w14:paraId="451BA651">
            <w:pPr>
              <w:autoSpaceDE w:val="0"/>
              <w:autoSpaceDN w:val="0"/>
              <w:adjustRightInd w:val="0"/>
              <w:snapToGrid w:val="0"/>
              <w:jc w:val="center"/>
              <w:rPr>
                <w:rFonts w:hint="default" w:ascii="Times New Roman" w:hAnsi="Times New Roman" w:eastAsia="宋体" w:cs="Times New Roman"/>
                <w:color w:val="auto"/>
                <w:szCs w:val="21"/>
              </w:rPr>
            </w:pPr>
          </w:p>
        </w:tc>
        <w:tc>
          <w:tcPr>
            <w:tcW w:w="679" w:type="pct"/>
            <w:tcBorders>
              <w:tl2br w:val="nil"/>
              <w:tr2bl w:val="nil"/>
            </w:tcBorders>
            <w:vAlign w:val="center"/>
          </w:tcPr>
          <w:p w14:paraId="128EA4EF">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33</w:t>
            </w:r>
          </w:p>
        </w:tc>
        <w:tc>
          <w:tcPr>
            <w:tcW w:w="781" w:type="pct"/>
            <w:tcBorders>
              <w:tl2br w:val="nil"/>
              <w:tr2bl w:val="nil"/>
            </w:tcBorders>
            <w:vAlign w:val="center"/>
          </w:tcPr>
          <w:p w14:paraId="18D236C8">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300/100</w:t>
            </w:r>
          </w:p>
        </w:tc>
        <w:tc>
          <w:tcPr>
            <w:tcW w:w="493" w:type="pct"/>
            <w:vMerge w:val="continue"/>
            <w:tcBorders>
              <w:tl2br w:val="nil"/>
              <w:tr2bl w:val="nil"/>
            </w:tcBorders>
            <w:vAlign w:val="center"/>
          </w:tcPr>
          <w:p w14:paraId="289932EF">
            <w:pPr>
              <w:autoSpaceDE w:val="0"/>
              <w:autoSpaceDN w:val="0"/>
              <w:adjustRightInd w:val="0"/>
              <w:snapToGrid w:val="0"/>
              <w:jc w:val="center"/>
              <w:rPr>
                <w:rFonts w:hint="default" w:ascii="Times New Roman" w:hAnsi="Times New Roman" w:eastAsia="宋体" w:cs="Times New Roman"/>
                <w:color w:val="auto"/>
                <w:szCs w:val="21"/>
              </w:rPr>
            </w:pPr>
          </w:p>
        </w:tc>
      </w:tr>
      <w:tr w14:paraId="20A00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84" w:type="pct"/>
            <w:vMerge w:val="continue"/>
            <w:tcBorders>
              <w:tl2br w:val="nil"/>
              <w:tr2bl w:val="nil"/>
            </w:tcBorders>
            <w:vAlign w:val="center"/>
          </w:tcPr>
          <w:p w14:paraId="7BFE2F36">
            <w:pPr>
              <w:autoSpaceDE w:val="0"/>
              <w:autoSpaceDN w:val="0"/>
              <w:adjustRightInd w:val="0"/>
              <w:snapToGrid w:val="0"/>
              <w:jc w:val="center"/>
              <w:rPr>
                <w:rFonts w:hint="default" w:ascii="Times New Roman" w:hAnsi="Times New Roman" w:eastAsia="宋体" w:cs="Times New Roman"/>
                <w:color w:val="auto"/>
                <w:szCs w:val="21"/>
              </w:rPr>
            </w:pPr>
          </w:p>
        </w:tc>
        <w:tc>
          <w:tcPr>
            <w:tcW w:w="874" w:type="pct"/>
            <w:tcBorders>
              <w:tl2br w:val="nil"/>
              <w:tr2bl w:val="nil"/>
            </w:tcBorders>
            <w:vAlign w:val="center"/>
          </w:tcPr>
          <w:p w14:paraId="1C54A177">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1086" w:type="pct"/>
            <w:vMerge w:val="continue"/>
            <w:tcBorders>
              <w:tl2br w:val="nil"/>
              <w:tr2bl w:val="nil"/>
            </w:tcBorders>
            <w:vAlign w:val="center"/>
          </w:tcPr>
          <w:p w14:paraId="4A65C91A">
            <w:pPr>
              <w:autoSpaceDE w:val="0"/>
              <w:autoSpaceDN w:val="0"/>
              <w:adjustRightInd w:val="0"/>
              <w:snapToGrid w:val="0"/>
              <w:jc w:val="center"/>
              <w:rPr>
                <w:rFonts w:hint="default" w:ascii="Times New Roman" w:hAnsi="Times New Roman" w:eastAsia="宋体" w:cs="Times New Roman"/>
                <w:color w:val="auto"/>
                <w:szCs w:val="21"/>
              </w:rPr>
            </w:pPr>
          </w:p>
        </w:tc>
        <w:tc>
          <w:tcPr>
            <w:tcW w:w="679" w:type="pct"/>
            <w:tcBorders>
              <w:tl2br w:val="nil"/>
              <w:tr2bl w:val="nil"/>
            </w:tcBorders>
            <w:vAlign w:val="center"/>
          </w:tcPr>
          <w:p w14:paraId="76C0AFC9">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36</w:t>
            </w:r>
          </w:p>
        </w:tc>
        <w:tc>
          <w:tcPr>
            <w:tcW w:w="781" w:type="pct"/>
            <w:tcBorders>
              <w:tl2br w:val="nil"/>
              <w:tr2bl w:val="nil"/>
            </w:tcBorders>
            <w:vAlign w:val="center"/>
          </w:tcPr>
          <w:p w14:paraId="6628381F">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300/100</w:t>
            </w:r>
          </w:p>
        </w:tc>
        <w:tc>
          <w:tcPr>
            <w:tcW w:w="493" w:type="pct"/>
            <w:vMerge w:val="continue"/>
            <w:tcBorders>
              <w:tl2br w:val="nil"/>
              <w:tr2bl w:val="nil"/>
            </w:tcBorders>
            <w:vAlign w:val="center"/>
          </w:tcPr>
          <w:p w14:paraId="63FF1856">
            <w:pPr>
              <w:autoSpaceDE w:val="0"/>
              <w:autoSpaceDN w:val="0"/>
              <w:adjustRightInd w:val="0"/>
              <w:snapToGrid w:val="0"/>
              <w:jc w:val="center"/>
              <w:rPr>
                <w:rFonts w:hint="default" w:ascii="Times New Roman" w:hAnsi="Times New Roman" w:eastAsia="宋体" w:cs="Times New Roman"/>
                <w:color w:val="auto"/>
                <w:szCs w:val="21"/>
              </w:rPr>
            </w:pPr>
          </w:p>
        </w:tc>
      </w:tr>
    </w:tbl>
    <w:p w14:paraId="2121C1F9">
      <w:pPr>
        <w:keepNext w:val="0"/>
        <w:keepLines w:val="0"/>
        <w:pageBreakBefore w:val="0"/>
        <w:widowControl w:val="0"/>
        <w:tabs>
          <w:tab w:val="right" w:pos="1064"/>
        </w:tabs>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auto"/>
          <w:sz w:val="24"/>
          <w:lang w:bidi="ar"/>
        </w:rPr>
      </w:pPr>
      <w:r>
        <w:rPr>
          <w:rFonts w:hint="default" w:ascii="Times New Roman" w:hAnsi="Times New Roman" w:eastAsia="宋体" w:cs="Times New Roman"/>
          <w:b/>
          <w:bCs/>
          <w:color w:val="auto"/>
          <w:sz w:val="24"/>
          <w:lang w:bidi="ar"/>
        </w:rPr>
        <w:t>（3）基础</w:t>
      </w:r>
      <w:bookmarkEnd w:id="114"/>
      <w:bookmarkEnd w:id="115"/>
    </w:p>
    <w:p w14:paraId="2596D14D">
      <w:pPr>
        <w:keepNext w:val="0"/>
        <w:keepLines w:val="0"/>
        <w:pageBreakBefore w:val="0"/>
        <w:widowControl w:val="0"/>
        <w:tabs>
          <w:tab w:val="right" w:pos="1064"/>
        </w:tabs>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送电线路基础的设计，对工程造价起着重要作用，随着电力建设的不断市场化，输电线路的辅助施工费用占工程总价的比重越来越高，环境保护越来越受重视，因此，需要在设计时综合考虑各项经济效益和社会效益，选择适当的基础型式，减小施工开挖量和环境的破坏，达到安全、环保、经济的设计目的。</w:t>
      </w:r>
    </w:p>
    <w:p w14:paraId="25E8425A">
      <w:pPr>
        <w:keepNext w:val="0"/>
        <w:keepLines w:val="0"/>
        <w:pageBreakBefore w:val="0"/>
        <w:widowControl w:val="0"/>
        <w:tabs>
          <w:tab w:val="right" w:pos="1064"/>
        </w:tabs>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山区输电线路工程，塔位大多位于斜坡上，地质、地形条件较复杂，一基塔的四个塔腿都可能处在不同高程，为避免在基础施工过程中将整个塔基范围挖成一个大平台（即降基面，既浪费了劳动力，又较大范围破坏了塔基周边的自然地貌，不利于塔基稳定），另外，随着人们环保意识的增强</w:t>
      </w:r>
      <w:r>
        <w:rPr>
          <w:rFonts w:hint="default" w:ascii="Times New Roman" w:hAnsi="Times New Roman" w:eastAsia="宋体" w:cs="Times New Roman"/>
          <w:color w:val="auto"/>
          <w:sz w:val="24"/>
          <w:lang w:eastAsia="zh-CN"/>
        </w:rPr>
        <w:t>和</w:t>
      </w:r>
      <w:r>
        <w:rPr>
          <w:rFonts w:hint="default" w:ascii="Times New Roman" w:hAnsi="Times New Roman" w:eastAsia="宋体" w:cs="Times New Roman"/>
          <w:color w:val="auto"/>
          <w:sz w:val="24"/>
        </w:rPr>
        <w:t>实现可持续发展的需要，电力线路建设与保护自然环境的矛盾日益突出。为解决上述矛盾，除采用铁塔长短腿来进行调节外，如何因地制宜地做好基础设计是摆在设计人员面前的一个重要课题。在工程中合理采用铁塔长短腿配合与地质、地形相适应的基础，解决场地土开挖问题，维持塔位原有地形地貌，以达到既保持水土，保护环境，又维护塔基安全稳定。</w:t>
      </w:r>
    </w:p>
    <w:p w14:paraId="71C0D887">
      <w:pPr>
        <w:keepNext w:val="0"/>
        <w:keepLines w:val="0"/>
        <w:pageBreakBefore w:val="0"/>
        <w:widowControl w:val="0"/>
        <w:tabs>
          <w:tab w:val="right" w:pos="1064"/>
        </w:tabs>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在本阶段设计中除吸收</w:t>
      </w:r>
      <w:r>
        <w:rPr>
          <w:rFonts w:hint="default" w:ascii="Times New Roman" w:hAnsi="Times New Roman" w:eastAsia="宋体" w:cs="Times New Roman"/>
          <w:color w:val="auto"/>
          <w:sz w:val="24"/>
          <w:lang w:val="en-US" w:eastAsia="zh-CN"/>
        </w:rPr>
        <w:t>11</w:t>
      </w:r>
      <w:r>
        <w:rPr>
          <w:rFonts w:hint="default" w:ascii="Times New Roman" w:hAnsi="Times New Roman" w:eastAsia="宋体" w:cs="Times New Roman"/>
          <w:color w:val="auto"/>
          <w:sz w:val="24"/>
        </w:rPr>
        <w:t>0千伏线路基础设计的成熟经验、先进技术外，还结合本工程地形、地质、水文特点，设计选择以下基础型式。</w:t>
      </w:r>
    </w:p>
    <w:p w14:paraId="2591AD5E">
      <w:pPr>
        <w:keepNext w:val="0"/>
        <w:keepLines w:val="0"/>
        <w:pageBreakBefore w:val="0"/>
        <w:widowControl w:val="0"/>
        <w:tabs>
          <w:tab w:val="right" w:pos="1064"/>
        </w:tabs>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1）人工挖孔桩基础</w:t>
      </w:r>
    </w:p>
    <w:p w14:paraId="2B6C13B9">
      <w:pPr>
        <w:keepNext w:val="0"/>
        <w:keepLines w:val="0"/>
        <w:pageBreakBefore w:val="0"/>
        <w:widowControl w:val="0"/>
        <w:tabs>
          <w:tab w:val="right" w:pos="1064"/>
        </w:tabs>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人工挖孔桩基础是在塔位地形复杂、场地狭窄、高差较大，基础外露较高、基础外负荷较大时，主要采用的基础型式。该基础同掏挖基础一样采用人工开挖，但因埋深较大，在开挖时可根据塔位地质条件确定是否需要护壁保护。人工挖孔桩能有效</w:t>
      </w:r>
      <w:r>
        <w:rPr>
          <w:rFonts w:hint="default" w:ascii="Times New Roman" w:hAnsi="Times New Roman" w:eastAsia="宋体" w:cs="Times New Roman"/>
          <w:color w:val="auto"/>
          <w:sz w:val="24"/>
          <w:lang w:eastAsia="zh-CN"/>
        </w:rPr>
        <w:t>地</w:t>
      </w:r>
      <w:r>
        <w:rPr>
          <w:rFonts w:hint="default" w:ascii="Times New Roman" w:hAnsi="Times New Roman" w:eastAsia="宋体" w:cs="Times New Roman"/>
          <w:color w:val="auto"/>
          <w:sz w:val="24"/>
        </w:rPr>
        <w:t>降低基坑开挖量及小平台开挖量，减少施工弃土对表土的破坏，降低施工对环境的破坏，保护塔基周围的自然地貌。</w:t>
      </w:r>
    </w:p>
    <w:p w14:paraId="516D7606">
      <w:pPr>
        <w:keepNext w:val="0"/>
        <w:keepLines w:val="0"/>
        <w:pageBreakBefore w:val="0"/>
        <w:widowControl w:val="0"/>
        <w:tabs>
          <w:tab w:val="right" w:pos="1064"/>
        </w:tabs>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2）掏挖基础</w:t>
      </w:r>
    </w:p>
    <w:p w14:paraId="6F55AAE7">
      <w:pPr>
        <w:keepNext w:val="0"/>
        <w:keepLines w:val="0"/>
        <w:pageBreakBefore w:val="0"/>
        <w:widowControl w:val="0"/>
        <w:tabs>
          <w:tab w:val="right" w:pos="1064"/>
        </w:tabs>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掏挖基础用于易开挖成型，地形坡度较缓，基础外负荷较小的塔位，其优点：采用人工掏挖成型，能</w:t>
      </w:r>
      <w:r>
        <w:rPr>
          <w:rFonts w:hint="default" w:ascii="Times New Roman" w:hAnsi="Times New Roman" w:eastAsia="宋体" w:cs="Times New Roman"/>
          <w:color w:val="auto"/>
          <w:sz w:val="24"/>
          <w:lang w:eastAsia="zh-CN"/>
        </w:rPr>
        <w:t>较好地发挥了</w:t>
      </w:r>
      <w:r>
        <w:rPr>
          <w:rFonts w:hint="default" w:ascii="Times New Roman" w:hAnsi="Times New Roman" w:eastAsia="宋体" w:cs="Times New Roman"/>
          <w:color w:val="auto"/>
          <w:sz w:val="24"/>
        </w:rPr>
        <w:t>原状土的粘聚力及侧向土抗力，能有效</w:t>
      </w:r>
      <w:r>
        <w:rPr>
          <w:rFonts w:hint="default" w:ascii="Times New Roman" w:hAnsi="Times New Roman" w:eastAsia="宋体" w:cs="Times New Roman"/>
          <w:color w:val="auto"/>
          <w:sz w:val="24"/>
          <w:lang w:eastAsia="zh-CN"/>
        </w:rPr>
        <w:t>地</w:t>
      </w:r>
      <w:r>
        <w:rPr>
          <w:rFonts w:hint="default" w:ascii="Times New Roman" w:hAnsi="Times New Roman" w:eastAsia="宋体" w:cs="Times New Roman"/>
          <w:color w:val="auto"/>
          <w:sz w:val="24"/>
        </w:rPr>
        <w:t>降低基坑开挖量及小平台开挖量，减少施工弃土对表土的破坏，降低施工对环境的破坏，保护了塔基周围的自然地貌，同时，该型基础在</w:t>
      </w:r>
      <w:r>
        <w:rPr>
          <w:rFonts w:hint="default" w:ascii="Times New Roman" w:hAnsi="Times New Roman" w:eastAsia="宋体" w:cs="Times New Roman"/>
          <w:color w:val="auto"/>
          <w:sz w:val="24"/>
          <w:lang w:eastAsia="zh-CN"/>
        </w:rPr>
        <w:t>浇筑</w:t>
      </w:r>
      <w:r>
        <w:rPr>
          <w:rFonts w:hint="default" w:ascii="Times New Roman" w:hAnsi="Times New Roman" w:eastAsia="宋体" w:cs="Times New Roman"/>
          <w:color w:val="auto"/>
          <w:sz w:val="24"/>
        </w:rPr>
        <w:t>混凝土时不用支模，使施工更加方便，降低了施工费用。其缺点：掏挖基础比大开挖现浇斜柱式基础的混凝土指标稍高，同时因地质情况在开挖无法成型时需采取护壁。</w:t>
      </w:r>
    </w:p>
    <w:p w14:paraId="296F4910">
      <w:pPr>
        <w:keepNext w:val="0"/>
        <w:keepLines w:val="0"/>
        <w:pageBreakBefore w:val="0"/>
        <w:widowControl w:val="0"/>
        <w:tabs>
          <w:tab w:val="right" w:pos="1064"/>
        </w:tabs>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本工程采用人工挖孔桩基础、掏挖基础。</w:t>
      </w:r>
    </w:p>
    <w:p w14:paraId="0EA64DCB">
      <w:pPr>
        <w:adjustRightInd w:val="0"/>
        <w:snapToGrid w:val="0"/>
        <w:spacing w:before="156" w:beforeLines="50" w:after="156" w:afterLines="50"/>
        <w:outlineLvl w:val="2"/>
        <w:rPr>
          <w:rFonts w:hint="default" w:ascii="Times New Roman" w:hAnsi="Times New Roman" w:eastAsia="宋体" w:cs="Times New Roman"/>
          <w:b/>
          <w:color w:val="auto"/>
          <w:sz w:val="24"/>
          <w:szCs w:val="20"/>
          <w:lang w:val="en-US" w:eastAsia="zh-CN" w:bidi="ar"/>
        </w:rPr>
      </w:pPr>
      <w:bookmarkStart w:id="116" w:name="_Toc31871"/>
      <w:bookmarkStart w:id="117" w:name="_Toc15154"/>
      <w:r>
        <w:rPr>
          <w:rFonts w:hint="default" w:ascii="Times New Roman" w:hAnsi="Times New Roman" w:eastAsia="宋体" w:cs="Times New Roman"/>
          <w:b/>
          <w:color w:val="auto"/>
          <w:sz w:val="24"/>
          <w:szCs w:val="20"/>
          <w:lang w:val="en-US" w:eastAsia="zh-CN" w:bidi="ar"/>
        </w:rPr>
        <w:t>3.1.3线路路径</w:t>
      </w:r>
      <w:bookmarkEnd w:id="116"/>
      <w:bookmarkEnd w:id="117"/>
    </w:p>
    <w:p w14:paraId="0B9FF685">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eastAsia="zh-CN"/>
        </w:rPr>
      </w:pPr>
      <w:bookmarkStart w:id="118" w:name="_Toc3592"/>
      <w:bookmarkStart w:id="119" w:name="_Toc20975"/>
      <w:r>
        <w:rPr>
          <w:rFonts w:hint="default" w:ascii="Times New Roman" w:hAnsi="Times New Roman" w:eastAsia="宋体" w:cs="Times New Roman"/>
          <w:color w:val="auto"/>
          <w:sz w:val="24"/>
        </w:rPr>
        <w:t>本工程新建线路从大草房光伏电站出线构架架空出线后，向北出线后右转从大山沟北面山脊走线，到达鲁珠河前右转，跨过鲁珠河，在山脊上跨过</w:t>
      </w:r>
      <w:r>
        <w:rPr>
          <w:rFonts w:hint="default" w:ascii="Times New Roman" w:hAnsi="Times New Roman" w:eastAsia="宋体" w:cs="Times New Roman"/>
          <w:color w:val="auto"/>
          <w:sz w:val="24"/>
          <w:lang w:eastAsia="zh-CN"/>
        </w:rPr>
        <w:t>生态保护红线</w:t>
      </w:r>
      <w:r>
        <w:rPr>
          <w:rFonts w:hint="default" w:ascii="Times New Roman" w:hAnsi="Times New Roman" w:eastAsia="宋体" w:cs="Times New Roman"/>
          <w:color w:val="auto"/>
          <w:sz w:val="24"/>
        </w:rPr>
        <w:t>，在石堆窝北面跨过铜沟河到达水井湾和荒沟中间山顶，</w:t>
      </w:r>
      <w:r>
        <w:rPr>
          <w:rFonts w:hint="default" w:ascii="Times New Roman" w:hAnsi="Times New Roman" w:eastAsia="宋体" w:cs="Times New Roman"/>
          <w:color w:val="auto"/>
          <w:sz w:val="24"/>
          <w:lang w:eastAsia="zh-CN"/>
        </w:rPr>
        <w:t>左</w:t>
      </w:r>
      <w:r>
        <w:rPr>
          <w:rFonts w:hint="default" w:ascii="Times New Roman" w:hAnsi="Times New Roman" w:eastAsia="宋体" w:cs="Times New Roman"/>
          <w:color w:val="auto"/>
          <w:sz w:val="24"/>
          <w:lang w:val="en-US" w:eastAsia="zh-CN"/>
        </w:rPr>
        <w:t>转</w:t>
      </w:r>
      <w:r>
        <w:rPr>
          <w:rFonts w:hint="default" w:ascii="Times New Roman" w:hAnsi="Times New Roman" w:eastAsia="宋体" w:cs="Times New Roman"/>
          <w:color w:val="auto"/>
          <w:sz w:val="24"/>
        </w:rPr>
        <w:t>从水井湾和荒沟之间走线到荒沟北面，右转沿山脊到达马家田北面山脊，</w:t>
      </w:r>
      <w:r>
        <w:rPr>
          <w:rFonts w:hint="default" w:ascii="Times New Roman" w:hAnsi="Times New Roman" w:eastAsia="宋体" w:cs="Times New Roman"/>
          <w:color w:val="auto"/>
          <w:sz w:val="24"/>
          <w:lang w:eastAsia="zh-CN"/>
        </w:rPr>
        <w:t>左转</w:t>
      </w:r>
      <w:r>
        <w:rPr>
          <w:rFonts w:hint="default" w:ascii="Times New Roman" w:hAnsi="Times New Roman" w:eastAsia="宋体" w:cs="Times New Roman"/>
          <w:color w:val="auto"/>
          <w:sz w:val="24"/>
        </w:rPr>
        <w:t>到达北面山脊，右转穿过500kV铜永甲线；</w:t>
      </w:r>
      <w:r>
        <w:rPr>
          <w:rFonts w:hint="default" w:ascii="Times New Roman" w:hAnsi="Times New Roman" w:eastAsia="宋体" w:cs="Times New Roman"/>
          <w:color w:val="auto"/>
          <w:sz w:val="24"/>
          <w:lang w:eastAsia="zh-CN"/>
        </w:rPr>
        <w:t>到达</w:t>
      </w:r>
      <w:r>
        <w:rPr>
          <w:rFonts w:hint="default" w:ascii="Times New Roman" w:hAnsi="Times New Roman" w:eastAsia="宋体" w:cs="Times New Roman"/>
          <w:color w:val="auto"/>
          <w:sz w:val="24"/>
        </w:rPr>
        <w:t>上寨，右转在上寨、丁家塘、唐家小脑包、箐门前北面走线，在冷水沟前右转，从箐里头和包谷箐之间穿过到达六合一光伏电站西北面，连续右转和六合至乐业变220kV送出线路并排进入六合一光伏电站。曲折系数1.</w:t>
      </w:r>
      <w:r>
        <w:rPr>
          <w:rFonts w:hint="default" w:ascii="Times New Roman" w:hAnsi="Times New Roman" w:eastAsia="宋体" w:cs="Times New Roman"/>
          <w:color w:val="auto"/>
          <w:sz w:val="24"/>
          <w:lang w:val="en-US" w:eastAsia="zh-CN"/>
        </w:rPr>
        <w:t>25</w:t>
      </w:r>
      <w:r>
        <w:rPr>
          <w:rFonts w:hint="default" w:ascii="Times New Roman" w:hAnsi="Times New Roman" w:eastAsia="宋体" w:cs="Times New Roman"/>
          <w:color w:val="auto"/>
          <w:sz w:val="24"/>
        </w:rPr>
        <w:t>。线路长度</w:t>
      </w:r>
      <w:r>
        <w:rPr>
          <w:rFonts w:hint="default" w:ascii="Times New Roman" w:hAnsi="Times New Roman" w:eastAsia="宋体" w:cs="Times New Roman"/>
          <w:color w:val="auto"/>
          <w:sz w:val="24"/>
          <w:lang w:val="en-US" w:eastAsia="zh-CN"/>
        </w:rPr>
        <w:t>16</w:t>
      </w:r>
      <w:r>
        <w:rPr>
          <w:rFonts w:hint="default" w:ascii="Times New Roman" w:hAnsi="Times New Roman" w:eastAsia="宋体" w:cs="Times New Roman"/>
          <w:color w:val="auto"/>
          <w:sz w:val="24"/>
        </w:rPr>
        <w:t>km</w:t>
      </w:r>
      <w:r>
        <w:rPr>
          <w:rFonts w:hint="default" w:ascii="Times New Roman" w:hAnsi="Times New Roman" w:eastAsia="宋体" w:cs="Times New Roman"/>
          <w:color w:val="auto"/>
          <w:sz w:val="24"/>
          <w:lang w:eastAsia="zh-CN"/>
        </w:rPr>
        <w:t>。</w:t>
      </w:r>
    </w:p>
    <w:p w14:paraId="18E509FB">
      <w:pPr>
        <w:adjustRightInd w:val="0"/>
        <w:snapToGrid w:val="0"/>
        <w:spacing w:before="156" w:beforeLines="50" w:after="156" w:afterLines="50"/>
        <w:outlineLvl w:val="2"/>
        <w:rPr>
          <w:rFonts w:hint="default" w:ascii="Times New Roman" w:hAnsi="Times New Roman" w:eastAsia="宋体" w:cs="Times New Roman"/>
          <w:b/>
          <w:color w:val="auto"/>
          <w:sz w:val="24"/>
          <w:szCs w:val="20"/>
          <w:lang w:val="en-US" w:eastAsia="zh-CN" w:bidi="ar"/>
        </w:rPr>
      </w:pPr>
      <w:r>
        <w:rPr>
          <w:rFonts w:hint="default" w:ascii="Times New Roman" w:hAnsi="Times New Roman" w:eastAsia="宋体" w:cs="Times New Roman"/>
          <w:b/>
          <w:color w:val="auto"/>
          <w:sz w:val="24"/>
          <w:szCs w:val="20"/>
          <w:lang w:val="en-US" w:eastAsia="zh-CN" w:bidi="ar"/>
        </w:rPr>
        <w:t>3.1.4线路交叉跨越情况</w:t>
      </w:r>
      <w:bookmarkEnd w:id="118"/>
      <w:bookmarkEnd w:id="119"/>
    </w:p>
    <w:p w14:paraId="25BC92E4">
      <w:pPr>
        <w:tabs>
          <w:tab w:val="right" w:pos="1064"/>
        </w:tabs>
        <w:wordWrap w:val="0"/>
        <w:adjustRightInd w:val="0"/>
        <w:snapToGrid w:val="0"/>
        <w:spacing w:line="360" w:lineRule="auto"/>
        <w:ind w:firstLine="480" w:firstLineChars="200"/>
        <w:rPr>
          <w:rFonts w:hint="default" w:ascii="Times New Roman" w:hAnsi="Times New Roman" w:eastAsia="宋体" w:cs="Times New Roman"/>
          <w:color w:val="auto"/>
          <w:sz w:val="24"/>
          <w:lang w:bidi="ar"/>
        </w:rPr>
      </w:pPr>
      <w:r>
        <w:rPr>
          <w:rFonts w:hint="default" w:ascii="Times New Roman" w:hAnsi="Times New Roman" w:eastAsia="宋体" w:cs="Times New Roman"/>
          <w:color w:val="auto"/>
          <w:sz w:val="24"/>
          <w:lang w:val="zh-CN" w:bidi="ar"/>
        </w:rPr>
        <w:t>根据现场调查、收集资料统计，本工程新建线路主要交叉跨越详见表</w:t>
      </w:r>
      <w:r>
        <w:rPr>
          <w:rFonts w:hint="default" w:ascii="Times New Roman" w:hAnsi="Times New Roman" w:eastAsia="宋体" w:cs="Times New Roman"/>
          <w:color w:val="auto"/>
          <w:sz w:val="24"/>
          <w:lang w:bidi="ar"/>
        </w:rPr>
        <w:t>3-3。</w:t>
      </w:r>
    </w:p>
    <w:p w14:paraId="4E5BEADA">
      <w:pPr>
        <w:tabs>
          <w:tab w:val="right" w:pos="1064"/>
        </w:tabs>
        <w:adjustRightInd w:val="0"/>
        <w:snapToGrid w:val="0"/>
        <w:jc w:val="center"/>
        <w:rPr>
          <w:rFonts w:hint="default" w:ascii="Times New Roman" w:hAnsi="Times New Roman" w:eastAsia="宋体" w:cs="Times New Roman"/>
          <w:b/>
          <w:bCs/>
          <w:snapToGrid w:val="0"/>
          <w:color w:val="auto"/>
          <w:spacing w:val="-4"/>
          <w:sz w:val="24"/>
          <w:lang w:bidi="ar"/>
        </w:rPr>
      </w:pPr>
      <w:r>
        <w:rPr>
          <w:rFonts w:hint="default" w:ascii="Times New Roman" w:hAnsi="Times New Roman" w:eastAsia="宋体" w:cs="Times New Roman"/>
          <w:b/>
          <w:bCs/>
          <w:snapToGrid w:val="0"/>
          <w:color w:val="auto"/>
          <w:spacing w:val="-4"/>
          <w:sz w:val="24"/>
          <w:lang w:bidi="ar"/>
        </w:rPr>
        <w:t xml:space="preserve">表3-3 </w:t>
      </w:r>
      <w:r>
        <w:rPr>
          <w:rFonts w:hint="eastAsia" w:ascii="Times New Roman" w:hAnsi="Times New Roman" w:eastAsia="宋体" w:cs="Times New Roman"/>
          <w:b/>
          <w:bCs/>
          <w:snapToGrid w:val="0"/>
          <w:color w:val="auto"/>
          <w:spacing w:val="-4"/>
          <w:sz w:val="24"/>
          <w:lang w:val="en-US" w:eastAsia="zh-CN" w:bidi="ar"/>
        </w:rPr>
        <w:t xml:space="preserve"> </w:t>
      </w:r>
      <w:r>
        <w:rPr>
          <w:rFonts w:hint="default" w:ascii="Times New Roman" w:hAnsi="Times New Roman" w:eastAsia="宋体" w:cs="Times New Roman"/>
          <w:b/>
          <w:bCs/>
          <w:snapToGrid w:val="0"/>
          <w:color w:val="auto"/>
          <w:spacing w:val="-4"/>
          <w:sz w:val="24"/>
          <w:lang w:bidi="ar"/>
        </w:rPr>
        <w:t>本项目主要交叉跨越情况</w:t>
      </w:r>
    </w:p>
    <w:tbl>
      <w:tblPr>
        <w:tblStyle w:val="30"/>
        <w:tblW w:w="5015" w:type="pct"/>
        <w:jc w:val="center"/>
        <w:tblLayout w:type="fixed"/>
        <w:tblCellMar>
          <w:top w:w="0" w:type="dxa"/>
          <w:left w:w="108" w:type="dxa"/>
          <w:bottom w:w="0" w:type="dxa"/>
          <w:right w:w="108" w:type="dxa"/>
        </w:tblCellMar>
      </w:tblPr>
      <w:tblGrid>
        <w:gridCol w:w="1209"/>
        <w:gridCol w:w="2141"/>
        <w:gridCol w:w="1445"/>
        <w:gridCol w:w="1590"/>
        <w:gridCol w:w="2164"/>
      </w:tblGrid>
      <w:tr w14:paraId="2CEEDB5D">
        <w:tblPrEx>
          <w:tblCellMar>
            <w:top w:w="0" w:type="dxa"/>
            <w:left w:w="108" w:type="dxa"/>
            <w:bottom w:w="0" w:type="dxa"/>
            <w:right w:w="108" w:type="dxa"/>
          </w:tblCellMar>
        </w:tblPrEx>
        <w:trPr>
          <w:trHeight w:val="20" w:hRule="atLeast"/>
          <w:jc w:val="center"/>
        </w:trPr>
        <w:tc>
          <w:tcPr>
            <w:tcW w:w="707" w:type="pct"/>
            <w:tcBorders>
              <w:top w:val="single" w:color="000000" w:sz="4" w:space="0"/>
              <w:left w:val="single" w:color="000000" w:sz="4" w:space="0"/>
              <w:bottom w:val="single" w:color="000000" w:sz="4" w:space="0"/>
              <w:right w:val="single" w:color="000000" w:sz="4" w:space="0"/>
            </w:tcBorders>
            <w:vAlign w:val="center"/>
          </w:tcPr>
          <w:p w14:paraId="172CC2FB">
            <w:pPr>
              <w:tabs>
                <w:tab w:val="right" w:pos="1064"/>
              </w:tabs>
              <w:adjustRightInd w:val="0"/>
              <w:snapToGrid w:val="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序号</w:t>
            </w:r>
          </w:p>
        </w:tc>
        <w:tc>
          <w:tcPr>
            <w:tcW w:w="1252" w:type="pct"/>
            <w:tcBorders>
              <w:top w:val="single" w:color="000000" w:sz="4" w:space="0"/>
              <w:left w:val="nil"/>
              <w:bottom w:val="single" w:color="000000" w:sz="4" w:space="0"/>
              <w:right w:val="single" w:color="000000" w:sz="4" w:space="0"/>
            </w:tcBorders>
            <w:vAlign w:val="center"/>
          </w:tcPr>
          <w:p w14:paraId="2B40DC7E">
            <w:pPr>
              <w:tabs>
                <w:tab w:val="right" w:pos="1064"/>
              </w:tabs>
              <w:adjustRightInd w:val="0"/>
              <w:snapToGrid w:val="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交叉跨越类型</w:t>
            </w:r>
          </w:p>
        </w:tc>
        <w:tc>
          <w:tcPr>
            <w:tcW w:w="845" w:type="pct"/>
            <w:tcBorders>
              <w:top w:val="single" w:color="000000" w:sz="4" w:space="0"/>
              <w:left w:val="nil"/>
              <w:bottom w:val="single" w:color="000000" w:sz="4" w:space="0"/>
              <w:right w:val="single" w:color="000000" w:sz="4" w:space="0"/>
            </w:tcBorders>
            <w:vAlign w:val="center"/>
          </w:tcPr>
          <w:p w14:paraId="7257A849">
            <w:pPr>
              <w:tabs>
                <w:tab w:val="right" w:pos="1064"/>
              </w:tabs>
              <w:adjustRightInd w:val="0"/>
              <w:snapToGrid w:val="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单位</w:t>
            </w:r>
          </w:p>
        </w:tc>
        <w:tc>
          <w:tcPr>
            <w:tcW w:w="929" w:type="pct"/>
            <w:tcBorders>
              <w:top w:val="single" w:color="000000" w:sz="4" w:space="0"/>
              <w:left w:val="nil"/>
              <w:bottom w:val="single" w:color="000000" w:sz="4" w:space="0"/>
              <w:right w:val="single" w:color="000000" w:sz="4" w:space="0"/>
            </w:tcBorders>
            <w:vAlign w:val="center"/>
          </w:tcPr>
          <w:p w14:paraId="27DFE28B">
            <w:pPr>
              <w:tabs>
                <w:tab w:val="right" w:pos="1064"/>
              </w:tabs>
              <w:adjustRightInd w:val="0"/>
              <w:snapToGrid w:val="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次数</w:t>
            </w:r>
          </w:p>
        </w:tc>
        <w:tc>
          <w:tcPr>
            <w:tcW w:w="1265" w:type="pct"/>
            <w:tcBorders>
              <w:top w:val="single" w:color="000000" w:sz="4" w:space="0"/>
              <w:left w:val="nil"/>
              <w:bottom w:val="single" w:color="000000" w:sz="4" w:space="0"/>
              <w:right w:val="single" w:color="000000" w:sz="4" w:space="0"/>
            </w:tcBorders>
            <w:vAlign w:val="center"/>
          </w:tcPr>
          <w:p w14:paraId="5302C93C">
            <w:pPr>
              <w:tabs>
                <w:tab w:val="right" w:pos="1064"/>
              </w:tabs>
              <w:adjustRightInd w:val="0"/>
              <w:snapToGrid w:val="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备注</w:t>
            </w:r>
          </w:p>
        </w:tc>
      </w:tr>
      <w:tr w14:paraId="68FFAB6D">
        <w:tblPrEx>
          <w:tblCellMar>
            <w:top w:w="0" w:type="dxa"/>
            <w:left w:w="108" w:type="dxa"/>
            <w:bottom w:w="0" w:type="dxa"/>
            <w:right w:w="108" w:type="dxa"/>
          </w:tblCellMar>
        </w:tblPrEx>
        <w:trPr>
          <w:trHeight w:val="20" w:hRule="atLeast"/>
          <w:jc w:val="center"/>
        </w:trPr>
        <w:tc>
          <w:tcPr>
            <w:tcW w:w="707" w:type="pct"/>
            <w:tcBorders>
              <w:top w:val="single" w:color="000000" w:sz="4" w:space="0"/>
              <w:left w:val="single" w:color="000000" w:sz="4" w:space="0"/>
              <w:bottom w:val="single" w:color="000000" w:sz="4" w:space="0"/>
              <w:right w:val="single" w:color="000000" w:sz="4" w:space="0"/>
            </w:tcBorders>
            <w:vAlign w:val="center"/>
          </w:tcPr>
          <w:p w14:paraId="62624D15">
            <w:pPr>
              <w:tabs>
                <w:tab w:val="right" w:pos="1064"/>
              </w:tabs>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1252" w:type="pct"/>
            <w:tcBorders>
              <w:top w:val="single" w:color="000000" w:sz="4" w:space="0"/>
              <w:left w:val="nil"/>
              <w:bottom w:val="single" w:color="000000" w:sz="4" w:space="0"/>
              <w:right w:val="single" w:color="000000" w:sz="4" w:space="0"/>
            </w:tcBorders>
            <w:vAlign w:val="center"/>
          </w:tcPr>
          <w:p w14:paraId="703417B6">
            <w:pPr>
              <w:tabs>
                <w:tab w:val="right" w:pos="1064"/>
              </w:tabs>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500kV铜永甲线</w:t>
            </w:r>
          </w:p>
        </w:tc>
        <w:tc>
          <w:tcPr>
            <w:tcW w:w="845" w:type="pct"/>
            <w:tcBorders>
              <w:top w:val="single" w:color="000000" w:sz="4" w:space="0"/>
              <w:left w:val="nil"/>
              <w:bottom w:val="single" w:color="000000" w:sz="4" w:space="0"/>
              <w:right w:val="single" w:color="000000" w:sz="4" w:space="0"/>
            </w:tcBorders>
            <w:vAlign w:val="center"/>
          </w:tcPr>
          <w:p w14:paraId="197E8F57">
            <w:pPr>
              <w:tabs>
                <w:tab w:val="right" w:pos="1064"/>
              </w:tabs>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处</w:t>
            </w:r>
          </w:p>
        </w:tc>
        <w:tc>
          <w:tcPr>
            <w:tcW w:w="929" w:type="pct"/>
            <w:tcBorders>
              <w:top w:val="single" w:color="000000" w:sz="4" w:space="0"/>
              <w:left w:val="nil"/>
              <w:bottom w:val="single" w:color="000000" w:sz="4" w:space="0"/>
              <w:right w:val="single" w:color="000000" w:sz="4" w:space="0"/>
            </w:tcBorders>
            <w:vAlign w:val="center"/>
          </w:tcPr>
          <w:p w14:paraId="274DB793">
            <w:pPr>
              <w:tabs>
                <w:tab w:val="right" w:pos="1064"/>
              </w:tabs>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1</w:t>
            </w:r>
          </w:p>
        </w:tc>
        <w:tc>
          <w:tcPr>
            <w:tcW w:w="1265" w:type="pct"/>
            <w:tcBorders>
              <w:top w:val="single" w:color="000000" w:sz="4" w:space="0"/>
              <w:left w:val="nil"/>
              <w:bottom w:val="single" w:color="000000" w:sz="4" w:space="0"/>
              <w:right w:val="single" w:color="000000" w:sz="4" w:space="0"/>
            </w:tcBorders>
            <w:vAlign w:val="center"/>
          </w:tcPr>
          <w:p w14:paraId="6B885A5E">
            <w:pPr>
              <w:tabs>
                <w:tab w:val="right" w:pos="1064"/>
              </w:tabs>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 xml:space="preserve">跨越 </w:t>
            </w:r>
          </w:p>
        </w:tc>
      </w:tr>
      <w:tr w14:paraId="41754065">
        <w:tblPrEx>
          <w:tblCellMar>
            <w:top w:w="0" w:type="dxa"/>
            <w:left w:w="108" w:type="dxa"/>
            <w:bottom w:w="0" w:type="dxa"/>
            <w:right w:w="108" w:type="dxa"/>
          </w:tblCellMar>
        </w:tblPrEx>
        <w:trPr>
          <w:trHeight w:val="20" w:hRule="atLeast"/>
          <w:jc w:val="center"/>
        </w:trPr>
        <w:tc>
          <w:tcPr>
            <w:tcW w:w="707" w:type="pct"/>
            <w:tcBorders>
              <w:top w:val="single" w:color="000000" w:sz="4" w:space="0"/>
              <w:left w:val="single" w:color="000000" w:sz="4" w:space="0"/>
              <w:bottom w:val="single" w:color="000000" w:sz="4" w:space="0"/>
              <w:right w:val="single" w:color="000000" w:sz="4" w:space="0"/>
            </w:tcBorders>
            <w:vAlign w:val="center"/>
          </w:tcPr>
          <w:p w14:paraId="3360685D">
            <w:pPr>
              <w:tabs>
                <w:tab w:val="right" w:pos="1064"/>
              </w:tabs>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1252" w:type="pct"/>
            <w:tcBorders>
              <w:top w:val="single" w:color="000000" w:sz="4" w:space="0"/>
              <w:left w:val="nil"/>
              <w:bottom w:val="single" w:color="000000" w:sz="4" w:space="0"/>
              <w:right w:val="single" w:color="000000" w:sz="4" w:space="0"/>
            </w:tcBorders>
            <w:vAlign w:val="center"/>
          </w:tcPr>
          <w:p w14:paraId="1490839E">
            <w:pPr>
              <w:tabs>
                <w:tab w:val="right" w:pos="1064"/>
              </w:tabs>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35kV线路</w:t>
            </w:r>
          </w:p>
        </w:tc>
        <w:tc>
          <w:tcPr>
            <w:tcW w:w="845" w:type="pct"/>
            <w:tcBorders>
              <w:top w:val="single" w:color="000000" w:sz="4" w:space="0"/>
              <w:left w:val="nil"/>
              <w:bottom w:val="single" w:color="000000" w:sz="4" w:space="0"/>
              <w:right w:val="single" w:color="000000" w:sz="4" w:space="0"/>
            </w:tcBorders>
            <w:vAlign w:val="center"/>
          </w:tcPr>
          <w:p w14:paraId="0715F0FC">
            <w:pPr>
              <w:tabs>
                <w:tab w:val="right" w:pos="1064"/>
              </w:tabs>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处</w:t>
            </w:r>
          </w:p>
        </w:tc>
        <w:tc>
          <w:tcPr>
            <w:tcW w:w="929" w:type="pct"/>
            <w:tcBorders>
              <w:top w:val="single" w:color="000000" w:sz="4" w:space="0"/>
              <w:left w:val="nil"/>
              <w:bottom w:val="single" w:color="000000" w:sz="4" w:space="0"/>
              <w:right w:val="single" w:color="000000" w:sz="4" w:space="0"/>
            </w:tcBorders>
            <w:vAlign w:val="center"/>
          </w:tcPr>
          <w:p w14:paraId="6FCAA9F1">
            <w:pPr>
              <w:tabs>
                <w:tab w:val="right" w:pos="1064"/>
              </w:tabs>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2</w:t>
            </w:r>
          </w:p>
        </w:tc>
        <w:tc>
          <w:tcPr>
            <w:tcW w:w="1265" w:type="pct"/>
            <w:tcBorders>
              <w:top w:val="single" w:color="000000" w:sz="4" w:space="0"/>
              <w:left w:val="nil"/>
              <w:bottom w:val="single" w:color="000000" w:sz="4" w:space="0"/>
              <w:right w:val="single" w:color="000000" w:sz="4" w:space="0"/>
            </w:tcBorders>
          </w:tcPr>
          <w:p w14:paraId="4CE67DCF">
            <w:pPr>
              <w:tabs>
                <w:tab w:val="right" w:pos="1064"/>
              </w:tabs>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跨越</w:t>
            </w:r>
          </w:p>
        </w:tc>
      </w:tr>
      <w:tr w14:paraId="57CB8BE9">
        <w:tblPrEx>
          <w:tblCellMar>
            <w:top w:w="0" w:type="dxa"/>
            <w:left w:w="108" w:type="dxa"/>
            <w:bottom w:w="0" w:type="dxa"/>
            <w:right w:w="108" w:type="dxa"/>
          </w:tblCellMar>
        </w:tblPrEx>
        <w:trPr>
          <w:trHeight w:val="20" w:hRule="atLeast"/>
          <w:jc w:val="center"/>
        </w:trPr>
        <w:tc>
          <w:tcPr>
            <w:tcW w:w="707" w:type="pct"/>
            <w:tcBorders>
              <w:top w:val="single" w:color="000000" w:sz="4" w:space="0"/>
              <w:left w:val="single" w:color="000000" w:sz="4" w:space="0"/>
              <w:bottom w:val="single" w:color="000000" w:sz="4" w:space="0"/>
              <w:right w:val="single" w:color="000000" w:sz="4" w:space="0"/>
            </w:tcBorders>
            <w:vAlign w:val="center"/>
          </w:tcPr>
          <w:p w14:paraId="258E2F75">
            <w:pPr>
              <w:tabs>
                <w:tab w:val="right" w:pos="1064"/>
              </w:tabs>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w:t>
            </w:r>
          </w:p>
        </w:tc>
        <w:tc>
          <w:tcPr>
            <w:tcW w:w="1252" w:type="pct"/>
            <w:tcBorders>
              <w:top w:val="single" w:color="000000" w:sz="4" w:space="0"/>
              <w:left w:val="nil"/>
              <w:bottom w:val="single" w:color="000000" w:sz="4" w:space="0"/>
              <w:right w:val="single" w:color="000000" w:sz="4" w:space="0"/>
            </w:tcBorders>
            <w:vAlign w:val="center"/>
          </w:tcPr>
          <w:p w14:paraId="11BE7D68">
            <w:pPr>
              <w:tabs>
                <w:tab w:val="right" w:pos="1064"/>
              </w:tabs>
              <w:adjustRightInd w:val="0"/>
              <w:snapToGrid w:val="0"/>
              <w:jc w:val="center"/>
              <w:rPr>
                <w:rFonts w:hint="default" w:ascii="Times New Roman" w:hAnsi="Times New Roman" w:eastAsia="宋体" w:cs="Times New Roman"/>
                <w:color w:val="auto"/>
                <w:szCs w:val="21"/>
                <w:lang w:val="en-US"/>
              </w:rPr>
            </w:pPr>
            <w:r>
              <w:rPr>
                <w:rFonts w:hint="default" w:ascii="Times New Roman" w:hAnsi="Times New Roman" w:eastAsia="宋体" w:cs="Times New Roman"/>
                <w:color w:val="auto"/>
                <w:szCs w:val="21"/>
              </w:rPr>
              <w:t>35kV</w:t>
            </w:r>
            <w:r>
              <w:rPr>
                <w:rFonts w:hint="default" w:ascii="Times New Roman" w:hAnsi="Times New Roman" w:eastAsia="宋体" w:cs="Times New Roman"/>
                <w:color w:val="auto"/>
                <w:szCs w:val="21"/>
                <w:lang w:val="en-US" w:eastAsia="zh-CN"/>
              </w:rPr>
              <w:t>集电线路</w:t>
            </w:r>
          </w:p>
        </w:tc>
        <w:tc>
          <w:tcPr>
            <w:tcW w:w="845" w:type="pct"/>
            <w:tcBorders>
              <w:top w:val="single" w:color="000000" w:sz="4" w:space="0"/>
              <w:left w:val="nil"/>
              <w:bottom w:val="single" w:color="000000" w:sz="4" w:space="0"/>
              <w:right w:val="single" w:color="000000" w:sz="4" w:space="0"/>
            </w:tcBorders>
            <w:vAlign w:val="center"/>
          </w:tcPr>
          <w:p w14:paraId="43206685">
            <w:pPr>
              <w:tabs>
                <w:tab w:val="right" w:pos="1064"/>
              </w:tabs>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处</w:t>
            </w:r>
          </w:p>
        </w:tc>
        <w:tc>
          <w:tcPr>
            <w:tcW w:w="929" w:type="pct"/>
            <w:tcBorders>
              <w:top w:val="single" w:color="000000" w:sz="4" w:space="0"/>
              <w:left w:val="nil"/>
              <w:bottom w:val="single" w:color="000000" w:sz="4" w:space="0"/>
              <w:right w:val="single" w:color="000000" w:sz="4" w:space="0"/>
            </w:tcBorders>
            <w:vAlign w:val="center"/>
          </w:tcPr>
          <w:p w14:paraId="43EB41ED">
            <w:pPr>
              <w:tabs>
                <w:tab w:val="right" w:pos="1064"/>
              </w:tabs>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1265" w:type="pct"/>
            <w:tcBorders>
              <w:top w:val="single" w:color="000000" w:sz="4" w:space="0"/>
              <w:left w:val="nil"/>
              <w:bottom w:val="single" w:color="000000" w:sz="4" w:space="0"/>
              <w:right w:val="single" w:color="000000" w:sz="4" w:space="0"/>
            </w:tcBorders>
            <w:vAlign w:val="top"/>
          </w:tcPr>
          <w:p w14:paraId="64D9B1BF">
            <w:pPr>
              <w:tabs>
                <w:tab w:val="right" w:pos="1064"/>
              </w:tabs>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跨越</w:t>
            </w:r>
          </w:p>
        </w:tc>
      </w:tr>
      <w:tr w14:paraId="35BCA178">
        <w:tblPrEx>
          <w:tblCellMar>
            <w:top w:w="0" w:type="dxa"/>
            <w:left w:w="108" w:type="dxa"/>
            <w:bottom w:w="0" w:type="dxa"/>
            <w:right w:w="108" w:type="dxa"/>
          </w:tblCellMar>
        </w:tblPrEx>
        <w:trPr>
          <w:trHeight w:val="20" w:hRule="atLeast"/>
          <w:jc w:val="center"/>
        </w:trPr>
        <w:tc>
          <w:tcPr>
            <w:tcW w:w="707" w:type="pct"/>
            <w:tcBorders>
              <w:top w:val="single" w:color="000000" w:sz="4" w:space="0"/>
              <w:left w:val="single" w:color="000000" w:sz="4" w:space="0"/>
              <w:bottom w:val="single" w:color="000000" w:sz="4" w:space="0"/>
              <w:right w:val="single" w:color="000000" w:sz="4" w:space="0"/>
            </w:tcBorders>
            <w:vAlign w:val="center"/>
          </w:tcPr>
          <w:p w14:paraId="4A34467F">
            <w:pPr>
              <w:tabs>
                <w:tab w:val="right" w:pos="1064"/>
              </w:tabs>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4</w:t>
            </w:r>
          </w:p>
        </w:tc>
        <w:tc>
          <w:tcPr>
            <w:tcW w:w="1252" w:type="pct"/>
            <w:tcBorders>
              <w:top w:val="single" w:color="000000" w:sz="4" w:space="0"/>
              <w:left w:val="nil"/>
              <w:bottom w:val="single" w:color="000000" w:sz="4" w:space="0"/>
              <w:right w:val="single" w:color="000000" w:sz="4" w:space="0"/>
            </w:tcBorders>
            <w:vAlign w:val="center"/>
          </w:tcPr>
          <w:p w14:paraId="52814DE0">
            <w:pPr>
              <w:tabs>
                <w:tab w:val="right" w:pos="1064"/>
              </w:tabs>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10kV线路</w:t>
            </w:r>
          </w:p>
        </w:tc>
        <w:tc>
          <w:tcPr>
            <w:tcW w:w="845" w:type="pct"/>
            <w:tcBorders>
              <w:top w:val="single" w:color="000000" w:sz="4" w:space="0"/>
              <w:left w:val="nil"/>
              <w:bottom w:val="single" w:color="000000" w:sz="4" w:space="0"/>
              <w:right w:val="single" w:color="000000" w:sz="4" w:space="0"/>
            </w:tcBorders>
            <w:vAlign w:val="center"/>
          </w:tcPr>
          <w:p w14:paraId="45957F1D">
            <w:pPr>
              <w:tabs>
                <w:tab w:val="right" w:pos="1064"/>
              </w:tabs>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处</w:t>
            </w:r>
          </w:p>
        </w:tc>
        <w:tc>
          <w:tcPr>
            <w:tcW w:w="929" w:type="pct"/>
            <w:tcBorders>
              <w:top w:val="single" w:color="000000" w:sz="4" w:space="0"/>
              <w:left w:val="nil"/>
              <w:bottom w:val="single" w:color="000000" w:sz="4" w:space="0"/>
              <w:right w:val="single" w:color="000000" w:sz="4" w:space="0"/>
            </w:tcBorders>
            <w:vAlign w:val="center"/>
          </w:tcPr>
          <w:p w14:paraId="133A553A">
            <w:pPr>
              <w:tabs>
                <w:tab w:val="right" w:pos="1064"/>
              </w:tabs>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2</w:t>
            </w:r>
          </w:p>
        </w:tc>
        <w:tc>
          <w:tcPr>
            <w:tcW w:w="1265" w:type="pct"/>
            <w:tcBorders>
              <w:top w:val="single" w:color="000000" w:sz="4" w:space="0"/>
              <w:left w:val="nil"/>
              <w:bottom w:val="single" w:color="000000" w:sz="4" w:space="0"/>
              <w:right w:val="single" w:color="000000" w:sz="4" w:space="0"/>
            </w:tcBorders>
          </w:tcPr>
          <w:p w14:paraId="3FE455CE">
            <w:pPr>
              <w:tabs>
                <w:tab w:val="right" w:pos="1064"/>
              </w:tabs>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跨越</w:t>
            </w:r>
          </w:p>
        </w:tc>
      </w:tr>
      <w:tr w14:paraId="7DC08AA2">
        <w:tblPrEx>
          <w:tblCellMar>
            <w:top w:w="0" w:type="dxa"/>
            <w:left w:w="108" w:type="dxa"/>
            <w:bottom w:w="0" w:type="dxa"/>
            <w:right w:w="108" w:type="dxa"/>
          </w:tblCellMar>
        </w:tblPrEx>
        <w:trPr>
          <w:trHeight w:val="20" w:hRule="atLeast"/>
          <w:jc w:val="center"/>
        </w:trPr>
        <w:tc>
          <w:tcPr>
            <w:tcW w:w="707" w:type="pct"/>
            <w:tcBorders>
              <w:top w:val="single" w:color="000000" w:sz="4" w:space="0"/>
              <w:left w:val="single" w:color="000000" w:sz="4" w:space="0"/>
              <w:bottom w:val="single" w:color="000000" w:sz="4" w:space="0"/>
              <w:right w:val="single" w:color="000000" w:sz="4" w:space="0"/>
            </w:tcBorders>
            <w:vAlign w:val="center"/>
          </w:tcPr>
          <w:p w14:paraId="5D27723E">
            <w:pPr>
              <w:tabs>
                <w:tab w:val="right" w:pos="1064"/>
              </w:tabs>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5</w:t>
            </w:r>
          </w:p>
        </w:tc>
        <w:tc>
          <w:tcPr>
            <w:tcW w:w="1252" w:type="pct"/>
            <w:tcBorders>
              <w:top w:val="single" w:color="000000" w:sz="4" w:space="0"/>
              <w:left w:val="nil"/>
              <w:bottom w:val="single" w:color="000000" w:sz="4" w:space="0"/>
              <w:right w:val="single" w:color="000000" w:sz="4" w:space="0"/>
            </w:tcBorders>
            <w:vAlign w:val="center"/>
          </w:tcPr>
          <w:p w14:paraId="3E3F19C4">
            <w:pPr>
              <w:tabs>
                <w:tab w:val="right" w:pos="1064"/>
              </w:tabs>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低压线</w:t>
            </w:r>
          </w:p>
        </w:tc>
        <w:tc>
          <w:tcPr>
            <w:tcW w:w="845" w:type="pct"/>
            <w:tcBorders>
              <w:top w:val="single" w:color="000000" w:sz="4" w:space="0"/>
              <w:left w:val="nil"/>
              <w:bottom w:val="single" w:color="000000" w:sz="4" w:space="0"/>
              <w:right w:val="single" w:color="000000" w:sz="4" w:space="0"/>
            </w:tcBorders>
            <w:vAlign w:val="center"/>
          </w:tcPr>
          <w:p w14:paraId="4E7264DA">
            <w:pPr>
              <w:tabs>
                <w:tab w:val="right" w:pos="1064"/>
              </w:tabs>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处</w:t>
            </w:r>
          </w:p>
        </w:tc>
        <w:tc>
          <w:tcPr>
            <w:tcW w:w="929" w:type="pct"/>
            <w:tcBorders>
              <w:top w:val="single" w:color="000000" w:sz="4" w:space="0"/>
              <w:left w:val="nil"/>
              <w:bottom w:val="single" w:color="000000" w:sz="4" w:space="0"/>
              <w:right w:val="single" w:color="000000" w:sz="4" w:space="0"/>
            </w:tcBorders>
            <w:vAlign w:val="center"/>
          </w:tcPr>
          <w:p w14:paraId="6EF19A3A">
            <w:pPr>
              <w:tabs>
                <w:tab w:val="right" w:pos="1064"/>
              </w:tabs>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w:t>
            </w:r>
          </w:p>
        </w:tc>
        <w:tc>
          <w:tcPr>
            <w:tcW w:w="1265" w:type="pct"/>
            <w:tcBorders>
              <w:top w:val="single" w:color="000000" w:sz="4" w:space="0"/>
              <w:left w:val="nil"/>
              <w:bottom w:val="single" w:color="000000" w:sz="4" w:space="0"/>
              <w:right w:val="single" w:color="000000" w:sz="4" w:space="0"/>
            </w:tcBorders>
          </w:tcPr>
          <w:p w14:paraId="22DFAFF7">
            <w:pPr>
              <w:tabs>
                <w:tab w:val="right" w:pos="1064"/>
              </w:tabs>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跨越</w:t>
            </w:r>
          </w:p>
        </w:tc>
      </w:tr>
      <w:tr w14:paraId="5B69AA34">
        <w:tblPrEx>
          <w:tblCellMar>
            <w:top w:w="0" w:type="dxa"/>
            <w:left w:w="108" w:type="dxa"/>
            <w:bottom w:w="0" w:type="dxa"/>
            <w:right w:w="108" w:type="dxa"/>
          </w:tblCellMar>
        </w:tblPrEx>
        <w:trPr>
          <w:trHeight w:val="20" w:hRule="atLeast"/>
          <w:jc w:val="center"/>
        </w:trPr>
        <w:tc>
          <w:tcPr>
            <w:tcW w:w="707" w:type="pct"/>
            <w:tcBorders>
              <w:top w:val="single" w:color="000000" w:sz="4" w:space="0"/>
              <w:left w:val="single" w:color="000000" w:sz="4" w:space="0"/>
              <w:bottom w:val="single" w:color="000000" w:sz="4" w:space="0"/>
              <w:right w:val="single" w:color="000000" w:sz="4" w:space="0"/>
            </w:tcBorders>
            <w:vAlign w:val="center"/>
          </w:tcPr>
          <w:p w14:paraId="208B4612">
            <w:pPr>
              <w:tabs>
                <w:tab w:val="right" w:pos="1064"/>
              </w:tabs>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6</w:t>
            </w:r>
          </w:p>
        </w:tc>
        <w:tc>
          <w:tcPr>
            <w:tcW w:w="1252" w:type="pct"/>
            <w:tcBorders>
              <w:top w:val="single" w:color="000000" w:sz="4" w:space="0"/>
              <w:left w:val="nil"/>
              <w:bottom w:val="single" w:color="000000" w:sz="4" w:space="0"/>
              <w:right w:val="single" w:color="000000" w:sz="4" w:space="0"/>
            </w:tcBorders>
            <w:vAlign w:val="center"/>
          </w:tcPr>
          <w:p w14:paraId="1A0BF356">
            <w:pPr>
              <w:tabs>
                <w:tab w:val="right" w:pos="1064"/>
              </w:tabs>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通信线</w:t>
            </w:r>
          </w:p>
        </w:tc>
        <w:tc>
          <w:tcPr>
            <w:tcW w:w="845" w:type="pct"/>
            <w:tcBorders>
              <w:top w:val="single" w:color="000000" w:sz="4" w:space="0"/>
              <w:left w:val="nil"/>
              <w:bottom w:val="single" w:color="000000" w:sz="4" w:space="0"/>
              <w:right w:val="single" w:color="000000" w:sz="4" w:space="0"/>
            </w:tcBorders>
            <w:vAlign w:val="center"/>
          </w:tcPr>
          <w:p w14:paraId="5782F911">
            <w:pPr>
              <w:tabs>
                <w:tab w:val="right" w:pos="1064"/>
              </w:tabs>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处</w:t>
            </w:r>
          </w:p>
        </w:tc>
        <w:tc>
          <w:tcPr>
            <w:tcW w:w="929" w:type="pct"/>
            <w:tcBorders>
              <w:top w:val="single" w:color="000000" w:sz="4" w:space="0"/>
              <w:left w:val="nil"/>
              <w:bottom w:val="single" w:color="000000" w:sz="4" w:space="0"/>
              <w:right w:val="single" w:color="000000" w:sz="4" w:space="0"/>
            </w:tcBorders>
            <w:vAlign w:val="center"/>
          </w:tcPr>
          <w:p w14:paraId="5699DE50">
            <w:pPr>
              <w:tabs>
                <w:tab w:val="right" w:pos="1064"/>
              </w:tabs>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3</w:t>
            </w:r>
          </w:p>
        </w:tc>
        <w:tc>
          <w:tcPr>
            <w:tcW w:w="1265" w:type="pct"/>
            <w:tcBorders>
              <w:top w:val="single" w:color="000000" w:sz="4" w:space="0"/>
              <w:left w:val="nil"/>
              <w:bottom w:val="single" w:color="000000" w:sz="4" w:space="0"/>
              <w:right w:val="single" w:color="000000" w:sz="4" w:space="0"/>
            </w:tcBorders>
          </w:tcPr>
          <w:p w14:paraId="67F2746F">
            <w:pPr>
              <w:tabs>
                <w:tab w:val="right" w:pos="1064"/>
              </w:tabs>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跨越</w:t>
            </w:r>
          </w:p>
        </w:tc>
      </w:tr>
    </w:tbl>
    <w:p w14:paraId="3444D673">
      <w:pPr>
        <w:widowControl/>
        <w:kinsoku w:val="0"/>
        <w:autoSpaceDE w:val="0"/>
        <w:autoSpaceDN w:val="0"/>
        <w:adjustRightInd w:val="0"/>
        <w:snapToGrid w:val="0"/>
        <w:spacing w:before="156" w:beforeLines="50" w:after="156" w:afterLines="50"/>
        <w:outlineLvl w:val="1"/>
        <w:rPr>
          <w:rFonts w:hint="default" w:ascii="Times New Roman" w:hAnsi="Times New Roman" w:eastAsia="宋体" w:cs="Times New Roman"/>
          <w:b/>
          <w:bCs/>
          <w:color w:val="auto"/>
          <w:kern w:val="0"/>
          <w:sz w:val="28"/>
          <w:szCs w:val="28"/>
          <w:lang w:bidi="ar"/>
        </w:rPr>
      </w:pPr>
      <w:bookmarkStart w:id="120" w:name="_Toc19903"/>
      <w:bookmarkStart w:id="121" w:name="_Toc9875"/>
      <w:bookmarkStart w:id="122" w:name="_Toc9858"/>
      <w:r>
        <w:rPr>
          <w:rFonts w:hint="default" w:ascii="Times New Roman" w:hAnsi="Times New Roman" w:eastAsia="宋体" w:cs="Times New Roman"/>
          <w:b/>
          <w:bCs/>
          <w:color w:val="auto"/>
          <w:kern w:val="0"/>
          <w:sz w:val="28"/>
          <w:szCs w:val="28"/>
          <w:lang w:bidi="ar"/>
        </w:rPr>
        <w:t>3.2电磁环境影响因素识别</w:t>
      </w:r>
      <w:bookmarkEnd w:id="120"/>
      <w:bookmarkEnd w:id="121"/>
      <w:bookmarkEnd w:id="122"/>
    </w:p>
    <w:p w14:paraId="4FE3C6A7">
      <w:pPr>
        <w:adjustRightInd w:val="0"/>
        <w:snapToGrid w:val="0"/>
        <w:spacing w:line="360" w:lineRule="auto"/>
        <w:ind w:firstLine="482" w:firstLineChars="200"/>
        <w:rPr>
          <w:rFonts w:hint="default" w:ascii="Times New Roman" w:hAnsi="Times New Roman" w:eastAsia="宋体" w:cs="Times New Roman"/>
          <w:b/>
          <w:bCs/>
          <w:color w:val="auto"/>
          <w:sz w:val="24"/>
        </w:rPr>
      </w:pPr>
      <w:bookmarkStart w:id="123" w:name="_Toc20247"/>
      <w:bookmarkStart w:id="124" w:name="_Toc18570"/>
      <w:r>
        <w:rPr>
          <w:rFonts w:hint="default" w:ascii="Times New Roman" w:hAnsi="Times New Roman" w:eastAsia="宋体" w:cs="Times New Roman"/>
          <w:b/>
          <w:bCs/>
          <w:color w:val="auto"/>
          <w:sz w:val="24"/>
          <w:lang w:bidi="ar"/>
        </w:rPr>
        <w:t>1、施工期</w:t>
      </w:r>
      <w:bookmarkEnd w:id="123"/>
      <w:bookmarkEnd w:id="124"/>
    </w:p>
    <w:p w14:paraId="7048DC71">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bidi="ar"/>
        </w:rPr>
        <w:t>施工期间，本工程施工内容主要为铁塔组立及挂线，线路不带电，无电磁影响。</w:t>
      </w:r>
    </w:p>
    <w:p w14:paraId="363DCAD8">
      <w:pPr>
        <w:adjustRightInd w:val="0"/>
        <w:snapToGrid w:val="0"/>
        <w:spacing w:line="360" w:lineRule="auto"/>
        <w:ind w:firstLine="482" w:firstLineChars="200"/>
        <w:rPr>
          <w:rFonts w:hint="default" w:ascii="Times New Roman" w:hAnsi="Times New Roman" w:eastAsia="宋体" w:cs="Times New Roman"/>
          <w:b/>
          <w:bCs/>
          <w:color w:val="auto"/>
          <w:sz w:val="24"/>
        </w:rPr>
      </w:pPr>
      <w:bookmarkStart w:id="125" w:name="_Toc7184"/>
      <w:bookmarkStart w:id="126" w:name="_Toc6657"/>
      <w:r>
        <w:rPr>
          <w:rFonts w:hint="default" w:ascii="Times New Roman" w:hAnsi="Times New Roman" w:eastAsia="宋体" w:cs="Times New Roman"/>
          <w:b/>
          <w:bCs/>
          <w:color w:val="auto"/>
          <w:sz w:val="24"/>
          <w:lang w:bidi="ar"/>
        </w:rPr>
        <w:t>2、运营期</w:t>
      </w:r>
      <w:bookmarkEnd w:id="125"/>
      <w:bookmarkEnd w:id="126"/>
    </w:p>
    <w:p w14:paraId="7B9B9A9B">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bidi="ar"/>
        </w:rPr>
        <w:t>项目运行过程中将会产生电磁环境影响。由于稳定的电压、电流持续存在，高压线路附近产生工频电场、工频磁场；或者系统在暂态过程中（如开关操作、雷击等）的高电压、大电流及其快速变化的特点均能产生工频电场、工频磁场。</w:t>
      </w:r>
    </w:p>
    <w:p w14:paraId="1B8719DB">
      <w:pPr>
        <w:widowControl/>
        <w:kinsoku w:val="0"/>
        <w:autoSpaceDE w:val="0"/>
        <w:autoSpaceDN w:val="0"/>
        <w:adjustRightInd w:val="0"/>
        <w:snapToGrid w:val="0"/>
        <w:spacing w:before="156" w:beforeLines="50" w:after="156" w:afterLines="50"/>
        <w:outlineLvl w:val="1"/>
        <w:rPr>
          <w:rFonts w:hint="default" w:ascii="Times New Roman" w:hAnsi="Times New Roman" w:eastAsia="宋体" w:cs="Times New Roman"/>
          <w:b/>
          <w:bCs/>
          <w:color w:val="auto"/>
          <w:kern w:val="0"/>
          <w:sz w:val="28"/>
          <w:szCs w:val="28"/>
          <w:lang w:bidi="ar"/>
        </w:rPr>
      </w:pPr>
      <w:bookmarkStart w:id="127" w:name="_Toc3758"/>
      <w:bookmarkStart w:id="128" w:name="_Toc13323"/>
      <w:bookmarkStart w:id="129" w:name="_Toc2695"/>
      <w:r>
        <w:rPr>
          <w:rFonts w:hint="default" w:ascii="Times New Roman" w:hAnsi="Times New Roman" w:eastAsia="宋体" w:cs="Times New Roman"/>
          <w:b/>
          <w:bCs/>
          <w:color w:val="auto"/>
          <w:kern w:val="0"/>
          <w:sz w:val="28"/>
          <w:szCs w:val="28"/>
          <w:lang w:bidi="ar"/>
        </w:rPr>
        <w:t>3.3施工设计环保对策措施</w:t>
      </w:r>
      <w:bookmarkEnd w:id="127"/>
      <w:bookmarkEnd w:id="128"/>
      <w:bookmarkEnd w:id="129"/>
    </w:p>
    <w:p w14:paraId="3521BF19">
      <w:pPr>
        <w:ind w:firstLine="468" w:firstLineChars="200"/>
        <w:rPr>
          <w:rFonts w:hint="default" w:ascii="Times New Roman" w:hAnsi="Times New Roman" w:eastAsia="宋体" w:cs="Times New Roman"/>
          <w:bCs/>
          <w:color w:val="auto"/>
          <w:spacing w:val="-3"/>
          <w:kern w:val="0"/>
          <w:sz w:val="24"/>
          <w:lang w:bidi="ar"/>
        </w:rPr>
      </w:pPr>
      <w:bookmarkStart w:id="130" w:name="_bookmark25"/>
      <w:bookmarkEnd w:id="130"/>
      <w:bookmarkStart w:id="131" w:name="_Toc889"/>
      <w:r>
        <w:rPr>
          <w:rFonts w:hint="default" w:ascii="Times New Roman" w:hAnsi="Times New Roman" w:eastAsia="宋体" w:cs="Times New Roman"/>
          <w:bCs/>
          <w:color w:val="auto"/>
          <w:spacing w:val="-3"/>
          <w:kern w:val="0"/>
          <w:sz w:val="24"/>
          <w:lang w:bidi="ar"/>
        </w:rPr>
        <w:t>本项目施工期不会产生电磁环境影响。</w:t>
      </w:r>
    </w:p>
    <w:p w14:paraId="6AAD0343">
      <w:pPr>
        <w:widowControl/>
        <w:kinsoku w:val="0"/>
        <w:autoSpaceDE w:val="0"/>
        <w:autoSpaceDN w:val="0"/>
        <w:adjustRightInd w:val="0"/>
        <w:snapToGrid w:val="0"/>
        <w:spacing w:before="156" w:beforeLines="50" w:after="156" w:afterLines="50"/>
        <w:outlineLvl w:val="0"/>
        <w:rPr>
          <w:rFonts w:hint="default" w:ascii="Times New Roman" w:hAnsi="Times New Roman" w:eastAsia="宋体" w:cs="Times New Roman"/>
          <w:color w:val="auto"/>
          <w:sz w:val="30"/>
          <w:szCs w:val="30"/>
        </w:rPr>
      </w:pPr>
      <w:bookmarkStart w:id="132" w:name="_Toc1194"/>
      <w:bookmarkStart w:id="133" w:name="_Toc15398"/>
      <w:r>
        <w:rPr>
          <w:rFonts w:hint="default" w:ascii="Times New Roman" w:hAnsi="Times New Roman" w:eastAsia="宋体" w:cs="Times New Roman"/>
          <w:b/>
          <w:bCs/>
          <w:color w:val="auto"/>
          <w:spacing w:val="-3"/>
          <w:kern w:val="0"/>
          <w:sz w:val="30"/>
          <w:szCs w:val="30"/>
          <w:lang w:bidi="ar"/>
        </w:rPr>
        <w:t>4.电磁环境质量现状监测与评价</w:t>
      </w:r>
      <w:bookmarkEnd w:id="131"/>
      <w:bookmarkEnd w:id="132"/>
      <w:bookmarkEnd w:id="133"/>
    </w:p>
    <w:p w14:paraId="07DB140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rPr>
      </w:pPr>
      <w:bookmarkStart w:id="134" w:name="_Toc26931"/>
      <w:bookmarkStart w:id="135" w:name="_Toc27900"/>
      <w:bookmarkStart w:id="136" w:name="_Toc31774"/>
      <w:r>
        <w:rPr>
          <w:rFonts w:hint="default" w:ascii="Times New Roman" w:hAnsi="Times New Roman" w:eastAsia="宋体" w:cs="Times New Roman"/>
          <w:color w:val="auto"/>
          <w:kern w:val="0"/>
          <w:sz w:val="24"/>
        </w:rPr>
        <w:t>为了解本项目区域电磁环境质量现状，202</w:t>
      </w:r>
      <w:r>
        <w:rPr>
          <w:rFonts w:hint="eastAsia" w:ascii="Times New Roman" w:hAnsi="Times New Roman" w:eastAsia="宋体" w:cs="Times New Roman"/>
          <w:color w:val="auto"/>
          <w:kern w:val="0"/>
          <w:sz w:val="24"/>
          <w:lang w:val="en-US" w:eastAsia="zh-CN"/>
        </w:rPr>
        <w:t>6</w:t>
      </w:r>
      <w:r>
        <w:rPr>
          <w:rFonts w:hint="default" w:ascii="Times New Roman" w:hAnsi="Times New Roman" w:eastAsia="宋体" w:cs="Times New Roman"/>
          <w:color w:val="auto"/>
          <w:kern w:val="0"/>
          <w:sz w:val="24"/>
        </w:rPr>
        <w:t>年</w:t>
      </w:r>
      <w:r>
        <w:rPr>
          <w:rFonts w:hint="eastAsia" w:ascii="Times New Roman" w:hAnsi="Times New Roman" w:eastAsia="宋体" w:cs="Times New Roman"/>
          <w:color w:val="auto"/>
          <w:kern w:val="0"/>
          <w:sz w:val="24"/>
          <w:lang w:val="en-US" w:eastAsia="zh-CN"/>
        </w:rPr>
        <w:t>6</w:t>
      </w:r>
      <w:r>
        <w:rPr>
          <w:rFonts w:hint="default" w:ascii="Times New Roman" w:hAnsi="Times New Roman" w:eastAsia="宋体" w:cs="Times New Roman"/>
          <w:color w:val="auto"/>
          <w:kern w:val="0"/>
          <w:sz w:val="24"/>
        </w:rPr>
        <w:t>月</w:t>
      </w:r>
      <w:r>
        <w:rPr>
          <w:rFonts w:hint="eastAsia" w:ascii="Times New Roman" w:hAnsi="Times New Roman" w:eastAsia="宋体" w:cs="Times New Roman"/>
          <w:color w:val="auto"/>
          <w:kern w:val="0"/>
          <w:sz w:val="24"/>
          <w:lang w:val="en-US" w:eastAsia="zh-CN"/>
        </w:rPr>
        <w:t>2</w:t>
      </w:r>
      <w:r>
        <w:rPr>
          <w:rFonts w:hint="default" w:ascii="Times New Roman" w:hAnsi="Times New Roman" w:eastAsia="宋体" w:cs="Times New Roman"/>
          <w:color w:val="auto"/>
          <w:kern w:val="0"/>
          <w:sz w:val="24"/>
        </w:rPr>
        <w:t>日，</w:t>
      </w:r>
      <w:r>
        <w:rPr>
          <w:rFonts w:hint="eastAsia" w:ascii="Times New Roman" w:hAnsi="Times New Roman" w:eastAsia="宋体" w:cs="Times New Roman"/>
          <w:color w:val="auto"/>
          <w:kern w:val="0"/>
          <w:sz w:val="24"/>
          <w:lang w:eastAsia="zh-CN"/>
        </w:rPr>
        <w:t>贵州元烁环境检测技术有限公司</w:t>
      </w:r>
      <w:r>
        <w:rPr>
          <w:rFonts w:hint="default" w:ascii="Times New Roman" w:hAnsi="Times New Roman" w:eastAsia="宋体" w:cs="Times New Roman"/>
          <w:color w:val="auto"/>
          <w:kern w:val="0"/>
          <w:sz w:val="24"/>
        </w:rPr>
        <w:t>对输电线路工频电场和工频磁场进行了现状监测，并出具了《</w:t>
      </w:r>
      <w:r>
        <w:rPr>
          <w:rFonts w:hint="eastAsia" w:ascii="Times New Roman" w:hAnsi="Times New Roman" w:eastAsia="宋体" w:cs="Times New Roman"/>
          <w:color w:val="auto"/>
          <w:kern w:val="0"/>
          <w:sz w:val="24"/>
          <w:lang w:eastAsia="zh-CN"/>
        </w:rPr>
        <w:t>六合一至乐业变220kV送出线路工程</w:t>
      </w:r>
      <w:r>
        <w:rPr>
          <w:rFonts w:hint="default" w:ascii="Times New Roman" w:hAnsi="Times New Roman" w:eastAsia="宋体" w:cs="Times New Roman"/>
          <w:color w:val="auto"/>
          <w:kern w:val="0"/>
          <w:sz w:val="24"/>
        </w:rPr>
        <w:t>环境质量现状监测报告》（报告编号：</w:t>
      </w:r>
      <w:r>
        <w:rPr>
          <w:rFonts w:hint="default" w:ascii="Times New Roman" w:hAnsi="Times New Roman" w:eastAsia="宋体" w:cs="Times New Roman"/>
          <w:color w:val="auto"/>
          <w:kern w:val="0"/>
          <w:sz w:val="24"/>
          <w:lang w:val="en-US" w:eastAsia="zh-CN"/>
        </w:rPr>
        <w:t>YSBG202605258</w:t>
      </w:r>
      <w:r>
        <w:rPr>
          <w:rFonts w:hint="default" w:ascii="Times New Roman" w:hAnsi="Times New Roman" w:eastAsia="宋体" w:cs="Times New Roman"/>
          <w:color w:val="auto"/>
          <w:kern w:val="0"/>
          <w:sz w:val="24"/>
        </w:rPr>
        <w:t>号）</w:t>
      </w:r>
      <w:r>
        <w:rPr>
          <w:rFonts w:hint="eastAsia" w:ascii="Times New Roman" w:hAnsi="Times New Roman" w:eastAsia="宋体" w:cs="Times New Roman"/>
          <w:color w:val="auto"/>
          <w:kern w:val="0"/>
          <w:sz w:val="24"/>
        </w:rPr>
        <w:t>。</w:t>
      </w:r>
    </w:p>
    <w:p w14:paraId="3C47C47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rPr>
        <w:t>同时，</w:t>
      </w:r>
      <w:r>
        <w:rPr>
          <w:rFonts w:hint="eastAsia" w:ascii="Times New Roman" w:hAnsi="Times New Roman" w:eastAsia="宋体" w:cs="Times New Roman"/>
          <w:color w:val="auto"/>
          <w:kern w:val="0"/>
          <w:sz w:val="24"/>
        </w:rPr>
        <w:t>本次评价时，</w:t>
      </w:r>
      <w:r>
        <w:rPr>
          <w:rFonts w:hint="default" w:ascii="Times New Roman" w:hAnsi="Times New Roman" w:eastAsia="宋体" w:cs="Times New Roman"/>
          <w:color w:val="auto"/>
          <w:kern w:val="0"/>
          <w:sz w:val="24"/>
        </w:rPr>
        <w:t>拟建</w:t>
      </w:r>
      <w:r>
        <w:rPr>
          <w:rFonts w:hint="default" w:ascii="Times New Roman" w:hAnsi="Times New Roman" w:eastAsia="宋体" w:cs="Times New Roman"/>
          <w:color w:val="auto"/>
          <w:kern w:val="0"/>
          <w:sz w:val="24"/>
          <w:lang w:val="en-US" w:eastAsia="zh-CN"/>
        </w:rPr>
        <w:t>220kV</w:t>
      </w:r>
      <w:r>
        <w:rPr>
          <w:rFonts w:hint="eastAsia" w:ascii="Times New Roman" w:hAnsi="Times New Roman" w:eastAsia="宋体" w:cs="Times New Roman"/>
          <w:color w:val="auto"/>
          <w:kern w:val="0"/>
          <w:sz w:val="24"/>
          <w:lang w:val="en-US" w:eastAsia="zh-CN"/>
        </w:rPr>
        <w:t>六合一</w:t>
      </w:r>
      <w:r>
        <w:rPr>
          <w:rFonts w:hint="default" w:ascii="Times New Roman" w:hAnsi="Times New Roman" w:eastAsia="宋体" w:cs="Times New Roman"/>
          <w:color w:val="auto"/>
          <w:kern w:val="0"/>
          <w:sz w:val="24"/>
          <w:lang w:val="en-US" w:eastAsia="zh-CN"/>
        </w:rPr>
        <w:t>升压站</w:t>
      </w:r>
      <w:r>
        <w:rPr>
          <w:rFonts w:hint="eastAsia" w:ascii="Times New Roman" w:hAnsi="Times New Roman" w:eastAsia="宋体" w:cs="Times New Roman"/>
          <w:color w:val="auto"/>
          <w:kern w:val="0"/>
          <w:sz w:val="24"/>
          <w:lang w:val="en-US" w:eastAsia="zh-CN"/>
        </w:rPr>
        <w:t>、110kV大草房升压站</w:t>
      </w:r>
      <w:r>
        <w:rPr>
          <w:rFonts w:hint="default" w:ascii="Times New Roman" w:hAnsi="Times New Roman" w:eastAsia="宋体" w:cs="Times New Roman"/>
          <w:color w:val="auto"/>
          <w:kern w:val="0"/>
          <w:sz w:val="24"/>
        </w:rPr>
        <w:t>正在建设中，因此，本次评价</w:t>
      </w:r>
      <w:r>
        <w:rPr>
          <w:rFonts w:hint="default" w:ascii="Times New Roman" w:hAnsi="Times New Roman" w:eastAsia="宋体" w:cs="Times New Roman"/>
          <w:color w:val="auto"/>
          <w:kern w:val="0"/>
          <w:sz w:val="24"/>
          <w:lang w:val="en-US" w:eastAsia="zh-CN"/>
        </w:rPr>
        <w:t>220kV</w:t>
      </w:r>
      <w:r>
        <w:rPr>
          <w:rFonts w:hint="eastAsia" w:ascii="Times New Roman" w:hAnsi="Times New Roman" w:eastAsia="宋体" w:cs="Times New Roman"/>
          <w:color w:val="auto"/>
          <w:kern w:val="0"/>
          <w:sz w:val="24"/>
          <w:lang w:val="en-US" w:eastAsia="zh-CN"/>
        </w:rPr>
        <w:t>六合一</w:t>
      </w:r>
      <w:r>
        <w:rPr>
          <w:rFonts w:hint="default" w:ascii="Times New Roman" w:hAnsi="Times New Roman" w:eastAsia="宋体" w:cs="Times New Roman"/>
          <w:color w:val="auto"/>
          <w:kern w:val="0"/>
          <w:sz w:val="24"/>
          <w:lang w:val="en-US" w:eastAsia="zh-CN"/>
        </w:rPr>
        <w:t>升压站</w:t>
      </w:r>
      <w:r>
        <w:rPr>
          <w:rFonts w:hint="eastAsia" w:ascii="Times New Roman" w:hAnsi="Times New Roman" w:eastAsia="宋体" w:cs="Times New Roman"/>
          <w:color w:val="auto"/>
          <w:kern w:val="0"/>
          <w:sz w:val="24"/>
          <w:lang w:val="en-US" w:eastAsia="zh-CN"/>
        </w:rPr>
        <w:t>电磁</w:t>
      </w:r>
      <w:r>
        <w:rPr>
          <w:rFonts w:hint="default" w:ascii="Times New Roman" w:hAnsi="Times New Roman" w:eastAsia="宋体" w:cs="Times New Roman"/>
          <w:color w:val="auto"/>
          <w:kern w:val="0"/>
          <w:sz w:val="24"/>
        </w:rPr>
        <w:t>环境现状引用</w:t>
      </w:r>
      <w:r>
        <w:rPr>
          <w:rFonts w:hint="eastAsia" w:ascii="Times New Roman" w:hAnsi="Times New Roman" w:eastAsia="宋体" w:cs="Times New Roman"/>
          <w:color w:val="auto"/>
          <w:kern w:val="0"/>
          <w:sz w:val="24"/>
          <w:lang w:eastAsia="zh-CN"/>
        </w:rPr>
        <w:t>《乐业镇六合村一期光伏项目（复合型光伏发电项目）</w:t>
      </w:r>
      <w:r>
        <w:rPr>
          <w:rFonts w:hint="eastAsia" w:ascii="Times New Roman" w:hAnsi="Times New Roman" w:eastAsia="宋体" w:cs="Times New Roman"/>
          <w:color w:val="auto"/>
          <w:kern w:val="0"/>
          <w:sz w:val="24"/>
          <w:lang w:val="en-US" w:eastAsia="zh-CN"/>
        </w:rPr>
        <w:t>环境影响报告表</w:t>
      </w:r>
      <w:r>
        <w:rPr>
          <w:rFonts w:hint="eastAsia" w:ascii="Times New Roman" w:hAnsi="Times New Roman" w:eastAsia="宋体" w:cs="Times New Roman"/>
          <w:color w:val="auto"/>
          <w:kern w:val="0"/>
          <w:sz w:val="24"/>
          <w:lang w:eastAsia="zh-CN"/>
        </w:rPr>
        <w:t>》</w:t>
      </w:r>
      <w:r>
        <w:rPr>
          <w:rFonts w:hint="eastAsia" w:ascii="Times New Roman" w:hAnsi="Times New Roman" w:eastAsia="宋体" w:cs="Times New Roman"/>
          <w:color w:val="auto"/>
          <w:kern w:val="0"/>
          <w:sz w:val="24"/>
          <w:lang w:val="en-US" w:eastAsia="zh-CN"/>
        </w:rPr>
        <w:t>中云南中科检测技术有限公司于2022年4月8日对拟建升压站站址中心的电磁环境现状监测数据；110kV大草房升压站电磁</w:t>
      </w:r>
      <w:r>
        <w:rPr>
          <w:rFonts w:hint="default" w:ascii="Times New Roman" w:hAnsi="Times New Roman" w:eastAsia="宋体" w:cs="Times New Roman"/>
          <w:color w:val="auto"/>
          <w:kern w:val="0"/>
          <w:sz w:val="24"/>
        </w:rPr>
        <w:t>环境现状引用</w:t>
      </w:r>
      <w:r>
        <w:rPr>
          <w:rFonts w:hint="default" w:ascii="Times New Roman" w:hAnsi="Times New Roman" w:eastAsia="宋体" w:cs="Times New Roman"/>
          <w:color w:val="auto"/>
          <w:kern w:val="0"/>
          <w:sz w:val="24"/>
          <w:lang w:val="en-US" w:eastAsia="zh-CN"/>
        </w:rPr>
        <w:t>《火红乡湾子村委会大草房光伏项目（复合型光伏发电项目）现状检测》（科环检字【2025】-1017003）</w:t>
      </w:r>
      <w:r>
        <w:rPr>
          <w:rFonts w:hint="eastAsia" w:ascii="Times New Roman" w:hAnsi="Times New Roman" w:eastAsia="宋体" w:cs="Times New Roman"/>
          <w:color w:val="auto"/>
          <w:kern w:val="0"/>
          <w:sz w:val="24"/>
          <w:lang w:val="en-US" w:eastAsia="zh-CN"/>
        </w:rPr>
        <w:t>中云南科环环境工程咨询有限公司2025年10月24日对拟建升压站站址中心的电磁环境现状监测数据（报告编号：科环检字【2024】-0422002）。</w:t>
      </w:r>
    </w:p>
    <w:p w14:paraId="0A6311BC">
      <w:pPr>
        <w:adjustRightInd w:val="0"/>
        <w:snapToGrid w:val="0"/>
        <w:spacing w:before="156" w:beforeLines="50" w:after="156" w:afterLines="50"/>
        <w:outlineLvl w:val="1"/>
        <w:rPr>
          <w:rFonts w:hint="default" w:ascii="Times New Roman" w:hAnsi="Times New Roman" w:eastAsia="宋体" w:cs="Times New Roman"/>
          <w:b/>
          <w:bCs/>
          <w:color w:val="auto"/>
          <w:kern w:val="0"/>
          <w:sz w:val="28"/>
          <w:szCs w:val="28"/>
        </w:rPr>
      </w:pPr>
      <w:r>
        <w:rPr>
          <w:rFonts w:hint="default" w:ascii="Times New Roman" w:hAnsi="Times New Roman" w:eastAsia="宋体" w:cs="Times New Roman"/>
          <w:b/>
          <w:bCs/>
          <w:color w:val="auto"/>
          <w:kern w:val="0"/>
          <w:sz w:val="28"/>
          <w:szCs w:val="28"/>
        </w:rPr>
        <w:t>4.1布点原则及监测布点</w:t>
      </w:r>
      <w:bookmarkEnd w:id="134"/>
      <w:bookmarkEnd w:id="135"/>
      <w:bookmarkEnd w:id="136"/>
    </w:p>
    <w:p w14:paraId="15AC1E7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rPr>
        <w:t>根据《环境影响评价技术导则·输变电》（HJ24-2020）：电磁环境敏感目标的布点方法以定点监测为主，线路小于100km沿线电磁环境现状监测点位最少为2个。</w:t>
      </w:r>
    </w:p>
    <w:p w14:paraId="07193B1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rPr>
        <w:t>本次评</w:t>
      </w:r>
      <w:r>
        <w:rPr>
          <w:rFonts w:hint="default" w:ascii="Times New Roman" w:hAnsi="Times New Roman" w:eastAsia="宋体" w:cs="Times New Roman"/>
          <w:color w:val="auto"/>
          <w:kern w:val="0"/>
          <w:sz w:val="24"/>
          <w:lang w:val="en-US" w:eastAsia="zh-CN"/>
        </w:rPr>
        <w:t>价</w:t>
      </w:r>
      <w:r>
        <w:rPr>
          <w:rFonts w:hint="default" w:ascii="Times New Roman" w:hAnsi="Times New Roman" w:eastAsia="宋体" w:cs="Times New Roman"/>
          <w:color w:val="auto"/>
          <w:kern w:val="0"/>
          <w:sz w:val="24"/>
        </w:rPr>
        <w:t>在</w:t>
      </w:r>
      <w:r>
        <w:rPr>
          <w:rFonts w:hint="default" w:ascii="Times New Roman" w:hAnsi="Times New Roman" w:eastAsia="宋体" w:cs="Times New Roman"/>
          <w:color w:val="auto"/>
          <w:kern w:val="0"/>
          <w:sz w:val="24"/>
          <w:lang w:eastAsia="zh-CN"/>
        </w:rPr>
        <w:t>N10~N11</w:t>
      </w:r>
      <w:r>
        <w:rPr>
          <w:rFonts w:hint="default" w:ascii="Times New Roman" w:hAnsi="Times New Roman" w:eastAsia="宋体" w:cs="Times New Roman"/>
          <w:color w:val="auto"/>
          <w:kern w:val="0"/>
          <w:sz w:val="24"/>
        </w:rPr>
        <w:t>间左侧29m处石碓窝居民处、N21-N22之间右侧23m处红地丫口居民</w:t>
      </w:r>
      <w:r>
        <w:rPr>
          <w:rFonts w:hint="default" w:ascii="Times New Roman" w:hAnsi="Times New Roman" w:eastAsia="宋体" w:cs="Times New Roman"/>
          <w:color w:val="auto"/>
          <w:kern w:val="0"/>
          <w:sz w:val="24"/>
          <w:lang w:val="en-US" w:eastAsia="zh-CN"/>
        </w:rPr>
        <w:t>处</w:t>
      </w:r>
      <w:r>
        <w:rPr>
          <w:rFonts w:hint="default" w:ascii="Times New Roman" w:hAnsi="Times New Roman" w:eastAsia="宋体" w:cs="Times New Roman"/>
          <w:color w:val="auto"/>
          <w:kern w:val="0"/>
          <w:sz w:val="24"/>
        </w:rPr>
        <w:t>设置共</w:t>
      </w:r>
      <w:r>
        <w:rPr>
          <w:rFonts w:hint="default" w:ascii="Times New Roman" w:hAnsi="Times New Roman" w:eastAsia="宋体" w:cs="Times New Roman"/>
          <w:color w:val="auto"/>
          <w:kern w:val="0"/>
          <w:sz w:val="24"/>
          <w:lang w:val="en-US" w:eastAsia="zh-CN"/>
        </w:rPr>
        <w:t>2</w:t>
      </w:r>
      <w:r>
        <w:rPr>
          <w:rFonts w:hint="default" w:ascii="Times New Roman" w:hAnsi="Times New Roman" w:eastAsia="宋体" w:cs="Times New Roman"/>
          <w:color w:val="auto"/>
          <w:kern w:val="0"/>
          <w:sz w:val="24"/>
        </w:rPr>
        <w:t>个监测点位。</w:t>
      </w:r>
    </w:p>
    <w:p w14:paraId="6DFC6087">
      <w:pPr>
        <w:adjustRightInd w:val="0"/>
        <w:snapToGrid w:val="0"/>
        <w:spacing w:before="156" w:beforeLines="50" w:after="156" w:afterLines="50"/>
        <w:outlineLvl w:val="1"/>
        <w:rPr>
          <w:rFonts w:hint="default" w:ascii="Times New Roman" w:hAnsi="Times New Roman" w:eastAsia="宋体" w:cs="Times New Roman"/>
          <w:b/>
          <w:bCs/>
          <w:color w:val="auto"/>
          <w:kern w:val="0"/>
          <w:sz w:val="28"/>
          <w:szCs w:val="28"/>
        </w:rPr>
      </w:pPr>
      <w:bookmarkStart w:id="137" w:name="_Toc14148"/>
      <w:bookmarkStart w:id="138" w:name="_Toc18785"/>
      <w:bookmarkStart w:id="139" w:name="_Toc13324"/>
      <w:r>
        <w:rPr>
          <w:rFonts w:hint="default" w:ascii="Times New Roman" w:hAnsi="Times New Roman" w:eastAsia="宋体" w:cs="Times New Roman"/>
          <w:b/>
          <w:bCs/>
          <w:color w:val="auto"/>
          <w:kern w:val="0"/>
          <w:sz w:val="28"/>
          <w:szCs w:val="28"/>
        </w:rPr>
        <w:t>4.2监测布点的合理性、代表性分析</w:t>
      </w:r>
      <w:bookmarkEnd w:id="137"/>
      <w:bookmarkEnd w:id="138"/>
      <w:bookmarkEnd w:id="139"/>
    </w:p>
    <w:p w14:paraId="4B2E01F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rPr>
        <w:t>本工程输电线路沿线主要为山地和丘陵，沿线电磁环境、声环境处于相当水平。本次监测的监测点位布置于环境敏感点</w:t>
      </w:r>
      <w:r>
        <w:rPr>
          <w:rFonts w:hint="default" w:ascii="Times New Roman" w:hAnsi="Times New Roman" w:eastAsia="宋体" w:cs="Times New Roman"/>
          <w:color w:val="auto"/>
          <w:kern w:val="0"/>
          <w:sz w:val="24"/>
          <w:lang w:val="en-US" w:eastAsia="zh-CN"/>
        </w:rPr>
        <w:t>2</w:t>
      </w:r>
      <w:r>
        <w:rPr>
          <w:rFonts w:hint="default" w:ascii="Times New Roman" w:hAnsi="Times New Roman" w:eastAsia="宋体" w:cs="Times New Roman"/>
          <w:color w:val="auto"/>
          <w:kern w:val="0"/>
          <w:sz w:val="24"/>
        </w:rPr>
        <w:t>个，满足线路小于100km沿线电磁环境现状监测点位最少为2个要求，能够反映输电线路沿线的电磁环境现状及区域背景状况的电磁环境与声环境质量现状，监测点位符合《环境影响评价技术导则·输变电》（HJ24-2020）要求。</w:t>
      </w:r>
    </w:p>
    <w:p w14:paraId="32F4F16E">
      <w:pPr>
        <w:widowControl/>
        <w:autoSpaceDE w:val="0"/>
        <w:autoSpaceDN w:val="0"/>
        <w:adjustRightInd w:val="0"/>
        <w:snapToGrid w:val="0"/>
        <w:spacing w:before="156" w:beforeLines="50" w:after="156" w:afterLines="50"/>
        <w:outlineLvl w:val="1"/>
        <w:rPr>
          <w:rFonts w:hint="default" w:ascii="Times New Roman" w:hAnsi="Times New Roman" w:eastAsia="宋体" w:cs="Times New Roman"/>
          <w:b/>
          <w:bCs/>
          <w:color w:val="auto"/>
          <w:kern w:val="0"/>
          <w:sz w:val="28"/>
          <w:szCs w:val="28"/>
          <w:lang w:bidi="ar"/>
        </w:rPr>
      </w:pPr>
      <w:bookmarkStart w:id="140" w:name="_Toc23490"/>
      <w:bookmarkStart w:id="141" w:name="_Toc30818"/>
      <w:bookmarkStart w:id="142" w:name="_Toc25262"/>
      <w:r>
        <w:rPr>
          <w:rFonts w:hint="default" w:ascii="Times New Roman" w:hAnsi="Times New Roman" w:eastAsia="宋体" w:cs="Times New Roman"/>
          <w:b/>
          <w:bCs/>
          <w:color w:val="auto"/>
          <w:kern w:val="0"/>
          <w:sz w:val="28"/>
          <w:szCs w:val="28"/>
          <w:lang w:bidi="ar"/>
        </w:rPr>
        <w:t>4.3监测方法及使用仪器</w:t>
      </w:r>
      <w:bookmarkEnd w:id="140"/>
      <w:bookmarkEnd w:id="141"/>
      <w:bookmarkEnd w:id="142"/>
    </w:p>
    <w:p w14:paraId="79DEDE3A">
      <w:pPr>
        <w:widowControl/>
        <w:autoSpaceDE w:val="0"/>
        <w:autoSpaceDN w:val="0"/>
        <w:adjustRightInd w:val="0"/>
        <w:snapToGrid w:val="0"/>
        <w:spacing w:line="360" w:lineRule="auto"/>
        <w:ind w:firstLine="480" w:firstLineChars="200"/>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rPr>
        <w:t>监测方法及使用仪器见下表4-1。</w:t>
      </w:r>
    </w:p>
    <w:p w14:paraId="76004C08">
      <w:pPr>
        <w:widowControl/>
        <w:autoSpaceDE w:val="0"/>
        <w:autoSpaceDN w:val="0"/>
        <w:adjustRightInd w:val="0"/>
        <w:snapToGrid w:val="0"/>
        <w:jc w:val="center"/>
        <w:rPr>
          <w:rFonts w:hint="default" w:ascii="Times New Roman" w:hAnsi="Times New Roman" w:eastAsia="宋体" w:cs="Times New Roman"/>
          <w:b/>
          <w:bCs/>
          <w:color w:val="auto"/>
          <w:kern w:val="0"/>
          <w:sz w:val="24"/>
        </w:rPr>
      </w:pPr>
      <w:r>
        <w:rPr>
          <w:rFonts w:hint="default" w:ascii="Times New Roman" w:hAnsi="Times New Roman" w:eastAsia="宋体" w:cs="Times New Roman"/>
          <w:b/>
          <w:bCs/>
          <w:color w:val="auto"/>
          <w:kern w:val="0"/>
          <w:sz w:val="24"/>
        </w:rPr>
        <w:t>表4-1 监测方法及使用仪器</w:t>
      </w:r>
    </w:p>
    <w:tbl>
      <w:tblPr>
        <w:tblStyle w:val="31"/>
        <w:tblW w:w="498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31"/>
        <w:gridCol w:w="3273"/>
        <w:gridCol w:w="3694"/>
      </w:tblGrid>
      <w:tr w14:paraId="115A1C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01" w:type="pct"/>
            <w:tcBorders>
              <w:tl2br w:val="nil"/>
              <w:tr2bl w:val="nil"/>
            </w:tcBorders>
            <w:vAlign w:val="center"/>
          </w:tcPr>
          <w:p w14:paraId="0471BD94">
            <w:pPr>
              <w:keepNext w:val="0"/>
              <w:keepLines w:val="0"/>
              <w:pageBreakBefore w:val="0"/>
              <w:widowControl/>
              <w:kinsoku/>
              <w:overflowPunct/>
              <w:topLinePunct w:val="0"/>
              <w:autoSpaceDE w:val="0"/>
              <w:autoSpaceDN w:val="0"/>
              <w:bidi w:val="0"/>
              <w:adjustRightInd w:val="0"/>
              <w:snapToGrid w:val="0"/>
              <w:jc w:val="center"/>
              <w:textAlignment w:val="auto"/>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监测项目</w:t>
            </w:r>
          </w:p>
        </w:tc>
        <w:tc>
          <w:tcPr>
            <w:tcW w:w="1925" w:type="pct"/>
            <w:tcBorders>
              <w:tl2br w:val="nil"/>
              <w:tr2bl w:val="nil"/>
            </w:tcBorders>
            <w:vAlign w:val="center"/>
          </w:tcPr>
          <w:p w14:paraId="1A82952F">
            <w:pPr>
              <w:keepNext w:val="0"/>
              <w:keepLines w:val="0"/>
              <w:pageBreakBefore w:val="0"/>
              <w:widowControl/>
              <w:kinsoku/>
              <w:overflowPunct/>
              <w:topLinePunct w:val="0"/>
              <w:autoSpaceDE w:val="0"/>
              <w:autoSpaceDN w:val="0"/>
              <w:bidi w:val="0"/>
              <w:adjustRightInd w:val="0"/>
              <w:snapToGrid w:val="0"/>
              <w:jc w:val="center"/>
              <w:textAlignment w:val="auto"/>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检测方法依据标准代号及名称</w:t>
            </w:r>
          </w:p>
        </w:tc>
        <w:tc>
          <w:tcPr>
            <w:tcW w:w="2173" w:type="pct"/>
            <w:tcBorders>
              <w:tl2br w:val="nil"/>
              <w:tr2bl w:val="nil"/>
            </w:tcBorders>
            <w:vAlign w:val="center"/>
          </w:tcPr>
          <w:p w14:paraId="1EA1EB51">
            <w:pPr>
              <w:keepNext w:val="0"/>
              <w:keepLines w:val="0"/>
              <w:pageBreakBefore w:val="0"/>
              <w:widowControl/>
              <w:kinsoku/>
              <w:overflowPunct/>
              <w:topLinePunct w:val="0"/>
              <w:autoSpaceDE w:val="0"/>
              <w:autoSpaceDN w:val="0"/>
              <w:bidi w:val="0"/>
              <w:adjustRightInd w:val="0"/>
              <w:snapToGrid w:val="0"/>
              <w:jc w:val="center"/>
              <w:textAlignment w:val="auto"/>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主要检测仪器设备型号及名称、编号</w:t>
            </w:r>
          </w:p>
        </w:tc>
      </w:tr>
      <w:tr w14:paraId="355113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01" w:type="pct"/>
            <w:tcBorders>
              <w:tl2br w:val="nil"/>
              <w:tr2bl w:val="nil"/>
            </w:tcBorders>
            <w:vAlign w:val="center"/>
          </w:tcPr>
          <w:p w14:paraId="4900F130">
            <w:pPr>
              <w:keepNext w:val="0"/>
              <w:keepLines w:val="0"/>
              <w:pageBreakBefore w:val="0"/>
              <w:widowControl/>
              <w:kinsoku/>
              <w:overflowPunct/>
              <w:topLinePunct w:val="0"/>
              <w:autoSpaceDE w:val="0"/>
              <w:autoSpaceDN w:val="0"/>
              <w:bidi w:val="0"/>
              <w:adjustRightInd w:val="0"/>
              <w:snapToGrid w:val="0"/>
              <w:jc w:val="center"/>
              <w:textAlignment w:val="auto"/>
              <w:rPr>
                <w:rFonts w:hint="default" w:ascii="Times New Roman" w:hAnsi="Times New Roman" w:eastAsia="宋体" w:cs="Times New Roman"/>
                <w:b/>
                <w:bCs/>
                <w:color w:val="auto"/>
                <w:kern w:val="0"/>
                <w:szCs w:val="21"/>
              </w:rPr>
            </w:pPr>
            <w:r>
              <w:rPr>
                <w:rFonts w:hint="default" w:ascii="Times New Roman" w:hAnsi="Times New Roman" w:eastAsia="宋体" w:cs="Times New Roman"/>
                <w:color w:val="auto"/>
                <w:kern w:val="0"/>
                <w:szCs w:val="21"/>
              </w:rPr>
              <w:t>工频电场</w:t>
            </w:r>
          </w:p>
        </w:tc>
        <w:tc>
          <w:tcPr>
            <w:tcW w:w="1925" w:type="pct"/>
            <w:vMerge w:val="restart"/>
            <w:tcBorders>
              <w:tl2br w:val="nil"/>
              <w:tr2bl w:val="nil"/>
            </w:tcBorders>
            <w:vAlign w:val="center"/>
          </w:tcPr>
          <w:p w14:paraId="4431A0BE">
            <w:pPr>
              <w:keepNext w:val="0"/>
              <w:keepLines w:val="0"/>
              <w:pageBreakBefore w:val="0"/>
              <w:widowControl/>
              <w:kinsoku/>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交流输变压工程电磁环境监测方法、（试行）HJ681-2013</w:t>
            </w:r>
          </w:p>
        </w:tc>
        <w:tc>
          <w:tcPr>
            <w:tcW w:w="2173" w:type="pct"/>
            <w:vMerge w:val="restart"/>
            <w:tcBorders>
              <w:tl2br w:val="nil"/>
              <w:tr2bl w:val="nil"/>
            </w:tcBorders>
            <w:vAlign w:val="center"/>
          </w:tcPr>
          <w:p w14:paraId="3EF07EDA">
            <w:pPr>
              <w:keepNext w:val="0"/>
              <w:keepLines w:val="0"/>
              <w:pageBreakBefore w:val="0"/>
              <w:widowControl/>
              <w:kinsoku/>
              <w:wordWrap w:val="0"/>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szCs w:val="21"/>
                <w:lang w:val="en-US" w:eastAsia="zh-CN" w:bidi="ar"/>
              </w:rPr>
              <w:t>低频电磁场强测试</w:t>
            </w:r>
            <w:r>
              <w:rPr>
                <w:rFonts w:hint="default" w:ascii="Times New Roman" w:hAnsi="Times New Roman" w:eastAsia="宋体" w:cs="Times New Roman"/>
                <w:color w:val="auto"/>
                <w:szCs w:val="21"/>
                <w:lang w:bidi="ar"/>
              </w:rPr>
              <w:t>仪</w:t>
            </w:r>
            <w:r>
              <w:rPr>
                <w:rFonts w:hint="default" w:ascii="Times New Roman" w:hAnsi="Times New Roman" w:eastAsia="宋体" w:cs="Times New Roman"/>
                <w:color w:val="auto"/>
                <w:szCs w:val="21"/>
                <w:lang w:eastAsia="zh-CN" w:bidi="ar"/>
              </w:rPr>
              <w:t>（</w:t>
            </w:r>
            <w:r>
              <w:rPr>
                <w:rFonts w:hint="default" w:ascii="Times New Roman" w:hAnsi="Times New Roman" w:eastAsia="宋体" w:cs="Times New Roman"/>
                <w:color w:val="auto"/>
                <w:szCs w:val="21"/>
                <w:lang w:bidi="ar"/>
              </w:rPr>
              <w:t>JL2507001799/YS-XC106）</w:t>
            </w:r>
          </w:p>
        </w:tc>
      </w:tr>
      <w:tr w14:paraId="77DA58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01" w:type="pct"/>
            <w:tcBorders>
              <w:tl2br w:val="nil"/>
              <w:tr2bl w:val="nil"/>
            </w:tcBorders>
            <w:vAlign w:val="center"/>
          </w:tcPr>
          <w:p w14:paraId="0275425D">
            <w:pPr>
              <w:keepNext w:val="0"/>
              <w:keepLines w:val="0"/>
              <w:pageBreakBefore w:val="0"/>
              <w:widowControl/>
              <w:kinsoku/>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工频磁场</w:t>
            </w:r>
          </w:p>
        </w:tc>
        <w:tc>
          <w:tcPr>
            <w:tcW w:w="1925" w:type="pct"/>
            <w:vMerge w:val="continue"/>
            <w:tcBorders>
              <w:tl2br w:val="nil"/>
              <w:tr2bl w:val="nil"/>
            </w:tcBorders>
            <w:vAlign w:val="center"/>
          </w:tcPr>
          <w:p w14:paraId="677F9B29">
            <w:pPr>
              <w:keepNext w:val="0"/>
              <w:keepLines w:val="0"/>
              <w:pageBreakBefore w:val="0"/>
              <w:widowControl/>
              <w:kinsoku/>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Cs w:val="21"/>
              </w:rPr>
            </w:pPr>
          </w:p>
        </w:tc>
        <w:tc>
          <w:tcPr>
            <w:tcW w:w="2173" w:type="pct"/>
            <w:vMerge w:val="continue"/>
            <w:tcBorders>
              <w:tl2br w:val="nil"/>
              <w:tr2bl w:val="nil"/>
            </w:tcBorders>
            <w:vAlign w:val="center"/>
          </w:tcPr>
          <w:p w14:paraId="257068A3">
            <w:pPr>
              <w:keepNext w:val="0"/>
              <w:keepLines w:val="0"/>
              <w:pageBreakBefore w:val="0"/>
              <w:widowControl/>
              <w:kinsoku/>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auto"/>
                <w:kern w:val="0"/>
                <w:szCs w:val="21"/>
              </w:rPr>
            </w:pPr>
          </w:p>
        </w:tc>
      </w:tr>
    </w:tbl>
    <w:p w14:paraId="141C5996">
      <w:pPr>
        <w:pStyle w:val="4"/>
        <w:adjustRightInd w:val="0"/>
        <w:snapToGrid w:val="0"/>
        <w:spacing w:line="440" w:lineRule="exact"/>
        <w:rPr>
          <w:rFonts w:hint="default" w:ascii="Times New Roman" w:hAnsi="Times New Roman" w:eastAsia="宋体" w:cs="Times New Roman"/>
          <w:color w:val="auto"/>
        </w:rPr>
      </w:pPr>
      <w:bookmarkStart w:id="143" w:name="_Toc32398"/>
      <w:bookmarkStart w:id="144" w:name="_Toc22967"/>
      <w:bookmarkStart w:id="145" w:name="_Toc7089"/>
      <w:bookmarkStart w:id="146" w:name="_Toc6170"/>
      <w:r>
        <w:rPr>
          <w:rFonts w:hint="default" w:ascii="Times New Roman" w:hAnsi="Times New Roman" w:eastAsia="宋体" w:cs="Times New Roman"/>
          <w:color w:val="auto"/>
        </w:rPr>
        <w:t>4.3监测时间及气象条件</w:t>
      </w:r>
      <w:bookmarkEnd w:id="143"/>
    </w:p>
    <w:p w14:paraId="5439A282">
      <w:pPr>
        <w:adjustRightInd w:val="0"/>
        <w:snapToGrid w:val="0"/>
        <w:spacing w:line="440" w:lineRule="exact"/>
        <w:ind w:firstLine="480" w:firstLineChars="200"/>
        <w:rPr>
          <w:rFonts w:hint="default" w:ascii="Times New Roman" w:hAnsi="Times New Roman" w:eastAsia="宋体" w:cs="Times New Roman"/>
          <w:color w:val="auto"/>
          <w:sz w:val="24"/>
          <w:szCs w:val="24"/>
        </w:rPr>
      </w:pPr>
      <w:bookmarkStart w:id="147" w:name="_Toc26181"/>
      <w:r>
        <w:rPr>
          <w:rFonts w:hint="default" w:ascii="Times New Roman" w:hAnsi="Times New Roman" w:eastAsia="宋体" w:cs="Times New Roman"/>
          <w:color w:val="auto"/>
          <w:sz w:val="24"/>
          <w:szCs w:val="24"/>
        </w:rPr>
        <w:t>监测时间：202</w:t>
      </w:r>
      <w:r>
        <w:rPr>
          <w:rFonts w:hint="default"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日。</w:t>
      </w:r>
    </w:p>
    <w:p w14:paraId="370BC318">
      <w:pPr>
        <w:adjustRightInd w:val="0"/>
        <w:snapToGrid w:val="0"/>
        <w:spacing w:line="44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环境条件：天气：</w:t>
      </w:r>
      <w:r>
        <w:rPr>
          <w:rFonts w:hint="default" w:ascii="Times New Roman" w:hAnsi="Times New Roman" w:eastAsia="宋体" w:cs="Times New Roman"/>
          <w:color w:val="auto"/>
          <w:sz w:val="24"/>
          <w:szCs w:val="24"/>
          <w:highlight w:val="none"/>
          <w:lang w:val="en-US" w:eastAsia="zh-CN"/>
        </w:rPr>
        <w:t>多云</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环境温度：</w:t>
      </w:r>
      <w:r>
        <w:rPr>
          <w:rFonts w:hint="default" w:ascii="Times New Roman" w:hAnsi="Times New Roman" w:eastAsia="宋体" w:cs="Times New Roman"/>
          <w:color w:val="auto"/>
          <w:sz w:val="24"/>
          <w:szCs w:val="24"/>
          <w:highlight w:val="none"/>
          <w:lang w:val="en-US" w:eastAsia="zh-CN"/>
        </w:rPr>
        <w:t>15~26</w:t>
      </w:r>
      <w:r>
        <w:rPr>
          <w:rFonts w:hint="default" w:ascii="Times New Roman" w:hAnsi="Times New Roman" w:eastAsia="宋体" w:cs="Times New Roman"/>
          <w:color w:val="auto"/>
          <w:sz w:val="24"/>
          <w:szCs w:val="24"/>
          <w:highlight w:val="none"/>
        </w:rPr>
        <w:t>℃  风速</w:t>
      </w:r>
      <w:r>
        <w:rPr>
          <w:rFonts w:hint="default" w:ascii="Times New Roman" w:hAnsi="Times New Roman" w:eastAsia="宋体" w:cs="Times New Roman"/>
          <w:color w:val="auto"/>
          <w:sz w:val="24"/>
          <w:szCs w:val="24"/>
          <w:highlight w:val="none"/>
          <w:lang w:val="en-US" w:eastAsia="zh-CN"/>
        </w:rPr>
        <w:t>1.5~3.0</w:t>
      </w:r>
      <w:r>
        <w:rPr>
          <w:rFonts w:hint="default" w:ascii="Times New Roman" w:hAnsi="Times New Roman" w:eastAsia="宋体" w:cs="Times New Roman"/>
          <w:color w:val="auto"/>
          <w:sz w:val="24"/>
          <w:szCs w:val="24"/>
          <w:highlight w:val="none"/>
        </w:rPr>
        <w:t>m/s，风向：西南风；大气压：</w:t>
      </w:r>
      <w:r>
        <w:rPr>
          <w:rFonts w:hint="default" w:ascii="Times New Roman" w:hAnsi="Times New Roman" w:eastAsia="宋体" w:cs="Times New Roman"/>
          <w:color w:val="auto"/>
          <w:sz w:val="24"/>
          <w:szCs w:val="24"/>
          <w:highlight w:val="none"/>
          <w:lang w:val="en-US" w:eastAsia="zh-CN"/>
        </w:rPr>
        <w:t>77.8</w:t>
      </w:r>
      <w:r>
        <w:rPr>
          <w:rFonts w:hint="default" w:ascii="Times New Roman" w:hAnsi="Times New Roman" w:eastAsia="宋体" w:cs="Times New Roman"/>
          <w:color w:val="auto"/>
          <w:sz w:val="24"/>
          <w:szCs w:val="24"/>
          <w:highlight w:val="none"/>
        </w:rPr>
        <w:t>kPa</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湿度：50~60%</w:t>
      </w:r>
      <w:r>
        <w:rPr>
          <w:rFonts w:hint="default" w:ascii="Times New Roman" w:hAnsi="Times New Roman" w:eastAsia="宋体" w:cs="Times New Roman"/>
          <w:color w:val="auto"/>
          <w:sz w:val="24"/>
          <w:szCs w:val="24"/>
          <w:highlight w:val="none"/>
        </w:rPr>
        <w:t>。</w:t>
      </w:r>
    </w:p>
    <w:p w14:paraId="1394AF3C">
      <w:pPr>
        <w:pStyle w:val="4"/>
        <w:adjustRightInd w:val="0"/>
        <w:snapToGrid w:val="0"/>
        <w:spacing w:line="440" w:lineRule="exact"/>
        <w:rPr>
          <w:rFonts w:hint="default" w:ascii="Times New Roman" w:hAnsi="Times New Roman" w:eastAsia="宋体" w:cs="Times New Roman"/>
          <w:color w:val="auto"/>
        </w:rPr>
      </w:pPr>
      <w:r>
        <w:rPr>
          <w:rFonts w:hint="default" w:ascii="Times New Roman" w:hAnsi="Times New Roman" w:eastAsia="宋体" w:cs="Times New Roman"/>
          <w:color w:val="auto"/>
        </w:rPr>
        <w:t>4.4质量保证</w:t>
      </w:r>
      <w:bookmarkEnd w:id="147"/>
    </w:p>
    <w:p w14:paraId="29AB1F68">
      <w:pPr>
        <w:adjustRightInd w:val="0"/>
        <w:snapToGrid w:val="0"/>
        <w:spacing w:line="440" w:lineRule="exact"/>
        <w:ind w:firstLine="480" w:firstLineChars="200"/>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1）监测单位：</w:t>
      </w:r>
      <w:r>
        <w:rPr>
          <w:rFonts w:hint="default" w:ascii="Times New Roman" w:hAnsi="Times New Roman" w:eastAsia="宋体" w:cs="Times New Roman"/>
          <w:color w:val="auto"/>
          <w:sz w:val="24"/>
          <w:szCs w:val="24"/>
          <w:lang w:eastAsia="zh-CN"/>
        </w:rPr>
        <w:t>贵州元烁环境检测技术有限公司</w:t>
      </w:r>
    </w:p>
    <w:p w14:paraId="72D224E6">
      <w:pPr>
        <w:adjustRightInd w:val="0"/>
        <w:snapToGrid w:val="0"/>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2）监测方法</w:t>
      </w:r>
    </w:p>
    <w:p w14:paraId="2082CAC9">
      <w:pPr>
        <w:adjustRightInd w:val="0"/>
        <w:snapToGrid w:val="0"/>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《交流输变电工程电磁环境监测方法》（HJ681-2013）。</w:t>
      </w:r>
    </w:p>
    <w:p w14:paraId="19A1D35E">
      <w:pPr>
        <w:adjustRightInd w:val="0"/>
        <w:snapToGrid w:val="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表4-2  检测分析方法</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3274"/>
        <w:gridCol w:w="1906"/>
        <w:gridCol w:w="944"/>
        <w:gridCol w:w="1155"/>
      </w:tblGrid>
      <w:tr w14:paraId="7768E7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27" w:type="pct"/>
            <w:tcBorders>
              <w:tl2br w:val="nil"/>
              <w:tr2bl w:val="nil"/>
            </w:tcBorders>
            <w:vAlign w:val="center"/>
          </w:tcPr>
          <w:p w14:paraId="7FDB6CD0">
            <w:pPr>
              <w:adjustRightInd w:val="0"/>
              <w:snapToGrid w:val="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检测项目</w:t>
            </w:r>
          </w:p>
        </w:tc>
        <w:tc>
          <w:tcPr>
            <w:tcW w:w="1920" w:type="pct"/>
            <w:tcBorders>
              <w:tl2br w:val="nil"/>
              <w:tr2bl w:val="nil"/>
            </w:tcBorders>
            <w:vAlign w:val="center"/>
          </w:tcPr>
          <w:p w14:paraId="41683170">
            <w:pPr>
              <w:adjustRightInd w:val="0"/>
              <w:snapToGrid w:val="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检测方法依据标准代号</w:t>
            </w:r>
          </w:p>
          <w:p w14:paraId="56676654">
            <w:pPr>
              <w:adjustRightInd w:val="0"/>
              <w:snapToGrid w:val="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及名称</w:t>
            </w:r>
          </w:p>
        </w:tc>
        <w:tc>
          <w:tcPr>
            <w:tcW w:w="1119" w:type="pct"/>
            <w:tcBorders>
              <w:tl2br w:val="nil"/>
              <w:tr2bl w:val="nil"/>
            </w:tcBorders>
            <w:vAlign w:val="center"/>
          </w:tcPr>
          <w:p w14:paraId="62B8EA2F">
            <w:pPr>
              <w:adjustRightInd w:val="0"/>
              <w:snapToGrid w:val="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主要检测仪器设备型号及名称、编号</w:t>
            </w:r>
          </w:p>
        </w:tc>
        <w:tc>
          <w:tcPr>
            <w:tcW w:w="554" w:type="pct"/>
            <w:tcBorders>
              <w:tl2br w:val="nil"/>
              <w:tr2bl w:val="nil"/>
            </w:tcBorders>
            <w:vAlign w:val="center"/>
          </w:tcPr>
          <w:p w14:paraId="24951810">
            <w:pPr>
              <w:adjustRightInd w:val="0"/>
              <w:snapToGrid w:val="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检测</w:t>
            </w:r>
          </w:p>
          <w:p w14:paraId="6F5DF846">
            <w:pPr>
              <w:adjustRightInd w:val="0"/>
              <w:snapToGrid w:val="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人员</w:t>
            </w:r>
          </w:p>
        </w:tc>
        <w:tc>
          <w:tcPr>
            <w:tcW w:w="678" w:type="pct"/>
            <w:tcBorders>
              <w:tl2br w:val="nil"/>
              <w:tr2bl w:val="nil"/>
            </w:tcBorders>
            <w:vAlign w:val="center"/>
          </w:tcPr>
          <w:p w14:paraId="6BC4A292">
            <w:pPr>
              <w:adjustRightInd w:val="0"/>
              <w:snapToGrid w:val="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最低检出限或范围</w:t>
            </w:r>
          </w:p>
        </w:tc>
      </w:tr>
      <w:tr w14:paraId="5F25D6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27" w:type="pct"/>
            <w:tcBorders>
              <w:tl2br w:val="nil"/>
              <w:tr2bl w:val="nil"/>
            </w:tcBorders>
            <w:vAlign w:val="center"/>
          </w:tcPr>
          <w:p w14:paraId="67561D79">
            <w:pPr>
              <w:adjustRightInd w:val="0"/>
              <w:snapToGrid w:val="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工频电场</w:t>
            </w:r>
          </w:p>
        </w:tc>
        <w:tc>
          <w:tcPr>
            <w:tcW w:w="1920" w:type="pct"/>
            <w:vMerge w:val="restart"/>
            <w:tcBorders>
              <w:tl2br w:val="nil"/>
              <w:tr2bl w:val="nil"/>
            </w:tcBorders>
            <w:vAlign w:val="center"/>
          </w:tcPr>
          <w:p w14:paraId="3671FC69">
            <w:pPr>
              <w:pStyle w:val="101"/>
              <w:adjustRightInd w:val="0"/>
              <w:snapToGrid w:val="0"/>
              <w:jc w:val="center"/>
              <w:rPr>
                <w:rFonts w:hint="default" w:ascii="Times New Roman" w:hAnsi="Times New Roman" w:eastAsia="宋体" w:cs="Times New Roman"/>
                <w:color w:val="auto"/>
              </w:rPr>
            </w:pPr>
            <w:r>
              <w:rPr>
                <w:rFonts w:hint="default" w:ascii="Times New Roman" w:hAnsi="Times New Roman" w:eastAsia="宋体" w:cs="Times New Roman"/>
                <w:color w:val="auto"/>
              </w:rPr>
              <w:t>交流输变压工程电磁环境监测方法（试行）HJ681-2013</w:t>
            </w:r>
          </w:p>
        </w:tc>
        <w:tc>
          <w:tcPr>
            <w:tcW w:w="1119" w:type="pct"/>
            <w:vMerge w:val="restart"/>
            <w:tcBorders>
              <w:tl2br w:val="nil"/>
              <w:tr2bl w:val="nil"/>
            </w:tcBorders>
            <w:vAlign w:val="center"/>
          </w:tcPr>
          <w:p w14:paraId="5AC734F1">
            <w:pPr>
              <w:pStyle w:val="101"/>
              <w:adjustRightInd w:val="0"/>
              <w:snapToGrid w:val="0"/>
              <w:jc w:val="center"/>
              <w:rPr>
                <w:rFonts w:hint="default" w:ascii="Times New Roman" w:hAnsi="Times New Roman" w:eastAsia="宋体" w:cs="Times New Roman"/>
                <w:color w:val="auto"/>
              </w:rPr>
            </w:pPr>
            <w:r>
              <w:rPr>
                <w:rFonts w:hint="default" w:ascii="Times New Roman" w:hAnsi="Times New Roman" w:eastAsia="宋体" w:cs="Times New Roman"/>
                <w:color w:val="auto"/>
              </w:rPr>
              <w:t>H-1低频电磁场强测试仪（编号：YS-XC106）</w:t>
            </w:r>
          </w:p>
        </w:tc>
        <w:tc>
          <w:tcPr>
            <w:tcW w:w="554" w:type="pct"/>
            <w:vMerge w:val="restart"/>
            <w:tcBorders>
              <w:tl2br w:val="nil"/>
              <w:tr2bl w:val="nil"/>
            </w:tcBorders>
            <w:vAlign w:val="center"/>
          </w:tcPr>
          <w:p w14:paraId="56A863FA">
            <w:pPr>
              <w:adjustRightInd w:val="0"/>
              <w:snapToGrid w:val="0"/>
              <w:jc w:val="center"/>
              <w:rPr>
                <w:rFonts w:hint="default" w:ascii="Times New Roman" w:hAnsi="Times New Roman" w:eastAsia="宋体" w:cs="Times New Roman"/>
                <w:bCs/>
                <w:color w:val="auto"/>
                <w:szCs w:val="21"/>
                <w:highlight w:val="green"/>
                <w:lang w:eastAsia="zh-CN"/>
              </w:rPr>
            </w:pPr>
            <w:r>
              <w:rPr>
                <w:rFonts w:hint="default" w:ascii="Times New Roman" w:hAnsi="Times New Roman" w:eastAsia="宋体" w:cs="Times New Roman"/>
                <w:bCs/>
                <w:color w:val="auto"/>
                <w:szCs w:val="21"/>
                <w:lang w:val="en-US" w:eastAsia="zh-CN"/>
              </w:rPr>
              <w:t>/</w:t>
            </w:r>
          </w:p>
        </w:tc>
        <w:tc>
          <w:tcPr>
            <w:tcW w:w="678" w:type="pct"/>
            <w:tcBorders>
              <w:tl2br w:val="nil"/>
              <w:tr2bl w:val="nil"/>
            </w:tcBorders>
            <w:vAlign w:val="center"/>
          </w:tcPr>
          <w:p w14:paraId="2A2F9B5F">
            <w:pPr>
              <w:pStyle w:val="101"/>
              <w:adjustRightInd w:val="0"/>
              <w:snapToGrid w:val="0"/>
              <w:jc w:val="center"/>
              <w:rPr>
                <w:rFonts w:hint="default" w:ascii="Times New Roman" w:hAnsi="Times New Roman" w:eastAsia="宋体" w:cs="Times New Roman"/>
                <w:color w:val="auto"/>
                <w:kern w:val="2"/>
                <w:lang w:val="en-US" w:eastAsia="zh-CN"/>
              </w:rPr>
            </w:pPr>
            <w:r>
              <w:rPr>
                <w:rFonts w:hint="default" w:ascii="Times New Roman" w:hAnsi="Times New Roman" w:eastAsia="宋体" w:cs="Times New Roman"/>
                <w:color w:val="auto"/>
                <w:kern w:val="2"/>
                <w:lang w:val="en-US" w:eastAsia="zh-CN"/>
              </w:rPr>
              <w:t>0.01V/m</w:t>
            </w:r>
          </w:p>
        </w:tc>
      </w:tr>
      <w:tr w14:paraId="41CDCD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27" w:type="pct"/>
            <w:tcBorders>
              <w:tl2br w:val="nil"/>
              <w:tr2bl w:val="nil"/>
            </w:tcBorders>
            <w:vAlign w:val="center"/>
          </w:tcPr>
          <w:p w14:paraId="1D460E89">
            <w:pPr>
              <w:adjustRightInd w:val="0"/>
              <w:snapToGrid w:val="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工频磁场</w:t>
            </w:r>
          </w:p>
        </w:tc>
        <w:tc>
          <w:tcPr>
            <w:tcW w:w="1920" w:type="pct"/>
            <w:vMerge w:val="continue"/>
            <w:tcBorders>
              <w:tl2br w:val="nil"/>
              <w:tr2bl w:val="nil"/>
            </w:tcBorders>
            <w:vAlign w:val="center"/>
          </w:tcPr>
          <w:p w14:paraId="1EA2B875">
            <w:pPr>
              <w:pStyle w:val="101"/>
              <w:adjustRightInd w:val="0"/>
              <w:snapToGrid w:val="0"/>
              <w:jc w:val="center"/>
              <w:rPr>
                <w:rFonts w:hint="default" w:ascii="Times New Roman" w:hAnsi="Times New Roman" w:eastAsia="宋体" w:cs="Times New Roman"/>
                <w:color w:val="auto"/>
                <w:kern w:val="2"/>
              </w:rPr>
            </w:pPr>
          </w:p>
        </w:tc>
        <w:tc>
          <w:tcPr>
            <w:tcW w:w="1119" w:type="pct"/>
            <w:vMerge w:val="continue"/>
            <w:tcBorders>
              <w:tl2br w:val="nil"/>
              <w:tr2bl w:val="nil"/>
            </w:tcBorders>
            <w:vAlign w:val="center"/>
          </w:tcPr>
          <w:p w14:paraId="494F7471">
            <w:pPr>
              <w:pStyle w:val="101"/>
              <w:adjustRightInd w:val="0"/>
              <w:snapToGrid w:val="0"/>
              <w:jc w:val="center"/>
              <w:rPr>
                <w:rFonts w:hint="default" w:ascii="Times New Roman" w:hAnsi="Times New Roman" w:eastAsia="宋体" w:cs="Times New Roman"/>
                <w:color w:val="auto"/>
                <w:kern w:val="2"/>
                <w:highlight w:val="green"/>
              </w:rPr>
            </w:pPr>
          </w:p>
        </w:tc>
        <w:tc>
          <w:tcPr>
            <w:tcW w:w="554" w:type="pct"/>
            <w:vMerge w:val="continue"/>
            <w:tcBorders>
              <w:tl2br w:val="nil"/>
              <w:tr2bl w:val="nil"/>
            </w:tcBorders>
            <w:vAlign w:val="center"/>
          </w:tcPr>
          <w:p w14:paraId="7DCC3195">
            <w:pPr>
              <w:adjustRightInd w:val="0"/>
              <w:snapToGrid w:val="0"/>
              <w:jc w:val="center"/>
              <w:rPr>
                <w:rFonts w:hint="default" w:ascii="Times New Roman" w:hAnsi="Times New Roman" w:eastAsia="宋体" w:cs="Times New Roman"/>
                <w:bCs/>
                <w:color w:val="auto"/>
                <w:szCs w:val="21"/>
                <w:highlight w:val="green"/>
              </w:rPr>
            </w:pPr>
          </w:p>
        </w:tc>
        <w:tc>
          <w:tcPr>
            <w:tcW w:w="678" w:type="pct"/>
            <w:tcBorders>
              <w:tl2br w:val="nil"/>
              <w:tr2bl w:val="nil"/>
            </w:tcBorders>
            <w:vAlign w:val="center"/>
          </w:tcPr>
          <w:p w14:paraId="6A5D446B">
            <w:pPr>
              <w:pStyle w:val="101"/>
              <w:adjustRightInd w:val="0"/>
              <w:snapToGrid w:val="0"/>
              <w:jc w:val="center"/>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0.01μT</w:t>
            </w:r>
          </w:p>
        </w:tc>
      </w:tr>
    </w:tbl>
    <w:p w14:paraId="5108D91A">
      <w:pPr>
        <w:adjustRightInd w:val="0"/>
        <w:snapToGrid w:val="0"/>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3）监测仪器</w:t>
      </w:r>
    </w:p>
    <w:p w14:paraId="64289621">
      <w:pPr>
        <w:adjustRightInd w:val="0"/>
        <w:snapToGrid w:val="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表4-3  电磁环境监测仪器一览表</w:t>
      </w:r>
    </w:p>
    <w:tbl>
      <w:tblPr>
        <w:tblStyle w:val="31"/>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507"/>
        <w:gridCol w:w="1192"/>
        <w:gridCol w:w="1681"/>
        <w:gridCol w:w="1862"/>
        <w:gridCol w:w="1277"/>
      </w:tblGrid>
      <w:tr w14:paraId="03560F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1471" w:type="pct"/>
            <w:tcBorders>
              <w:tl2br w:val="nil"/>
              <w:tr2bl w:val="nil"/>
            </w:tcBorders>
            <w:vAlign w:val="center"/>
          </w:tcPr>
          <w:p w14:paraId="29444B53">
            <w:pPr>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仪器</w:t>
            </w:r>
          </w:p>
        </w:tc>
        <w:tc>
          <w:tcPr>
            <w:tcW w:w="699" w:type="pct"/>
            <w:tcBorders>
              <w:tl2br w:val="nil"/>
              <w:tr2bl w:val="nil"/>
            </w:tcBorders>
            <w:vAlign w:val="center"/>
          </w:tcPr>
          <w:p w14:paraId="48B148DC">
            <w:pPr>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型号</w:t>
            </w:r>
          </w:p>
        </w:tc>
        <w:tc>
          <w:tcPr>
            <w:tcW w:w="986" w:type="pct"/>
            <w:tcBorders>
              <w:tl2br w:val="nil"/>
              <w:tr2bl w:val="nil"/>
            </w:tcBorders>
            <w:vAlign w:val="center"/>
          </w:tcPr>
          <w:p w14:paraId="0899DD5C">
            <w:pPr>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校准单位</w:t>
            </w:r>
          </w:p>
        </w:tc>
        <w:tc>
          <w:tcPr>
            <w:tcW w:w="1092" w:type="pct"/>
            <w:tcBorders>
              <w:tl2br w:val="nil"/>
              <w:tr2bl w:val="nil"/>
            </w:tcBorders>
            <w:vAlign w:val="center"/>
          </w:tcPr>
          <w:p w14:paraId="7A09CA53">
            <w:pPr>
              <w:adjustRightInd w:val="0"/>
              <w:snapToGrid w:val="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证书编号</w:t>
            </w:r>
          </w:p>
        </w:tc>
        <w:tc>
          <w:tcPr>
            <w:tcW w:w="749" w:type="pct"/>
            <w:tcBorders>
              <w:tl2br w:val="nil"/>
              <w:tr2bl w:val="nil"/>
            </w:tcBorders>
            <w:vAlign w:val="center"/>
          </w:tcPr>
          <w:p w14:paraId="6E2FCE99">
            <w:pPr>
              <w:adjustRightInd w:val="0"/>
              <w:snapToGrid w:val="0"/>
              <w:jc w:val="center"/>
              <w:rPr>
                <w:rFonts w:hint="default" w:ascii="Times New Roman" w:hAnsi="Times New Roman" w:eastAsia="宋体" w:cs="Times New Roman"/>
                <w:b/>
                <w:bCs/>
                <w:color w:val="auto"/>
                <w:szCs w:val="21"/>
              </w:rPr>
            </w:pPr>
            <w:r>
              <w:rPr>
                <w:rFonts w:hint="eastAsia" w:ascii="Times New Roman" w:hAnsi="Times New Roman" w:cs="Times New Roman"/>
                <w:b/>
                <w:bCs/>
                <w:color w:val="auto"/>
                <w:szCs w:val="21"/>
                <w:lang w:eastAsia="zh-CN"/>
              </w:rPr>
              <w:t>有效期</w:t>
            </w:r>
            <w:r>
              <w:rPr>
                <w:rFonts w:hint="default" w:ascii="Times New Roman" w:hAnsi="Times New Roman" w:eastAsia="宋体" w:cs="Times New Roman"/>
                <w:b/>
                <w:bCs/>
                <w:color w:val="auto"/>
                <w:szCs w:val="21"/>
              </w:rPr>
              <w:t>至</w:t>
            </w:r>
          </w:p>
        </w:tc>
      </w:tr>
      <w:tr w14:paraId="001AC3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71" w:type="pct"/>
            <w:tcBorders>
              <w:tl2br w:val="nil"/>
              <w:tr2bl w:val="nil"/>
            </w:tcBorders>
            <w:shd w:val="clear" w:color="auto" w:fill="auto"/>
            <w:vAlign w:val="center"/>
          </w:tcPr>
          <w:p w14:paraId="11BABBC2">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H-1低频电磁场强测试仪</w:t>
            </w:r>
          </w:p>
        </w:tc>
        <w:tc>
          <w:tcPr>
            <w:tcW w:w="699" w:type="pct"/>
            <w:tcBorders>
              <w:tl2br w:val="nil"/>
              <w:tr2bl w:val="nil"/>
            </w:tcBorders>
            <w:shd w:val="clear" w:color="auto" w:fill="auto"/>
            <w:vAlign w:val="center"/>
          </w:tcPr>
          <w:p w14:paraId="5411002D">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YS-XC106</w:t>
            </w:r>
          </w:p>
        </w:tc>
        <w:tc>
          <w:tcPr>
            <w:tcW w:w="986" w:type="pct"/>
            <w:tcBorders>
              <w:tl2br w:val="nil"/>
              <w:tr2bl w:val="nil"/>
            </w:tcBorders>
            <w:shd w:val="clear" w:color="auto" w:fill="auto"/>
            <w:vAlign w:val="center"/>
          </w:tcPr>
          <w:p w14:paraId="120E744C">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深圳市计量质量检测研究院</w:t>
            </w:r>
          </w:p>
        </w:tc>
        <w:tc>
          <w:tcPr>
            <w:tcW w:w="1092" w:type="pct"/>
            <w:tcBorders>
              <w:tl2br w:val="nil"/>
              <w:tr2bl w:val="nil"/>
            </w:tcBorders>
            <w:shd w:val="clear" w:color="auto" w:fill="auto"/>
            <w:vAlign w:val="center"/>
          </w:tcPr>
          <w:p w14:paraId="546EBB75">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JL250700179</w:t>
            </w:r>
            <w:r>
              <w:rPr>
                <w:rFonts w:hint="default" w:ascii="Times New Roman" w:hAnsi="Times New Roman" w:eastAsia="宋体" w:cs="Times New Roman"/>
                <w:color w:val="auto"/>
                <w:szCs w:val="21"/>
                <w:lang w:val="en-US" w:eastAsia="zh-CN"/>
              </w:rPr>
              <w:t>9</w:t>
            </w:r>
          </w:p>
        </w:tc>
        <w:tc>
          <w:tcPr>
            <w:tcW w:w="749" w:type="pct"/>
            <w:tcBorders>
              <w:tl2br w:val="nil"/>
              <w:tr2bl w:val="nil"/>
            </w:tcBorders>
            <w:shd w:val="clear" w:color="auto" w:fill="auto"/>
            <w:vAlign w:val="center"/>
          </w:tcPr>
          <w:p w14:paraId="4061F62F">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202</w:t>
            </w:r>
            <w:r>
              <w:rPr>
                <w:rFonts w:hint="default" w:ascii="Times New Roman" w:hAnsi="Times New Roman" w:eastAsia="宋体" w:cs="Times New Roman"/>
                <w:color w:val="auto"/>
                <w:szCs w:val="21"/>
                <w:lang w:val="en-US" w:eastAsia="zh-CN"/>
              </w:rPr>
              <w:t>6</w:t>
            </w:r>
            <w:r>
              <w:rPr>
                <w:rFonts w:hint="default" w:ascii="Times New Roman" w:hAnsi="Times New Roman" w:eastAsia="宋体" w:cs="Times New Roman"/>
                <w:color w:val="auto"/>
                <w:szCs w:val="21"/>
              </w:rPr>
              <w:t>-</w:t>
            </w:r>
            <w:r>
              <w:rPr>
                <w:rFonts w:hint="default" w:ascii="Times New Roman" w:hAnsi="Times New Roman" w:eastAsia="宋体" w:cs="Times New Roman"/>
                <w:color w:val="auto"/>
                <w:szCs w:val="21"/>
                <w:lang w:val="en-US" w:eastAsia="zh-CN"/>
              </w:rPr>
              <w:t>7</w:t>
            </w:r>
            <w:r>
              <w:rPr>
                <w:rFonts w:hint="default" w:ascii="Times New Roman" w:hAnsi="Times New Roman" w:eastAsia="宋体" w:cs="Times New Roman"/>
                <w:color w:val="auto"/>
                <w:szCs w:val="21"/>
              </w:rPr>
              <w:t>-</w:t>
            </w:r>
            <w:r>
              <w:rPr>
                <w:rFonts w:hint="default" w:ascii="Times New Roman" w:hAnsi="Times New Roman" w:eastAsia="宋体" w:cs="Times New Roman"/>
                <w:color w:val="auto"/>
                <w:szCs w:val="21"/>
                <w:lang w:val="en-US" w:eastAsia="zh-CN"/>
              </w:rPr>
              <w:t>22</w:t>
            </w:r>
          </w:p>
        </w:tc>
      </w:tr>
    </w:tbl>
    <w:p w14:paraId="6BAB9C56">
      <w:pPr>
        <w:pStyle w:val="4"/>
        <w:adjustRightInd w:val="0"/>
        <w:snapToGrid w:val="0"/>
        <w:spacing w:line="440" w:lineRule="exact"/>
        <w:rPr>
          <w:rFonts w:hint="default" w:ascii="Times New Roman" w:hAnsi="Times New Roman" w:eastAsia="宋体" w:cs="Times New Roman"/>
          <w:color w:val="auto"/>
        </w:rPr>
      </w:pPr>
      <w:bookmarkStart w:id="148" w:name="_Toc20924"/>
      <w:r>
        <w:rPr>
          <w:rFonts w:hint="default" w:ascii="Times New Roman" w:hAnsi="Times New Roman" w:eastAsia="宋体" w:cs="Times New Roman"/>
          <w:color w:val="auto"/>
        </w:rPr>
        <w:t>4.5质量控制</w:t>
      </w:r>
      <w:bookmarkEnd w:id="148"/>
    </w:p>
    <w:p w14:paraId="354EE233">
      <w:pPr>
        <w:keepNext w:val="0"/>
        <w:keepLines w:val="0"/>
        <w:pageBreakBefore w:val="0"/>
        <w:widowControl w:val="0"/>
        <w:kinsoku/>
        <w:wordWrap/>
        <w:overflowPunct w:val="0"/>
        <w:topLinePunct/>
        <w:autoSpaceDE w:val="0"/>
        <w:autoSpaceDN w:val="0"/>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为保证监测结果的准</w:t>
      </w:r>
      <w:r>
        <w:rPr>
          <w:rFonts w:hint="eastAsia" w:ascii="Times New Roman" w:hAnsi="Times New Roman" w:cs="Times New Roman"/>
          <w:color w:val="auto"/>
          <w:sz w:val="24"/>
          <w:szCs w:val="24"/>
          <w:lang w:eastAsia="zh-CN"/>
        </w:rPr>
        <w:t>确性</w:t>
      </w:r>
      <w:r>
        <w:rPr>
          <w:rFonts w:hint="default" w:ascii="Times New Roman" w:hAnsi="Times New Roman" w:eastAsia="宋体" w:cs="Times New Roman"/>
          <w:color w:val="auto"/>
          <w:sz w:val="24"/>
          <w:szCs w:val="24"/>
        </w:rPr>
        <w:t>，本次现状监测采样及样品分析均严格按照《环境监测技术规范》等要求进行，实施全程序质量控制。监测人员经考核并持有合格证书，所有监测仪器经计量部门检定并在有效期内，所有监测数据严格实行三级审核制度。</w:t>
      </w:r>
    </w:p>
    <w:p w14:paraId="0E831581">
      <w:pPr>
        <w:adjustRightInd w:val="0"/>
        <w:snapToGrid w:val="0"/>
        <w:spacing w:before="156" w:beforeLines="50" w:after="156" w:afterLines="50"/>
        <w:outlineLvl w:val="1"/>
        <w:rPr>
          <w:rFonts w:hint="default" w:ascii="Times New Roman" w:hAnsi="Times New Roman" w:eastAsia="宋体" w:cs="Times New Roman"/>
          <w:b/>
          <w:bCs/>
          <w:color w:val="auto"/>
          <w:kern w:val="0"/>
          <w:sz w:val="28"/>
          <w:szCs w:val="28"/>
        </w:rPr>
      </w:pPr>
      <w:r>
        <w:rPr>
          <w:rFonts w:hint="default" w:ascii="Times New Roman" w:hAnsi="Times New Roman" w:eastAsia="宋体" w:cs="Times New Roman"/>
          <w:b/>
          <w:bCs/>
          <w:color w:val="auto"/>
          <w:kern w:val="0"/>
          <w:sz w:val="28"/>
          <w:szCs w:val="28"/>
        </w:rPr>
        <w:t>4.</w:t>
      </w:r>
      <w:r>
        <w:rPr>
          <w:rFonts w:hint="default" w:ascii="Times New Roman" w:hAnsi="Times New Roman" w:eastAsia="宋体" w:cs="Times New Roman"/>
          <w:b/>
          <w:bCs/>
          <w:color w:val="auto"/>
          <w:kern w:val="0"/>
          <w:sz w:val="28"/>
          <w:szCs w:val="28"/>
          <w:lang w:val="en-US" w:eastAsia="zh-CN"/>
        </w:rPr>
        <w:t>6</w:t>
      </w:r>
      <w:r>
        <w:rPr>
          <w:rFonts w:hint="default" w:ascii="Times New Roman" w:hAnsi="Times New Roman" w:eastAsia="宋体" w:cs="Times New Roman"/>
          <w:b/>
          <w:bCs/>
          <w:color w:val="auto"/>
          <w:kern w:val="0"/>
          <w:sz w:val="28"/>
          <w:szCs w:val="28"/>
        </w:rPr>
        <w:t>电磁环境现状监测结果</w:t>
      </w:r>
      <w:bookmarkEnd w:id="144"/>
      <w:bookmarkEnd w:id="145"/>
      <w:bookmarkEnd w:id="146"/>
    </w:p>
    <w:p w14:paraId="485938F3">
      <w:pPr>
        <w:adjustRightInd w:val="0"/>
        <w:snapToGrid w:val="0"/>
        <w:spacing w:line="360" w:lineRule="auto"/>
        <w:ind w:firstLine="482" w:firstLineChars="200"/>
        <w:rPr>
          <w:rFonts w:hint="eastAsia" w:ascii="Times New Roman" w:hAnsi="Times New Roman" w:eastAsia="宋体" w:cs="Times New Roman"/>
          <w:b/>
          <w:bCs/>
          <w:color w:val="auto"/>
          <w:kern w:val="0"/>
          <w:sz w:val="24"/>
          <w:lang w:eastAsia="zh-CN"/>
        </w:rPr>
      </w:pPr>
      <w:r>
        <w:rPr>
          <w:rFonts w:hint="eastAsia" w:ascii="Times New Roman" w:hAnsi="Times New Roman" w:cs="Times New Roman"/>
          <w:b/>
          <w:bCs/>
          <w:color w:val="auto"/>
          <w:kern w:val="0"/>
          <w:sz w:val="24"/>
          <w:lang w:eastAsia="zh-CN"/>
        </w:rPr>
        <w:t>（</w:t>
      </w:r>
      <w:r>
        <w:rPr>
          <w:rFonts w:hint="eastAsia" w:ascii="Times New Roman" w:hAnsi="Times New Roman" w:cs="Times New Roman"/>
          <w:b/>
          <w:bCs/>
          <w:color w:val="auto"/>
          <w:kern w:val="0"/>
          <w:sz w:val="24"/>
          <w:lang w:val="en-US" w:eastAsia="zh-CN"/>
        </w:rPr>
        <w:t>1</w:t>
      </w:r>
      <w:r>
        <w:rPr>
          <w:rFonts w:hint="eastAsia" w:ascii="Times New Roman" w:hAnsi="Times New Roman" w:cs="Times New Roman"/>
          <w:b/>
          <w:bCs/>
          <w:color w:val="auto"/>
          <w:kern w:val="0"/>
          <w:sz w:val="24"/>
          <w:lang w:eastAsia="zh-CN"/>
        </w:rPr>
        <w:t>）</w:t>
      </w:r>
      <w:r>
        <w:rPr>
          <w:rFonts w:hint="eastAsia" w:ascii="Times New Roman" w:hAnsi="Times New Roman" w:cs="Times New Roman"/>
          <w:b/>
          <w:bCs/>
          <w:color w:val="auto"/>
          <w:kern w:val="0"/>
          <w:sz w:val="24"/>
          <w:lang w:val="en-US" w:eastAsia="zh-CN"/>
        </w:rPr>
        <w:t>本次监测结果分析</w:t>
      </w:r>
    </w:p>
    <w:p w14:paraId="0B81D57E">
      <w:pPr>
        <w:adjustRightInd w:val="0"/>
        <w:snapToGrid w:val="0"/>
        <w:spacing w:line="360" w:lineRule="auto"/>
        <w:ind w:firstLine="480" w:firstLineChars="200"/>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rPr>
        <w:t>为了解项目区的电磁环境状况，本次评价委托贵州元烁环境检测技术有限公司于202</w:t>
      </w:r>
      <w:r>
        <w:rPr>
          <w:rFonts w:hint="default" w:ascii="Times New Roman" w:hAnsi="Times New Roman" w:eastAsia="宋体" w:cs="Times New Roman"/>
          <w:color w:val="auto"/>
          <w:kern w:val="0"/>
          <w:sz w:val="24"/>
          <w:lang w:val="en-US" w:eastAsia="zh-CN"/>
        </w:rPr>
        <w:t>6</w:t>
      </w:r>
      <w:r>
        <w:rPr>
          <w:rFonts w:hint="default" w:ascii="Times New Roman" w:hAnsi="Times New Roman" w:eastAsia="宋体" w:cs="Times New Roman"/>
          <w:color w:val="auto"/>
          <w:kern w:val="0"/>
          <w:sz w:val="24"/>
        </w:rPr>
        <w:t>年</w:t>
      </w:r>
      <w:r>
        <w:rPr>
          <w:rFonts w:hint="default" w:ascii="Times New Roman" w:hAnsi="Times New Roman" w:eastAsia="宋体" w:cs="Times New Roman"/>
          <w:color w:val="auto"/>
          <w:kern w:val="0"/>
          <w:sz w:val="24"/>
          <w:lang w:val="en-US" w:eastAsia="zh-CN"/>
        </w:rPr>
        <w:t>6</w:t>
      </w:r>
      <w:r>
        <w:rPr>
          <w:rFonts w:hint="default" w:ascii="Times New Roman" w:hAnsi="Times New Roman" w:eastAsia="宋体" w:cs="Times New Roman"/>
          <w:color w:val="auto"/>
          <w:kern w:val="0"/>
          <w:sz w:val="24"/>
        </w:rPr>
        <w:t>月</w:t>
      </w:r>
      <w:r>
        <w:rPr>
          <w:rFonts w:hint="default" w:ascii="Times New Roman" w:hAnsi="Times New Roman" w:eastAsia="宋体" w:cs="Times New Roman"/>
          <w:color w:val="auto"/>
          <w:kern w:val="0"/>
          <w:sz w:val="24"/>
          <w:lang w:val="en-US" w:eastAsia="zh-CN"/>
        </w:rPr>
        <w:t>2</w:t>
      </w:r>
      <w:r>
        <w:rPr>
          <w:rFonts w:hint="default" w:ascii="Times New Roman" w:hAnsi="Times New Roman" w:eastAsia="宋体" w:cs="Times New Roman"/>
          <w:color w:val="auto"/>
          <w:kern w:val="0"/>
          <w:sz w:val="24"/>
        </w:rPr>
        <w:t>日对</w:t>
      </w:r>
      <w:r>
        <w:rPr>
          <w:rFonts w:hint="default" w:ascii="Times New Roman" w:hAnsi="Times New Roman" w:eastAsia="宋体" w:cs="Times New Roman"/>
          <w:color w:val="auto"/>
          <w:kern w:val="0"/>
          <w:sz w:val="24"/>
          <w:lang w:val="en-US" w:eastAsia="zh-CN"/>
        </w:rPr>
        <w:t>环境敏感点</w:t>
      </w:r>
      <w:r>
        <w:rPr>
          <w:rFonts w:hint="default" w:ascii="Times New Roman" w:hAnsi="Times New Roman" w:eastAsia="宋体" w:cs="Times New Roman"/>
          <w:color w:val="auto"/>
          <w:kern w:val="0"/>
          <w:sz w:val="24"/>
        </w:rPr>
        <w:t>的电磁环境进行了现状监测，具体电磁环境监测结果详见表4-2。</w:t>
      </w:r>
    </w:p>
    <w:p w14:paraId="0EE7E71E">
      <w:pPr>
        <w:pStyle w:val="28"/>
        <w:adjustRightInd w:val="0"/>
        <w:spacing w:before="0" w:after="0"/>
        <w:ind w:right="0"/>
        <w:jc w:val="center"/>
        <w:rPr>
          <w:rFonts w:hint="default" w:ascii="Times New Roman" w:hAnsi="Times New Roman" w:eastAsia="宋体" w:cs="Times New Roman"/>
          <w:b/>
          <w:bCs/>
          <w:color w:val="auto"/>
          <w:sz w:val="24"/>
          <w:szCs w:val="24"/>
        </w:rPr>
      </w:pPr>
      <w:bookmarkStart w:id="149" w:name="_Toc17372"/>
      <w:bookmarkStart w:id="150" w:name="_Toc5992"/>
      <w:bookmarkStart w:id="151" w:name="_Toc6931"/>
      <w:r>
        <w:rPr>
          <w:rFonts w:hint="default" w:ascii="Times New Roman" w:hAnsi="Times New Roman" w:eastAsia="宋体" w:cs="Times New Roman"/>
          <w:b/>
          <w:bCs/>
          <w:color w:val="auto"/>
          <w:sz w:val="24"/>
          <w:szCs w:val="24"/>
        </w:rPr>
        <w:t>表4</w:t>
      </w:r>
      <w:r>
        <w:rPr>
          <w:rFonts w:hint="default" w:ascii="Times New Roman" w:hAnsi="Times New Roman" w:eastAsia="宋体" w:cs="Times New Roman"/>
          <w:b/>
          <w:bCs/>
          <w:color w:val="auto"/>
          <w:sz w:val="24"/>
          <w:szCs w:val="24"/>
        </w:rPr>
        <w:noBreakHyphen/>
      </w:r>
      <w:r>
        <w:rPr>
          <w:rFonts w:hint="default" w:ascii="Times New Roman" w:hAnsi="Times New Roman" w:eastAsia="宋体" w:cs="Times New Roman"/>
          <w:b/>
          <w:bCs/>
          <w:color w:val="auto"/>
          <w:sz w:val="24"/>
          <w:szCs w:val="24"/>
        </w:rPr>
        <w:t>2 电磁环境质量现状监测结果</w:t>
      </w:r>
      <w:bookmarkEnd w:id="149"/>
      <w:bookmarkEnd w:id="150"/>
      <w:bookmarkEnd w:id="151"/>
    </w:p>
    <w:tbl>
      <w:tblPr>
        <w:tblStyle w:val="91"/>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884"/>
        <w:gridCol w:w="945"/>
        <w:gridCol w:w="1045"/>
        <w:gridCol w:w="1086"/>
        <w:gridCol w:w="1075"/>
        <w:gridCol w:w="932"/>
        <w:gridCol w:w="668"/>
        <w:gridCol w:w="963"/>
        <w:gridCol w:w="705"/>
      </w:tblGrid>
      <w:tr w14:paraId="4173E34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restart"/>
            <w:tcBorders>
              <w:tl2br w:val="nil"/>
              <w:tr2bl w:val="nil"/>
            </w:tcBorders>
            <w:vAlign w:val="center"/>
          </w:tcPr>
          <w:p w14:paraId="7B042AA2">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7"/>
                <w:sz w:val="21"/>
                <w:szCs w:val="21"/>
              </w:rPr>
              <w:t>检测点位</w:t>
            </w:r>
          </w:p>
        </w:tc>
        <w:tc>
          <w:tcPr>
            <w:tcW w:w="1198" w:type="pct"/>
            <w:gridSpan w:val="2"/>
            <w:vMerge w:val="restart"/>
            <w:tcBorders>
              <w:tl2br w:val="nil"/>
              <w:tr2bl w:val="nil"/>
            </w:tcBorders>
            <w:vAlign w:val="center"/>
          </w:tcPr>
          <w:p w14:paraId="72A8C824">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7"/>
                <w:sz w:val="21"/>
                <w:szCs w:val="21"/>
              </w:rPr>
              <w:t>检测时间/次数</w:t>
            </w:r>
          </w:p>
        </w:tc>
        <w:tc>
          <w:tcPr>
            <w:tcW w:w="1301" w:type="pct"/>
            <w:gridSpan w:val="2"/>
            <w:tcBorders>
              <w:tl2br w:val="nil"/>
              <w:tr2bl w:val="nil"/>
            </w:tcBorders>
            <w:vAlign w:val="center"/>
          </w:tcPr>
          <w:p w14:paraId="15E55D00">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7"/>
                <w:sz w:val="21"/>
                <w:szCs w:val="21"/>
              </w:rPr>
              <w:t>检测结果</w:t>
            </w:r>
          </w:p>
        </w:tc>
        <w:tc>
          <w:tcPr>
            <w:tcW w:w="1967" w:type="pct"/>
            <w:gridSpan w:val="4"/>
            <w:tcBorders>
              <w:tl2br w:val="nil"/>
              <w:tr2bl w:val="nil"/>
            </w:tcBorders>
            <w:vAlign w:val="center"/>
          </w:tcPr>
          <w:p w14:paraId="206B0D68">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7"/>
                <w:sz w:val="21"/>
                <w:szCs w:val="21"/>
              </w:rPr>
              <w:t>标准限值/评价结果</w:t>
            </w:r>
          </w:p>
        </w:tc>
      </w:tr>
      <w:tr w14:paraId="5696E3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0AFF683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p>
        </w:tc>
        <w:tc>
          <w:tcPr>
            <w:tcW w:w="1198" w:type="pct"/>
            <w:gridSpan w:val="2"/>
            <w:vMerge w:val="continue"/>
            <w:tcBorders>
              <w:tl2br w:val="nil"/>
              <w:tr2bl w:val="nil"/>
            </w:tcBorders>
            <w:vAlign w:val="center"/>
          </w:tcPr>
          <w:p w14:paraId="4072A25C">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p>
        </w:tc>
        <w:tc>
          <w:tcPr>
            <w:tcW w:w="654" w:type="pct"/>
            <w:tcBorders>
              <w:tl2br w:val="nil"/>
              <w:tr2bl w:val="nil"/>
            </w:tcBorders>
            <w:vAlign w:val="center"/>
          </w:tcPr>
          <w:p w14:paraId="59E1DF06">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6"/>
                <w:sz w:val="21"/>
                <w:szCs w:val="21"/>
              </w:rPr>
              <w:t>工频电场</w:t>
            </w:r>
            <w:r>
              <w:rPr>
                <w:rFonts w:hint="default" w:ascii="Times New Roman" w:hAnsi="Times New Roman" w:eastAsia="宋体" w:cs="Times New Roman"/>
                <w:b/>
                <w:bCs/>
                <w:color w:val="auto"/>
                <w:spacing w:val="1"/>
                <w:sz w:val="21"/>
                <w:szCs w:val="21"/>
              </w:rPr>
              <w:t>（V/m）</w:t>
            </w:r>
          </w:p>
        </w:tc>
        <w:tc>
          <w:tcPr>
            <w:tcW w:w="647" w:type="pct"/>
            <w:tcBorders>
              <w:tl2br w:val="nil"/>
              <w:tr2bl w:val="nil"/>
            </w:tcBorders>
            <w:vAlign w:val="center"/>
          </w:tcPr>
          <w:p w14:paraId="3596E7E7">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6"/>
                <w:sz w:val="21"/>
                <w:szCs w:val="21"/>
              </w:rPr>
              <w:t>工频磁场</w:t>
            </w:r>
            <w:r>
              <w:rPr>
                <w:rFonts w:hint="default" w:ascii="Times New Roman" w:hAnsi="Times New Roman" w:eastAsia="宋体" w:cs="Times New Roman"/>
                <w:b/>
                <w:bCs/>
                <w:color w:val="auto"/>
                <w:spacing w:val="6"/>
                <w:sz w:val="21"/>
                <w:szCs w:val="21"/>
                <w:lang w:eastAsia="zh-CN"/>
              </w:rPr>
              <w:t>（</w:t>
            </w:r>
            <w:r>
              <w:rPr>
                <w:rFonts w:hint="default" w:ascii="Times New Roman" w:hAnsi="Times New Roman" w:eastAsia="宋体" w:cs="Times New Roman"/>
                <w:b/>
                <w:bCs/>
                <w:color w:val="auto"/>
                <w:sz w:val="21"/>
                <w:szCs w:val="21"/>
              </w:rPr>
              <w:t>μT）</w:t>
            </w:r>
          </w:p>
        </w:tc>
        <w:tc>
          <w:tcPr>
            <w:tcW w:w="561" w:type="pct"/>
            <w:tcBorders>
              <w:tl2br w:val="nil"/>
              <w:tr2bl w:val="nil"/>
            </w:tcBorders>
            <w:vAlign w:val="center"/>
          </w:tcPr>
          <w:p w14:paraId="6755DD23">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6"/>
                <w:sz w:val="21"/>
                <w:szCs w:val="21"/>
              </w:rPr>
              <w:t>工频电场</w:t>
            </w:r>
            <w:r>
              <w:rPr>
                <w:rFonts w:hint="default" w:ascii="Times New Roman" w:hAnsi="Times New Roman" w:eastAsia="宋体" w:cs="Times New Roman"/>
                <w:b/>
                <w:bCs/>
                <w:color w:val="auto"/>
                <w:spacing w:val="1"/>
                <w:sz w:val="21"/>
                <w:szCs w:val="21"/>
              </w:rPr>
              <w:t>（V/m）</w:t>
            </w:r>
          </w:p>
        </w:tc>
        <w:tc>
          <w:tcPr>
            <w:tcW w:w="402" w:type="pct"/>
            <w:tcBorders>
              <w:tl2br w:val="nil"/>
              <w:tr2bl w:val="nil"/>
            </w:tcBorders>
            <w:vAlign w:val="center"/>
          </w:tcPr>
          <w:p w14:paraId="6A252FA7">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5"/>
                <w:sz w:val="21"/>
                <w:szCs w:val="21"/>
              </w:rPr>
              <w:t>评价</w:t>
            </w:r>
            <w:r>
              <w:rPr>
                <w:rFonts w:hint="default" w:ascii="Times New Roman" w:hAnsi="Times New Roman" w:eastAsia="宋体" w:cs="Times New Roman"/>
                <w:b/>
                <w:bCs/>
                <w:color w:val="auto"/>
                <w:spacing w:val="2"/>
                <w:sz w:val="21"/>
                <w:szCs w:val="21"/>
              </w:rPr>
              <w:t>结果</w:t>
            </w:r>
          </w:p>
        </w:tc>
        <w:tc>
          <w:tcPr>
            <w:tcW w:w="580" w:type="pct"/>
            <w:tcBorders>
              <w:tl2br w:val="nil"/>
              <w:tr2bl w:val="nil"/>
            </w:tcBorders>
            <w:vAlign w:val="center"/>
          </w:tcPr>
          <w:p w14:paraId="09FB79AB">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6"/>
                <w:sz w:val="21"/>
                <w:szCs w:val="21"/>
              </w:rPr>
              <w:t>工频磁场</w:t>
            </w:r>
            <w:r>
              <w:rPr>
                <w:rFonts w:hint="default" w:ascii="Times New Roman" w:hAnsi="Times New Roman" w:eastAsia="宋体" w:cs="Times New Roman"/>
                <w:b/>
                <w:bCs/>
                <w:color w:val="auto"/>
                <w:spacing w:val="6"/>
                <w:sz w:val="21"/>
                <w:szCs w:val="21"/>
                <w:lang w:eastAsia="zh-CN"/>
              </w:rPr>
              <w:t>（</w:t>
            </w:r>
            <w:r>
              <w:rPr>
                <w:rFonts w:hint="default" w:ascii="Times New Roman" w:hAnsi="Times New Roman" w:eastAsia="宋体" w:cs="Times New Roman"/>
                <w:b/>
                <w:bCs/>
                <w:color w:val="auto"/>
                <w:sz w:val="21"/>
                <w:szCs w:val="21"/>
              </w:rPr>
              <w:t>μT）</w:t>
            </w:r>
          </w:p>
        </w:tc>
        <w:tc>
          <w:tcPr>
            <w:tcW w:w="423" w:type="pct"/>
            <w:tcBorders>
              <w:tl2br w:val="nil"/>
              <w:tr2bl w:val="nil"/>
            </w:tcBorders>
            <w:vAlign w:val="center"/>
          </w:tcPr>
          <w:p w14:paraId="3E03F273">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5"/>
                <w:sz w:val="21"/>
                <w:szCs w:val="21"/>
              </w:rPr>
              <w:t>评价</w:t>
            </w:r>
            <w:r>
              <w:rPr>
                <w:rFonts w:hint="default" w:ascii="Times New Roman" w:hAnsi="Times New Roman" w:eastAsia="宋体" w:cs="Times New Roman"/>
                <w:b/>
                <w:bCs/>
                <w:color w:val="auto"/>
                <w:spacing w:val="2"/>
                <w:sz w:val="21"/>
                <w:szCs w:val="21"/>
              </w:rPr>
              <w:t>结果</w:t>
            </w:r>
          </w:p>
        </w:tc>
      </w:tr>
      <w:tr w14:paraId="6F2208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928" w:type="dxa"/>
            <w:vMerge w:val="restart"/>
            <w:tcBorders>
              <w:tl2br w:val="nil"/>
              <w:tr2bl w:val="nil"/>
            </w:tcBorders>
            <w:vAlign w:val="center"/>
          </w:tcPr>
          <w:p w14:paraId="2D6F5B64">
            <w:pPr>
              <w:autoSpaceDE w:val="0"/>
              <w:autoSpaceDN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rPr>
              <w:t>N10~N11间左侧29m处石碓窝居民</w:t>
            </w:r>
          </w:p>
        </w:tc>
        <w:tc>
          <w:tcPr>
            <w:tcW w:w="569" w:type="pct"/>
            <w:vMerge w:val="restart"/>
            <w:tcBorders>
              <w:tl2br w:val="nil"/>
              <w:tr2bl w:val="nil"/>
            </w:tcBorders>
            <w:vAlign w:val="center"/>
          </w:tcPr>
          <w:p w14:paraId="222EE0F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202</w:t>
            </w:r>
            <w:r>
              <w:rPr>
                <w:rFonts w:hint="default" w:ascii="Times New Roman" w:hAnsi="Times New Roman" w:eastAsia="宋体" w:cs="Times New Roman"/>
                <w:color w:val="auto"/>
                <w:szCs w:val="21"/>
                <w:lang w:val="en-US" w:eastAsia="zh-CN"/>
              </w:rPr>
              <w:t>6</w:t>
            </w:r>
            <w:r>
              <w:rPr>
                <w:rFonts w:hint="default" w:ascii="Times New Roman" w:hAnsi="Times New Roman" w:eastAsia="宋体" w:cs="Times New Roman"/>
                <w:color w:val="auto"/>
                <w:szCs w:val="21"/>
              </w:rPr>
              <w:t>-</w:t>
            </w:r>
            <w:r>
              <w:rPr>
                <w:rFonts w:hint="default" w:ascii="Times New Roman" w:hAnsi="Times New Roman" w:eastAsia="宋体" w:cs="Times New Roman"/>
                <w:color w:val="auto"/>
                <w:szCs w:val="21"/>
                <w:lang w:val="en-US" w:eastAsia="zh-CN"/>
              </w:rPr>
              <w:t>6</w:t>
            </w:r>
            <w:r>
              <w:rPr>
                <w:rFonts w:hint="default" w:ascii="Times New Roman" w:hAnsi="Times New Roman" w:eastAsia="宋体" w:cs="Times New Roman"/>
                <w:color w:val="auto"/>
                <w:szCs w:val="21"/>
              </w:rPr>
              <w:t>-2</w:t>
            </w:r>
          </w:p>
        </w:tc>
        <w:tc>
          <w:tcPr>
            <w:tcW w:w="628" w:type="pct"/>
            <w:tcBorders>
              <w:tl2br w:val="nil"/>
              <w:tr2bl w:val="nil"/>
            </w:tcBorders>
            <w:vAlign w:val="center"/>
          </w:tcPr>
          <w:p w14:paraId="27059DD0">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6"/>
                <w:sz w:val="21"/>
                <w:szCs w:val="21"/>
              </w:rPr>
            </w:pPr>
            <w:r>
              <w:rPr>
                <w:rFonts w:hint="default" w:ascii="Times New Roman" w:hAnsi="Times New Roman" w:eastAsia="宋体" w:cs="Times New Roman"/>
                <w:color w:val="auto"/>
                <w:spacing w:val="6"/>
                <w:sz w:val="21"/>
                <w:szCs w:val="21"/>
              </w:rPr>
              <w:t>第一次</w:t>
            </w:r>
          </w:p>
          <w:p w14:paraId="09F1BBB4">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1141" w:type="dxa"/>
            <w:tcBorders>
              <w:tl2br w:val="nil"/>
              <w:tr2bl w:val="nil"/>
            </w:tcBorders>
            <w:shd w:val="clear" w:color="auto" w:fill="auto"/>
            <w:vAlign w:val="center"/>
          </w:tcPr>
          <w:p w14:paraId="0CAA175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14.48</w:t>
            </w:r>
          </w:p>
        </w:tc>
        <w:tc>
          <w:tcPr>
            <w:tcW w:w="1130" w:type="dxa"/>
            <w:tcBorders>
              <w:tl2br w:val="nil"/>
              <w:tr2bl w:val="nil"/>
            </w:tcBorders>
            <w:shd w:val="clear" w:color="auto" w:fill="auto"/>
            <w:vAlign w:val="center"/>
          </w:tcPr>
          <w:p w14:paraId="54E7B8AA">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0.06</w:t>
            </w:r>
          </w:p>
        </w:tc>
        <w:tc>
          <w:tcPr>
            <w:tcW w:w="561" w:type="pct"/>
            <w:vMerge w:val="restart"/>
            <w:tcBorders>
              <w:tl2br w:val="nil"/>
              <w:tr2bl w:val="nil"/>
            </w:tcBorders>
            <w:vAlign w:val="center"/>
          </w:tcPr>
          <w:p w14:paraId="0EA6F6A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4000</w:t>
            </w:r>
          </w:p>
        </w:tc>
        <w:tc>
          <w:tcPr>
            <w:tcW w:w="402" w:type="pct"/>
            <w:tcBorders>
              <w:tl2br w:val="nil"/>
              <w:tr2bl w:val="nil"/>
            </w:tcBorders>
            <w:vAlign w:val="center"/>
          </w:tcPr>
          <w:p w14:paraId="5725C2F9">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restart"/>
            <w:tcBorders>
              <w:tl2br w:val="nil"/>
              <w:tr2bl w:val="nil"/>
            </w:tcBorders>
            <w:vAlign w:val="center"/>
          </w:tcPr>
          <w:p w14:paraId="0457A8B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100</w:t>
            </w:r>
          </w:p>
        </w:tc>
        <w:tc>
          <w:tcPr>
            <w:tcW w:w="423" w:type="pct"/>
            <w:tcBorders>
              <w:tl2br w:val="nil"/>
              <w:tr2bl w:val="nil"/>
            </w:tcBorders>
            <w:vAlign w:val="center"/>
          </w:tcPr>
          <w:p w14:paraId="685B2124">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3573A2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04AA7BE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243C463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2C24628F">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6"/>
                <w:sz w:val="21"/>
                <w:szCs w:val="21"/>
              </w:rPr>
            </w:pPr>
            <w:r>
              <w:rPr>
                <w:rFonts w:hint="default" w:ascii="Times New Roman" w:hAnsi="Times New Roman" w:eastAsia="宋体" w:cs="Times New Roman"/>
                <w:color w:val="auto"/>
                <w:spacing w:val="6"/>
                <w:sz w:val="21"/>
                <w:szCs w:val="21"/>
              </w:rPr>
              <w:t>第二次</w:t>
            </w:r>
          </w:p>
          <w:p w14:paraId="06541BA0">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1141" w:type="dxa"/>
            <w:tcBorders>
              <w:tl2br w:val="nil"/>
              <w:tr2bl w:val="nil"/>
            </w:tcBorders>
            <w:shd w:val="clear" w:color="auto" w:fill="auto"/>
            <w:vAlign w:val="center"/>
          </w:tcPr>
          <w:p w14:paraId="27E5BEC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13.34</w:t>
            </w:r>
          </w:p>
        </w:tc>
        <w:tc>
          <w:tcPr>
            <w:tcW w:w="1130" w:type="dxa"/>
            <w:tcBorders>
              <w:tl2br w:val="nil"/>
              <w:tr2bl w:val="nil"/>
            </w:tcBorders>
            <w:shd w:val="clear" w:color="auto" w:fill="auto"/>
            <w:vAlign w:val="center"/>
          </w:tcPr>
          <w:p w14:paraId="701C3A25">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0.06</w:t>
            </w:r>
          </w:p>
        </w:tc>
        <w:tc>
          <w:tcPr>
            <w:tcW w:w="561" w:type="pct"/>
            <w:vMerge w:val="continue"/>
            <w:tcBorders>
              <w:tl2br w:val="nil"/>
              <w:tr2bl w:val="nil"/>
            </w:tcBorders>
            <w:vAlign w:val="center"/>
          </w:tcPr>
          <w:p w14:paraId="475BECB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76384E8E">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3588F98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01179EA6">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5D9ABE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0" w:hRule="atLeast"/>
        </w:trPr>
        <w:tc>
          <w:tcPr>
            <w:tcW w:w="532" w:type="pct"/>
            <w:vMerge w:val="continue"/>
            <w:tcBorders>
              <w:tl2br w:val="nil"/>
              <w:tr2bl w:val="nil"/>
            </w:tcBorders>
            <w:vAlign w:val="center"/>
          </w:tcPr>
          <w:p w14:paraId="3233228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2DA48FF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250818AE">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6"/>
                <w:sz w:val="21"/>
                <w:szCs w:val="21"/>
              </w:rPr>
            </w:pPr>
            <w:r>
              <w:rPr>
                <w:rFonts w:hint="default" w:ascii="Times New Roman" w:hAnsi="Times New Roman" w:eastAsia="宋体" w:cs="Times New Roman"/>
                <w:color w:val="auto"/>
                <w:spacing w:val="6"/>
                <w:sz w:val="21"/>
                <w:szCs w:val="21"/>
              </w:rPr>
              <w:t>第三次</w:t>
            </w:r>
          </w:p>
          <w:p w14:paraId="4D477DC5">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1141" w:type="dxa"/>
            <w:tcBorders>
              <w:tl2br w:val="nil"/>
              <w:tr2bl w:val="nil"/>
            </w:tcBorders>
            <w:shd w:val="clear" w:color="auto" w:fill="auto"/>
            <w:vAlign w:val="center"/>
          </w:tcPr>
          <w:p w14:paraId="16561CA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17.5</w:t>
            </w:r>
          </w:p>
        </w:tc>
        <w:tc>
          <w:tcPr>
            <w:tcW w:w="1130" w:type="dxa"/>
            <w:tcBorders>
              <w:tl2br w:val="nil"/>
              <w:tr2bl w:val="nil"/>
            </w:tcBorders>
            <w:shd w:val="clear" w:color="auto" w:fill="auto"/>
            <w:vAlign w:val="center"/>
          </w:tcPr>
          <w:p w14:paraId="4611904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0.09</w:t>
            </w:r>
          </w:p>
        </w:tc>
        <w:tc>
          <w:tcPr>
            <w:tcW w:w="561" w:type="pct"/>
            <w:vMerge w:val="continue"/>
            <w:tcBorders>
              <w:tl2br w:val="nil"/>
              <w:tr2bl w:val="nil"/>
            </w:tcBorders>
            <w:vAlign w:val="center"/>
          </w:tcPr>
          <w:p w14:paraId="596848AD">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2E813F32">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6C763CE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1D7DC145">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0F4991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37784B9A">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4367E47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1F88D499">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第四次</w:t>
            </w:r>
          </w:p>
          <w:p w14:paraId="4C278075">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1141" w:type="dxa"/>
            <w:tcBorders>
              <w:tl2br w:val="nil"/>
              <w:tr2bl w:val="nil"/>
            </w:tcBorders>
            <w:shd w:val="clear" w:color="auto" w:fill="auto"/>
            <w:vAlign w:val="center"/>
          </w:tcPr>
          <w:p w14:paraId="3209002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14.35</w:t>
            </w:r>
          </w:p>
        </w:tc>
        <w:tc>
          <w:tcPr>
            <w:tcW w:w="1130" w:type="dxa"/>
            <w:tcBorders>
              <w:tl2br w:val="nil"/>
              <w:tr2bl w:val="nil"/>
            </w:tcBorders>
            <w:shd w:val="clear" w:color="auto" w:fill="auto"/>
            <w:vAlign w:val="center"/>
          </w:tcPr>
          <w:p w14:paraId="3623524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0.06</w:t>
            </w:r>
          </w:p>
        </w:tc>
        <w:tc>
          <w:tcPr>
            <w:tcW w:w="561" w:type="pct"/>
            <w:vMerge w:val="continue"/>
            <w:tcBorders>
              <w:tl2br w:val="nil"/>
              <w:tr2bl w:val="nil"/>
            </w:tcBorders>
            <w:vAlign w:val="center"/>
          </w:tcPr>
          <w:p w14:paraId="3C6141B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0D1BA033">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0D13229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5FE6F7BC">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2EE87A3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735A678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467644F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04AEF193">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第五次</w:t>
            </w:r>
          </w:p>
          <w:p w14:paraId="60BF599F">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1141" w:type="dxa"/>
            <w:tcBorders>
              <w:tl2br w:val="nil"/>
              <w:tr2bl w:val="nil"/>
            </w:tcBorders>
            <w:shd w:val="clear" w:color="auto" w:fill="auto"/>
            <w:vAlign w:val="center"/>
          </w:tcPr>
          <w:p w14:paraId="63E07C7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18.9</w:t>
            </w:r>
          </w:p>
        </w:tc>
        <w:tc>
          <w:tcPr>
            <w:tcW w:w="1130" w:type="dxa"/>
            <w:tcBorders>
              <w:tl2br w:val="nil"/>
              <w:tr2bl w:val="nil"/>
            </w:tcBorders>
            <w:shd w:val="clear" w:color="auto" w:fill="auto"/>
            <w:vAlign w:val="center"/>
          </w:tcPr>
          <w:p w14:paraId="2F5FA74C">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0.07</w:t>
            </w:r>
          </w:p>
        </w:tc>
        <w:tc>
          <w:tcPr>
            <w:tcW w:w="561" w:type="pct"/>
            <w:vMerge w:val="continue"/>
            <w:tcBorders>
              <w:tl2br w:val="nil"/>
              <w:tr2bl w:val="nil"/>
            </w:tcBorders>
            <w:vAlign w:val="center"/>
          </w:tcPr>
          <w:p w14:paraId="2644A94D">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24ABBC80">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72C4464C">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05FF9EFC">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7DC7862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785D9C8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02D14F3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76FB0A83">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7"/>
                <w:sz w:val="21"/>
                <w:szCs w:val="21"/>
              </w:rPr>
              <w:t>平均值</w:t>
            </w:r>
          </w:p>
        </w:tc>
        <w:tc>
          <w:tcPr>
            <w:tcW w:w="1141" w:type="dxa"/>
            <w:tcBorders>
              <w:tl2br w:val="nil"/>
              <w:tr2bl w:val="nil"/>
            </w:tcBorders>
            <w:shd w:val="clear" w:color="auto" w:fill="auto"/>
            <w:vAlign w:val="center"/>
          </w:tcPr>
          <w:p w14:paraId="01EAD17D">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15.71</w:t>
            </w:r>
          </w:p>
        </w:tc>
        <w:tc>
          <w:tcPr>
            <w:tcW w:w="1130" w:type="dxa"/>
            <w:tcBorders>
              <w:tl2br w:val="nil"/>
              <w:tr2bl w:val="nil"/>
            </w:tcBorders>
            <w:shd w:val="clear" w:color="auto" w:fill="auto"/>
            <w:vAlign w:val="center"/>
          </w:tcPr>
          <w:p w14:paraId="04CA3A6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0.07</w:t>
            </w:r>
          </w:p>
        </w:tc>
        <w:tc>
          <w:tcPr>
            <w:tcW w:w="561" w:type="pct"/>
            <w:vMerge w:val="continue"/>
            <w:tcBorders>
              <w:tl2br w:val="nil"/>
              <w:tr2bl w:val="nil"/>
            </w:tcBorders>
            <w:vAlign w:val="center"/>
          </w:tcPr>
          <w:p w14:paraId="709DB2B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200E9A14">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5"/>
                <w:sz w:val="21"/>
                <w:szCs w:val="21"/>
              </w:rPr>
              <w:t>达标</w:t>
            </w:r>
          </w:p>
        </w:tc>
        <w:tc>
          <w:tcPr>
            <w:tcW w:w="580" w:type="pct"/>
            <w:vMerge w:val="continue"/>
            <w:tcBorders>
              <w:tl2br w:val="nil"/>
              <w:tr2bl w:val="nil"/>
            </w:tcBorders>
            <w:vAlign w:val="center"/>
          </w:tcPr>
          <w:p w14:paraId="05C8DA1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p>
        </w:tc>
        <w:tc>
          <w:tcPr>
            <w:tcW w:w="423" w:type="pct"/>
            <w:tcBorders>
              <w:tl2br w:val="nil"/>
              <w:tr2bl w:val="nil"/>
            </w:tcBorders>
            <w:vAlign w:val="center"/>
          </w:tcPr>
          <w:p w14:paraId="37ED0BF2">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5"/>
                <w:sz w:val="21"/>
                <w:szCs w:val="21"/>
              </w:rPr>
              <w:t>达标</w:t>
            </w:r>
          </w:p>
        </w:tc>
      </w:tr>
      <w:tr w14:paraId="5F61CE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928" w:type="dxa"/>
            <w:vMerge w:val="restart"/>
            <w:tcBorders>
              <w:tl2br w:val="nil"/>
              <w:tr2bl w:val="nil"/>
            </w:tcBorders>
            <w:vAlign w:val="center"/>
          </w:tcPr>
          <w:p w14:paraId="58D8A8F3">
            <w:pPr>
              <w:autoSpaceDE w:val="0"/>
              <w:autoSpaceDN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rPr>
              <w:t>N21-N22之间右侧23m处红地丫口居民</w:t>
            </w:r>
          </w:p>
        </w:tc>
        <w:tc>
          <w:tcPr>
            <w:tcW w:w="569" w:type="pct"/>
            <w:vMerge w:val="restart"/>
            <w:tcBorders>
              <w:tl2br w:val="nil"/>
              <w:tr2bl w:val="nil"/>
            </w:tcBorders>
            <w:vAlign w:val="center"/>
          </w:tcPr>
          <w:p w14:paraId="0D26A7C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rPr>
              <w:t>202</w:t>
            </w:r>
            <w:r>
              <w:rPr>
                <w:rFonts w:hint="default" w:ascii="Times New Roman" w:hAnsi="Times New Roman" w:eastAsia="宋体" w:cs="Times New Roman"/>
                <w:color w:val="auto"/>
                <w:szCs w:val="21"/>
                <w:lang w:val="en-US" w:eastAsia="zh-CN"/>
              </w:rPr>
              <w:t>6</w:t>
            </w:r>
            <w:r>
              <w:rPr>
                <w:rFonts w:hint="default" w:ascii="Times New Roman" w:hAnsi="Times New Roman" w:eastAsia="宋体" w:cs="Times New Roman"/>
                <w:color w:val="auto"/>
                <w:szCs w:val="21"/>
              </w:rPr>
              <w:t>-</w:t>
            </w:r>
            <w:r>
              <w:rPr>
                <w:rFonts w:hint="default" w:ascii="Times New Roman" w:hAnsi="Times New Roman" w:eastAsia="宋体" w:cs="Times New Roman"/>
                <w:color w:val="auto"/>
                <w:szCs w:val="21"/>
                <w:lang w:val="en-US" w:eastAsia="zh-CN"/>
              </w:rPr>
              <w:t>6</w:t>
            </w:r>
            <w:r>
              <w:rPr>
                <w:rFonts w:hint="default" w:ascii="Times New Roman" w:hAnsi="Times New Roman" w:eastAsia="宋体" w:cs="Times New Roman"/>
                <w:color w:val="auto"/>
                <w:szCs w:val="21"/>
              </w:rPr>
              <w:t>-2</w:t>
            </w:r>
          </w:p>
        </w:tc>
        <w:tc>
          <w:tcPr>
            <w:tcW w:w="628" w:type="pct"/>
            <w:tcBorders>
              <w:tl2br w:val="nil"/>
              <w:tr2bl w:val="nil"/>
            </w:tcBorders>
            <w:vAlign w:val="center"/>
          </w:tcPr>
          <w:p w14:paraId="566CE48B">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第一次</w:t>
            </w:r>
          </w:p>
          <w:p w14:paraId="3FAC5BD2">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1141" w:type="dxa"/>
            <w:tcBorders>
              <w:tl2br w:val="nil"/>
              <w:tr2bl w:val="nil"/>
            </w:tcBorders>
            <w:shd w:val="clear" w:color="auto" w:fill="auto"/>
            <w:vAlign w:val="center"/>
          </w:tcPr>
          <w:p w14:paraId="5418899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7.35</w:t>
            </w:r>
          </w:p>
        </w:tc>
        <w:tc>
          <w:tcPr>
            <w:tcW w:w="1130" w:type="dxa"/>
            <w:tcBorders>
              <w:tl2br w:val="nil"/>
              <w:tr2bl w:val="nil"/>
            </w:tcBorders>
            <w:shd w:val="clear" w:color="auto" w:fill="auto"/>
            <w:vAlign w:val="center"/>
          </w:tcPr>
          <w:p w14:paraId="373C35A5">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0.03</w:t>
            </w:r>
          </w:p>
        </w:tc>
        <w:tc>
          <w:tcPr>
            <w:tcW w:w="561" w:type="pct"/>
            <w:vMerge w:val="restart"/>
            <w:tcBorders>
              <w:tl2br w:val="nil"/>
              <w:tr2bl w:val="nil"/>
            </w:tcBorders>
            <w:vAlign w:val="center"/>
          </w:tcPr>
          <w:p w14:paraId="4277757C">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4000</w:t>
            </w:r>
          </w:p>
        </w:tc>
        <w:tc>
          <w:tcPr>
            <w:tcW w:w="402" w:type="pct"/>
            <w:tcBorders>
              <w:tl2br w:val="nil"/>
              <w:tr2bl w:val="nil"/>
            </w:tcBorders>
            <w:vAlign w:val="center"/>
          </w:tcPr>
          <w:p w14:paraId="1BC353F7">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restart"/>
            <w:tcBorders>
              <w:tl2br w:val="nil"/>
              <w:tr2bl w:val="nil"/>
            </w:tcBorders>
            <w:vAlign w:val="center"/>
          </w:tcPr>
          <w:p w14:paraId="3C37CC02">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100</w:t>
            </w:r>
          </w:p>
        </w:tc>
        <w:tc>
          <w:tcPr>
            <w:tcW w:w="423" w:type="pct"/>
            <w:tcBorders>
              <w:tl2br w:val="nil"/>
              <w:tr2bl w:val="nil"/>
            </w:tcBorders>
            <w:vAlign w:val="center"/>
          </w:tcPr>
          <w:p w14:paraId="72B7C3E3">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508418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569B1910">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047A06D3">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70EAA46F">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第二次</w:t>
            </w:r>
          </w:p>
          <w:p w14:paraId="45BCF5BA">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1141" w:type="dxa"/>
            <w:tcBorders>
              <w:tl2br w:val="nil"/>
              <w:tr2bl w:val="nil"/>
            </w:tcBorders>
            <w:shd w:val="clear" w:color="auto" w:fill="auto"/>
            <w:vAlign w:val="center"/>
          </w:tcPr>
          <w:p w14:paraId="36C868E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6.34</w:t>
            </w:r>
          </w:p>
        </w:tc>
        <w:tc>
          <w:tcPr>
            <w:tcW w:w="1130" w:type="dxa"/>
            <w:tcBorders>
              <w:tl2br w:val="nil"/>
              <w:tr2bl w:val="nil"/>
            </w:tcBorders>
            <w:shd w:val="clear" w:color="auto" w:fill="auto"/>
            <w:vAlign w:val="center"/>
          </w:tcPr>
          <w:p w14:paraId="2E4EB77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0.02</w:t>
            </w:r>
          </w:p>
        </w:tc>
        <w:tc>
          <w:tcPr>
            <w:tcW w:w="561" w:type="pct"/>
            <w:vMerge w:val="continue"/>
            <w:tcBorders>
              <w:tl2br w:val="nil"/>
              <w:tr2bl w:val="nil"/>
            </w:tcBorders>
            <w:vAlign w:val="center"/>
          </w:tcPr>
          <w:p w14:paraId="05A8703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467CB028">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78180EA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7EE5972C">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7AC121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7CF33B9D">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014D4987">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1D62F963">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第三次</w:t>
            </w:r>
          </w:p>
          <w:p w14:paraId="46CFA9E8">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1141" w:type="dxa"/>
            <w:tcBorders>
              <w:tl2br w:val="nil"/>
              <w:tr2bl w:val="nil"/>
            </w:tcBorders>
            <w:shd w:val="clear" w:color="auto" w:fill="auto"/>
            <w:vAlign w:val="center"/>
          </w:tcPr>
          <w:p w14:paraId="40CE89EC">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6.05</w:t>
            </w:r>
          </w:p>
        </w:tc>
        <w:tc>
          <w:tcPr>
            <w:tcW w:w="1130" w:type="dxa"/>
            <w:tcBorders>
              <w:tl2br w:val="nil"/>
              <w:tr2bl w:val="nil"/>
            </w:tcBorders>
            <w:shd w:val="clear" w:color="auto" w:fill="auto"/>
            <w:vAlign w:val="center"/>
          </w:tcPr>
          <w:p w14:paraId="610A69D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0.02</w:t>
            </w:r>
          </w:p>
        </w:tc>
        <w:tc>
          <w:tcPr>
            <w:tcW w:w="561" w:type="pct"/>
            <w:vMerge w:val="continue"/>
            <w:tcBorders>
              <w:tl2br w:val="nil"/>
              <w:tr2bl w:val="nil"/>
            </w:tcBorders>
            <w:vAlign w:val="center"/>
          </w:tcPr>
          <w:p w14:paraId="43E852E2">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43B90047">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37E656F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4F2A60EE">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2B047FA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3B027F13">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5EE59AC8">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5E9075F7">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第四次</w:t>
            </w:r>
          </w:p>
          <w:p w14:paraId="4CE917D6">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1141" w:type="dxa"/>
            <w:tcBorders>
              <w:tl2br w:val="nil"/>
              <w:tr2bl w:val="nil"/>
            </w:tcBorders>
            <w:shd w:val="clear" w:color="auto" w:fill="auto"/>
            <w:vAlign w:val="center"/>
          </w:tcPr>
          <w:p w14:paraId="12096D7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7.45</w:t>
            </w:r>
          </w:p>
        </w:tc>
        <w:tc>
          <w:tcPr>
            <w:tcW w:w="1130" w:type="dxa"/>
            <w:tcBorders>
              <w:tl2br w:val="nil"/>
              <w:tr2bl w:val="nil"/>
            </w:tcBorders>
            <w:shd w:val="clear" w:color="auto" w:fill="auto"/>
            <w:vAlign w:val="center"/>
          </w:tcPr>
          <w:p w14:paraId="31BD867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0.03</w:t>
            </w:r>
          </w:p>
        </w:tc>
        <w:tc>
          <w:tcPr>
            <w:tcW w:w="561" w:type="pct"/>
            <w:vMerge w:val="continue"/>
            <w:tcBorders>
              <w:tl2br w:val="nil"/>
              <w:tr2bl w:val="nil"/>
            </w:tcBorders>
            <w:vAlign w:val="center"/>
          </w:tcPr>
          <w:p w14:paraId="22628D8A">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7CD03AF9">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46BC1B9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08006323">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53BF502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780E3860">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46B54FB9">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117920EF">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第五次</w:t>
            </w:r>
          </w:p>
          <w:p w14:paraId="18DD203D">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最大值</w:t>
            </w:r>
          </w:p>
        </w:tc>
        <w:tc>
          <w:tcPr>
            <w:tcW w:w="1141" w:type="dxa"/>
            <w:tcBorders>
              <w:tl2br w:val="nil"/>
              <w:tr2bl w:val="nil"/>
            </w:tcBorders>
            <w:shd w:val="clear" w:color="auto" w:fill="auto"/>
            <w:vAlign w:val="center"/>
          </w:tcPr>
          <w:p w14:paraId="04C7CD2A">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9.93</w:t>
            </w:r>
          </w:p>
        </w:tc>
        <w:tc>
          <w:tcPr>
            <w:tcW w:w="1130" w:type="dxa"/>
            <w:tcBorders>
              <w:tl2br w:val="nil"/>
              <w:tr2bl w:val="nil"/>
            </w:tcBorders>
            <w:shd w:val="clear" w:color="auto" w:fill="auto"/>
            <w:vAlign w:val="center"/>
          </w:tcPr>
          <w:p w14:paraId="614CD89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0.04</w:t>
            </w:r>
          </w:p>
        </w:tc>
        <w:tc>
          <w:tcPr>
            <w:tcW w:w="561" w:type="pct"/>
            <w:vMerge w:val="continue"/>
            <w:tcBorders>
              <w:tl2br w:val="nil"/>
              <w:tr2bl w:val="nil"/>
            </w:tcBorders>
            <w:vAlign w:val="center"/>
          </w:tcPr>
          <w:p w14:paraId="648A001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02" w:type="pct"/>
            <w:tcBorders>
              <w:tl2br w:val="nil"/>
              <w:tr2bl w:val="nil"/>
            </w:tcBorders>
            <w:vAlign w:val="center"/>
          </w:tcPr>
          <w:p w14:paraId="3787DEBA">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c>
          <w:tcPr>
            <w:tcW w:w="580" w:type="pct"/>
            <w:vMerge w:val="continue"/>
            <w:tcBorders>
              <w:tl2br w:val="nil"/>
              <w:tr2bl w:val="nil"/>
            </w:tcBorders>
            <w:vAlign w:val="center"/>
          </w:tcPr>
          <w:p w14:paraId="2E54873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423" w:type="pct"/>
            <w:tcBorders>
              <w:tl2br w:val="nil"/>
              <w:tr2bl w:val="nil"/>
            </w:tcBorders>
            <w:vAlign w:val="center"/>
          </w:tcPr>
          <w:p w14:paraId="0FFA4365">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达标</w:t>
            </w:r>
          </w:p>
        </w:tc>
      </w:tr>
      <w:tr w14:paraId="474D94B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32" w:type="pct"/>
            <w:vMerge w:val="continue"/>
            <w:tcBorders>
              <w:tl2br w:val="nil"/>
              <w:tr2bl w:val="nil"/>
            </w:tcBorders>
            <w:vAlign w:val="center"/>
          </w:tcPr>
          <w:p w14:paraId="391E5CDA">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569" w:type="pct"/>
            <w:vMerge w:val="continue"/>
            <w:tcBorders>
              <w:tl2br w:val="nil"/>
              <w:tr2bl w:val="nil"/>
            </w:tcBorders>
            <w:vAlign w:val="center"/>
          </w:tcPr>
          <w:p w14:paraId="51983CCA">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rPr>
            </w:pPr>
          </w:p>
        </w:tc>
        <w:tc>
          <w:tcPr>
            <w:tcW w:w="628" w:type="pct"/>
            <w:tcBorders>
              <w:tl2br w:val="nil"/>
              <w:tr2bl w:val="nil"/>
            </w:tcBorders>
            <w:vAlign w:val="center"/>
          </w:tcPr>
          <w:p w14:paraId="3602A635">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7"/>
                <w:sz w:val="21"/>
                <w:szCs w:val="21"/>
              </w:rPr>
              <w:t>平均值</w:t>
            </w:r>
          </w:p>
        </w:tc>
        <w:tc>
          <w:tcPr>
            <w:tcW w:w="1141" w:type="dxa"/>
            <w:tcBorders>
              <w:tl2br w:val="nil"/>
              <w:tr2bl w:val="nil"/>
            </w:tcBorders>
            <w:shd w:val="clear" w:color="auto" w:fill="auto"/>
            <w:vAlign w:val="center"/>
          </w:tcPr>
          <w:p w14:paraId="4B28826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7.42</w:t>
            </w:r>
          </w:p>
        </w:tc>
        <w:tc>
          <w:tcPr>
            <w:tcW w:w="1130" w:type="dxa"/>
            <w:tcBorders>
              <w:tl2br w:val="nil"/>
              <w:tr2bl w:val="nil"/>
            </w:tcBorders>
            <w:shd w:val="clear" w:color="auto" w:fill="auto"/>
            <w:vAlign w:val="center"/>
          </w:tcPr>
          <w:p w14:paraId="0BDF7D8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0.03</w:t>
            </w:r>
          </w:p>
        </w:tc>
        <w:tc>
          <w:tcPr>
            <w:tcW w:w="561" w:type="pct"/>
            <w:vMerge w:val="continue"/>
            <w:tcBorders>
              <w:tl2br w:val="nil"/>
              <w:tr2bl w:val="nil"/>
            </w:tcBorders>
            <w:vAlign w:val="center"/>
          </w:tcPr>
          <w:p w14:paraId="07D7D29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p>
        </w:tc>
        <w:tc>
          <w:tcPr>
            <w:tcW w:w="402" w:type="pct"/>
            <w:tcBorders>
              <w:tl2br w:val="nil"/>
              <w:tr2bl w:val="nil"/>
            </w:tcBorders>
            <w:vAlign w:val="center"/>
          </w:tcPr>
          <w:p w14:paraId="4A3300F5">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5"/>
                <w:sz w:val="21"/>
                <w:szCs w:val="21"/>
              </w:rPr>
              <w:t>达标</w:t>
            </w:r>
          </w:p>
        </w:tc>
        <w:tc>
          <w:tcPr>
            <w:tcW w:w="580" w:type="pct"/>
            <w:vMerge w:val="continue"/>
            <w:tcBorders>
              <w:tl2br w:val="nil"/>
              <w:tr2bl w:val="nil"/>
            </w:tcBorders>
            <w:vAlign w:val="center"/>
          </w:tcPr>
          <w:p w14:paraId="611D2FC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p>
        </w:tc>
        <w:tc>
          <w:tcPr>
            <w:tcW w:w="423" w:type="pct"/>
            <w:tcBorders>
              <w:tl2br w:val="nil"/>
              <w:tr2bl w:val="nil"/>
            </w:tcBorders>
            <w:vAlign w:val="center"/>
          </w:tcPr>
          <w:p w14:paraId="128339A2">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5"/>
                <w:sz w:val="21"/>
                <w:szCs w:val="21"/>
              </w:rPr>
              <w:t>达标</w:t>
            </w:r>
          </w:p>
        </w:tc>
      </w:tr>
    </w:tbl>
    <w:p w14:paraId="69EF85A3">
      <w:pPr>
        <w:widowControl/>
        <w:kinsoku w:val="0"/>
        <w:autoSpaceDE w:val="0"/>
        <w:autoSpaceDN w:val="0"/>
        <w:adjustRightInd w:val="0"/>
        <w:snapToGrid w:val="0"/>
        <w:spacing w:line="360" w:lineRule="auto"/>
        <w:ind w:firstLine="480" w:firstLineChars="200"/>
        <w:rPr>
          <w:rStyle w:val="144"/>
          <w:rFonts w:hint="default" w:ascii="Times New Roman" w:hAnsi="Times New Roman" w:eastAsia="宋体" w:cs="Times New Roman"/>
          <w:color w:val="auto"/>
        </w:rPr>
      </w:pPr>
      <w:r>
        <w:rPr>
          <w:rStyle w:val="144"/>
          <w:rFonts w:hint="default" w:ascii="Times New Roman" w:hAnsi="Times New Roman" w:eastAsia="宋体" w:cs="Times New Roman"/>
          <w:color w:val="auto"/>
        </w:rPr>
        <w:t>由监测结果可知，</w:t>
      </w:r>
      <w:r>
        <w:rPr>
          <w:rFonts w:ascii="Times New Roman" w:hAnsi="Times New Roman"/>
          <w:color w:val="auto"/>
          <w:sz w:val="24"/>
          <w:szCs w:val="24"/>
        </w:rPr>
        <w:t>线路</w:t>
      </w:r>
      <w:r>
        <w:rPr>
          <w:rFonts w:hint="eastAsia" w:ascii="Times New Roman" w:hAnsi="Times New Roman"/>
          <w:color w:val="auto"/>
          <w:sz w:val="24"/>
          <w:szCs w:val="24"/>
          <w:lang w:val="en-US" w:eastAsia="zh-CN"/>
        </w:rPr>
        <w:t>敏感点</w:t>
      </w:r>
      <w:r>
        <w:rPr>
          <w:rFonts w:ascii="Times New Roman" w:hAnsi="Times New Roman"/>
          <w:color w:val="auto"/>
          <w:sz w:val="24"/>
          <w:szCs w:val="24"/>
        </w:rPr>
        <w:t>工频电场强度为</w:t>
      </w:r>
      <w:r>
        <w:rPr>
          <w:rFonts w:hint="eastAsia" w:ascii="Times New Roman" w:hAnsi="Times New Roman"/>
          <w:color w:val="auto"/>
          <w:sz w:val="24"/>
          <w:szCs w:val="24"/>
          <w:lang w:val="en-US" w:eastAsia="zh-CN"/>
        </w:rPr>
        <w:t>6.05～18.9</w:t>
      </w:r>
      <w:r>
        <w:rPr>
          <w:rFonts w:ascii="Times New Roman" w:hAnsi="Times New Roman"/>
          <w:color w:val="auto"/>
          <w:sz w:val="24"/>
          <w:szCs w:val="24"/>
        </w:rPr>
        <w:t>V/m；线路</w:t>
      </w:r>
      <w:r>
        <w:rPr>
          <w:rFonts w:hint="eastAsia" w:ascii="Times New Roman" w:hAnsi="Times New Roman"/>
          <w:color w:val="auto"/>
          <w:sz w:val="24"/>
          <w:szCs w:val="24"/>
          <w:lang w:val="en-US" w:eastAsia="zh-CN"/>
        </w:rPr>
        <w:t>敏感点</w:t>
      </w:r>
      <w:r>
        <w:rPr>
          <w:rFonts w:ascii="Times New Roman" w:hAnsi="Times New Roman"/>
          <w:color w:val="auto"/>
          <w:sz w:val="24"/>
          <w:szCs w:val="24"/>
        </w:rPr>
        <w:t>工频磁感应强度为0.0</w:t>
      </w:r>
      <w:r>
        <w:rPr>
          <w:rFonts w:hint="eastAsia" w:ascii="Times New Roman" w:hAnsi="Times New Roman"/>
          <w:color w:val="auto"/>
          <w:sz w:val="24"/>
          <w:szCs w:val="24"/>
          <w:lang w:val="en-US" w:eastAsia="zh-CN"/>
        </w:rPr>
        <w:t>2</w:t>
      </w:r>
      <w:r>
        <w:rPr>
          <w:rFonts w:ascii="Times New Roman" w:hAnsi="Times New Roman"/>
          <w:color w:val="auto"/>
          <w:sz w:val="24"/>
          <w:szCs w:val="24"/>
        </w:rPr>
        <w:t>μT~0.</w:t>
      </w:r>
      <w:r>
        <w:rPr>
          <w:rFonts w:hint="eastAsia" w:ascii="Times New Roman" w:hAnsi="Times New Roman"/>
          <w:color w:val="auto"/>
          <w:sz w:val="24"/>
          <w:szCs w:val="24"/>
          <w:lang w:val="en-US" w:eastAsia="zh-CN"/>
        </w:rPr>
        <w:t>09</w:t>
      </w:r>
      <w:r>
        <w:rPr>
          <w:rFonts w:ascii="Times New Roman" w:hAnsi="Times New Roman"/>
          <w:color w:val="auto"/>
          <w:sz w:val="24"/>
          <w:szCs w:val="24"/>
        </w:rPr>
        <w:t>μT，</w:t>
      </w:r>
      <w:r>
        <w:rPr>
          <w:rFonts w:ascii="Times New Roman" w:hAnsi="Times New Roman"/>
          <w:bCs/>
          <w:color w:val="auto"/>
          <w:kern w:val="0"/>
          <w:sz w:val="24"/>
          <w:szCs w:val="24"/>
        </w:rPr>
        <w:t>满足《电磁环境控制限值》（GB8702</w:t>
      </w:r>
      <w:r>
        <w:rPr>
          <w:rFonts w:hint="eastAsia" w:ascii="Times New Roman" w:hAnsi="Times New Roman"/>
          <w:bCs/>
          <w:color w:val="auto"/>
          <w:kern w:val="0"/>
          <w:sz w:val="24"/>
          <w:szCs w:val="24"/>
          <w:lang w:val="en-US" w:eastAsia="zh-CN"/>
        </w:rPr>
        <w:t>-</w:t>
      </w:r>
      <w:r>
        <w:rPr>
          <w:rFonts w:ascii="Times New Roman" w:hAnsi="Times New Roman"/>
          <w:bCs/>
          <w:color w:val="auto"/>
          <w:kern w:val="0"/>
          <w:sz w:val="24"/>
          <w:szCs w:val="24"/>
        </w:rPr>
        <w:t>2014）中4kV/m、100μT的环境质量限值要求。</w:t>
      </w:r>
    </w:p>
    <w:p w14:paraId="6E5D9DEB">
      <w:pPr>
        <w:numPr>
          <w:ilvl w:val="0"/>
          <w:numId w:val="0"/>
        </w:numPr>
        <w:adjustRightInd w:val="0"/>
        <w:snapToGrid w:val="0"/>
        <w:spacing w:line="440" w:lineRule="exact"/>
        <w:ind w:firstLine="482" w:firstLineChars="200"/>
        <w:rPr>
          <w:rFonts w:hint="eastAsia" w:ascii="Times New Roman" w:hAnsi="Times New Roman"/>
          <w:b/>
          <w:bCs w:val="0"/>
          <w:color w:val="auto"/>
          <w:kern w:val="0"/>
          <w:sz w:val="24"/>
          <w:szCs w:val="24"/>
          <w:lang w:val="en-US" w:eastAsia="zh-CN"/>
        </w:rPr>
      </w:pPr>
      <w:r>
        <w:rPr>
          <w:rFonts w:hint="eastAsia" w:ascii="Times New Roman" w:hAnsi="Times New Roman" w:eastAsia="宋体" w:cs="Times New Roman"/>
          <w:b/>
          <w:bCs w:val="0"/>
          <w:color w:val="auto"/>
          <w:kern w:val="0"/>
          <w:sz w:val="24"/>
          <w:szCs w:val="24"/>
          <w:lang w:val="en-US" w:eastAsia="zh-CN" w:bidi="ar-SA"/>
        </w:rPr>
        <w:t>（2）</w:t>
      </w:r>
      <w:r>
        <w:rPr>
          <w:rFonts w:hint="eastAsia" w:ascii="Times New Roman" w:hAnsi="Times New Roman"/>
          <w:b/>
          <w:bCs w:val="0"/>
          <w:color w:val="auto"/>
          <w:kern w:val="0"/>
          <w:sz w:val="24"/>
          <w:szCs w:val="24"/>
          <w:lang w:val="en-US" w:eastAsia="zh-CN"/>
        </w:rPr>
        <w:t>引用监测数据结果</w:t>
      </w:r>
    </w:p>
    <w:p w14:paraId="2EF8533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220kV六合一升压站、110kV大草房升压站引用</w:t>
      </w:r>
      <w:r>
        <w:rPr>
          <w:rFonts w:hint="eastAsia" w:ascii="Times New Roman" w:hAnsi="Times New Roman" w:eastAsia="宋体" w:cs="Times New Roman"/>
          <w:color w:val="auto"/>
          <w:sz w:val="24"/>
          <w:szCs w:val="24"/>
          <w:lang w:val="en-US" w:eastAsia="zh-CN"/>
        </w:rPr>
        <w:t>现状检测结果见下表。</w:t>
      </w:r>
    </w:p>
    <w:p w14:paraId="56DF5606">
      <w:pPr>
        <w:adjustRightInd w:val="0"/>
        <w:snapToGrid w:val="0"/>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表4-</w:t>
      </w:r>
      <w:r>
        <w:rPr>
          <w:rFonts w:hint="eastAsia" w:ascii="Times New Roman" w:hAnsi="Times New Roman" w:cs="Times New Roman"/>
          <w:b/>
          <w:bCs/>
          <w:color w:val="auto"/>
          <w:sz w:val="24"/>
          <w:szCs w:val="24"/>
        </w:rPr>
        <w:t>7</w:t>
      </w:r>
      <w:r>
        <w:rPr>
          <w:rFonts w:ascii="Times New Roman" w:hAnsi="Times New Roman" w:cs="Times New Roman"/>
          <w:b/>
          <w:bCs/>
          <w:color w:val="auto"/>
          <w:sz w:val="24"/>
          <w:szCs w:val="24"/>
        </w:rPr>
        <w:t xml:space="preserve">  </w:t>
      </w:r>
      <w:r>
        <w:rPr>
          <w:rFonts w:hint="eastAsia" w:ascii="Times New Roman" w:hAnsi="Times New Roman" w:cs="Times New Roman"/>
          <w:b/>
          <w:bCs/>
          <w:color w:val="auto"/>
          <w:sz w:val="24"/>
          <w:szCs w:val="24"/>
          <w:lang w:val="en-US" w:eastAsia="zh-CN"/>
        </w:rPr>
        <w:t>引用</w:t>
      </w:r>
      <w:r>
        <w:rPr>
          <w:rFonts w:ascii="Times New Roman" w:hAnsi="Times New Roman" w:cs="Times New Roman"/>
          <w:b/>
          <w:bCs/>
          <w:color w:val="auto"/>
          <w:sz w:val="24"/>
          <w:szCs w:val="24"/>
        </w:rPr>
        <w:t>现状监测结果</w:t>
      </w:r>
    </w:p>
    <w:tbl>
      <w:tblPr>
        <w:tblStyle w:val="91"/>
        <w:tblW w:w="4992"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909"/>
        <w:gridCol w:w="1645"/>
        <w:gridCol w:w="1278"/>
        <w:gridCol w:w="1957"/>
        <w:gridCol w:w="1504"/>
      </w:tblGrid>
      <w:tr w14:paraId="6B1564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150" w:type="pct"/>
            <w:tcBorders>
              <w:tl2br w:val="nil"/>
              <w:tr2bl w:val="nil"/>
            </w:tcBorders>
            <w:vAlign w:val="center"/>
          </w:tcPr>
          <w:p w14:paraId="16205B24">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eastAsia" w:eastAsia="宋体"/>
                <w:color w:val="auto"/>
                <w:sz w:val="21"/>
                <w:szCs w:val="21"/>
                <w:lang w:eastAsia="zh-CN"/>
              </w:rPr>
            </w:pPr>
            <w:r>
              <w:rPr>
                <w:rFonts w:hint="eastAsia"/>
                <w:b/>
                <w:bCs/>
                <w:color w:val="auto"/>
                <w:spacing w:val="4"/>
                <w:sz w:val="21"/>
                <w:szCs w:val="21"/>
                <w:lang w:val="en-US" w:eastAsia="zh-CN"/>
              </w:rPr>
              <w:t>工程</w:t>
            </w:r>
          </w:p>
        </w:tc>
        <w:tc>
          <w:tcPr>
            <w:tcW w:w="991" w:type="pct"/>
            <w:tcBorders>
              <w:tl2br w:val="nil"/>
              <w:tr2bl w:val="nil"/>
            </w:tcBorders>
            <w:vAlign w:val="center"/>
          </w:tcPr>
          <w:p w14:paraId="19798C73">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color w:val="auto"/>
                <w:sz w:val="21"/>
                <w:szCs w:val="21"/>
              </w:rPr>
            </w:pPr>
            <w:r>
              <w:rPr>
                <w:b/>
                <w:bCs/>
                <w:color w:val="auto"/>
                <w:spacing w:val="6"/>
                <w:sz w:val="21"/>
                <w:szCs w:val="21"/>
              </w:rPr>
              <w:t>监测点位</w:t>
            </w:r>
          </w:p>
        </w:tc>
        <w:tc>
          <w:tcPr>
            <w:tcW w:w="770" w:type="pct"/>
            <w:tcBorders>
              <w:tl2br w:val="nil"/>
              <w:tr2bl w:val="nil"/>
            </w:tcBorders>
            <w:vAlign w:val="center"/>
          </w:tcPr>
          <w:p w14:paraId="7ED2B4AE">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color w:val="auto"/>
                <w:sz w:val="21"/>
                <w:szCs w:val="21"/>
              </w:rPr>
            </w:pPr>
            <w:r>
              <w:rPr>
                <w:b/>
                <w:bCs/>
                <w:color w:val="auto"/>
                <w:spacing w:val="6"/>
                <w:sz w:val="21"/>
                <w:szCs w:val="21"/>
              </w:rPr>
              <w:t>监测日期</w:t>
            </w:r>
          </w:p>
        </w:tc>
        <w:tc>
          <w:tcPr>
            <w:tcW w:w="1179" w:type="pct"/>
            <w:tcBorders>
              <w:tl2br w:val="nil"/>
              <w:tr2bl w:val="nil"/>
            </w:tcBorders>
            <w:vAlign w:val="center"/>
          </w:tcPr>
          <w:p w14:paraId="241BF4F9">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color w:val="auto"/>
                <w:sz w:val="21"/>
                <w:szCs w:val="21"/>
              </w:rPr>
            </w:pPr>
            <w:r>
              <w:rPr>
                <w:b/>
                <w:bCs/>
                <w:color w:val="auto"/>
                <w:spacing w:val="5"/>
                <w:sz w:val="21"/>
                <w:szCs w:val="21"/>
              </w:rPr>
              <w:t>工频电场</w:t>
            </w:r>
            <w:r>
              <w:rPr>
                <w:b/>
                <w:bCs/>
                <w:color w:val="auto"/>
                <w:sz w:val="21"/>
                <w:szCs w:val="21"/>
              </w:rPr>
              <w:t>（</w:t>
            </w:r>
            <w:r>
              <w:rPr>
                <w:rFonts w:ascii="Times New Roman" w:hAnsi="Times New Roman" w:eastAsia="Times New Roman" w:cs="Times New Roman"/>
                <w:b/>
                <w:bCs/>
                <w:color w:val="auto"/>
                <w:sz w:val="21"/>
                <w:szCs w:val="21"/>
              </w:rPr>
              <w:t>V/m</w:t>
            </w:r>
            <w:r>
              <w:rPr>
                <w:b/>
                <w:bCs/>
                <w:color w:val="auto"/>
                <w:sz w:val="21"/>
                <w:szCs w:val="21"/>
              </w:rPr>
              <w:t>）</w:t>
            </w:r>
          </w:p>
        </w:tc>
        <w:tc>
          <w:tcPr>
            <w:tcW w:w="906" w:type="pct"/>
            <w:tcBorders>
              <w:tl2br w:val="nil"/>
              <w:tr2bl w:val="nil"/>
            </w:tcBorders>
            <w:vAlign w:val="center"/>
          </w:tcPr>
          <w:p w14:paraId="068B8A9C">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color w:val="auto"/>
                <w:sz w:val="21"/>
                <w:szCs w:val="21"/>
              </w:rPr>
            </w:pPr>
            <w:r>
              <w:rPr>
                <w:b/>
                <w:bCs/>
                <w:color w:val="auto"/>
                <w:spacing w:val="5"/>
                <w:sz w:val="21"/>
                <w:szCs w:val="21"/>
              </w:rPr>
              <w:t>工频磁场</w:t>
            </w:r>
            <w:r>
              <w:rPr>
                <w:rFonts w:hint="eastAsia"/>
                <w:b/>
                <w:bCs/>
                <w:color w:val="auto"/>
                <w:spacing w:val="5"/>
                <w:sz w:val="21"/>
                <w:szCs w:val="21"/>
                <w:lang w:eastAsia="zh-CN"/>
              </w:rPr>
              <w:t>（</w:t>
            </w:r>
            <w:r>
              <w:rPr>
                <w:rFonts w:ascii="Times New Roman" w:hAnsi="Times New Roman" w:eastAsia="Times New Roman" w:cs="Times New Roman"/>
                <w:b/>
                <w:bCs/>
                <w:color w:val="auto"/>
                <w:spacing w:val="-1"/>
                <w:sz w:val="21"/>
                <w:szCs w:val="21"/>
              </w:rPr>
              <w:t>μT</w:t>
            </w:r>
            <w:r>
              <w:rPr>
                <w:b/>
                <w:bCs/>
                <w:color w:val="auto"/>
                <w:spacing w:val="-1"/>
                <w:sz w:val="21"/>
                <w:szCs w:val="21"/>
              </w:rPr>
              <w:t>）</w:t>
            </w:r>
          </w:p>
        </w:tc>
      </w:tr>
      <w:tr w14:paraId="1BD6AA0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150" w:type="pct"/>
            <w:tcBorders>
              <w:tl2br w:val="nil"/>
              <w:tr2bl w:val="nil"/>
            </w:tcBorders>
            <w:vAlign w:val="center"/>
          </w:tcPr>
          <w:p w14:paraId="525911C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Times New Roman" w:cs="Times New Roman"/>
                <w:color w:val="auto"/>
                <w:sz w:val="21"/>
                <w:szCs w:val="21"/>
              </w:rPr>
            </w:pPr>
            <w:r>
              <w:rPr>
                <w:rFonts w:hint="eastAsia" w:ascii="Times New Roman" w:hAnsi="Times New Roman" w:eastAsia="Times New Roman" w:cs="Times New Roman"/>
                <w:color w:val="auto"/>
                <w:sz w:val="21"/>
                <w:szCs w:val="21"/>
                <w:lang w:val="en-US" w:eastAsia="zh-CN"/>
              </w:rPr>
              <w:t>110kV大草房升压站</w:t>
            </w:r>
          </w:p>
        </w:tc>
        <w:tc>
          <w:tcPr>
            <w:tcW w:w="991" w:type="pct"/>
            <w:tcBorders>
              <w:tl2br w:val="nil"/>
              <w:tr2bl w:val="nil"/>
            </w:tcBorders>
            <w:vAlign w:val="center"/>
          </w:tcPr>
          <w:p w14:paraId="4821E114">
            <w:pPr>
              <w:pStyle w:val="126"/>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color w:val="auto"/>
                <w:sz w:val="21"/>
                <w:szCs w:val="21"/>
              </w:rPr>
            </w:pPr>
            <w:r>
              <w:rPr>
                <w:color w:val="auto"/>
                <w:spacing w:val="8"/>
                <w:sz w:val="21"/>
                <w:szCs w:val="21"/>
              </w:rPr>
              <w:t>拟建站址中心</w:t>
            </w:r>
          </w:p>
        </w:tc>
        <w:tc>
          <w:tcPr>
            <w:tcW w:w="770" w:type="pct"/>
            <w:tcBorders>
              <w:tl2br w:val="nil"/>
              <w:tr2bl w:val="nil"/>
            </w:tcBorders>
            <w:vAlign w:val="center"/>
          </w:tcPr>
          <w:p w14:paraId="6F64D13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202</w:t>
            </w:r>
            <w:r>
              <w:rPr>
                <w:rFonts w:hint="eastAsia" w:ascii="Times New Roman" w:hAnsi="Times New Roman" w:eastAsia="宋体" w:cs="Times New Roman"/>
                <w:color w:val="auto"/>
                <w:spacing w:val="3"/>
                <w:sz w:val="21"/>
                <w:szCs w:val="21"/>
                <w:lang w:val="en-US" w:eastAsia="zh-CN"/>
              </w:rPr>
              <w:t>5.10.24</w:t>
            </w:r>
          </w:p>
        </w:tc>
        <w:tc>
          <w:tcPr>
            <w:tcW w:w="1179" w:type="pct"/>
            <w:tcBorders>
              <w:tl2br w:val="nil"/>
              <w:tr2bl w:val="nil"/>
            </w:tcBorders>
            <w:vAlign w:val="center"/>
          </w:tcPr>
          <w:p w14:paraId="6FEF450A">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pacing w:val="3"/>
                <w:sz w:val="21"/>
                <w:szCs w:val="21"/>
                <w:lang w:val="en-US" w:eastAsia="zh-CN"/>
              </w:rPr>
              <w:t>10.964</w:t>
            </w:r>
          </w:p>
        </w:tc>
        <w:tc>
          <w:tcPr>
            <w:tcW w:w="906" w:type="pct"/>
            <w:tcBorders>
              <w:tl2br w:val="nil"/>
              <w:tr2bl w:val="nil"/>
            </w:tcBorders>
            <w:vAlign w:val="center"/>
          </w:tcPr>
          <w:p w14:paraId="42EF2F8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3"/>
                <w:sz w:val="21"/>
                <w:szCs w:val="21"/>
              </w:rPr>
              <w:t>0.0</w:t>
            </w:r>
            <w:r>
              <w:rPr>
                <w:rFonts w:hint="eastAsia" w:ascii="Times New Roman" w:hAnsi="Times New Roman" w:eastAsia="宋体" w:cs="Times New Roman"/>
                <w:color w:val="auto"/>
                <w:spacing w:val="3"/>
                <w:sz w:val="21"/>
                <w:szCs w:val="21"/>
                <w:lang w:val="en-US" w:eastAsia="zh-CN"/>
              </w:rPr>
              <w:t>35</w:t>
            </w:r>
          </w:p>
        </w:tc>
      </w:tr>
      <w:tr w14:paraId="46238B5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150" w:type="pct"/>
            <w:vMerge w:val="restart"/>
            <w:tcBorders>
              <w:tl2br w:val="nil"/>
              <w:tr2bl w:val="nil"/>
            </w:tcBorders>
            <w:vAlign w:val="center"/>
          </w:tcPr>
          <w:p w14:paraId="3189A62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ascii="Times New Roman" w:hAnsi="Times New Roman" w:eastAsia="Times New Roman" w:cs="Times New Roman"/>
                <w:color w:val="auto"/>
                <w:sz w:val="21"/>
                <w:szCs w:val="21"/>
              </w:rPr>
            </w:pPr>
            <w:r>
              <w:rPr>
                <w:rFonts w:hint="eastAsia" w:ascii="Times New Roman" w:hAnsi="Times New Roman" w:eastAsia="Times New Roman" w:cs="Times New Roman"/>
                <w:color w:val="auto"/>
                <w:sz w:val="21"/>
                <w:szCs w:val="21"/>
                <w:lang w:val="en-US" w:eastAsia="zh-CN"/>
              </w:rPr>
              <w:t>220kV六合一升压站</w:t>
            </w:r>
          </w:p>
        </w:tc>
        <w:tc>
          <w:tcPr>
            <w:tcW w:w="991" w:type="pct"/>
            <w:tcBorders>
              <w:tl2br w:val="nil"/>
              <w:tr2bl w:val="nil"/>
            </w:tcBorders>
            <w:vAlign w:val="center"/>
          </w:tcPr>
          <w:p w14:paraId="5697F6C5">
            <w:pPr>
              <w:autoSpaceDE w:val="0"/>
              <w:autoSpaceDN w:val="0"/>
              <w:spacing w:line="240" w:lineRule="auto"/>
              <w:jc w:val="center"/>
              <w:rPr>
                <w:color w:val="auto"/>
                <w:spacing w:val="8"/>
                <w:sz w:val="21"/>
                <w:szCs w:val="21"/>
              </w:rPr>
            </w:pPr>
            <w:r>
              <w:rPr>
                <w:rFonts w:ascii="Times New Roman" w:hAnsi="Times New Roman"/>
                <w:color w:val="auto"/>
                <w:sz w:val="21"/>
                <w:szCs w:val="21"/>
              </w:rPr>
              <w:t>拟建升压站东侧</w:t>
            </w:r>
          </w:p>
        </w:tc>
        <w:tc>
          <w:tcPr>
            <w:tcW w:w="770" w:type="pct"/>
            <w:tcBorders>
              <w:tl2br w:val="nil"/>
              <w:tr2bl w:val="nil"/>
            </w:tcBorders>
            <w:vAlign w:val="center"/>
          </w:tcPr>
          <w:p w14:paraId="54BD6A9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2022.4.8</w:t>
            </w:r>
          </w:p>
        </w:tc>
        <w:tc>
          <w:tcPr>
            <w:tcW w:w="1179" w:type="pct"/>
            <w:tcBorders>
              <w:tl2br w:val="nil"/>
              <w:tr2bl w:val="nil"/>
            </w:tcBorders>
            <w:shd w:val="clear" w:color="auto" w:fill="auto"/>
            <w:vAlign w:val="center"/>
          </w:tcPr>
          <w:p w14:paraId="3D29EE0D">
            <w:pPr>
              <w:autoSpaceDE w:val="0"/>
              <w:autoSpaceDN w:val="0"/>
              <w:spacing w:line="240" w:lineRule="auto"/>
              <w:jc w:val="center"/>
              <w:rPr>
                <w:rFonts w:hint="default"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34</w:t>
            </w:r>
          </w:p>
        </w:tc>
        <w:tc>
          <w:tcPr>
            <w:tcW w:w="906" w:type="pct"/>
            <w:tcBorders>
              <w:tl2br w:val="nil"/>
              <w:tr2bl w:val="nil"/>
            </w:tcBorders>
            <w:shd w:val="clear" w:color="auto" w:fill="auto"/>
            <w:vAlign w:val="center"/>
          </w:tcPr>
          <w:p w14:paraId="568BE277">
            <w:pPr>
              <w:autoSpaceDE w:val="0"/>
              <w:autoSpaceDN w:val="0"/>
              <w:spacing w:line="240" w:lineRule="auto"/>
              <w:jc w:val="center"/>
              <w:rPr>
                <w:rFonts w:hint="default"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0.073</w:t>
            </w:r>
          </w:p>
        </w:tc>
      </w:tr>
      <w:tr w14:paraId="660238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150" w:type="pct"/>
            <w:vMerge w:val="continue"/>
            <w:tcBorders>
              <w:tl2br w:val="nil"/>
              <w:tr2bl w:val="nil"/>
            </w:tcBorders>
            <w:vAlign w:val="center"/>
          </w:tcPr>
          <w:p w14:paraId="7B5563C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eastAsia" w:ascii="Times New Roman" w:hAnsi="Times New Roman" w:eastAsia="Times New Roman" w:cs="Times New Roman"/>
                <w:color w:val="auto"/>
                <w:sz w:val="21"/>
                <w:szCs w:val="21"/>
                <w:lang w:val="en-US" w:eastAsia="zh-CN"/>
              </w:rPr>
            </w:pPr>
          </w:p>
        </w:tc>
        <w:tc>
          <w:tcPr>
            <w:tcW w:w="991" w:type="pct"/>
            <w:tcBorders>
              <w:tl2br w:val="nil"/>
              <w:tr2bl w:val="nil"/>
            </w:tcBorders>
            <w:vAlign w:val="center"/>
          </w:tcPr>
          <w:p w14:paraId="60C71229">
            <w:pPr>
              <w:autoSpaceDE w:val="0"/>
              <w:autoSpaceDN w:val="0"/>
              <w:spacing w:line="240" w:lineRule="auto"/>
              <w:jc w:val="center"/>
              <w:rPr>
                <w:rFonts w:hint="eastAsia"/>
                <w:color w:val="auto"/>
                <w:spacing w:val="8"/>
                <w:sz w:val="21"/>
                <w:szCs w:val="21"/>
              </w:rPr>
            </w:pPr>
            <w:r>
              <w:rPr>
                <w:rFonts w:ascii="Times New Roman" w:hAnsi="Times New Roman"/>
                <w:color w:val="auto"/>
                <w:sz w:val="21"/>
                <w:szCs w:val="21"/>
              </w:rPr>
              <w:t>拟建升压站南侧</w:t>
            </w:r>
          </w:p>
        </w:tc>
        <w:tc>
          <w:tcPr>
            <w:tcW w:w="770" w:type="pct"/>
            <w:tcBorders>
              <w:tl2br w:val="nil"/>
              <w:tr2bl w:val="nil"/>
            </w:tcBorders>
            <w:vAlign w:val="center"/>
          </w:tcPr>
          <w:p w14:paraId="7BE57A9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eastAsia"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2022.4.8</w:t>
            </w:r>
          </w:p>
        </w:tc>
        <w:tc>
          <w:tcPr>
            <w:tcW w:w="1179" w:type="pct"/>
            <w:tcBorders>
              <w:tl2br w:val="nil"/>
              <w:tr2bl w:val="nil"/>
            </w:tcBorders>
            <w:shd w:val="clear" w:color="auto" w:fill="auto"/>
            <w:vAlign w:val="center"/>
          </w:tcPr>
          <w:p w14:paraId="5589BBD6">
            <w:pPr>
              <w:autoSpaceDE w:val="0"/>
              <w:autoSpaceDN w:val="0"/>
              <w:spacing w:line="240" w:lineRule="auto"/>
              <w:jc w:val="center"/>
              <w:rPr>
                <w:rFonts w:hint="eastAsia"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39</w:t>
            </w:r>
          </w:p>
        </w:tc>
        <w:tc>
          <w:tcPr>
            <w:tcW w:w="906" w:type="pct"/>
            <w:tcBorders>
              <w:tl2br w:val="nil"/>
              <w:tr2bl w:val="nil"/>
            </w:tcBorders>
            <w:shd w:val="clear" w:color="auto" w:fill="auto"/>
            <w:vAlign w:val="center"/>
          </w:tcPr>
          <w:p w14:paraId="0C88D9F7">
            <w:pPr>
              <w:autoSpaceDE w:val="0"/>
              <w:autoSpaceDN w:val="0"/>
              <w:spacing w:line="240" w:lineRule="auto"/>
              <w:jc w:val="center"/>
              <w:rPr>
                <w:rFonts w:hint="eastAsia"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0.083</w:t>
            </w:r>
          </w:p>
        </w:tc>
      </w:tr>
      <w:tr w14:paraId="53AD4B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150" w:type="pct"/>
            <w:vMerge w:val="continue"/>
            <w:tcBorders>
              <w:tl2br w:val="nil"/>
              <w:tr2bl w:val="nil"/>
            </w:tcBorders>
            <w:vAlign w:val="center"/>
          </w:tcPr>
          <w:p w14:paraId="53118032">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eastAsia" w:ascii="Times New Roman" w:hAnsi="Times New Roman" w:eastAsia="Times New Roman" w:cs="Times New Roman"/>
                <w:color w:val="auto"/>
                <w:sz w:val="21"/>
                <w:szCs w:val="21"/>
                <w:lang w:val="en-US" w:eastAsia="zh-CN"/>
              </w:rPr>
            </w:pPr>
          </w:p>
        </w:tc>
        <w:tc>
          <w:tcPr>
            <w:tcW w:w="991" w:type="pct"/>
            <w:tcBorders>
              <w:tl2br w:val="nil"/>
              <w:tr2bl w:val="nil"/>
            </w:tcBorders>
            <w:vAlign w:val="center"/>
          </w:tcPr>
          <w:p w14:paraId="5C6F7D37">
            <w:pPr>
              <w:autoSpaceDE w:val="0"/>
              <w:autoSpaceDN w:val="0"/>
              <w:spacing w:line="240" w:lineRule="auto"/>
              <w:jc w:val="center"/>
              <w:rPr>
                <w:rFonts w:hint="eastAsia"/>
                <w:color w:val="auto"/>
                <w:spacing w:val="8"/>
                <w:sz w:val="21"/>
                <w:szCs w:val="21"/>
              </w:rPr>
            </w:pPr>
            <w:r>
              <w:rPr>
                <w:rFonts w:ascii="Times New Roman" w:hAnsi="Times New Roman"/>
                <w:color w:val="auto"/>
                <w:sz w:val="21"/>
                <w:szCs w:val="21"/>
              </w:rPr>
              <w:t>拟建升压站西侧</w:t>
            </w:r>
          </w:p>
        </w:tc>
        <w:tc>
          <w:tcPr>
            <w:tcW w:w="770" w:type="pct"/>
            <w:tcBorders>
              <w:tl2br w:val="nil"/>
              <w:tr2bl w:val="nil"/>
            </w:tcBorders>
            <w:vAlign w:val="center"/>
          </w:tcPr>
          <w:p w14:paraId="123E645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eastAsia"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2022.4.8</w:t>
            </w:r>
          </w:p>
        </w:tc>
        <w:tc>
          <w:tcPr>
            <w:tcW w:w="1179" w:type="pct"/>
            <w:tcBorders>
              <w:tl2br w:val="nil"/>
              <w:tr2bl w:val="nil"/>
            </w:tcBorders>
            <w:shd w:val="clear" w:color="auto" w:fill="auto"/>
            <w:vAlign w:val="center"/>
          </w:tcPr>
          <w:p w14:paraId="02CD8632">
            <w:pPr>
              <w:autoSpaceDE w:val="0"/>
              <w:autoSpaceDN w:val="0"/>
              <w:spacing w:line="240" w:lineRule="auto"/>
              <w:jc w:val="center"/>
              <w:rPr>
                <w:rFonts w:hint="eastAsia"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41</w:t>
            </w:r>
          </w:p>
        </w:tc>
        <w:tc>
          <w:tcPr>
            <w:tcW w:w="906" w:type="pct"/>
            <w:tcBorders>
              <w:tl2br w:val="nil"/>
              <w:tr2bl w:val="nil"/>
            </w:tcBorders>
            <w:shd w:val="clear" w:color="auto" w:fill="auto"/>
            <w:vAlign w:val="center"/>
          </w:tcPr>
          <w:p w14:paraId="07C43BD8">
            <w:pPr>
              <w:autoSpaceDE w:val="0"/>
              <w:autoSpaceDN w:val="0"/>
              <w:spacing w:line="240" w:lineRule="auto"/>
              <w:jc w:val="center"/>
              <w:rPr>
                <w:rFonts w:hint="eastAsia"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0.086</w:t>
            </w:r>
          </w:p>
        </w:tc>
      </w:tr>
      <w:tr w14:paraId="1653E7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150" w:type="pct"/>
            <w:vMerge w:val="continue"/>
            <w:tcBorders>
              <w:tl2br w:val="nil"/>
              <w:tr2bl w:val="nil"/>
            </w:tcBorders>
            <w:vAlign w:val="center"/>
          </w:tcPr>
          <w:p w14:paraId="34C2A38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eastAsia" w:ascii="Times New Roman" w:hAnsi="Times New Roman" w:eastAsia="Times New Roman" w:cs="Times New Roman"/>
                <w:color w:val="auto"/>
                <w:sz w:val="21"/>
                <w:szCs w:val="21"/>
                <w:lang w:val="en-US" w:eastAsia="zh-CN"/>
              </w:rPr>
            </w:pPr>
          </w:p>
        </w:tc>
        <w:tc>
          <w:tcPr>
            <w:tcW w:w="991" w:type="pct"/>
            <w:tcBorders>
              <w:tl2br w:val="nil"/>
              <w:tr2bl w:val="nil"/>
            </w:tcBorders>
            <w:vAlign w:val="center"/>
          </w:tcPr>
          <w:p w14:paraId="1595951E">
            <w:pPr>
              <w:autoSpaceDE w:val="0"/>
              <w:autoSpaceDN w:val="0"/>
              <w:spacing w:line="240" w:lineRule="auto"/>
              <w:jc w:val="center"/>
              <w:rPr>
                <w:rFonts w:hint="eastAsia"/>
                <w:color w:val="auto"/>
                <w:spacing w:val="8"/>
                <w:sz w:val="21"/>
                <w:szCs w:val="21"/>
              </w:rPr>
            </w:pPr>
            <w:r>
              <w:rPr>
                <w:rFonts w:ascii="Times New Roman" w:hAnsi="Times New Roman"/>
                <w:color w:val="auto"/>
                <w:sz w:val="21"/>
                <w:szCs w:val="21"/>
              </w:rPr>
              <w:t>拟建升压站北侧</w:t>
            </w:r>
          </w:p>
        </w:tc>
        <w:tc>
          <w:tcPr>
            <w:tcW w:w="770" w:type="pct"/>
            <w:tcBorders>
              <w:tl2br w:val="nil"/>
              <w:tr2bl w:val="nil"/>
            </w:tcBorders>
            <w:vAlign w:val="center"/>
          </w:tcPr>
          <w:p w14:paraId="031E3B0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eastAsia" w:ascii="Times New Roman" w:hAnsi="Times New Roman" w:eastAsia="宋体" w:cs="Times New Roman"/>
                <w:color w:val="auto"/>
                <w:spacing w:val="3"/>
                <w:sz w:val="21"/>
                <w:szCs w:val="21"/>
                <w:lang w:val="en-US" w:eastAsia="zh-CN"/>
              </w:rPr>
            </w:pPr>
            <w:r>
              <w:rPr>
                <w:rFonts w:hint="eastAsia" w:ascii="Times New Roman" w:hAnsi="Times New Roman" w:eastAsia="宋体" w:cs="Times New Roman"/>
                <w:color w:val="auto"/>
                <w:spacing w:val="3"/>
                <w:sz w:val="21"/>
                <w:szCs w:val="21"/>
                <w:lang w:val="en-US" w:eastAsia="zh-CN"/>
              </w:rPr>
              <w:t>2022.4.8</w:t>
            </w:r>
          </w:p>
        </w:tc>
        <w:tc>
          <w:tcPr>
            <w:tcW w:w="1179" w:type="pct"/>
            <w:tcBorders>
              <w:tl2br w:val="nil"/>
              <w:tr2bl w:val="nil"/>
            </w:tcBorders>
            <w:shd w:val="clear" w:color="auto" w:fill="auto"/>
            <w:vAlign w:val="center"/>
          </w:tcPr>
          <w:p w14:paraId="42A231D9">
            <w:pPr>
              <w:autoSpaceDE w:val="0"/>
              <w:autoSpaceDN w:val="0"/>
              <w:spacing w:line="240" w:lineRule="auto"/>
              <w:jc w:val="center"/>
              <w:rPr>
                <w:rFonts w:hint="eastAsia"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30</w:t>
            </w:r>
          </w:p>
        </w:tc>
        <w:tc>
          <w:tcPr>
            <w:tcW w:w="906" w:type="pct"/>
            <w:tcBorders>
              <w:tl2br w:val="nil"/>
              <w:tr2bl w:val="nil"/>
            </w:tcBorders>
            <w:shd w:val="clear" w:color="auto" w:fill="auto"/>
            <w:vAlign w:val="center"/>
          </w:tcPr>
          <w:p w14:paraId="0850CD16">
            <w:pPr>
              <w:autoSpaceDE w:val="0"/>
              <w:autoSpaceDN w:val="0"/>
              <w:spacing w:line="240" w:lineRule="auto"/>
              <w:jc w:val="center"/>
              <w:rPr>
                <w:rFonts w:hint="eastAsia" w:ascii="Times New Roman" w:hAnsi="Times New Roman" w:eastAsia="宋体" w:cs="Times New Roman"/>
                <w:color w:val="auto"/>
                <w:kern w:val="2"/>
                <w:sz w:val="21"/>
                <w:szCs w:val="21"/>
                <w:lang w:val="en-US" w:eastAsia="zh-CN" w:bidi="ar-SA"/>
              </w:rPr>
            </w:pPr>
            <w:r>
              <w:rPr>
                <w:rFonts w:ascii="Times New Roman" w:hAnsi="Times New Roman"/>
                <w:color w:val="auto"/>
                <w:sz w:val="21"/>
                <w:szCs w:val="21"/>
              </w:rPr>
              <w:t>0.064</w:t>
            </w:r>
          </w:p>
        </w:tc>
      </w:tr>
    </w:tbl>
    <w:p w14:paraId="27E0CF72">
      <w:pPr>
        <w:widowControl/>
        <w:kinsoku w:val="0"/>
        <w:autoSpaceDE w:val="0"/>
        <w:autoSpaceDN w:val="0"/>
        <w:adjustRightInd w:val="0"/>
        <w:snapToGrid w:val="0"/>
        <w:spacing w:line="360" w:lineRule="auto"/>
        <w:ind w:firstLine="480" w:firstLineChars="200"/>
        <w:rPr>
          <w:rFonts w:hint="eastAsia" w:ascii="Times New Roman" w:hAnsi="Times New Roman" w:eastAsia="宋体"/>
          <w:color w:val="auto"/>
          <w:sz w:val="24"/>
          <w:szCs w:val="24"/>
          <w:lang w:eastAsia="zh-CN"/>
        </w:rPr>
      </w:pPr>
      <w:r>
        <w:rPr>
          <w:rFonts w:ascii="Times New Roman" w:hAnsi="Times New Roman" w:eastAsia="宋体"/>
          <w:color w:val="auto"/>
          <w:sz w:val="24"/>
          <w:szCs w:val="24"/>
        </w:rPr>
        <w:t>由上表监测结果可知：</w:t>
      </w:r>
      <w:r>
        <w:rPr>
          <w:rFonts w:hint="eastAsia" w:ascii="Times New Roman" w:hAnsi="Times New Roman" w:eastAsia="宋体"/>
          <w:color w:val="auto"/>
          <w:sz w:val="24"/>
          <w:szCs w:val="24"/>
          <w:lang w:val="en-US" w:eastAsia="zh-CN"/>
        </w:rPr>
        <w:t>220kV六合一升压站</w:t>
      </w:r>
      <w:r>
        <w:rPr>
          <w:rFonts w:hint="default" w:ascii="Times New Roman" w:hAnsi="Times New Roman" w:eastAsia="宋体"/>
          <w:color w:val="auto"/>
          <w:sz w:val="24"/>
          <w:szCs w:val="24"/>
        </w:rPr>
        <w:t>站址中心的工频电场强度为30V/m~41V/m，工频磁感应强度范围为0.064μT~0.086μT，能满足《电磁环境控制限值》（GB8702-2014）</w:t>
      </w:r>
      <w:r>
        <w:rPr>
          <w:rFonts w:hint="eastAsia" w:ascii="Times New Roman" w:hAnsi="Times New Roman" w:eastAsia="宋体"/>
          <w:color w:val="auto"/>
          <w:sz w:val="24"/>
          <w:szCs w:val="24"/>
          <w:lang w:val="en-US" w:eastAsia="zh-CN"/>
        </w:rPr>
        <w:t>公众曝露控制限值</w:t>
      </w:r>
      <w:r>
        <w:rPr>
          <w:rFonts w:hint="default" w:ascii="Times New Roman" w:hAnsi="Times New Roman" w:eastAsia="宋体"/>
          <w:color w:val="auto"/>
          <w:sz w:val="24"/>
          <w:szCs w:val="24"/>
        </w:rPr>
        <w:t>标准（工频电场4000V/m、工频磁感应强度100μT）的要求</w:t>
      </w:r>
      <w:r>
        <w:rPr>
          <w:rFonts w:hint="eastAsia" w:ascii="Times New Roman" w:hAnsi="Times New Roman" w:eastAsia="宋体"/>
          <w:color w:val="auto"/>
          <w:sz w:val="24"/>
          <w:szCs w:val="24"/>
          <w:lang w:eastAsia="zh-CN"/>
        </w:rPr>
        <w:t>。</w:t>
      </w:r>
    </w:p>
    <w:p w14:paraId="5E74B4F5">
      <w:pPr>
        <w:widowControl/>
        <w:kinsoku w:val="0"/>
        <w:autoSpaceDE w:val="0"/>
        <w:autoSpaceDN w:val="0"/>
        <w:adjustRightInd w:val="0"/>
        <w:snapToGrid w:val="0"/>
        <w:spacing w:line="360" w:lineRule="auto"/>
        <w:ind w:firstLine="480" w:firstLineChars="200"/>
        <w:rPr>
          <w:rFonts w:hint="default" w:ascii="Times New Roman" w:hAnsi="Times New Roman" w:eastAsia="宋体"/>
          <w:color w:val="auto"/>
          <w:sz w:val="24"/>
          <w:szCs w:val="24"/>
        </w:rPr>
      </w:pPr>
      <w:r>
        <w:rPr>
          <w:rFonts w:hint="eastAsia" w:ascii="Times New Roman" w:hAnsi="Times New Roman" w:eastAsia="宋体"/>
          <w:color w:val="auto"/>
          <w:sz w:val="24"/>
          <w:szCs w:val="24"/>
          <w:lang w:val="en-US" w:eastAsia="zh-CN"/>
        </w:rPr>
        <w:t>110kV大草房升压站站址中心拟建站址中心处及附近的工频电场强度为10.964V/m，拟建站址中心处及附近的工频磁感应强度为0.035μT，</w:t>
      </w:r>
      <w:r>
        <w:rPr>
          <w:rFonts w:hint="eastAsia" w:ascii="Times New Roman" w:hAnsi="Times New Roman" w:eastAsia="宋体"/>
          <w:color w:val="auto"/>
          <w:sz w:val="24"/>
          <w:szCs w:val="24"/>
        </w:rPr>
        <w:t>《电磁环境控制限值》（GB8702-2014）标准（工频电场4000V/m、工频磁感应强度100μT）的要求。</w:t>
      </w:r>
    </w:p>
    <w:p w14:paraId="76A38DAC">
      <w:pPr>
        <w:rPr>
          <w:rFonts w:hint="default" w:ascii="Times New Roman" w:hAnsi="Times New Roman" w:eastAsia="宋体" w:cs="Times New Roman"/>
          <w:b/>
          <w:bCs/>
          <w:color w:val="auto"/>
          <w:spacing w:val="-4"/>
          <w:kern w:val="0"/>
          <w:sz w:val="24"/>
          <w:lang w:bidi="ar"/>
        </w:rPr>
      </w:pPr>
      <w:bookmarkStart w:id="152" w:name="_Toc10948"/>
      <w:r>
        <w:rPr>
          <w:rFonts w:hint="default" w:ascii="Times New Roman" w:hAnsi="Times New Roman" w:eastAsia="宋体" w:cs="Times New Roman"/>
          <w:b/>
          <w:bCs/>
          <w:color w:val="auto"/>
          <w:spacing w:val="-4"/>
          <w:kern w:val="0"/>
          <w:sz w:val="24"/>
          <w:lang w:bidi="ar"/>
        </w:rPr>
        <w:br w:type="page"/>
      </w:r>
    </w:p>
    <w:bookmarkEnd w:id="152"/>
    <w:p w14:paraId="7B7EF0FF">
      <w:pPr>
        <w:widowControl/>
        <w:kinsoku w:val="0"/>
        <w:autoSpaceDE w:val="0"/>
        <w:autoSpaceDN w:val="0"/>
        <w:adjustRightInd w:val="0"/>
        <w:snapToGrid w:val="0"/>
        <w:spacing w:before="156" w:beforeLines="50" w:after="156" w:afterLines="50"/>
        <w:outlineLvl w:val="0"/>
        <w:rPr>
          <w:rFonts w:hint="default" w:ascii="Times New Roman" w:hAnsi="Times New Roman" w:eastAsia="宋体" w:cs="Times New Roman"/>
          <w:b/>
          <w:bCs/>
          <w:color w:val="auto"/>
          <w:sz w:val="30"/>
          <w:szCs w:val="30"/>
        </w:rPr>
      </w:pPr>
      <w:bookmarkStart w:id="153" w:name="_Toc6470"/>
      <w:bookmarkStart w:id="154" w:name="_Toc1766"/>
      <w:r>
        <w:rPr>
          <w:rFonts w:hint="default" w:ascii="Times New Roman" w:hAnsi="Times New Roman" w:eastAsia="宋体" w:cs="Times New Roman"/>
          <w:b/>
          <w:bCs/>
          <w:color w:val="auto"/>
          <w:spacing w:val="-4"/>
          <w:kern w:val="0"/>
          <w:sz w:val="30"/>
          <w:szCs w:val="30"/>
          <w:lang w:bidi="ar"/>
        </w:rPr>
        <w:t>5.电磁环境影响预测与评价</w:t>
      </w:r>
      <w:bookmarkEnd w:id="153"/>
      <w:bookmarkEnd w:id="154"/>
    </w:p>
    <w:p w14:paraId="4FF06E08">
      <w:pPr>
        <w:spacing w:line="360" w:lineRule="auto"/>
        <w:ind w:firstLine="476" w:firstLineChars="200"/>
        <w:rPr>
          <w:rFonts w:hint="default" w:ascii="Times New Roman" w:hAnsi="Times New Roman" w:eastAsia="宋体" w:cs="Times New Roman"/>
          <w:color w:val="auto"/>
          <w:spacing w:val="-1"/>
          <w:kern w:val="0"/>
          <w:sz w:val="24"/>
          <w:lang w:bidi="ar"/>
        </w:rPr>
      </w:pPr>
      <w:r>
        <w:rPr>
          <w:rFonts w:hint="default" w:ascii="Times New Roman" w:hAnsi="Times New Roman" w:eastAsia="宋体" w:cs="Times New Roman"/>
          <w:color w:val="auto"/>
          <w:spacing w:val="-1"/>
          <w:kern w:val="0"/>
          <w:sz w:val="24"/>
          <w:lang w:bidi="ar"/>
        </w:rPr>
        <w:t>本工程</w:t>
      </w:r>
      <w:r>
        <w:rPr>
          <w:rFonts w:hint="default" w:ascii="Times New Roman" w:hAnsi="Times New Roman" w:eastAsia="宋体" w:cs="Times New Roman"/>
          <w:color w:val="auto"/>
          <w:spacing w:val="-1"/>
          <w:kern w:val="0"/>
          <w:sz w:val="24"/>
          <w:lang w:val="en-US" w:eastAsia="zh-CN" w:bidi="ar"/>
        </w:rPr>
        <w:t>11</w:t>
      </w:r>
      <w:r>
        <w:rPr>
          <w:rFonts w:hint="default" w:ascii="Times New Roman" w:hAnsi="Times New Roman" w:eastAsia="宋体" w:cs="Times New Roman"/>
          <w:color w:val="auto"/>
          <w:spacing w:val="-1"/>
          <w:kern w:val="0"/>
          <w:sz w:val="24"/>
          <w:lang w:bidi="ar"/>
        </w:rPr>
        <w:t>0kV线路的电磁环境影响评价等级为三级。架空线路电磁环境影响采用模式预测（理论计算）的方式进行预测分析。本项目输电线路</w:t>
      </w:r>
      <w:r>
        <w:rPr>
          <w:rFonts w:hint="default" w:ascii="Times New Roman" w:hAnsi="Times New Roman" w:eastAsia="宋体" w:cs="Times New Roman"/>
          <w:color w:val="auto"/>
          <w:spacing w:val="-1"/>
          <w:kern w:val="0"/>
          <w:sz w:val="24"/>
          <w:lang w:val="en-US" w:eastAsia="zh-CN" w:bidi="ar"/>
        </w:rPr>
        <w:t>属于110kV线路，不存在多条330kV及以上电压等级的架高输电线路出现交叉跨越或并行的情况</w:t>
      </w:r>
      <w:r>
        <w:rPr>
          <w:rFonts w:hint="default" w:ascii="Times New Roman" w:hAnsi="Times New Roman" w:eastAsia="宋体" w:cs="Times New Roman"/>
          <w:color w:val="auto"/>
          <w:spacing w:val="-1"/>
          <w:kern w:val="0"/>
          <w:sz w:val="24"/>
          <w:lang w:bidi="ar"/>
        </w:rPr>
        <w:t>，因此不考虑叠加影响。</w:t>
      </w:r>
    </w:p>
    <w:p w14:paraId="55BA0B70">
      <w:pPr>
        <w:widowControl/>
        <w:kinsoku w:val="0"/>
        <w:autoSpaceDE w:val="0"/>
        <w:autoSpaceDN w:val="0"/>
        <w:adjustRightInd w:val="0"/>
        <w:snapToGrid w:val="0"/>
        <w:spacing w:before="156" w:beforeLines="50" w:after="156" w:afterLines="50"/>
        <w:outlineLvl w:val="1"/>
        <w:rPr>
          <w:rFonts w:hint="default" w:ascii="Times New Roman" w:hAnsi="Times New Roman" w:eastAsia="宋体" w:cs="Times New Roman"/>
          <w:b/>
          <w:bCs/>
          <w:color w:val="auto"/>
          <w:spacing w:val="-1"/>
          <w:kern w:val="0"/>
          <w:sz w:val="28"/>
          <w:szCs w:val="28"/>
          <w:lang w:bidi="ar"/>
        </w:rPr>
      </w:pPr>
      <w:bookmarkStart w:id="155" w:name="_Toc11030"/>
      <w:bookmarkStart w:id="156" w:name="_Toc409709910"/>
      <w:r>
        <w:rPr>
          <w:rFonts w:hint="default" w:ascii="Times New Roman" w:hAnsi="Times New Roman" w:eastAsia="宋体" w:cs="Times New Roman"/>
          <w:b/>
          <w:bCs/>
          <w:color w:val="auto"/>
          <w:spacing w:val="-1"/>
          <w:kern w:val="0"/>
          <w:sz w:val="28"/>
          <w:szCs w:val="28"/>
          <w:lang w:bidi="ar"/>
        </w:rPr>
        <w:t>5.1预测因子</w:t>
      </w:r>
      <w:bookmarkEnd w:id="155"/>
    </w:p>
    <w:p w14:paraId="5D559C0E">
      <w:pPr>
        <w:spacing w:line="360" w:lineRule="auto"/>
        <w:ind w:right="238" w:firstLine="480" w:firstLineChars="200"/>
        <w:rPr>
          <w:rFonts w:hint="default" w:ascii="Times New Roman" w:hAnsi="Times New Roman" w:eastAsia="宋体" w:cs="Times New Roman"/>
          <w:bCs/>
          <w:snapToGrid w:val="0"/>
          <w:color w:val="auto"/>
          <w:kern w:val="0"/>
          <w:sz w:val="24"/>
          <w:szCs w:val="20"/>
        </w:rPr>
      </w:pPr>
      <w:r>
        <w:rPr>
          <w:rFonts w:hint="default" w:ascii="Times New Roman" w:hAnsi="Times New Roman" w:eastAsia="宋体" w:cs="Times New Roman"/>
          <w:bCs/>
          <w:snapToGrid w:val="0"/>
          <w:color w:val="auto"/>
          <w:kern w:val="0"/>
          <w:sz w:val="24"/>
          <w:szCs w:val="20"/>
        </w:rPr>
        <w:t>工频电场、工频磁场。</w:t>
      </w:r>
    </w:p>
    <w:p w14:paraId="3850B328">
      <w:pPr>
        <w:widowControl/>
        <w:kinsoku w:val="0"/>
        <w:autoSpaceDE w:val="0"/>
        <w:autoSpaceDN w:val="0"/>
        <w:adjustRightInd w:val="0"/>
        <w:snapToGrid w:val="0"/>
        <w:spacing w:before="156" w:beforeLines="50" w:after="156" w:afterLines="50"/>
        <w:outlineLvl w:val="1"/>
        <w:rPr>
          <w:rFonts w:hint="default" w:ascii="Times New Roman" w:hAnsi="Times New Roman" w:eastAsia="宋体" w:cs="Times New Roman"/>
          <w:b/>
          <w:bCs/>
          <w:color w:val="auto"/>
          <w:spacing w:val="-1"/>
          <w:kern w:val="0"/>
          <w:sz w:val="28"/>
          <w:szCs w:val="28"/>
          <w:lang w:bidi="ar"/>
        </w:rPr>
      </w:pPr>
      <w:bookmarkStart w:id="157" w:name="_Toc7547"/>
      <w:r>
        <w:rPr>
          <w:rFonts w:hint="default" w:ascii="Times New Roman" w:hAnsi="Times New Roman" w:eastAsia="宋体" w:cs="Times New Roman"/>
          <w:b/>
          <w:bCs/>
          <w:color w:val="auto"/>
          <w:spacing w:val="-1"/>
          <w:kern w:val="0"/>
          <w:sz w:val="28"/>
          <w:szCs w:val="28"/>
          <w:lang w:bidi="ar"/>
        </w:rPr>
        <w:t>5.2预测模式</w:t>
      </w:r>
      <w:bookmarkEnd w:id="157"/>
    </w:p>
    <w:p w14:paraId="0AF5D8DB">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本次评价所采取的预测模型引用自</w:t>
      </w:r>
      <w:r>
        <w:rPr>
          <w:rFonts w:hint="default" w:ascii="Times New Roman" w:hAnsi="Times New Roman" w:eastAsia="宋体" w:cs="Times New Roman"/>
          <w:bCs/>
          <w:color w:val="auto"/>
          <w:sz w:val="24"/>
        </w:rPr>
        <w:t>《</w:t>
      </w:r>
      <w:r>
        <w:rPr>
          <w:rFonts w:hint="default" w:ascii="Times New Roman" w:hAnsi="Times New Roman" w:eastAsia="宋体" w:cs="Times New Roman"/>
          <w:color w:val="auto"/>
          <w:sz w:val="24"/>
        </w:rPr>
        <w:t>环境影响评价技术导则 输变电</w:t>
      </w:r>
      <w:r>
        <w:rPr>
          <w:rFonts w:hint="default" w:ascii="Times New Roman" w:hAnsi="Times New Roman" w:eastAsia="宋体" w:cs="Times New Roman"/>
          <w:bCs/>
          <w:color w:val="auto"/>
          <w:sz w:val="24"/>
        </w:rPr>
        <w:t>》（HJ24-2020）中</w:t>
      </w:r>
      <w:r>
        <w:rPr>
          <w:rFonts w:hint="default" w:ascii="Times New Roman" w:hAnsi="Times New Roman" w:eastAsia="宋体" w:cs="Times New Roman"/>
          <w:color w:val="auto"/>
          <w:sz w:val="24"/>
        </w:rPr>
        <w:t>附录C高压交流架空输电线路下空间工频电场强度的计算、附录D高压交流架空输电线路下空间工频磁场强度的计算进行预测。本次评价采用线路工频电磁场及无线电干扰计算程序进行计算。</w:t>
      </w:r>
    </w:p>
    <w:p w14:paraId="148CFC70">
      <w:pPr>
        <w:widowControl/>
        <w:kinsoku w:val="0"/>
        <w:autoSpaceDE w:val="0"/>
        <w:autoSpaceDN w:val="0"/>
        <w:adjustRightInd w:val="0"/>
        <w:snapToGrid w:val="0"/>
        <w:spacing w:before="156" w:beforeLines="50" w:after="156" w:afterLines="50"/>
        <w:outlineLvl w:val="1"/>
        <w:rPr>
          <w:rFonts w:hint="default" w:ascii="Times New Roman" w:hAnsi="Times New Roman" w:eastAsia="宋体" w:cs="Times New Roman"/>
          <w:b/>
          <w:bCs/>
          <w:color w:val="auto"/>
          <w:spacing w:val="-1"/>
          <w:kern w:val="0"/>
          <w:sz w:val="28"/>
          <w:szCs w:val="28"/>
          <w:lang w:bidi="ar"/>
        </w:rPr>
      </w:pPr>
      <w:bookmarkStart w:id="158" w:name="_Toc22372"/>
      <w:r>
        <w:rPr>
          <w:rFonts w:hint="default" w:ascii="Times New Roman" w:hAnsi="Times New Roman" w:eastAsia="宋体" w:cs="Times New Roman"/>
          <w:b/>
          <w:bCs/>
          <w:color w:val="auto"/>
          <w:spacing w:val="-1"/>
          <w:kern w:val="0"/>
          <w:sz w:val="28"/>
          <w:szCs w:val="28"/>
          <w:lang w:bidi="ar"/>
        </w:rPr>
        <w:t>5.3工频电场计算公式</w:t>
      </w:r>
      <w:bookmarkEnd w:id="158"/>
    </w:p>
    <w:bookmarkEnd w:id="156"/>
    <w:p w14:paraId="7FBD14F9">
      <w:pPr>
        <w:adjustRightInd w:val="0"/>
        <w:snapToGrid w:val="0"/>
        <w:spacing w:line="360" w:lineRule="auto"/>
        <w:ind w:firstLine="482" w:firstLineChars="200"/>
        <w:rPr>
          <w:rFonts w:hint="default" w:ascii="Times New Roman" w:hAnsi="Times New Roman" w:eastAsia="宋体" w:cs="Times New Roman"/>
          <w:b/>
          <w:bCs/>
          <w:color w:val="auto"/>
          <w:sz w:val="24"/>
        </w:rPr>
      </w:pPr>
      <w:bookmarkStart w:id="159" w:name="_Toc418088599"/>
      <w:bookmarkStart w:id="160" w:name="_Toc418089372"/>
      <w:bookmarkStart w:id="161" w:name="_Toc409709915"/>
      <w:r>
        <w:rPr>
          <w:rFonts w:hint="eastAsia" w:ascii="Times New Roman" w:hAnsi="Times New Roman" w:cs="Times New Roman"/>
          <w:b/>
          <w:bCs/>
          <w:color w:val="auto"/>
          <w:sz w:val="24"/>
          <w:lang w:eastAsia="zh-CN"/>
        </w:rPr>
        <w:t>（</w:t>
      </w:r>
      <w:r>
        <w:rPr>
          <w:rFonts w:hint="eastAsia" w:ascii="Times New Roman" w:hAnsi="Times New Roman" w:cs="Times New Roman"/>
          <w:b/>
          <w:bCs/>
          <w:color w:val="auto"/>
          <w:sz w:val="24"/>
          <w:lang w:val="en-US" w:eastAsia="zh-CN"/>
        </w:rPr>
        <w:t>1</w:t>
      </w:r>
      <w:r>
        <w:rPr>
          <w:rFonts w:hint="eastAsia" w:ascii="Times New Roman" w:hAnsi="Times New Roman" w:cs="Times New Roman"/>
          <w:b/>
          <w:bCs/>
          <w:color w:val="auto"/>
          <w:sz w:val="24"/>
          <w:lang w:eastAsia="zh-CN"/>
        </w:rPr>
        <w:t>）</w:t>
      </w:r>
      <w:r>
        <w:rPr>
          <w:rFonts w:hint="default" w:ascii="Times New Roman" w:hAnsi="Times New Roman" w:eastAsia="宋体" w:cs="Times New Roman"/>
          <w:b/>
          <w:bCs/>
          <w:color w:val="auto"/>
          <w:sz w:val="24"/>
        </w:rPr>
        <w:t>计算单位长度导线上等效电荷</w:t>
      </w:r>
    </w:p>
    <w:p w14:paraId="13DA8ED1">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高压输电线上的等效电荷是线电荷，由于高压输电线半径</w:t>
      </w:r>
      <w:r>
        <w:rPr>
          <w:rFonts w:hint="default" w:ascii="Times New Roman" w:hAnsi="Times New Roman" w:eastAsia="宋体" w:cs="Times New Roman"/>
          <w:i/>
          <w:iCs/>
          <w:color w:val="auto"/>
          <w:sz w:val="24"/>
        </w:rPr>
        <w:t>r</w:t>
      </w:r>
      <w:r>
        <w:rPr>
          <w:rFonts w:hint="default" w:ascii="Times New Roman" w:hAnsi="Times New Roman" w:eastAsia="宋体" w:cs="Times New Roman"/>
          <w:color w:val="auto"/>
          <w:sz w:val="24"/>
        </w:rPr>
        <w:t>远远小于架设高度</w:t>
      </w:r>
      <w:r>
        <w:rPr>
          <w:rFonts w:hint="default" w:ascii="Times New Roman" w:hAnsi="Times New Roman" w:eastAsia="宋体" w:cs="Times New Roman"/>
          <w:i/>
          <w:iCs/>
          <w:color w:val="auto"/>
          <w:sz w:val="24"/>
        </w:rPr>
        <w:t>h</w:t>
      </w:r>
      <w:r>
        <w:rPr>
          <w:rFonts w:hint="default" w:ascii="Times New Roman" w:hAnsi="Times New Roman" w:eastAsia="宋体" w:cs="Times New Roman"/>
          <w:color w:val="auto"/>
          <w:sz w:val="24"/>
        </w:rPr>
        <w:t>，所以等效电荷的位置可以认为是在输电导线的几何中心。</w:t>
      </w:r>
    </w:p>
    <w:p w14:paraId="42A5B33B">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设输电线路为无限长并且平行于地面，地面可视为良导体，利用镜像法计算输电线上的等效电荷。</w:t>
      </w:r>
    </w:p>
    <w:p w14:paraId="69D9A6F6">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为了计算多导线线路中导线上的等效电荷，可写出下列矩阵方程：</w:t>
      </w:r>
    </w:p>
    <w:p w14:paraId="5DE724F9">
      <w:pPr>
        <w:adjustRightInd w:val="0"/>
        <w:snapToGrid w:val="0"/>
        <w:spacing w:line="360" w:lineRule="auto"/>
        <w:ind w:firstLine="1260" w:firstLineChars="60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position w:val="-70"/>
        </w:rPr>
        <w:object>
          <v:shape id="_x0000_i1027" o:spt="75" type="#_x0000_t75" style="height:72pt;width:180pt;" o:ole="t" filled="f" o:preferrelative="t" stroked="f" coordsize="21600,21600">
            <v:path/>
            <v:fill on="f" focussize="0,0"/>
            <v:stroke on="f" joinstyle="miter"/>
            <v:imagedata r:id="rId41" o:title=""/>
            <o:lock v:ext="edit" aspectratio="t"/>
            <w10:wrap type="none"/>
            <w10:anchorlock/>
          </v:shape>
          <o:OLEObject Type="Embed" ProgID="Equation.3" ShapeID="_x0000_i1027" DrawAspect="Content" ObjectID="_1468075727" r:id="rId40">
            <o:LockedField>false</o:LockedField>
          </o:OLEObject>
        </w:object>
      </w:r>
      <w:r>
        <w:rPr>
          <w:rFonts w:hint="default" w:ascii="Times New Roman" w:hAnsi="Times New Roman" w:eastAsia="宋体" w:cs="Times New Roman"/>
          <w:color w:val="auto"/>
        </w:rPr>
        <w:t>……………</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C1</w:t>
      </w:r>
      <w:r>
        <w:rPr>
          <w:rFonts w:hint="default" w:ascii="Times New Roman" w:hAnsi="Times New Roman" w:eastAsia="宋体" w:cs="Times New Roman"/>
          <w:color w:val="auto"/>
          <w:lang w:eastAsia="zh-CN"/>
        </w:rPr>
        <w:t>)</w:t>
      </w:r>
    </w:p>
    <w:p w14:paraId="07825D18">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w:t>
      </w:r>
      <w:r>
        <w:rPr>
          <w:rFonts w:hint="default" w:ascii="Times New Roman" w:hAnsi="Times New Roman" w:eastAsia="宋体" w:cs="Times New Roman"/>
          <w:i/>
          <w:iCs/>
          <w:color w:val="auto"/>
          <w:sz w:val="24"/>
        </w:rPr>
        <w:t>U</w:t>
      </w:r>
      <w:r>
        <w:rPr>
          <w:rFonts w:hint="default" w:ascii="Times New Roman" w:hAnsi="Times New Roman" w:eastAsia="宋体" w:cs="Times New Roman"/>
          <w:color w:val="auto"/>
          <w:sz w:val="24"/>
        </w:rPr>
        <w:t>—各导线对地电压的单列矩阵；</w:t>
      </w:r>
    </w:p>
    <w:p w14:paraId="2F3A2621">
      <w:pPr>
        <w:adjustRightInd w:val="0"/>
        <w:snapToGrid w:val="0"/>
        <w:spacing w:line="360" w:lineRule="auto"/>
        <w:ind w:firstLine="1200" w:firstLineChars="500"/>
        <w:rPr>
          <w:rFonts w:hint="default" w:ascii="Times New Roman" w:hAnsi="Times New Roman" w:eastAsia="宋体" w:cs="Times New Roman"/>
          <w:i/>
          <w:iCs/>
          <w:color w:val="auto"/>
          <w:sz w:val="24"/>
        </w:rPr>
      </w:pPr>
      <w:r>
        <w:rPr>
          <w:rFonts w:hint="default" w:ascii="Times New Roman" w:hAnsi="Times New Roman" w:eastAsia="宋体" w:cs="Times New Roman"/>
          <w:i/>
          <w:iCs/>
          <w:color w:val="auto"/>
          <w:sz w:val="24"/>
        </w:rPr>
        <w:t>Q</w:t>
      </w:r>
      <w:r>
        <w:rPr>
          <w:rFonts w:hint="default" w:ascii="Times New Roman" w:hAnsi="Times New Roman" w:eastAsia="宋体" w:cs="Times New Roman"/>
          <w:color w:val="auto"/>
          <w:sz w:val="24"/>
        </w:rPr>
        <w:t>—各导线上等效电荷的单列矩阵；</w:t>
      </w:r>
    </w:p>
    <w:p w14:paraId="64D5939B">
      <w:pPr>
        <w:adjustRightInd w:val="0"/>
        <w:snapToGrid w:val="0"/>
        <w:spacing w:line="360" w:lineRule="auto"/>
        <w:ind w:firstLine="1200" w:firstLineChars="500"/>
        <w:rPr>
          <w:rFonts w:hint="default" w:ascii="Times New Roman" w:hAnsi="Times New Roman" w:eastAsia="宋体" w:cs="Times New Roman"/>
          <w:color w:val="auto"/>
          <w:sz w:val="24"/>
        </w:rPr>
      </w:pPr>
      <w:r>
        <w:rPr>
          <w:rFonts w:hint="default" w:ascii="Times New Roman" w:hAnsi="Times New Roman" w:eastAsia="宋体" w:cs="Times New Roman"/>
          <w:i/>
          <w:iCs/>
          <w:color w:val="auto"/>
          <w:sz w:val="24"/>
        </w:rPr>
        <w:t>λ</w:t>
      </w:r>
      <w:r>
        <w:rPr>
          <w:rFonts w:hint="default" w:ascii="Times New Roman" w:hAnsi="Times New Roman" w:eastAsia="宋体" w:cs="Times New Roman"/>
          <w:color w:val="auto"/>
          <w:sz w:val="24"/>
        </w:rPr>
        <w:t>—各导线的电位系数组成的</w:t>
      </w:r>
      <w:r>
        <w:rPr>
          <w:rFonts w:hint="default" w:ascii="Times New Roman" w:hAnsi="Times New Roman" w:eastAsia="宋体" w:cs="Times New Roman"/>
          <w:i/>
          <w:iCs/>
          <w:color w:val="auto"/>
          <w:sz w:val="24"/>
        </w:rPr>
        <w:t>n</w:t>
      </w:r>
      <w:r>
        <w:rPr>
          <w:rFonts w:hint="default" w:ascii="Times New Roman" w:hAnsi="Times New Roman" w:eastAsia="宋体" w:cs="Times New Roman"/>
          <w:color w:val="auto"/>
          <w:sz w:val="24"/>
        </w:rPr>
        <w:t>阶方阵</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i/>
          <w:iCs/>
          <w:color w:val="auto"/>
          <w:sz w:val="24"/>
        </w:rPr>
        <w:t>n</w:t>
      </w:r>
      <w:r>
        <w:rPr>
          <w:rFonts w:hint="default" w:ascii="Times New Roman" w:hAnsi="Times New Roman" w:eastAsia="宋体" w:cs="Times New Roman"/>
          <w:color w:val="auto"/>
          <w:sz w:val="24"/>
        </w:rPr>
        <w:t>为导线数目</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w:t>
      </w:r>
    </w:p>
    <w:p w14:paraId="708C966B">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w:t>
      </w:r>
      <w:r>
        <w:rPr>
          <w:rFonts w:hint="default" w:ascii="Times New Roman" w:hAnsi="Times New Roman" w:eastAsia="宋体" w:cs="Times New Roman"/>
          <w:i/>
          <w:iCs/>
          <w:color w:val="auto"/>
          <w:sz w:val="24"/>
        </w:rPr>
        <w:t>U</w:t>
      </w:r>
      <w:r>
        <w:rPr>
          <w:rFonts w:hint="default" w:ascii="Times New Roman" w:hAnsi="Times New Roman" w:eastAsia="宋体" w:cs="Times New Roman"/>
          <w:color w:val="auto"/>
          <w:sz w:val="24"/>
        </w:rPr>
        <w:t>]矩阵可由输电线的电压和相位确定，从环境保护考虑以额定电压的1.05倍作为计算电压。</w:t>
      </w:r>
    </w:p>
    <w:p w14:paraId="5C738367">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w:t>
      </w:r>
      <w:r>
        <w:rPr>
          <w:rFonts w:hint="default" w:ascii="Times New Roman" w:hAnsi="Times New Roman" w:eastAsia="宋体" w:cs="Times New Roman"/>
          <w:i/>
          <w:iCs/>
          <w:color w:val="auto"/>
          <w:sz w:val="24"/>
        </w:rPr>
        <w:t>λ</w:t>
      </w:r>
      <w:r>
        <w:rPr>
          <w:rFonts w:hint="default" w:ascii="Times New Roman" w:hAnsi="Times New Roman" w:eastAsia="宋体" w:cs="Times New Roman"/>
          <w:color w:val="auto"/>
          <w:sz w:val="24"/>
        </w:rPr>
        <w:t>]矩阵由镜像原理求得。地面为电位等于零的平面，地面的感应电荷可由对应地面导线的镜像电荷代替，用</w:t>
      </w:r>
      <w:r>
        <w:rPr>
          <w:rFonts w:hint="default" w:ascii="Times New Roman" w:hAnsi="Times New Roman" w:eastAsia="宋体" w:cs="Times New Roman"/>
          <w:i/>
          <w:iCs/>
          <w:color w:val="auto"/>
          <w:sz w:val="24"/>
        </w:rPr>
        <w:t>i，j</w:t>
      </w:r>
      <w:r>
        <w:rPr>
          <w:rFonts w:hint="default" w:ascii="Times New Roman" w:hAnsi="Times New Roman" w:eastAsia="宋体" w:cs="Times New Roman"/>
          <w:i/>
          <w:iCs/>
          <w:color w:val="auto"/>
          <w:sz w:val="24"/>
          <w:lang w:eastAsia="zh-CN"/>
        </w:rPr>
        <w:t>，</w:t>
      </w:r>
      <w:r>
        <w:rPr>
          <w:rFonts w:hint="default" w:ascii="Times New Roman" w:hAnsi="Times New Roman" w:eastAsia="宋体" w:cs="Times New Roman"/>
          <w:color w:val="auto"/>
          <w:sz w:val="24"/>
        </w:rPr>
        <w:t>表示相互平行的实际导线，用</w:t>
      </w:r>
      <w:r>
        <w:rPr>
          <w:rFonts w:hint="default" w:ascii="Times New Roman" w:hAnsi="Times New Roman" w:eastAsia="宋体" w:cs="Times New Roman"/>
          <w:i/>
          <w:iCs/>
          <w:color w:val="auto"/>
          <w:sz w:val="24"/>
        </w:rPr>
        <w:t>i′，j′</w:t>
      </w:r>
      <w:r>
        <w:rPr>
          <w:rFonts w:hint="default" w:ascii="Times New Roman" w:hAnsi="Times New Roman" w:eastAsia="宋体" w:cs="Times New Roman"/>
          <w:i/>
          <w:iCs/>
          <w:color w:val="auto"/>
          <w:sz w:val="24"/>
          <w:lang w:eastAsia="zh-CN"/>
        </w:rPr>
        <w:t>，</w:t>
      </w:r>
      <w:r>
        <w:rPr>
          <w:rFonts w:hint="default" w:ascii="Times New Roman" w:hAnsi="Times New Roman" w:eastAsia="宋体" w:cs="Times New Roman"/>
          <w:color w:val="auto"/>
          <w:sz w:val="24"/>
        </w:rPr>
        <w:t>表示它们的镜像，如图C.2所示，电位系数可写为：</w:t>
      </w:r>
    </w:p>
    <w:p w14:paraId="5684DC0F">
      <w:pPr>
        <w:adjustRightInd w:val="0"/>
        <w:snapToGrid w:val="0"/>
        <w:spacing w:line="360" w:lineRule="auto"/>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drawing>
          <wp:inline distT="0" distB="0" distL="114300" distR="114300">
            <wp:extent cx="1068705" cy="302895"/>
            <wp:effectExtent l="0" t="0" r="17145" b="1905"/>
            <wp:docPr id="14" name="图片 2"/>
            <wp:cNvGraphicFramePr/>
            <a:graphic xmlns:a="http://schemas.openxmlformats.org/drawingml/2006/main">
              <a:graphicData uri="http://schemas.openxmlformats.org/drawingml/2006/picture">
                <pic:pic xmlns:pic="http://schemas.openxmlformats.org/drawingml/2006/picture">
                  <pic:nvPicPr>
                    <pic:cNvPr id="14" name="图片 2"/>
                    <pic:cNvPicPr/>
                  </pic:nvPicPr>
                  <pic:blipFill>
                    <a:blip r:embed="rId42"/>
                    <a:stretch>
                      <a:fillRect/>
                    </a:stretch>
                  </pic:blipFill>
                  <pic:spPr>
                    <a:xfrm>
                      <a:off x="0" y="0"/>
                      <a:ext cx="1068705" cy="302895"/>
                    </a:xfrm>
                    <a:prstGeom prst="rect">
                      <a:avLst/>
                    </a:prstGeom>
                    <a:noFill/>
                    <a:ln>
                      <a:noFill/>
                    </a:ln>
                  </pic:spPr>
                </pic:pic>
              </a:graphicData>
            </a:graphic>
          </wp:inline>
        </w:drawing>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C2</w:t>
      </w:r>
      <w:r>
        <w:rPr>
          <w:rFonts w:hint="default" w:ascii="Times New Roman" w:hAnsi="Times New Roman" w:eastAsia="宋体" w:cs="Times New Roman"/>
          <w:color w:val="auto"/>
          <w:sz w:val="24"/>
          <w:lang w:eastAsia="zh-CN"/>
        </w:rPr>
        <w:t>)</w:t>
      </w:r>
    </w:p>
    <w:p w14:paraId="41FB1CE4">
      <w:pPr>
        <w:adjustRightInd w:val="0"/>
        <w:snapToGrid w:val="0"/>
        <w:spacing w:line="360" w:lineRule="auto"/>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drawing>
          <wp:inline distT="0" distB="0" distL="114300" distR="114300">
            <wp:extent cx="991870" cy="379730"/>
            <wp:effectExtent l="0" t="0" r="17780" b="1270"/>
            <wp:docPr id="15" name="图片 3"/>
            <wp:cNvGraphicFramePr/>
            <a:graphic xmlns:a="http://schemas.openxmlformats.org/drawingml/2006/main">
              <a:graphicData uri="http://schemas.openxmlformats.org/drawingml/2006/picture">
                <pic:pic xmlns:pic="http://schemas.openxmlformats.org/drawingml/2006/picture">
                  <pic:nvPicPr>
                    <pic:cNvPr id="15" name="图片 3"/>
                    <pic:cNvPicPr/>
                  </pic:nvPicPr>
                  <pic:blipFill>
                    <a:blip r:embed="rId43"/>
                    <a:stretch>
                      <a:fillRect/>
                    </a:stretch>
                  </pic:blipFill>
                  <pic:spPr>
                    <a:xfrm>
                      <a:off x="0" y="0"/>
                      <a:ext cx="991870" cy="379730"/>
                    </a:xfrm>
                    <a:prstGeom prst="rect">
                      <a:avLst/>
                    </a:prstGeom>
                    <a:noFill/>
                    <a:ln>
                      <a:noFill/>
                    </a:ln>
                  </pic:spPr>
                </pic:pic>
              </a:graphicData>
            </a:graphic>
          </wp:inline>
        </w:drawing>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C3</w:t>
      </w:r>
      <w:r>
        <w:rPr>
          <w:rFonts w:hint="default" w:ascii="Times New Roman" w:hAnsi="Times New Roman" w:eastAsia="宋体" w:cs="Times New Roman"/>
          <w:color w:val="auto"/>
          <w:sz w:val="24"/>
          <w:lang w:eastAsia="zh-CN"/>
        </w:rPr>
        <w:t>)</w:t>
      </w:r>
    </w:p>
    <w:p w14:paraId="599030D1">
      <w:pPr>
        <w:adjustRightInd w:val="0"/>
        <w:snapToGrid w:val="0"/>
        <w:spacing w:line="360" w:lineRule="auto"/>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drawing>
          <wp:inline distT="0" distB="0" distL="114300" distR="114300">
            <wp:extent cx="611505" cy="231775"/>
            <wp:effectExtent l="0" t="0" r="17145" b="16510"/>
            <wp:docPr id="13" name="图片 4"/>
            <wp:cNvGraphicFramePr/>
            <a:graphic xmlns:a="http://schemas.openxmlformats.org/drawingml/2006/main">
              <a:graphicData uri="http://schemas.openxmlformats.org/drawingml/2006/picture">
                <pic:pic xmlns:pic="http://schemas.openxmlformats.org/drawingml/2006/picture">
                  <pic:nvPicPr>
                    <pic:cNvPr id="13" name="图片 4"/>
                    <pic:cNvPicPr/>
                  </pic:nvPicPr>
                  <pic:blipFill>
                    <a:blip r:embed="rId44"/>
                    <a:stretch>
                      <a:fillRect/>
                    </a:stretch>
                  </pic:blipFill>
                  <pic:spPr>
                    <a:xfrm>
                      <a:off x="0" y="0"/>
                      <a:ext cx="611505" cy="231775"/>
                    </a:xfrm>
                    <a:prstGeom prst="rect">
                      <a:avLst/>
                    </a:prstGeom>
                    <a:noFill/>
                    <a:ln>
                      <a:noFill/>
                    </a:ln>
                  </pic:spPr>
                </pic:pic>
              </a:graphicData>
            </a:graphic>
          </wp:inline>
        </w:drawing>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C4</w:t>
      </w:r>
      <w:r>
        <w:rPr>
          <w:rFonts w:hint="default" w:ascii="Times New Roman" w:hAnsi="Times New Roman" w:eastAsia="宋体" w:cs="Times New Roman"/>
          <w:color w:val="auto"/>
          <w:sz w:val="24"/>
          <w:lang w:eastAsia="zh-CN"/>
        </w:rPr>
        <w:t>)</w:t>
      </w:r>
    </w:p>
    <w:p w14:paraId="0BADA18A">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式中：ε</w:t>
      </w:r>
      <w:r>
        <w:rPr>
          <w:rFonts w:hint="default" w:ascii="Times New Roman" w:hAnsi="Times New Roman" w:eastAsia="宋体" w:cs="Times New Roman"/>
          <w:color w:val="auto"/>
          <w:sz w:val="24"/>
          <w:vertAlign w:val="subscript"/>
        </w:rPr>
        <w:t>0</w:t>
      </w:r>
      <w:r>
        <w:rPr>
          <w:rFonts w:hint="default" w:ascii="Times New Roman" w:hAnsi="Times New Roman" w:eastAsia="宋体" w:cs="Times New Roman"/>
          <w:color w:val="auto"/>
          <w:sz w:val="24"/>
        </w:rPr>
        <w:t>——真空介电常数，</w:t>
      </w:r>
      <w:r>
        <w:rPr>
          <w:rFonts w:hint="default" w:ascii="Times New Roman" w:hAnsi="Times New Roman" w:eastAsia="宋体" w:cs="Times New Roman"/>
          <w:color w:val="auto"/>
          <w:sz w:val="24"/>
        </w:rPr>
        <w:drawing>
          <wp:inline distT="0" distB="0" distL="114300" distR="114300">
            <wp:extent cx="1371600" cy="225425"/>
            <wp:effectExtent l="0" t="0" r="0" b="3175"/>
            <wp:docPr id="17" name="图片 6"/>
            <wp:cNvGraphicFramePr/>
            <a:graphic xmlns:a="http://schemas.openxmlformats.org/drawingml/2006/main">
              <a:graphicData uri="http://schemas.openxmlformats.org/drawingml/2006/picture">
                <pic:pic xmlns:pic="http://schemas.openxmlformats.org/drawingml/2006/picture">
                  <pic:nvPicPr>
                    <pic:cNvPr id="17" name="图片 6"/>
                    <pic:cNvPicPr/>
                  </pic:nvPicPr>
                  <pic:blipFill>
                    <a:blip r:embed="rId45"/>
                    <a:stretch>
                      <a:fillRect/>
                    </a:stretch>
                  </pic:blipFill>
                  <pic:spPr>
                    <a:xfrm>
                      <a:off x="0" y="0"/>
                      <a:ext cx="1371600" cy="225425"/>
                    </a:xfrm>
                    <a:prstGeom prst="rect">
                      <a:avLst/>
                    </a:prstGeom>
                    <a:noFill/>
                    <a:ln>
                      <a:noFill/>
                    </a:ln>
                  </pic:spPr>
                </pic:pic>
              </a:graphicData>
            </a:graphic>
          </wp:inline>
        </w:drawing>
      </w:r>
      <w:r>
        <w:rPr>
          <w:rFonts w:hint="default" w:ascii="Times New Roman" w:hAnsi="Times New Roman" w:eastAsia="宋体" w:cs="Times New Roman"/>
          <w:color w:val="auto"/>
          <w:sz w:val="24"/>
        </w:rPr>
        <w:t>；</w:t>
      </w:r>
    </w:p>
    <w:p w14:paraId="1F1AD5EB">
      <w:pPr>
        <w:adjustRightInd w:val="0"/>
        <w:snapToGrid w:val="0"/>
        <w:spacing w:line="360" w:lineRule="auto"/>
        <w:ind w:firstLine="1200" w:firstLineChars="500"/>
        <w:rPr>
          <w:rFonts w:hint="default" w:ascii="Times New Roman" w:hAnsi="Times New Roman" w:eastAsia="宋体" w:cs="Times New Roman"/>
          <w:color w:val="auto"/>
          <w:sz w:val="24"/>
        </w:rPr>
      </w:pPr>
      <m:oMath>
        <m:sSub>
          <m:sSubPr>
            <m:ctrlPr>
              <w:rPr>
                <w:rFonts w:hint="default" w:ascii="Cambria Math" w:hAnsi="Cambria Math" w:eastAsia="宋体" w:cs="Times New Roman"/>
                <w:i/>
                <w:color w:val="auto"/>
                <w:sz w:val="24"/>
              </w:rPr>
            </m:ctrlPr>
          </m:sSubPr>
          <m:e>
            <m:r>
              <m:rPr>
                <m:nor/>
              </m:rPr>
              <w:rPr>
                <w:rFonts w:hint="default" w:ascii="Times New Roman" w:hAnsi="Times New Roman" w:eastAsia="宋体" w:cs="Times New Roman"/>
                <w:i/>
                <w:color w:val="auto"/>
                <w:sz w:val="24"/>
              </w:rPr>
              <m:t>R</m:t>
            </m:r>
            <m:ctrlPr>
              <w:rPr>
                <w:rFonts w:hint="default" w:ascii="Cambria Math" w:hAnsi="Cambria Math" w:eastAsia="宋体" w:cs="Times New Roman"/>
                <w:i/>
                <w:color w:val="auto"/>
                <w:sz w:val="24"/>
              </w:rPr>
            </m:ctrlPr>
          </m:e>
          <m:sub>
            <m:r>
              <m:rPr>
                <m:nor/>
              </m:rPr>
              <w:rPr>
                <w:rFonts w:hint="default" w:ascii="Times New Roman" w:hAnsi="Times New Roman" w:eastAsia="宋体" w:cs="Times New Roman"/>
                <w:i/>
                <w:color w:val="auto"/>
                <w:sz w:val="24"/>
              </w:rPr>
              <m:t>i</m:t>
            </m:r>
            <m:ctrlPr>
              <w:rPr>
                <w:rFonts w:hint="default" w:ascii="Cambria Math" w:hAnsi="Cambria Math" w:eastAsia="宋体" w:cs="Times New Roman"/>
                <w:i/>
                <w:color w:val="auto"/>
                <w:sz w:val="24"/>
              </w:rPr>
            </m:ctrlPr>
          </m:sub>
        </m:sSub>
      </m:oMath>
      <w:r>
        <w:rPr>
          <w:rFonts w:hint="default" w:ascii="Times New Roman" w:hAnsi="Times New Roman" w:eastAsia="宋体" w:cs="Times New Roman"/>
          <w:color w:val="auto"/>
          <w:sz w:val="24"/>
        </w:rPr>
        <w:t>——输电导线半径，对于分裂导线可用等效单根导线半径代入，</w:t>
      </w:r>
      <m:oMath>
        <m:sSub>
          <m:sSubPr>
            <m:ctrlPr>
              <w:rPr>
                <w:rFonts w:hint="default" w:ascii="Cambria Math" w:hAnsi="Cambria Math" w:eastAsia="宋体" w:cs="Times New Roman"/>
                <w:i/>
                <w:color w:val="auto"/>
                <w:sz w:val="24"/>
              </w:rPr>
            </m:ctrlPr>
          </m:sSubPr>
          <m:e>
            <m:r>
              <m:rPr>
                <m:nor/>
              </m:rPr>
              <w:rPr>
                <w:rFonts w:hint="default" w:ascii="Times New Roman" w:hAnsi="Times New Roman" w:eastAsia="宋体" w:cs="Times New Roman"/>
                <w:i/>
                <w:color w:val="auto"/>
                <w:sz w:val="24"/>
              </w:rPr>
              <m:t>R</m:t>
            </m:r>
            <m:ctrlPr>
              <w:rPr>
                <w:rFonts w:hint="default" w:ascii="Cambria Math" w:hAnsi="Cambria Math" w:eastAsia="宋体" w:cs="Times New Roman"/>
                <w:i/>
                <w:color w:val="auto"/>
                <w:sz w:val="24"/>
              </w:rPr>
            </m:ctrlPr>
          </m:e>
          <m:sub>
            <m:r>
              <m:rPr>
                <m:nor/>
              </m:rPr>
              <w:rPr>
                <w:rFonts w:hint="default" w:ascii="Times New Roman" w:hAnsi="Times New Roman" w:eastAsia="宋体" w:cs="Times New Roman"/>
                <w:i/>
                <w:color w:val="auto"/>
                <w:sz w:val="24"/>
              </w:rPr>
              <m:t>i</m:t>
            </m:r>
            <m:ctrlPr>
              <w:rPr>
                <w:rFonts w:hint="default" w:ascii="Cambria Math" w:hAnsi="Cambria Math" w:eastAsia="宋体" w:cs="Times New Roman"/>
                <w:i/>
                <w:color w:val="auto"/>
                <w:sz w:val="24"/>
              </w:rPr>
            </m:ctrlPr>
          </m:sub>
        </m:sSub>
      </m:oMath>
      <w:r>
        <w:rPr>
          <w:rFonts w:hint="default" w:ascii="Times New Roman" w:hAnsi="Times New Roman" w:eastAsia="宋体" w:cs="Times New Roman"/>
          <w:color w:val="auto"/>
          <w:sz w:val="24"/>
        </w:rPr>
        <w:t>的计算式为：</w:t>
      </w:r>
    </w:p>
    <w:p w14:paraId="638D6758">
      <w:pPr>
        <w:adjustRightInd w:val="0"/>
        <w:snapToGrid w:val="0"/>
        <w:spacing w:line="360" w:lineRule="auto"/>
        <w:jc w:val="center"/>
        <w:rPr>
          <w:rFonts w:hint="default" w:ascii="Times New Roman" w:hAnsi="Times New Roman" w:eastAsia="宋体" w:cs="Times New Roman"/>
          <w:i/>
          <w:color w:val="auto"/>
          <w:sz w:val="24"/>
        </w:rPr>
      </w:pPr>
      <w:r>
        <w:rPr>
          <w:rFonts w:hint="default" w:ascii="Times New Roman" w:hAnsi="Times New Roman" w:eastAsia="宋体" w:cs="Times New Roman"/>
          <w:color w:val="auto"/>
          <w:sz w:val="24"/>
        </w:rPr>
        <w:drawing>
          <wp:inline distT="0" distB="0" distL="114300" distR="114300">
            <wp:extent cx="914400" cy="457200"/>
            <wp:effectExtent l="0" t="0" r="0" b="0"/>
            <wp:docPr id="9" name="图片 9"/>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46"/>
                    <a:stretch>
                      <a:fillRect/>
                    </a:stretch>
                  </pic:blipFill>
                  <pic:spPr>
                    <a:xfrm>
                      <a:off x="0" y="0"/>
                      <a:ext cx="914400" cy="457200"/>
                    </a:xfrm>
                    <a:prstGeom prst="rect">
                      <a:avLst/>
                    </a:prstGeom>
                    <a:noFill/>
                    <a:ln>
                      <a:noFill/>
                    </a:ln>
                  </pic:spPr>
                </pic:pic>
              </a:graphicData>
            </a:graphic>
          </wp:inline>
        </w:drawing>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iCs/>
          <w:color w:val="auto"/>
          <w:sz w:val="24"/>
        </w:rPr>
        <w:t>C5</w:t>
      </w:r>
      <w:r>
        <w:rPr>
          <w:rFonts w:hint="default" w:ascii="Times New Roman" w:hAnsi="Times New Roman" w:eastAsia="宋体" w:cs="Times New Roman"/>
          <w:iCs/>
          <w:color w:val="auto"/>
          <w:sz w:val="24"/>
          <w:lang w:eastAsia="zh-CN"/>
        </w:rPr>
        <w:t>)</w:t>
      </w:r>
    </w:p>
    <w:p w14:paraId="42C2860B">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w:t>
      </w:r>
      <m:oMath>
        <m:r>
          <m:rPr>
            <m:nor/>
          </m:rPr>
          <w:rPr>
            <w:rFonts w:hint="default" w:ascii="Times New Roman" w:hAnsi="Times New Roman" w:eastAsia="宋体" w:cs="Times New Roman"/>
            <w:i/>
            <w:color w:val="auto"/>
            <w:sz w:val="24"/>
          </w:rPr>
          <m:t>R</m:t>
        </m:r>
      </m:oMath>
      <w:r>
        <w:rPr>
          <w:rFonts w:hint="default" w:ascii="Times New Roman" w:hAnsi="Times New Roman" w:eastAsia="宋体" w:cs="Times New Roman"/>
          <w:color w:val="auto"/>
          <w:sz w:val="24"/>
        </w:rPr>
        <w:t>——分裂导线半径，m；（如图C.3）</w:t>
      </w:r>
    </w:p>
    <w:p w14:paraId="3B9D1D20">
      <w:pPr>
        <w:adjustRightInd w:val="0"/>
        <w:snapToGrid w:val="0"/>
        <w:spacing w:line="360" w:lineRule="auto"/>
        <w:ind w:firstLine="1200" w:firstLineChars="500"/>
        <w:rPr>
          <w:rFonts w:hint="default" w:ascii="Times New Roman" w:hAnsi="Times New Roman" w:eastAsia="宋体" w:cs="Times New Roman"/>
          <w:i/>
          <w:color w:val="auto"/>
          <w:sz w:val="24"/>
        </w:rPr>
      </w:pPr>
      <w:r>
        <w:rPr>
          <w:rFonts w:hint="default" w:ascii="Times New Roman" w:hAnsi="Times New Roman" w:eastAsia="宋体" w:cs="Times New Roman"/>
          <w:i/>
          <w:color w:val="auto"/>
          <w:sz w:val="24"/>
        </w:rPr>
        <w:t>n</w:t>
      </w:r>
      <w:r>
        <w:rPr>
          <w:rFonts w:hint="default" w:ascii="Times New Roman" w:hAnsi="Times New Roman" w:eastAsia="宋体" w:cs="Times New Roman"/>
          <w:iCs/>
          <w:color w:val="auto"/>
          <w:sz w:val="24"/>
        </w:rPr>
        <w:t>——次导线根数；</w:t>
      </w:r>
    </w:p>
    <w:p w14:paraId="15733942">
      <w:pPr>
        <w:adjustRightInd w:val="0"/>
        <w:snapToGrid w:val="0"/>
        <w:spacing w:line="360" w:lineRule="auto"/>
        <w:ind w:firstLine="1200" w:firstLineChars="500"/>
        <w:rPr>
          <w:rFonts w:hint="default" w:ascii="Times New Roman" w:hAnsi="Times New Roman" w:eastAsia="宋体" w:cs="Times New Roman"/>
          <w:iCs/>
          <w:color w:val="auto"/>
          <w:sz w:val="24"/>
        </w:rPr>
      </w:pPr>
      <w:r>
        <w:rPr>
          <w:rFonts w:hint="default" w:ascii="Times New Roman" w:hAnsi="Times New Roman" w:eastAsia="宋体" w:cs="Times New Roman"/>
          <w:i/>
          <w:color w:val="auto"/>
          <w:sz w:val="24"/>
        </w:rPr>
        <w:t>r</w:t>
      </w:r>
      <w:r>
        <w:rPr>
          <w:rFonts w:hint="default" w:ascii="Times New Roman" w:hAnsi="Times New Roman" w:eastAsia="宋体" w:cs="Times New Roman"/>
          <w:iCs/>
          <w:color w:val="auto"/>
          <w:sz w:val="24"/>
        </w:rPr>
        <w:t>——次导线半径，m。</w:t>
      </w:r>
    </w:p>
    <w:p w14:paraId="00684A49">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由[</w:t>
      </w:r>
      <w:r>
        <w:rPr>
          <w:rFonts w:hint="default" w:ascii="Times New Roman" w:hAnsi="Times New Roman" w:eastAsia="宋体" w:cs="Times New Roman"/>
          <w:i/>
          <w:iCs/>
          <w:color w:val="auto"/>
          <w:sz w:val="24"/>
        </w:rPr>
        <w:t>U</w:t>
      </w:r>
      <w:r>
        <w:rPr>
          <w:rFonts w:hint="default" w:ascii="Times New Roman" w:hAnsi="Times New Roman" w:eastAsia="宋体" w:cs="Times New Roman"/>
          <w:color w:val="auto"/>
          <w:sz w:val="24"/>
        </w:rPr>
        <w:t>]矩阵和[</w:t>
      </w:r>
      <w:r>
        <w:rPr>
          <w:rFonts w:hint="default" w:ascii="Times New Roman" w:hAnsi="Times New Roman" w:eastAsia="宋体" w:cs="Times New Roman"/>
          <w:i/>
          <w:iCs/>
          <w:color w:val="auto"/>
          <w:sz w:val="24"/>
        </w:rPr>
        <w:t>λ</w:t>
      </w:r>
      <w:r>
        <w:rPr>
          <w:rFonts w:hint="default" w:ascii="Times New Roman" w:hAnsi="Times New Roman" w:eastAsia="宋体" w:cs="Times New Roman"/>
          <w:color w:val="auto"/>
          <w:sz w:val="24"/>
        </w:rPr>
        <w:t>]矩阵，利用式（C1）即可解出[</w:t>
      </w:r>
      <w:r>
        <w:rPr>
          <w:rFonts w:hint="default" w:ascii="Times New Roman" w:hAnsi="Times New Roman" w:eastAsia="宋体" w:cs="Times New Roman"/>
          <w:i/>
          <w:iCs/>
          <w:color w:val="auto"/>
          <w:sz w:val="24"/>
        </w:rPr>
        <w:t>Q</w:t>
      </w:r>
      <w:r>
        <w:rPr>
          <w:rFonts w:hint="default" w:ascii="Times New Roman" w:hAnsi="Times New Roman" w:eastAsia="宋体" w:cs="Times New Roman"/>
          <w:color w:val="auto"/>
          <w:sz w:val="24"/>
        </w:rPr>
        <w:t>]矩阵。</w:t>
      </w:r>
    </w:p>
    <w:tbl>
      <w:tblPr>
        <w:tblStyle w:val="30"/>
        <w:tblW w:w="0" w:type="auto"/>
        <w:jc w:val="center"/>
        <w:tblLayout w:type="autofit"/>
        <w:tblCellMar>
          <w:top w:w="0" w:type="dxa"/>
          <w:left w:w="108" w:type="dxa"/>
          <w:bottom w:w="0" w:type="dxa"/>
          <w:right w:w="108" w:type="dxa"/>
        </w:tblCellMar>
      </w:tblPr>
      <w:tblGrid>
        <w:gridCol w:w="4239"/>
        <w:gridCol w:w="4283"/>
      </w:tblGrid>
      <w:tr w14:paraId="67E8525F">
        <w:tblPrEx>
          <w:tblCellMar>
            <w:top w:w="0" w:type="dxa"/>
            <w:left w:w="108" w:type="dxa"/>
            <w:bottom w:w="0" w:type="dxa"/>
            <w:right w:w="108" w:type="dxa"/>
          </w:tblCellMar>
        </w:tblPrEx>
        <w:trPr>
          <w:jc w:val="center"/>
        </w:trPr>
        <w:tc>
          <w:tcPr>
            <w:tcW w:w="4669" w:type="dxa"/>
          </w:tcPr>
          <w:p w14:paraId="3BF67390">
            <w:pPr>
              <w:adjustRightInd w:val="0"/>
              <w:snapToGrid w:val="0"/>
              <w:jc w:val="center"/>
              <w:rPr>
                <w:rFonts w:hint="default" w:ascii="Times New Roman" w:hAnsi="Times New Roman" w:eastAsia="宋体" w:cs="Times New Roman"/>
                <w:iCs/>
                <w:color w:val="auto"/>
                <w:sz w:val="24"/>
              </w:rPr>
            </w:pPr>
            <w:r>
              <w:rPr>
                <w:rFonts w:hint="default" w:ascii="Times New Roman" w:hAnsi="Times New Roman" w:eastAsia="宋体" w:cs="Times New Roman"/>
                <w:color w:val="auto"/>
                <w:sz w:val="24"/>
              </w:rPr>
              <w:drawing>
                <wp:inline distT="0" distB="0" distL="114300" distR="114300">
                  <wp:extent cx="2455545" cy="2336800"/>
                  <wp:effectExtent l="0" t="0" r="1905" b="6350"/>
                  <wp:docPr id="1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pic:cNvPicPr>
                            <a:picLocks noChangeAspect="1"/>
                          </pic:cNvPicPr>
                        </pic:nvPicPr>
                        <pic:blipFill>
                          <a:blip r:embed="rId47"/>
                          <a:stretch>
                            <a:fillRect/>
                          </a:stretch>
                        </pic:blipFill>
                        <pic:spPr>
                          <a:xfrm>
                            <a:off x="0" y="0"/>
                            <a:ext cx="2455545" cy="2336800"/>
                          </a:xfrm>
                          <a:prstGeom prst="rect">
                            <a:avLst/>
                          </a:prstGeom>
                          <a:noFill/>
                          <a:ln>
                            <a:noFill/>
                          </a:ln>
                        </pic:spPr>
                      </pic:pic>
                    </a:graphicData>
                  </a:graphic>
                </wp:inline>
              </w:drawing>
            </w:r>
          </w:p>
        </w:tc>
        <w:tc>
          <w:tcPr>
            <w:tcW w:w="4669" w:type="dxa"/>
          </w:tcPr>
          <w:p w14:paraId="78BC391F">
            <w:pPr>
              <w:adjustRightInd w:val="0"/>
              <w:snapToGrid w:val="0"/>
              <w:jc w:val="center"/>
              <w:rPr>
                <w:rFonts w:hint="default" w:ascii="Times New Roman" w:hAnsi="Times New Roman" w:eastAsia="宋体" w:cs="Times New Roman"/>
                <w:iCs/>
                <w:color w:val="auto"/>
                <w:sz w:val="24"/>
              </w:rPr>
            </w:pPr>
            <w:r>
              <w:rPr>
                <w:rFonts w:hint="default" w:ascii="Times New Roman" w:hAnsi="Times New Roman" w:eastAsia="宋体" w:cs="Times New Roman"/>
                <w:color w:val="auto"/>
                <w:sz w:val="24"/>
              </w:rPr>
              <w:drawing>
                <wp:inline distT="0" distB="0" distL="114300" distR="114300">
                  <wp:extent cx="2480945" cy="2336800"/>
                  <wp:effectExtent l="0" t="0" r="14605" b="6350"/>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pic:cNvPicPr>
                            <a:picLocks noChangeAspect="1"/>
                          </pic:cNvPicPr>
                        </pic:nvPicPr>
                        <pic:blipFill>
                          <a:blip r:embed="rId48"/>
                          <a:stretch>
                            <a:fillRect/>
                          </a:stretch>
                        </pic:blipFill>
                        <pic:spPr>
                          <a:xfrm>
                            <a:off x="0" y="0"/>
                            <a:ext cx="2480945" cy="2336800"/>
                          </a:xfrm>
                          <a:prstGeom prst="rect">
                            <a:avLst/>
                          </a:prstGeom>
                          <a:noFill/>
                          <a:ln>
                            <a:noFill/>
                          </a:ln>
                        </pic:spPr>
                      </pic:pic>
                    </a:graphicData>
                  </a:graphic>
                </wp:inline>
              </w:drawing>
            </w:r>
          </w:p>
        </w:tc>
      </w:tr>
      <w:tr w14:paraId="128D8BEB">
        <w:tblPrEx>
          <w:tblCellMar>
            <w:top w:w="0" w:type="dxa"/>
            <w:left w:w="108" w:type="dxa"/>
            <w:bottom w:w="0" w:type="dxa"/>
            <w:right w:w="108" w:type="dxa"/>
          </w:tblCellMar>
        </w:tblPrEx>
        <w:trPr>
          <w:jc w:val="center"/>
        </w:trPr>
        <w:tc>
          <w:tcPr>
            <w:tcW w:w="4669" w:type="dxa"/>
          </w:tcPr>
          <w:p w14:paraId="56ACE6F2">
            <w:pPr>
              <w:adjustRightInd w:val="0"/>
              <w:snapToGrid w:val="0"/>
              <w:spacing w:line="360" w:lineRule="auto"/>
              <w:jc w:val="center"/>
              <w:rPr>
                <w:rFonts w:hint="default" w:ascii="Times New Roman" w:hAnsi="Times New Roman" w:eastAsia="宋体" w:cs="Times New Roman"/>
                <w:b/>
                <w:bCs/>
                <w:iCs/>
                <w:color w:val="auto"/>
                <w:sz w:val="24"/>
              </w:rPr>
            </w:pPr>
            <w:r>
              <w:rPr>
                <w:rFonts w:hint="default" w:ascii="Times New Roman" w:hAnsi="Times New Roman" w:eastAsia="宋体" w:cs="Times New Roman"/>
                <w:b/>
                <w:bCs/>
                <w:iCs/>
                <w:color w:val="auto"/>
                <w:sz w:val="24"/>
              </w:rPr>
              <w:t xml:space="preserve">图C.2  </w:t>
            </w:r>
            <w:r>
              <w:rPr>
                <w:rFonts w:hint="default" w:ascii="Times New Roman" w:hAnsi="Times New Roman" w:eastAsia="宋体" w:cs="Times New Roman"/>
                <w:b/>
                <w:bCs/>
                <w:color w:val="auto"/>
                <w:sz w:val="24"/>
              </w:rPr>
              <w:t>电位系数计算图</w:t>
            </w:r>
          </w:p>
        </w:tc>
        <w:tc>
          <w:tcPr>
            <w:tcW w:w="4669" w:type="dxa"/>
          </w:tcPr>
          <w:p w14:paraId="4224A2FD">
            <w:pPr>
              <w:adjustRightInd w:val="0"/>
              <w:snapToGrid w:val="0"/>
              <w:spacing w:line="360" w:lineRule="auto"/>
              <w:jc w:val="center"/>
              <w:rPr>
                <w:rFonts w:hint="default" w:ascii="Times New Roman" w:hAnsi="Times New Roman" w:eastAsia="宋体" w:cs="Times New Roman"/>
                <w:b/>
                <w:bCs/>
                <w:iCs/>
                <w:color w:val="auto"/>
                <w:sz w:val="24"/>
              </w:rPr>
            </w:pPr>
            <w:r>
              <w:rPr>
                <w:rFonts w:hint="default" w:ascii="Times New Roman" w:hAnsi="Times New Roman" w:eastAsia="宋体" w:cs="Times New Roman"/>
                <w:b/>
                <w:bCs/>
                <w:iCs/>
                <w:color w:val="auto"/>
                <w:sz w:val="24"/>
              </w:rPr>
              <w:t xml:space="preserve">图C.3  </w:t>
            </w:r>
            <w:r>
              <w:rPr>
                <w:rFonts w:hint="default" w:ascii="Times New Roman" w:hAnsi="Times New Roman" w:eastAsia="宋体" w:cs="Times New Roman"/>
                <w:b/>
                <w:bCs/>
                <w:color w:val="auto"/>
                <w:sz w:val="24"/>
              </w:rPr>
              <w:t>等效半径计算图</w:t>
            </w:r>
          </w:p>
        </w:tc>
      </w:tr>
    </w:tbl>
    <w:p w14:paraId="5B3D7F33">
      <w:pPr>
        <w:adjustRightInd w:val="0"/>
        <w:snapToGrid w:val="0"/>
        <w:spacing w:line="360" w:lineRule="auto"/>
        <w:ind w:firstLine="480" w:firstLineChars="200"/>
        <w:rPr>
          <w:rFonts w:hint="default" w:ascii="Times New Roman" w:hAnsi="Times New Roman" w:eastAsia="宋体" w:cs="Times New Roman"/>
          <w:iCs/>
          <w:color w:val="auto"/>
          <w:sz w:val="24"/>
        </w:rPr>
      </w:pPr>
      <w:r>
        <w:rPr>
          <w:rFonts w:hint="default" w:ascii="Times New Roman" w:hAnsi="Times New Roman" w:eastAsia="宋体" w:cs="Times New Roman"/>
          <w:iCs/>
          <w:color w:val="auto"/>
          <w:sz w:val="24"/>
        </w:rPr>
        <w:t>对于三相交流线路，由于电压为时间向量，计算各相导线的电压时要用复数表示：</w:t>
      </w:r>
    </w:p>
    <w:p w14:paraId="6145B6A5">
      <w:pPr>
        <w:adjustRightInd w:val="0"/>
        <w:snapToGrid w:val="0"/>
        <w:spacing w:line="360" w:lineRule="auto"/>
        <w:jc w:val="center"/>
        <w:rPr>
          <w:rFonts w:hint="default" w:ascii="Times New Roman" w:hAnsi="Times New Roman" w:eastAsia="宋体" w:cs="Times New Roman"/>
          <w:iCs/>
          <w:color w:val="auto"/>
          <w:sz w:val="24"/>
        </w:rPr>
      </w:pPr>
      <w:r>
        <w:rPr>
          <w:rFonts w:hint="default" w:ascii="Times New Roman" w:hAnsi="Times New Roman" w:eastAsia="宋体" w:cs="Times New Roman"/>
          <w:color w:val="auto"/>
        </w:rPr>
        <w:drawing>
          <wp:inline distT="0" distB="0" distL="114300" distR="114300">
            <wp:extent cx="1813560" cy="285750"/>
            <wp:effectExtent l="0" t="0" r="15240" b="0"/>
            <wp:docPr id="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pic:cNvPicPr>
                      <a:picLocks noChangeAspect="1"/>
                    </pic:cNvPicPr>
                  </pic:nvPicPr>
                  <pic:blipFill>
                    <a:blip r:embed="rId49"/>
                    <a:stretch>
                      <a:fillRect/>
                    </a:stretch>
                  </pic:blipFill>
                  <pic:spPr>
                    <a:xfrm>
                      <a:off x="0" y="0"/>
                      <a:ext cx="1813560" cy="285750"/>
                    </a:xfrm>
                    <a:prstGeom prst="rect">
                      <a:avLst/>
                    </a:prstGeom>
                    <a:noFill/>
                    <a:ln>
                      <a:noFill/>
                    </a:ln>
                  </pic:spPr>
                </pic:pic>
              </a:graphicData>
            </a:graphic>
          </wp:inline>
        </w:drawing>
      </w:r>
      <w:r>
        <w:rPr>
          <w:rFonts w:hint="default" w:ascii="Times New Roman" w:hAnsi="Times New Roman" w:eastAsia="宋体" w:cs="Times New Roman"/>
          <w:iCs/>
          <w:color w:val="auto"/>
          <w:sz w:val="24"/>
        </w:rPr>
        <w:t>……………………</w:t>
      </w:r>
      <w:r>
        <w:rPr>
          <w:rFonts w:hint="default" w:ascii="Times New Roman" w:hAnsi="Times New Roman" w:eastAsia="宋体" w:cs="Times New Roman"/>
          <w:iCs/>
          <w:color w:val="auto"/>
          <w:sz w:val="24"/>
          <w:lang w:eastAsia="zh-CN"/>
        </w:rPr>
        <w:t>(</w:t>
      </w:r>
      <w:r>
        <w:rPr>
          <w:rFonts w:hint="default" w:ascii="Times New Roman" w:hAnsi="Times New Roman" w:eastAsia="宋体" w:cs="Times New Roman"/>
          <w:iCs/>
          <w:color w:val="auto"/>
          <w:sz w:val="24"/>
        </w:rPr>
        <w:t>C6</w:t>
      </w:r>
      <w:r>
        <w:rPr>
          <w:rFonts w:hint="default" w:ascii="Times New Roman" w:hAnsi="Times New Roman" w:eastAsia="宋体" w:cs="Times New Roman"/>
          <w:iCs/>
          <w:color w:val="auto"/>
          <w:sz w:val="24"/>
          <w:lang w:eastAsia="zh-CN"/>
        </w:rPr>
        <w:t>)</w:t>
      </w:r>
    </w:p>
    <w:p w14:paraId="4A7CC017">
      <w:pPr>
        <w:adjustRightInd w:val="0"/>
        <w:snapToGrid w:val="0"/>
        <w:spacing w:line="360" w:lineRule="auto"/>
        <w:ind w:firstLine="480" w:firstLineChars="200"/>
        <w:rPr>
          <w:rFonts w:hint="default" w:ascii="Times New Roman" w:hAnsi="Times New Roman" w:eastAsia="宋体" w:cs="Times New Roman"/>
          <w:iCs/>
          <w:color w:val="auto"/>
          <w:sz w:val="24"/>
        </w:rPr>
      </w:pPr>
      <w:r>
        <w:rPr>
          <w:rFonts w:hint="default" w:ascii="Times New Roman" w:hAnsi="Times New Roman" w:eastAsia="宋体" w:cs="Times New Roman"/>
          <w:iCs/>
          <w:color w:val="auto"/>
          <w:sz w:val="24"/>
        </w:rPr>
        <w:t>相应地电荷也是复数量：</w:t>
      </w:r>
    </w:p>
    <w:p w14:paraId="2EE21EA1">
      <w:pPr>
        <w:adjustRightInd w:val="0"/>
        <w:snapToGrid w:val="0"/>
        <w:spacing w:line="360" w:lineRule="auto"/>
        <w:jc w:val="center"/>
        <w:rPr>
          <w:rFonts w:hint="default" w:ascii="Times New Roman" w:hAnsi="Times New Roman" w:eastAsia="宋体" w:cs="Times New Roman"/>
          <w:iCs/>
          <w:color w:val="auto"/>
          <w:sz w:val="24"/>
        </w:rPr>
      </w:pPr>
      <w:r>
        <w:rPr>
          <w:rFonts w:hint="default" w:ascii="Times New Roman" w:hAnsi="Times New Roman" w:eastAsia="宋体" w:cs="Times New Roman"/>
          <w:color w:val="auto"/>
        </w:rPr>
        <w:drawing>
          <wp:inline distT="0" distB="0" distL="114300" distR="114300">
            <wp:extent cx="1754505" cy="255905"/>
            <wp:effectExtent l="0" t="0" r="17145" b="10795"/>
            <wp:docPr id="3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
                    <pic:cNvPicPr>
                      <a:picLocks noChangeAspect="1"/>
                    </pic:cNvPicPr>
                  </pic:nvPicPr>
                  <pic:blipFill>
                    <a:blip r:embed="rId50"/>
                    <a:stretch>
                      <a:fillRect/>
                    </a:stretch>
                  </pic:blipFill>
                  <pic:spPr>
                    <a:xfrm>
                      <a:off x="0" y="0"/>
                      <a:ext cx="1754505" cy="255905"/>
                    </a:xfrm>
                    <a:prstGeom prst="rect">
                      <a:avLst/>
                    </a:prstGeom>
                    <a:noFill/>
                    <a:ln>
                      <a:noFill/>
                    </a:ln>
                  </pic:spPr>
                </pic:pic>
              </a:graphicData>
            </a:graphic>
          </wp:inline>
        </w:drawing>
      </w:r>
      <w:r>
        <w:rPr>
          <w:rFonts w:hint="default" w:ascii="Times New Roman" w:hAnsi="Times New Roman" w:eastAsia="宋体" w:cs="Times New Roman"/>
          <w:iCs/>
          <w:color w:val="auto"/>
          <w:sz w:val="24"/>
        </w:rPr>
        <w:t>……………………</w:t>
      </w:r>
      <w:r>
        <w:rPr>
          <w:rFonts w:hint="default" w:ascii="Times New Roman" w:hAnsi="Times New Roman" w:eastAsia="宋体" w:cs="Times New Roman"/>
          <w:iCs/>
          <w:color w:val="auto"/>
          <w:sz w:val="24"/>
          <w:lang w:eastAsia="zh-CN"/>
        </w:rPr>
        <w:t>(</w:t>
      </w:r>
      <w:r>
        <w:rPr>
          <w:rFonts w:hint="default" w:ascii="Times New Roman" w:hAnsi="Times New Roman" w:eastAsia="宋体" w:cs="Times New Roman"/>
          <w:iCs/>
          <w:color w:val="auto"/>
          <w:sz w:val="24"/>
        </w:rPr>
        <w:t>C7</w:t>
      </w:r>
      <w:r>
        <w:rPr>
          <w:rFonts w:hint="default" w:ascii="Times New Roman" w:hAnsi="Times New Roman" w:eastAsia="宋体" w:cs="Times New Roman"/>
          <w:iCs/>
          <w:color w:val="auto"/>
          <w:sz w:val="24"/>
          <w:lang w:eastAsia="zh-CN"/>
        </w:rPr>
        <w:t>)</w:t>
      </w:r>
    </w:p>
    <w:p w14:paraId="33BDCC06">
      <w:pPr>
        <w:adjustRightInd w:val="0"/>
        <w:snapToGrid w:val="0"/>
        <w:spacing w:line="360" w:lineRule="auto"/>
        <w:ind w:firstLine="480" w:firstLineChars="200"/>
        <w:rPr>
          <w:rFonts w:hint="default" w:ascii="Times New Roman" w:hAnsi="Times New Roman" w:eastAsia="宋体" w:cs="Times New Roman"/>
          <w:iCs/>
          <w:color w:val="auto"/>
          <w:sz w:val="24"/>
        </w:rPr>
      </w:pPr>
      <w:r>
        <w:rPr>
          <w:rFonts w:hint="default" w:ascii="Times New Roman" w:hAnsi="Times New Roman" w:eastAsia="宋体" w:cs="Times New Roman"/>
          <w:iCs/>
          <w:color w:val="auto"/>
          <w:sz w:val="24"/>
        </w:rPr>
        <w:t>式（C1）矩阵关系即表示了复数量的实部和虚部两部分：</w:t>
      </w:r>
    </w:p>
    <w:p w14:paraId="1348CB3D">
      <w:pPr>
        <w:widowControl/>
        <w:adjustRightInd w:val="0"/>
        <w:snapToGrid w:val="0"/>
        <w:spacing w:line="360" w:lineRule="auto"/>
        <w:jc w:val="center"/>
        <w:rPr>
          <w:rFonts w:hint="default" w:ascii="Times New Roman" w:hAnsi="Times New Roman" w:eastAsia="宋体" w:cs="Times New Roman"/>
          <w:iCs/>
          <w:color w:val="auto"/>
          <w:sz w:val="24"/>
        </w:rPr>
      </w:pPr>
      <m:oMath>
        <m:d>
          <m:dPr>
            <m:begChr m:val="["/>
            <m:endChr m:val="]"/>
            <m:ctrlPr>
              <w:rPr>
                <w:rFonts w:hint="default" w:ascii="Cambria Math" w:hAnsi="Cambria Math" w:eastAsia="宋体" w:cs="Times New Roman"/>
                <w:i/>
                <w:color w:val="auto"/>
                <w:sz w:val="28"/>
                <w:szCs w:val="28"/>
              </w:rPr>
            </m:ctrlPr>
          </m:dPr>
          <m:e>
            <m:sSub>
              <m:sSubPr>
                <m:ctrlPr>
                  <w:rPr>
                    <w:rFonts w:hint="default" w:ascii="Cambria Math" w:hAnsi="Cambria Math" w:eastAsia="宋体" w:cs="Times New Roman"/>
                    <w:i/>
                    <w:color w:val="auto"/>
                    <w:sz w:val="28"/>
                    <w:szCs w:val="28"/>
                  </w:rPr>
                </m:ctrlPr>
              </m:sSubPr>
              <m:e>
                <m:r>
                  <m:rPr>
                    <m:nor/>
                  </m:rPr>
                  <w:rPr>
                    <w:rFonts w:hint="default" w:ascii="Times New Roman" w:hAnsi="Times New Roman" w:eastAsia="宋体" w:cs="Times New Roman"/>
                    <w:i/>
                    <w:color w:val="auto"/>
                    <w:sz w:val="28"/>
                    <w:szCs w:val="28"/>
                  </w:rPr>
                  <m:t>U</m:t>
                </m:r>
                <m:ctrlPr>
                  <w:rPr>
                    <w:rFonts w:hint="default" w:ascii="Cambria Math" w:hAnsi="Cambria Math" w:eastAsia="宋体" w:cs="Times New Roman"/>
                    <w:i/>
                    <w:color w:val="auto"/>
                    <w:sz w:val="28"/>
                    <w:szCs w:val="28"/>
                  </w:rPr>
                </m:ctrlPr>
              </m:e>
              <m:sub>
                <m:r>
                  <m:rPr>
                    <m:nor/>
                  </m:rPr>
                  <w:rPr>
                    <w:rFonts w:hint="default" w:ascii="Times New Roman" w:hAnsi="Times New Roman" w:eastAsia="宋体" w:cs="Times New Roman"/>
                    <w:i/>
                    <w:color w:val="auto"/>
                    <w:sz w:val="28"/>
                    <w:szCs w:val="28"/>
                  </w:rPr>
                  <m:t>R</m:t>
                </m:r>
                <m:ctrlPr>
                  <w:rPr>
                    <w:rFonts w:hint="default" w:ascii="Cambria Math" w:hAnsi="Cambria Math" w:eastAsia="宋体" w:cs="Times New Roman"/>
                    <w:i/>
                    <w:color w:val="auto"/>
                    <w:sz w:val="28"/>
                    <w:szCs w:val="28"/>
                  </w:rPr>
                </m:ctrlPr>
              </m:sub>
            </m:sSub>
            <m:ctrlPr>
              <w:rPr>
                <w:rFonts w:hint="default" w:ascii="Cambria Math" w:hAnsi="Cambria Math" w:eastAsia="宋体" w:cs="Times New Roman"/>
                <w:i/>
                <w:color w:val="auto"/>
                <w:sz w:val="28"/>
                <w:szCs w:val="28"/>
              </w:rPr>
            </m:ctrlPr>
          </m:e>
        </m:d>
        <m:r>
          <m:rPr>
            <m:nor/>
            <m:sty m:val="p"/>
          </m:rPr>
          <w:rPr>
            <w:rFonts w:hint="default" w:ascii="Times New Roman" w:hAnsi="Times New Roman" w:eastAsia="宋体" w:cs="Times New Roman"/>
            <w:b w:val="0"/>
            <w:i w:val="0"/>
            <w:color w:val="auto"/>
            <w:sz w:val="28"/>
            <w:szCs w:val="28"/>
          </w:rPr>
          <m:t>=</m:t>
        </m:r>
        <m:d>
          <m:dPr>
            <m:begChr m:val="["/>
            <m:endChr m:val="]"/>
            <m:ctrlPr>
              <w:rPr>
                <w:rFonts w:hint="default" w:ascii="Cambria Math" w:hAnsi="Cambria Math" w:eastAsia="宋体" w:cs="Times New Roman"/>
                <w:i/>
                <w:color w:val="auto"/>
                <w:sz w:val="28"/>
                <w:szCs w:val="28"/>
              </w:rPr>
            </m:ctrlPr>
          </m:dPr>
          <m:e>
            <m:r>
              <m:rPr>
                <m:nor/>
              </m:rPr>
              <w:rPr>
                <w:rFonts w:hint="default" w:ascii="Times New Roman" w:hAnsi="Times New Roman" w:eastAsia="宋体" w:cs="Times New Roman"/>
                <w:i/>
                <w:color w:val="auto"/>
                <w:sz w:val="28"/>
                <w:szCs w:val="28"/>
              </w:rPr>
              <m:t>λ</m:t>
            </m:r>
            <m:ctrlPr>
              <w:rPr>
                <w:rFonts w:hint="default" w:ascii="Cambria Math" w:hAnsi="Cambria Math" w:eastAsia="宋体" w:cs="Times New Roman"/>
                <w:i/>
                <w:color w:val="auto"/>
                <w:sz w:val="28"/>
                <w:szCs w:val="28"/>
              </w:rPr>
            </m:ctrlPr>
          </m:e>
        </m:d>
        <m:d>
          <m:dPr>
            <m:begChr m:val="["/>
            <m:endChr m:val="]"/>
            <m:ctrlPr>
              <w:rPr>
                <w:rFonts w:hint="default" w:ascii="Cambria Math" w:hAnsi="Cambria Math" w:eastAsia="宋体" w:cs="Times New Roman"/>
                <w:i/>
                <w:color w:val="auto"/>
                <w:sz w:val="28"/>
                <w:szCs w:val="28"/>
              </w:rPr>
            </m:ctrlPr>
          </m:dPr>
          <m:e>
            <m:sSub>
              <m:sSubPr>
                <m:ctrlPr>
                  <w:rPr>
                    <w:rFonts w:hint="default" w:ascii="Cambria Math" w:hAnsi="Cambria Math" w:eastAsia="宋体" w:cs="Times New Roman"/>
                    <w:i/>
                    <w:color w:val="auto"/>
                    <w:sz w:val="28"/>
                    <w:szCs w:val="28"/>
                  </w:rPr>
                </m:ctrlPr>
              </m:sSubPr>
              <m:e>
                <m:r>
                  <m:rPr>
                    <m:nor/>
                  </m:rPr>
                  <w:rPr>
                    <w:rFonts w:hint="default" w:ascii="Times New Roman" w:hAnsi="Times New Roman" w:eastAsia="宋体" w:cs="Times New Roman"/>
                    <w:i/>
                    <w:color w:val="auto"/>
                    <w:sz w:val="28"/>
                    <w:szCs w:val="28"/>
                  </w:rPr>
                  <m:t>Q</m:t>
                </m:r>
                <m:ctrlPr>
                  <w:rPr>
                    <w:rFonts w:hint="default" w:ascii="Cambria Math" w:hAnsi="Cambria Math" w:eastAsia="宋体" w:cs="Times New Roman"/>
                    <w:i/>
                    <w:color w:val="auto"/>
                    <w:sz w:val="28"/>
                    <w:szCs w:val="28"/>
                  </w:rPr>
                </m:ctrlPr>
              </m:e>
              <m:sub>
                <m:r>
                  <m:rPr>
                    <m:nor/>
                  </m:rPr>
                  <w:rPr>
                    <w:rFonts w:hint="default" w:ascii="Times New Roman" w:hAnsi="Times New Roman" w:eastAsia="宋体" w:cs="Times New Roman"/>
                    <w:i/>
                    <w:color w:val="auto"/>
                    <w:sz w:val="28"/>
                    <w:szCs w:val="28"/>
                  </w:rPr>
                  <m:t>R</m:t>
                </m:r>
                <m:ctrlPr>
                  <w:rPr>
                    <w:rFonts w:hint="default" w:ascii="Cambria Math" w:hAnsi="Cambria Math" w:eastAsia="宋体" w:cs="Times New Roman"/>
                    <w:i/>
                    <w:color w:val="auto"/>
                    <w:sz w:val="28"/>
                    <w:szCs w:val="28"/>
                  </w:rPr>
                </m:ctrlPr>
              </m:sub>
            </m:sSub>
            <m:ctrlPr>
              <w:rPr>
                <w:rFonts w:hint="default" w:ascii="Cambria Math" w:hAnsi="Cambria Math" w:eastAsia="宋体" w:cs="Times New Roman"/>
                <w:i/>
                <w:color w:val="auto"/>
                <w:sz w:val="28"/>
                <w:szCs w:val="28"/>
              </w:rPr>
            </m:ctrlPr>
          </m:e>
        </m:d>
      </m:oMath>
      <w:r>
        <w:rPr>
          <w:rFonts w:hint="default" w:ascii="Times New Roman" w:hAnsi="Times New Roman" w:eastAsia="宋体" w:cs="Times New Roman"/>
          <w:iCs/>
          <w:color w:val="auto"/>
          <w:sz w:val="24"/>
        </w:rPr>
        <w:t>……………………</w:t>
      </w:r>
      <w:r>
        <w:rPr>
          <w:rFonts w:hint="default" w:ascii="Times New Roman" w:hAnsi="Times New Roman" w:eastAsia="宋体" w:cs="Times New Roman"/>
          <w:iCs/>
          <w:color w:val="auto"/>
          <w:sz w:val="24"/>
          <w:lang w:eastAsia="zh-CN"/>
        </w:rPr>
        <w:t>(</w:t>
      </w:r>
      <w:r>
        <w:rPr>
          <w:rFonts w:hint="default" w:ascii="Times New Roman" w:hAnsi="Times New Roman" w:eastAsia="宋体" w:cs="Times New Roman"/>
          <w:iCs/>
          <w:color w:val="auto"/>
          <w:sz w:val="24"/>
        </w:rPr>
        <w:t>C8</w:t>
      </w:r>
      <w:r>
        <w:rPr>
          <w:rFonts w:hint="default" w:ascii="Times New Roman" w:hAnsi="Times New Roman" w:eastAsia="宋体" w:cs="Times New Roman"/>
          <w:iCs/>
          <w:color w:val="auto"/>
          <w:sz w:val="24"/>
          <w:lang w:eastAsia="zh-CN"/>
        </w:rPr>
        <w:t>)</w:t>
      </w:r>
    </w:p>
    <w:p w14:paraId="6AA99A74">
      <w:pPr>
        <w:widowControl/>
        <w:adjustRightInd w:val="0"/>
        <w:snapToGrid w:val="0"/>
        <w:spacing w:line="360" w:lineRule="auto"/>
        <w:jc w:val="center"/>
        <w:rPr>
          <w:rFonts w:hint="default" w:ascii="Times New Roman" w:hAnsi="Times New Roman" w:eastAsia="宋体" w:cs="Times New Roman"/>
          <w:iCs/>
          <w:color w:val="auto"/>
          <w:sz w:val="24"/>
        </w:rPr>
      </w:pPr>
      <m:oMath>
        <m:d>
          <m:dPr>
            <m:begChr m:val="["/>
            <m:endChr m:val="]"/>
            <m:ctrlPr>
              <w:rPr>
                <w:rFonts w:hint="default" w:ascii="Cambria Math" w:hAnsi="Cambria Math" w:eastAsia="宋体" w:cs="Times New Roman"/>
                <w:i/>
                <w:color w:val="auto"/>
                <w:sz w:val="28"/>
                <w:szCs w:val="28"/>
              </w:rPr>
            </m:ctrlPr>
          </m:dPr>
          <m:e>
            <m:sSub>
              <m:sSubPr>
                <m:ctrlPr>
                  <w:rPr>
                    <w:rFonts w:hint="default" w:ascii="Cambria Math" w:hAnsi="Cambria Math" w:eastAsia="宋体" w:cs="Times New Roman"/>
                    <w:i/>
                    <w:color w:val="auto"/>
                    <w:sz w:val="28"/>
                    <w:szCs w:val="28"/>
                  </w:rPr>
                </m:ctrlPr>
              </m:sSubPr>
              <m:e>
                <m:r>
                  <m:rPr>
                    <m:nor/>
                  </m:rPr>
                  <w:rPr>
                    <w:rFonts w:hint="default" w:ascii="Times New Roman" w:hAnsi="Times New Roman" w:eastAsia="宋体" w:cs="Times New Roman"/>
                    <w:i/>
                    <w:color w:val="auto"/>
                    <w:sz w:val="28"/>
                    <w:szCs w:val="28"/>
                  </w:rPr>
                  <m:t>U</m:t>
                </m:r>
                <m:ctrlPr>
                  <w:rPr>
                    <w:rFonts w:hint="default" w:ascii="Cambria Math" w:hAnsi="Cambria Math" w:eastAsia="宋体" w:cs="Times New Roman"/>
                    <w:i/>
                    <w:color w:val="auto"/>
                    <w:sz w:val="28"/>
                    <w:szCs w:val="28"/>
                  </w:rPr>
                </m:ctrlPr>
              </m:e>
              <m:sub>
                <m:r>
                  <m:rPr>
                    <m:nor/>
                  </m:rPr>
                  <w:rPr>
                    <w:rFonts w:hint="default" w:ascii="Times New Roman" w:hAnsi="Times New Roman" w:eastAsia="宋体" w:cs="Times New Roman"/>
                    <w:i/>
                    <w:color w:val="auto"/>
                    <w:sz w:val="28"/>
                    <w:szCs w:val="28"/>
                  </w:rPr>
                  <m:t>I</m:t>
                </m:r>
                <m:ctrlPr>
                  <w:rPr>
                    <w:rFonts w:hint="default" w:ascii="Cambria Math" w:hAnsi="Cambria Math" w:eastAsia="宋体" w:cs="Times New Roman"/>
                    <w:i/>
                    <w:color w:val="auto"/>
                    <w:sz w:val="28"/>
                    <w:szCs w:val="28"/>
                  </w:rPr>
                </m:ctrlPr>
              </m:sub>
            </m:sSub>
            <m:ctrlPr>
              <w:rPr>
                <w:rFonts w:hint="default" w:ascii="Cambria Math" w:hAnsi="Cambria Math" w:eastAsia="宋体" w:cs="Times New Roman"/>
                <w:i/>
                <w:color w:val="auto"/>
                <w:sz w:val="28"/>
                <w:szCs w:val="28"/>
              </w:rPr>
            </m:ctrlPr>
          </m:e>
        </m:d>
        <m:r>
          <m:rPr>
            <m:nor/>
            <m:sty m:val="p"/>
          </m:rPr>
          <w:rPr>
            <w:rFonts w:hint="default" w:ascii="Times New Roman" w:hAnsi="Times New Roman" w:eastAsia="宋体" w:cs="Times New Roman"/>
            <w:b w:val="0"/>
            <w:i w:val="0"/>
            <w:color w:val="auto"/>
            <w:sz w:val="28"/>
            <w:szCs w:val="28"/>
          </w:rPr>
          <m:t>=</m:t>
        </m:r>
        <m:d>
          <m:dPr>
            <m:begChr m:val="["/>
            <m:endChr m:val="]"/>
            <m:ctrlPr>
              <w:rPr>
                <w:rFonts w:hint="default" w:ascii="Cambria Math" w:hAnsi="Cambria Math" w:eastAsia="宋体" w:cs="Times New Roman"/>
                <w:i/>
                <w:color w:val="auto"/>
                <w:sz w:val="28"/>
                <w:szCs w:val="28"/>
              </w:rPr>
            </m:ctrlPr>
          </m:dPr>
          <m:e>
            <m:r>
              <m:rPr>
                <m:nor/>
              </m:rPr>
              <w:rPr>
                <w:rFonts w:hint="default" w:ascii="Times New Roman" w:hAnsi="Times New Roman" w:eastAsia="宋体" w:cs="Times New Roman"/>
                <w:i/>
                <w:color w:val="auto"/>
                <w:sz w:val="28"/>
                <w:szCs w:val="28"/>
              </w:rPr>
              <m:t>λ</m:t>
            </m:r>
            <m:ctrlPr>
              <w:rPr>
                <w:rFonts w:hint="default" w:ascii="Cambria Math" w:hAnsi="Cambria Math" w:eastAsia="宋体" w:cs="Times New Roman"/>
                <w:i/>
                <w:color w:val="auto"/>
                <w:sz w:val="28"/>
                <w:szCs w:val="28"/>
              </w:rPr>
            </m:ctrlPr>
          </m:e>
        </m:d>
        <m:d>
          <m:dPr>
            <m:begChr m:val="["/>
            <m:endChr m:val="]"/>
            <m:ctrlPr>
              <w:rPr>
                <w:rFonts w:hint="default" w:ascii="Cambria Math" w:hAnsi="Cambria Math" w:eastAsia="宋体" w:cs="Times New Roman"/>
                <w:i/>
                <w:color w:val="auto"/>
                <w:sz w:val="28"/>
                <w:szCs w:val="28"/>
              </w:rPr>
            </m:ctrlPr>
          </m:dPr>
          <m:e>
            <m:sSub>
              <m:sSubPr>
                <m:ctrlPr>
                  <w:rPr>
                    <w:rFonts w:hint="default" w:ascii="Cambria Math" w:hAnsi="Cambria Math" w:eastAsia="宋体" w:cs="Times New Roman"/>
                    <w:i/>
                    <w:color w:val="auto"/>
                    <w:sz w:val="28"/>
                    <w:szCs w:val="28"/>
                  </w:rPr>
                </m:ctrlPr>
              </m:sSubPr>
              <m:e>
                <m:r>
                  <m:rPr>
                    <m:nor/>
                  </m:rPr>
                  <w:rPr>
                    <w:rFonts w:hint="default" w:ascii="Times New Roman" w:hAnsi="Times New Roman" w:eastAsia="宋体" w:cs="Times New Roman"/>
                    <w:i/>
                    <w:color w:val="auto"/>
                    <w:sz w:val="28"/>
                    <w:szCs w:val="28"/>
                  </w:rPr>
                  <m:t>Q</m:t>
                </m:r>
                <m:ctrlPr>
                  <w:rPr>
                    <w:rFonts w:hint="default" w:ascii="Cambria Math" w:hAnsi="Cambria Math" w:eastAsia="宋体" w:cs="Times New Roman"/>
                    <w:i/>
                    <w:color w:val="auto"/>
                    <w:sz w:val="28"/>
                    <w:szCs w:val="28"/>
                  </w:rPr>
                </m:ctrlPr>
              </m:e>
              <m:sub>
                <m:r>
                  <m:rPr>
                    <m:nor/>
                  </m:rPr>
                  <w:rPr>
                    <w:rFonts w:hint="default" w:ascii="Times New Roman" w:hAnsi="Times New Roman" w:eastAsia="宋体" w:cs="Times New Roman"/>
                    <w:i/>
                    <w:color w:val="auto"/>
                    <w:sz w:val="28"/>
                    <w:szCs w:val="28"/>
                  </w:rPr>
                  <m:t>I</m:t>
                </m:r>
                <m:ctrlPr>
                  <w:rPr>
                    <w:rFonts w:hint="default" w:ascii="Cambria Math" w:hAnsi="Cambria Math" w:eastAsia="宋体" w:cs="Times New Roman"/>
                    <w:i/>
                    <w:color w:val="auto"/>
                    <w:sz w:val="28"/>
                    <w:szCs w:val="28"/>
                  </w:rPr>
                </m:ctrlPr>
              </m:sub>
            </m:sSub>
            <m:ctrlPr>
              <w:rPr>
                <w:rFonts w:hint="default" w:ascii="Cambria Math" w:hAnsi="Cambria Math" w:eastAsia="宋体" w:cs="Times New Roman"/>
                <w:i/>
                <w:color w:val="auto"/>
                <w:sz w:val="28"/>
                <w:szCs w:val="28"/>
              </w:rPr>
            </m:ctrlPr>
          </m:e>
        </m:d>
      </m:oMath>
      <w:r>
        <w:rPr>
          <w:rFonts w:hint="default" w:ascii="Times New Roman" w:hAnsi="Times New Roman" w:eastAsia="宋体" w:cs="Times New Roman"/>
          <w:iCs/>
          <w:color w:val="auto"/>
          <w:sz w:val="24"/>
        </w:rPr>
        <w:t>……………………</w:t>
      </w:r>
      <w:r>
        <w:rPr>
          <w:rFonts w:hint="default" w:ascii="Times New Roman" w:hAnsi="Times New Roman" w:eastAsia="宋体" w:cs="Times New Roman"/>
          <w:iCs/>
          <w:color w:val="auto"/>
          <w:sz w:val="24"/>
          <w:lang w:eastAsia="zh-CN"/>
        </w:rPr>
        <w:t>(</w:t>
      </w:r>
      <w:r>
        <w:rPr>
          <w:rFonts w:hint="default" w:ascii="Times New Roman" w:hAnsi="Times New Roman" w:eastAsia="宋体" w:cs="Times New Roman"/>
          <w:iCs/>
          <w:color w:val="auto"/>
          <w:sz w:val="24"/>
        </w:rPr>
        <w:t>C9</w:t>
      </w:r>
      <w:r>
        <w:rPr>
          <w:rFonts w:hint="default" w:ascii="Times New Roman" w:hAnsi="Times New Roman" w:eastAsia="宋体" w:cs="Times New Roman"/>
          <w:iCs/>
          <w:color w:val="auto"/>
          <w:sz w:val="24"/>
          <w:lang w:eastAsia="zh-CN"/>
        </w:rPr>
        <w:t>)</w:t>
      </w:r>
    </w:p>
    <w:p w14:paraId="0797564B">
      <w:pPr>
        <w:adjustRightInd w:val="0"/>
        <w:snapToGrid w:val="0"/>
        <w:spacing w:line="500" w:lineRule="exact"/>
        <w:ind w:firstLine="482" w:firstLineChars="200"/>
        <w:rPr>
          <w:rFonts w:hint="default" w:ascii="Times New Roman" w:hAnsi="Times New Roman" w:eastAsia="宋体" w:cs="Times New Roman"/>
          <w:color w:val="auto"/>
          <w:sz w:val="24"/>
        </w:rPr>
      </w:pPr>
      <w:r>
        <w:rPr>
          <w:rFonts w:hint="eastAsia" w:ascii="Times New Roman" w:hAnsi="Times New Roman" w:cs="Times New Roman"/>
          <w:b/>
          <w:bCs/>
          <w:color w:val="auto"/>
          <w:sz w:val="24"/>
          <w:lang w:eastAsia="zh-CN"/>
        </w:rPr>
        <w:t>（</w:t>
      </w:r>
      <w:r>
        <w:rPr>
          <w:rFonts w:hint="eastAsia" w:ascii="Times New Roman" w:hAnsi="Times New Roman" w:cs="Times New Roman"/>
          <w:b/>
          <w:bCs/>
          <w:color w:val="auto"/>
          <w:sz w:val="24"/>
          <w:lang w:val="en-US" w:eastAsia="zh-CN"/>
        </w:rPr>
        <w:t>2</w:t>
      </w:r>
      <w:r>
        <w:rPr>
          <w:rFonts w:hint="eastAsia" w:ascii="Times New Roman" w:hAnsi="Times New Roman" w:cs="Times New Roman"/>
          <w:b/>
          <w:bCs/>
          <w:color w:val="auto"/>
          <w:sz w:val="24"/>
          <w:lang w:eastAsia="zh-CN"/>
        </w:rPr>
        <w:t>）</w:t>
      </w:r>
      <w:r>
        <w:rPr>
          <w:rFonts w:hint="default" w:ascii="Times New Roman" w:hAnsi="Times New Roman" w:eastAsia="宋体" w:cs="Times New Roman"/>
          <w:b/>
          <w:bCs/>
          <w:color w:val="auto"/>
          <w:sz w:val="24"/>
        </w:rPr>
        <w:t>计算由等效电荷产生的电场</w:t>
      </w:r>
    </w:p>
    <w:p w14:paraId="53D64247">
      <w:pPr>
        <w:adjustRightInd w:val="0"/>
        <w:snapToGrid w:val="0"/>
        <w:spacing w:line="500" w:lineRule="exact"/>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为计算地面电场强度的最大值，通常取设计最大弧垂时导线的最小对地高度。</w:t>
      </w:r>
    </w:p>
    <w:p w14:paraId="5DB97F20">
      <w:pPr>
        <w:adjustRightInd w:val="0"/>
        <w:snapToGrid w:val="0"/>
        <w:spacing w:line="500" w:lineRule="exact"/>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当各导线单位长度的等效电荷量求出后，空间任意一点的电场强度可根据叠加原理计算得出，在（</w:t>
      </w:r>
      <w:r>
        <w:rPr>
          <w:rFonts w:hint="default" w:ascii="Times New Roman" w:hAnsi="Times New Roman" w:eastAsia="宋体" w:cs="Times New Roman"/>
          <w:i/>
          <w:iCs/>
          <w:color w:val="auto"/>
          <w:sz w:val="24"/>
        </w:rPr>
        <w:t>x，y</w:t>
      </w:r>
      <w:r>
        <w:rPr>
          <w:rFonts w:hint="default" w:ascii="Times New Roman" w:hAnsi="Times New Roman" w:eastAsia="宋体" w:cs="Times New Roman"/>
          <w:color w:val="auto"/>
          <w:sz w:val="24"/>
        </w:rPr>
        <w:t>）点的电场强度分量</w:t>
      </w:r>
      <w:r>
        <w:rPr>
          <w:rFonts w:hint="default" w:ascii="Times New Roman" w:hAnsi="Times New Roman" w:eastAsia="宋体" w:cs="Times New Roman"/>
          <w:i/>
          <w:iCs/>
          <w:color w:val="auto"/>
          <w:sz w:val="24"/>
        </w:rPr>
        <w:t>E</w:t>
      </w:r>
      <w:r>
        <w:rPr>
          <w:rFonts w:hint="default" w:ascii="Times New Roman" w:hAnsi="Times New Roman" w:eastAsia="宋体" w:cs="Times New Roman"/>
          <w:i/>
          <w:iCs/>
          <w:color w:val="auto"/>
          <w:sz w:val="24"/>
          <w:vertAlign w:val="subscript"/>
        </w:rPr>
        <w:t>x</w:t>
      </w:r>
      <w:r>
        <w:rPr>
          <w:rFonts w:hint="default" w:ascii="Times New Roman" w:hAnsi="Times New Roman" w:eastAsia="宋体" w:cs="Times New Roman"/>
          <w:color w:val="auto"/>
          <w:sz w:val="24"/>
        </w:rPr>
        <w:t>和</w:t>
      </w:r>
      <w:r>
        <w:rPr>
          <w:rFonts w:hint="default" w:ascii="Times New Roman" w:hAnsi="Times New Roman" w:eastAsia="宋体" w:cs="Times New Roman"/>
          <w:i/>
          <w:iCs/>
          <w:color w:val="auto"/>
          <w:sz w:val="24"/>
        </w:rPr>
        <w:t>E</w:t>
      </w:r>
      <w:r>
        <w:rPr>
          <w:rFonts w:hint="default" w:ascii="Times New Roman" w:hAnsi="Times New Roman" w:eastAsia="宋体" w:cs="Times New Roman"/>
          <w:i/>
          <w:iCs/>
          <w:color w:val="auto"/>
          <w:sz w:val="24"/>
          <w:vertAlign w:val="subscript"/>
        </w:rPr>
        <w:t>y</w:t>
      </w:r>
      <w:r>
        <w:rPr>
          <w:rFonts w:hint="default" w:ascii="Times New Roman" w:hAnsi="Times New Roman" w:eastAsia="宋体" w:cs="Times New Roman"/>
          <w:color w:val="auto"/>
          <w:sz w:val="24"/>
        </w:rPr>
        <w:t>可表示为：</w:t>
      </w:r>
    </w:p>
    <w:p w14:paraId="304EC698">
      <w:pPr>
        <w:adjustRightInd w:val="0"/>
        <w:snapToGrid w:val="0"/>
        <w:spacing w:before="312" w:beforeLines="100" w:after="156" w:afterLines="50" w:line="360" w:lineRule="auto"/>
        <w:jc w:val="center"/>
        <w:rPr>
          <w:rFonts w:hint="default" w:ascii="Times New Roman" w:hAnsi="Times New Roman" w:eastAsia="宋体" w:cs="Times New Roman"/>
          <w:color w:val="auto"/>
          <w:sz w:val="24"/>
        </w:rPr>
      </w:pPr>
      <w:r>
        <w:rPr>
          <w:rFonts w:hint="default" w:ascii="Times New Roman" w:hAnsi="Times New Roman" w:eastAsia="宋体" w:cs="Times New Roman"/>
          <w:iCs/>
          <w:color w:val="auto"/>
          <w:sz w:val="24"/>
        </w:rPr>
        <w:drawing>
          <wp:inline distT="0" distB="0" distL="114300" distR="114300">
            <wp:extent cx="2208530" cy="534670"/>
            <wp:effectExtent l="0" t="0" r="1270" b="18415"/>
            <wp:docPr id="19" name="图片 17"/>
            <wp:cNvGraphicFramePr/>
            <a:graphic xmlns:a="http://schemas.openxmlformats.org/drawingml/2006/main">
              <a:graphicData uri="http://schemas.openxmlformats.org/drawingml/2006/picture">
                <pic:pic xmlns:pic="http://schemas.openxmlformats.org/drawingml/2006/picture">
                  <pic:nvPicPr>
                    <pic:cNvPr id="19" name="图片 17"/>
                    <pic:cNvPicPr/>
                  </pic:nvPicPr>
                  <pic:blipFill>
                    <a:blip r:embed="rId51"/>
                    <a:stretch>
                      <a:fillRect/>
                    </a:stretch>
                  </pic:blipFill>
                  <pic:spPr>
                    <a:xfrm>
                      <a:off x="0" y="0"/>
                      <a:ext cx="2208530" cy="534670"/>
                    </a:xfrm>
                    <a:prstGeom prst="rect">
                      <a:avLst/>
                    </a:prstGeom>
                    <a:noFill/>
                    <a:ln>
                      <a:noFill/>
                    </a:ln>
                  </pic:spPr>
                </pic:pic>
              </a:graphicData>
            </a:graphic>
          </wp:inline>
        </w:drawing>
      </w:r>
      <w:r>
        <w:rPr>
          <w:rFonts w:hint="default" w:ascii="Times New Roman" w:hAnsi="Times New Roman" w:eastAsia="宋体" w:cs="Times New Roman"/>
          <w:iCs/>
          <w:color w:val="auto"/>
          <w:sz w:val="24"/>
        </w:rPr>
        <w:t>……………………</w:t>
      </w:r>
      <w:r>
        <w:rPr>
          <w:rFonts w:hint="default" w:ascii="Times New Roman" w:hAnsi="Times New Roman" w:eastAsia="宋体" w:cs="Times New Roman"/>
          <w:iCs/>
          <w:color w:val="auto"/>
          <w:sz w:val="24"/>
          <w:lang w:eastAsia="zh-CN"/>
        </w:rPr>
        <w:t>(</w:t>
      </w:r>
      <w:r>
        <w:rPr>
          <w:rFonts w:hint="default" w:ascii="Times New Roman" w:hAnsi="Times New Roman" w:eastAsia="宋体" w:cs="Times New Roman"/>
          <w:iCs/>
          <w:color w:val="auto"/>
          <w:sz w:val="24"/>
        </w:rPr>
        <w:t>C10</w:t>
      </w:r>
      <w:r>
        <w:rPr>
          <w:rFonts w:hint="default" w:ascii="Times New Roman" w:hAnsi="Times New Roman" w:eastAsia="宋体" w:cs="Times New Roman"/>
          <w:iCs/>
          <w:color w:val="auto"/>
          <w:sz w:val="24"/>
          <w:lang w:eastAsia="zh-CN"/>
        </w:rPr>
        <w:t>)</w:t>
      </w:r>
    </w:p>
    <w:p w14:paraId="59257222">
      <w:pPr>
        <w:adjustRightInd w:val="0"/>
        <w:snapToGrid w:val="0"/>
        <w:spacing w:before="312" w:beforeLines="100" w:after="156" w:afterLines="50" w:line="360" w:lineRule="auto"/>
        <w:jc w:val="center"/>
        <w:rPr>
          <w:rFonts w:hint="default" w:ascii="Times New Roman" w:hAnsi="Times New Roman" w:eastAsia="宋体" w:cs="Times New Roman"/>
          <w:color w:val="auto"/>
          <w:sz w:val="24"/>
        </w:rPr>
      </w:pPr>
      <w:r>
        <w:rPr>
          <w:rFonts w:hint="default" w:ascii="Times New Roman" w:hAnsi="Times New Roman" w:eastAsia="宋体" w:cs="Times New Roman"/>
          <w:iCs/>
          <w:color w:val="auto"/>
          <w:sz w:val="24"/>
        </w:rPr>
        <w:drawing>
          <wp:inline distT="0" distB="0" distL="114300" distR="114300">
            <wp:extent cx="2208530" cy="534670"/>
            <wp:effectExtent l="0" t="0" r="1270" b="18415"/>
            <wp:docPr id="20" name="图片 18"/>
            <wp:cNvGraphicFramePr/>
            <a:graphic xmlns:a="http://schemas.openxmlformats.org/drawingml/2006/main">
              <a:graphicData uri="http://schemas.openxmlformats.org/drawingml/2006/picture">
                <pic:pic xmlns:pic="http://schemas.openxmlformats.org/drawingml/2006/picture">
                  <pic:nvPicPr>
                    <pic:cNvPr id="20" name="图片 18"/>
                    <pic:cNvPicPr/>
                  </pic:nvPicPr>
                  <pic:blipFill>
                    <a:blip r:embed="rId52"/>
                    <a:stretch>
                      <a:fillRect/>
                    </a:stretch>
                  </pic:blipFill>
                  <pic:spPr>
                    <a:xfrm>
                      <a:off x="0" y="0"/>
                      <a:ext cx="2208530" cy="534670"/>
                    </a:xfrm>
                    <a:prstGeom prst="rect">
                      <a:avLst/>
                    </a:prstGeom>
                    <a:noFill/>
                    <a:ln>
                      <a:noFill/>
                    </a:ln>
                  </pic:spPr>
                </pic:pic>
              </a:graphicData>
            </a:graphic>
          </wp:inline>
        </w:drawing>
      </w:r>
      <w:r>
        <w:rPr>
          <w:rFonts w:hint="default" w:ascii="Times New Roman" w:hAnsi="Times New Roman" w:eastAsia="宋体" w:cs="Times New Roman"/>
          <w:iCs/>
          <w:color w:val="auto"/>
          <w:sz w:val="24"/>
        </w:rPr>
        <w:t>……………………</w:t>
      </w:r>
      <w:r>
        <w:rPr>
          <w:rFonts w:hint="default" w:ascii="Times New Roman" w:hAnsi="Times New Roman" w:eastAsia="宋体" w:cs="Times New Roman"/>
          <w:iCs/>
          <w:color w:val="auto"/>
          <w:sz w:val="24"/>
          <w:lang w:eastAsia="zh-CN"/>
        </w:rPr>
        <w:t>(</w:t>
      </w:r>
      <w:r>
        <w:rPr>
          <w:rFonts w:hint="default" w:ascii="Times New Roman" w:hAnsi="Times New Roman" w:eastAsia="宋体" w:cs="Times New Roman"/>
          <w:iCs/>
          <w:color w:val="auto"/>
          <w:sz w:val="24"/>
        </w:rPr>
        <w:t>C11</w:t>
      </w:r>
      <w:r>
        <w:rPr>
          <w:rFonts w:hint="default" w:ascii="Times New Roman" w:hAnsi="Times New Roman" w:eastAsia="宋体" w:cs="Times New Roman"/>
          <w:iCs/>
          <w:color w:val="auto"/>
          <w:sz w:val="24"/>
          <w:lang w:eastAsia="zh-CN"/>
        </w:rPr>
        <w:t>)</w:t>
      </w:r>
    </w:p>
    <w:p w14:paraId="0C98760B">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w:t>
      </w:r>
      <w:r>
        <w:rPr>
          <w:rFonts w:hint="default" w:ascii="Times New Roman" w:hAnsi="Times New Roman" w:eastAsia="宋体" w:cs="Times New Roman"/>
          <w:i/>
          <w:iCs/>
          <w:color w:val="auto"/>
          <w:sz w:val="24"/>
        </w:rPr>
        <w:t>x</w:t>
      </w:r>
      <w:r>
        <w:rPr>
          <w:rFonts w:hint="default" w:ascii="Times New Roman" w:hAnsi="Times New Roman" w:eastAsia="宋体" w:cs="Times New Roman"/>
          <w:i/>
          <w:iCs/>
          <w:color w:val="auto"/>
          <w:sz w:val="24"/>
          <w:vertAlign w:val="subscript"/>
        </w:rPr>
        <w:t>i</w:t>
      </w:r>
      <w:r>
        <w:rPr>
          <w:rFonts w:hint="default" w:ascii="Times New Roman" w:hAnsi="Times New Roman" w:eastAsia="宋体" w:cs="Times New Roman"/>
          <w:i/>
          <w:iCs/>
          <w:color w:val="auto"/>
          <w:sz w:val="24"/>
        </w:rPr>
        <w:t>、y</w:t>
      </w:r>
      <w:r>
        <w:rPr>
          <w:rFonts w:hint="default" w:ascii="Times New Roman" w:hAnsi="Times New Roman" w:eastAsia="宋体" w:cs="Times New Roman"/>
          <w:i/>
          <w:iCs/>
          <w:color w:val="auto"/>
          <w:sz w:val="24"/>
          <w:vertAlign w:val="subscript"/>
        </w:rPr>
        <w:t>i</w:t>
      </w:r>
      <w:r>
        <w:rPr>
          <w:rFonts w:hint="default" w:ascii="Times New Roman" w:hAnsi="Times New Roman" w:eastAsia="宋体" w:cs="Times New Roman"/>
          <w:color w:val="auto"/>
          <w:sz w:val="24"/>
        </w:rPr>
        <w:t>—导线</w:t>
      </w:r>
      <w:r>
        <w:rPr>
          <w:rFonts w:hint="default" w:ascii="Times New Roman" w:hAnsi="Times New Roman" w:eastAsia="宋体" w:cs="Times New Roman"/>
          <w:i/>
          <w:iCs/>
          <w:color w:val="auto"/>
          <w:sz w:val="24"/>
        </w:rPr>
        <w:t>i</w:t>
      </w:r>
      <w:r>
        <w:rPr>
          <w:rFonts w:hint="default" w:ascii="Times New Roman" w:hAnsi="Times New Roman" w:eastAsia="宋体" w:cs="Times New Roman"/>
          <w:color w:val="auto"/>
          <w:sz w:val="24"/>
        </w:rPr>
        <w:t>的坐标（</w:t>
      </w:r>
      <w:r>
        <w:rPr>
          <w:rFonts w:hint="default" w:ascii="Times New Roman" w:hAnsi="Times New Roman" w:eastAsia="宋体" w:cs="Times New Roman"/>
          <w:i/>
          <w:iCs/>
          <w:color w:val="auto"/>
          <w:sz w:val="24"/>
        </w:rPr>
        <w:t>i</w:t>
      </w:r>
      <w:r>
        <w:rPr>
          <w:rFonts w:hint="default" w:ascii="Times New Roman" w:hAnsi="Times New Roman" w:eastAsia="宋体" w:cs="Times New Roman"/>
          <w:color w:val="auto"/>
          <w:sz w:val="24"/>
        </w:rPr>
        <w:t>=1、2</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m）；</w:t>
      </w:r>
    </w:p>
    <w:p w14:paraId="4FF548DB">
      <w:pPr>
        <w:adjustRightInd w:val="0"/>
        <w:snapToGrid w:val="0"/>
        <w:spacing w:line="360" w:lineRule="auto"/>
        <w:ind w:firstLine="1200" w:firstLineChars="500"/>
        <w:rPr>
          <w:rFonts w:hint="default" w:ascii="Times New Roman" w:hAnsi="Times New Roman" w:eastAsia="宋体" w:cs="Times New Roman"/>
          <w:color w:val="auto"/>
          <w:sz w:val="24"/>
        </w:rPr>
      </w:pPr>
      <w:r>
        <w:rPr>
          <w:rFonts w:hint="default" w:ascii="Times New Roman" w:hAnsi="Times New Roman" w:eastAsia="宋体" w:cs="Times New Roman"/>
          <w:i/>
          <w:iCs/>
          <w:color w:val="auto"/>
          <w:sz w:val="24"/>
        </w:rPr>
        <w:t>m</w:t>
      </w:r>
      <w:r>
        <w:rPr>
          <w:rFonts w:hint="default" w:ascii="Times New Roman" w:hAnsi="Times New Roman" w:eastAsia="宋体" w:cs="Times New Roman"/>
          <w:color w:val="auto"/>
          <w:sz w:val="24"/>
        </w:rPr>
        <w:t>—导线数目；</w:t>
      </w:r>
    </w:p>
    <w:p w14:paraId="0FF8D0A1">
      <w:pPr>
        <w:adjustRightInd w:val="0"/>
        <w:snapToGrid w:val="0"/>
        <w:spacing w:line="360" w:lineRule="auto"/>
        <w:ind w:firstLine="1200" w:firstLineChars="500"/>
        <w:rPr>
          <w:rFonts w:hint="default" w:ascii="Times New Roman" w:hAnsi="Times New Roman" w:eastAsia="宋体" w:cs="Times New Roman"/>
          <w:color w:val="auto"/>
          <w:sz w:val="24"/>
        </w:rPr>
      </w:pPr>
      <w:r>
        <w:rPr>
          <w:rFonts w:hint="default" w:ascii="Times New Roman" w:hAnsi="Times New Roman" w:eastAsia="宋体" w:cs="Times New Roman"/>
          <w:i/>
          <w:iCs/>
          <w:color w:val="auto"/>
          <w:sz w:val="24"/>
        </w:rPr>
        <w:t>L</w:t>
      </w:r>
      <w:r>
        <w:rPr>
          <w:rFonts w:hint="default" w:ascii="Times New Roman" w:hAnsi="Times New Roman" w:eastAsia="宋体" w:cs="Times New Roman"/>
          <w:i/>
          <w:iCs/>
          <w:color w:val="auto"/>
          <w:sz w:val="24"/>
          <w:vertAlign w:val="subscript"/>
        </w:rPr>
        <w:t>i</w:t>
      </w:r>
      <w:r>
        <w:rPr>
          <w:rFonts w:hint="default" w:ascii="Times New Roman" w:hAnsi="Times New Roman" w:eastAsia="宋体" w:cs="Times New Roman"/>
          <w:i/>
          <w:iCs/>
          <w:color w:val="auto"/>
          <w:sz w:val="24"/>
        </w:rPr>
        <w:t>、L’</w:t>
      </w:r>
      <w:r>
        <w:rPr>
          <w:rFonts w:hint="default" w:ascii="Times New Roman" w:hAnsi="Times New Roman" w:eastAsia="宋体" w:cs="Times New Roman"/>
          <w:i/>
          <w:iCs/>
          <w:color w:val="auto"/>
          <w:sz w:val="24"/>
          <w:vertAlign w:val="subscript"/>
        </w:rPr>
        <w:t>i</w:t>
      </w:r>
      <w:r>
        <w:rPr>
          <w:rFonts w:hint="default" w:ascii="Times New Roman" w:hAnsi="Times New Roman" w:eastAsia="宋体" w:cs="Times New Roman"/>
          <w:color w:val="auto"/>
          <w:sz w:val="24"/>
        </w:rPr>
        <w:t>—分别为导线</w:t>
      </w:r>
      <w:r>
        <w:rPr>
          <w:rFonts w:hint="default" w:ascii="Times New Roman" w:hAnsi="Times New Roman" w:eastAsia="宋体" w:cs="Times New Roman"/>
          <w:i/>
          <w:iCs/>
          <w:color w:val="auto"/>
          <w:sz w:val="24"/>
        </w:rPr>
        <w:t>i</w:t>
      </w:r>
      <w:r>
        <w:rPr>
          <w:rFonts w:hint="default" w:ascii="Times New Roman" w:hAnsi="Times New Roman" w:eastAsia="宋体" w:cs="Times New Roman"/>
          <w:color w:val="auto"/>
          <w:sz w:val="24"/>
        </w:rPr>
        <w:t>及其镜像至计算点的距离，m。</w:t>
      </w:r>
    </w:p>
    <w:p w14:paraId="57686683">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对于三相交流线路，可根据式（C8）和（C9）求得的电荷计算空间任一点电场强度的水平和垂直分量为：</w:t>
      </w:r>
    </w:p>
    <w:p w14:paraId="5B318801">
      <w:pPr>
        <w:adjustRightInd w:val="0"/>
        <w:snapToGrid w:val="0"/>
        <w:spacing w:before="156" w:beforeLines="50" w:line="360" w:lineRule="auto"/>
        <w:jc w:val="center"/>
        <w:rPr>
          <w:rFonts w:hint="default" w:ascii="Times New Roman" w:hAnsi="Times New Roman" w:eastAsia="宋体" w:cs="Times New Roman"/>
          <w:color w:val="auto"/>
          <w:sz w:val="24"/>
        </w:rPr>
      </w:pPr>
      <w:r>
        <w:rPr>
          <w:rFonts w:hint="default" w:ascii="Times New Roman" w:hAnsi="Times New Roman" w:eastAsia="宋体" w:cs="Times New Roman"/>
          <w:iCs/>
          <w:color w:val="auto"/>
          <w:sz w:val="24"/>
        </w:rPr>
        <w:t xml:space="preserve">   </w:t>
      </w:r>
      <w:r>
        <w:rPr>
          <w:rFonts w:hint="default" w:ascii="Times New Roman" w:hAnsi="Times New Roman" w:eastAsia="宋体" w:cs="Times New Roman"/>
          <w:iCs/>
          <w:color w:val="auto"/>
          <w:sz w:val="24"/>
        </w:rPr>
        <w:drawing>
          <wp:inline distT="0" distB="0" distL="114300" distR="114300">
            <wp:extent cx="3046095" cy="302895"/>
            <wp:effectExtent l="0" t="0" r="1905" b="1270"/>
            <wp:docPr id="6" name="图片 19"/>
            <wp:cNvGraphicFramePr/>
            <a:graphic xmlns:a="http://schemas.openxmlformats.org/drawingml/2006/main">
              <a:graphicData uri="http://schemas.openxmlformats.org/drawingml/2006/picture">
                <pic:pic xmlns:pic="http://schemas.openxmlformats.org/drawingml/2006/picture">
                  <pic:nvPicPr>
                    <pic:cNvPr id="6" name="图片 19"/>
                    <pic:cNvPicPr/>
                  </pic:nvPicPr>
                  <pic:blipFill>
                    <a:blip r:embed="rId53"/>
                    <a:stretch>
                      <a:fillRect/>
                    </a:stretch>
                  </pic:blipFill>
                  <pic:spPr>
                    <a:xfrm>
                      <a:off x="0" y="0"/>
                      <a:ext cx="3046095" cy="302895"/>
                    </a:xfrm>
                    <a:prstGeom prst="rect">
                      <a:avLst/>
                    </a:prstGeom>
                    <a:noFill/>
                    <a:ln>
                      <a:noFill/>
                    </a:ln>
                  </pic:spPr>
                </pic:pic>
              </a:graphicData>
            </a:graphic>
          </wp:inline>
        </w:drawing>
      </w:r>
      <w:r>
        <w:rPr>
          <w:rFonts w:hint="default" w:ascii="Times New Roman" w:hAnsi="Times New Roman" w:eastAsia="宋体" w:cs="Times New Roman"/>
          <w:iCs/>
          <w:color w:val="auto"/>
          <w:sz w:val="24"/>
        </w:rPr>
        <w:t>……………………（C12）</w:t>
      </w:r>
    </w:p>
    <w:p w14:paraId="163B7518">
      <w:pPr>
        <w:adjustRightInd w:val="0"/>
        <w:snapToGrid w:val="0"/>
        <w:spacing w:before="156" w:beforeLines="50" w:line="360" w:lineRule="auto"/>
        <w:jc w:val="center"/>
        <w:rPr>
          <w:rFonts w:hint="default" w:ascii="Times New Roman" w:hAnsi="Times New Roman" w:eastAsia="宋体" w:cs="Times New Roman"/>
          <w:color w:val="auto"/>
          <w:sz w:val="24"/>
        </w:rPr>
      </w:pPr>
      <w:r>
        <w:rPr>
          <w:rFonts w:hint="default" w:ascii="Times New Roman" w:hAnsi="Times New Roman" w:eastAsia="宋体" w:cs="Times New Roman"/>
          <w:iCs/>
          <w:color w:val="auto"/>
          <w:sz w:val="24"/>
        </w:rPr>
        <w:t xml:space="preserve">   </w:t>
      </w:r>
      <w:r>
        <w:rPr>
          <w:rFonts w:hint="default" w:ascii="Times New Roman" w:hAnsi="Times New Roman" w:eastAsia="宋体" w:cs="Times New Roman"/>
          <w:iCs/>
          <w:color w:val="auto"/>
          <w:sz w:val="24"/>
        </w:rPr>
        <w:drawing>
          <wp:inline distT="0" distB="0" distL="114300" distR="114300">
            <wp:extent cx="3046095" cy="302895"/>
            <wp:effectExtent l="0" t="0" r="1905" b="1270"/>
            <wp:docPr id="7" name="图片 20"/>
            <wp:cNvGraphicFramePr/>
            <a:graphic xmlns:a="http://schemas.openxmlformats.org/drawingml/2006/main">
              <a:graphicData uri="http://schemas.openxmlformats.org/drawingml/2006/picture">
                <pic:pic xmlns:pic="http://schemas.openxmlformats.org/drawingml/2006/picture">
                  <pic:nvPicPr>
                    <pic:cNvPr id="7" name="图片 20"/>
                    <pic:cNvPicPr/>
                  </pic:nvPicPr>
                  <pic:blipFill>
                    <a:blip r:embed="rId54"/>
                    <a:stretch>
                      <a:fillRect/>
                    </a:stretch>
                  </pic:blipFill>
                  <pic:spPr>
                    <a:xfrm>
                      <a:off x="0" y="0"/>
                      <a:ext cx="3046095" cy="302895"/>
                    </a:xfrm>
                    <a:prstGeom prst="rect">
                      <a:avLst/>
                    </a:prstGeom>
                    <a:noFill/>
                    <a:ln>
                      <a:noFill/>
                    </a:ln>
                  </pic:spPr>
                </pic:pic>
              </a:graphicData>
            </a:graphic>
          </wp:inline>
        </w:drawing>
      </w:r>
      <w:r>
        <w:rPr>
          <w:rFonts w:hint="default" w:ascii="Times New Roman" w:hAnsi="Times New Roman" w:eastAsia="宋体" w:cs="Times New Roman"/>
          <w:iCs/>
          <w:color w:val="auto"/>
          <w:sz w:val="24"/>
        </w:rPr>
        <w:t>……………………（C13）</w:t>
      </w:r>
    </w:p>
    <w:p w14:paraId="0207CE53">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w:t>
      </w:r>
      <w:r>
        <w:rPr>
          <w:rFonts w:hint="default" w:ascii="Times New Roman" w:hAnsi="Times New Roman" w:eastAsia="宋体" w:cs="Times New Roman"/>
          <w:i/>
          <w:iCs/>
          <w:color w:val="auto"/>
          <w:sz w:val="24"/>
        </w:rPr>
        <w:t>E</w:t>
      </w:r>
      <w:r>
        <w:rPr>
          <w:rFonts w:hint="default" w:ascii="Times New Roman" w:hAnsi="Times New Roman" w:eastAsia="宋体" w:cs="Times New Roman"/>
          <w:i/>
          <w:iCs/>
          <w:color w:val="auto"/>
          <w:sz w:val="24"/>
          <w:vertAlign w:val="subscript"/>
        </w:rPr>
        <w:t>xR</w:t>
      </w:r>
      <w:r>
        <w:rPr>
          <w:rFonts w:hint="default" w:ascii="Times New Roman" w:hAnsi="Times New Roman" w:eastAsia="宋体" w:cs="Times New Roman"/>
          <w:color w:val="auto"/>
          <w:sz w:val="24"/>
        </w:rPr>
        <w:t>——由各导线的实部电荷在该点产生场强的水平分量；</w:t>
      </w:r>
    </w:p>
    <w:p w14:paraId="0082E6E6">
      <w:pPr>
        <w:adjustRightInd w:val="0"/>
        <w:snapToGrid w:val="0"/>
        <w:spacing w:line="360" w:lineRule="auto"/>
        <w:ind w:firstLine="1200" w:firstLineChars="500"/>
        <w:rPr>
          <w:rFonts w:hint="default" w:ascii="Times New Roman" w:hAnsi="Times New Roman" w:eastAsia="宋体" w:cs="Times New Roman"/>
          <w:color w:val="auto"/>
          <w:sz w:val="24"/>
        </w:rPr>
      </w:pPr>
      <w:bookmarkStart w:id="162" w:name="_Toc423346904"/>
      <w:bookmarkStart w:id="163" w:name="_Toc409709912"/>
      <w:bookmarkStart w:id="164" w:name="_Toc418713149"/>
      <w:r>
        <w:rPr>
          <w:rFonts w:hint="default" w:ascii="Times New Roman" w:hAnsi="Times New Roman" w:eastAsia="宋体" w:cs="Times New Roman"/>
          <w:i/>
          <w:iCs/>
          <w:color w:val="auto"/>
          <w:sz w:val="24"/>
        </w:rPr>
        <w:t>E</w:t>
      </w:r>
      <w:r>
        <w:rPr>
          <w:rFonts w:hint="default" w:ascii="Times New Roman" w:hAnsi="Times New Roman" w:eastAsia="宋体" w:cs="Times New Roman"/>
          <w:i/>
          <w:iCs/>
          <w:color w:val="auto"/>
          <w:sz w:val="24"/>
          <w:vertAlign w:val="subscript"/>
        </w:rPr>
        <w:t>xI</w:t>
      </w:r>
      <w:r>
        <w:rPr>
          <w:rFonts w:hint="default" w:ascii="Times New Roman" w:hAnsi="Times New Roman" w:eastAsia="宋体" w:cs="Times New Roman"/>
          <w:color w:val="auto"/>
          <w:sz w:val="24"/>
        </w:rPr>
        <w:t>——由各导线的虚部电荷在该点产生场强的水平分量；</w:t>
      </w:r>
      <w:bookmarkEnd w:id="162"/>
      <w:bookmarkEnd w:id="163"/>
      <w:bookmarkEnd w:id="164"/>
    </w:p>
    <w:p w14:paraId="38E0C77F">
      <w:pPr>
        <w:adjustRightInd w:val="0"/>
        <w:snapToGrid w:val="0"/>
        <w:spacing w:line="360" w:lineRule="auto"/>
        <w:ind w:firstLine="1200" w:firstLineChars="500"/>
        <w:rPr>
          <w:rFonts w:hint="default" w:ascii="Times New Roman" w:hAnsi="Times New Roman" w:eastAsia="宋体" w:cs="Times New Roman"/>
          <w:color w:val="auto"/>
          <w:sz w:val="24"/>
        </w:rPr>
      </w:pPr>
      <w:r>
        <w:rPr>
          <w:rFonts w:hint="default" w:ascii="Times New Roman" w:hAnsi="Times New Roman" w:eastAsia="宋体" w:cs="Times New Roman"/>
          <w:i/>
          <w:iCs/>
          <w:color w:val="auto"/>
          <w:sz w:val="24"/>
        </w:rPr>
        <w:t>E</w:t>
      </w:r>
      <w:r>
        <w:rPr>
          <w:rFonts w:hint="default" w:ascii="Times New Roman" w:hAnsi="Times New Roman" w:eastAsia="宋体" w:cs="Times New Roman"/>
          <w:i/>
          <w:iCs/>
          <w:color w:val="auto"/>
          <w:sz w:val="24"/>
          <w:vertAlign w:val="subscript"/>
        </w:rPr>
        <w:t>yR</w:t>
      </w:r>
      <w:r>
        <w:rPr>
          <w:rFonts w:hint="default" w:ascii="Times New Roman" w:hAnsi="Times New Roman" w:eastAsia="宋体" w:cs="Times New Roman"/>
          <w:color w:val="auto"/>
          <w:sz w:val="24"/>
        </w:rPr>
        <w:t>——由各导线的实部电荷在该点产生场强的垂直分量；</w:t>
      </w:r>
    </w:p>
    <w:p w14:paraId="2252179E">
      <w:pPr>
        <w:adjustRightInd w:val="0"/>
        <w:snapToGrid w:val="0"/>
        <w:spacing w:line="360" w:lineRule="auto"/>
        <w:ind w:firstLine="1200" w:firstLineChars="500"/>
        <w:rPr>
          <w:rFonts w:hint="default" w:ascii="Times New Roman" w:hAnsi="Times New Roman" w:eastAsia="宋体" w:cs="Times New Roman"/>
          <w:color w:val="auto"/>
          <w:sz w:val="24"/>
        </w:rPr>
      </w:pPr>
      <w:bookmarkStart w:id="165" w:name="_Toc409709913"/>
      <w:bookmarkStart w:id="166" w:name="_Toc423346905"/>
      <w:bookmarkStart w:id="167" w:name="_Toc418713150"/>
      <w:r>
        <w:rPr>
          <w:rFonts w:hint="default" w:ascii="Times New Roman" w:hAnsi="Times New Roman" w:eastAsia="宋体" w:cs="Times New Roman"/>
          <w:i/>
          <w:iCs/>
          <w:color w:val="auto"/>
          <w:sz w:val="24"/>
        </w:rPr>
        <w:t>E</w:t>
      </w:r>
      <w:r>
        <w:rPr>
          <w:rFonts w:hint="default" w:ascii="Times New Roman" w:hAnsi="Times New Roman" w:eastAsia="宋体" w:cs="Times New Roman"/>
          <w:i/>
          <w:iCs/>
          <w:color w:val="auto"/>
          <w:sz w:val="24"/>
          <w:vertAlign w:val="subscript"/>
        </w:rPr>
        <w:t>yI</w:t>
      </w:r>
      <w:r>
        <w:rPr>
          <w:rFonts w:hint="default" w:ascii="Times New Roman" w:hAnsi="Times New Roman" w:eastAsia="宋体" w:cs="Times New Roman"/>
          <w:color w:val="auto"/>
          <w:sz w:val="24"/>
        </w:rPr>
        <w:t>——由各导线的虚部电荷在该点产生场强的垂直分量；</w:t>
      </w:r>
      <w:bookmarkEnd w:id="165"/>
      <w:bookmarkEnd w:id="166"/>
      <w:bookmarkEnd w:id="167"/>
    </w:p>
    <w:p w14:paraId="4260CFE1">
      <w:pPr>
        <w:adjustRightInd w:val="0"/>
        <w:snapToGrid w:val="0"/>
        <w:spacing w:line="490" w:lineRule="exact"/>
        <w:ind w:firstLine="360" w:firstLineChars="15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该点的合成场强为：</w:t>
      </w:r>
    </w:p>
    <w:p w14:paraId="1713CF85">
      <w:pPr>
        <w:adjustRightInd w:val="0"/>
        <w:snapToGrid w:val="0"/>
        <w:spacing w:line="360" w:lineRule="auto"/>
        <w:jc w:val="center"/>
        <w:rPr>
          <w:rFonts w:hint="default" w:ascii="Times New Roman" w:hAnsi="Times New Roman" w:eastAsia="宋体" w:cs="Times New Roman"/>
          <w:color w:val="auto"/>
          <w:sz w:val="24"/>
        </w:rPr>
      </w:pPr>
      <w:r>
        <w:rPr>
          <w:rFonts w:hint="default" w:ascii="Times New Roman" w:hAnsi="Times New Roman" w:eastAsia="宋体" w:cs="Times New Roman"/>
          <w:iCs/>
          <w:color w:val="auto"/>
          <w:sz w:val="24"/>
        </w:rPr>
        <w:t xml:space="preserve">   </w:t>
      </w:r>
      <w:r>
        <w:rPr>
          <w:rFonts w:hint="default" w:ascii="Times New Roman" w:hAnsi="Times New Roman" w:eastAsia="宋体" w:cs="Times New Roman"/>
          <w:iCs/>
          <w:color w:val="auto"/>
          <w:sz w:val="24"/>
        </w:rPr>
        <w:drawing>
          <wp:inline distT="0" distB="0" distL="114300" distR="114300">
            <wp:extent cx="3432175" cy="302895"/>
            <wp:effectExtent l="0" t="0" r="15875" b="1905"/>
            <wp:docPr id="8" name="图片 21"/>
            <wp:cNvGraphicFramePr/>
            <a:graphic xmlns:a="http://schemas.openxmlformats.org/drawingml/2006/main">
              <a:graphicData uri="http://schemas.openxmlformats.org/drawingml/2006/picture">
                <pic:pic xmlns:pic="http://schemas.openxmlformats.org/drawingml/2006/picture">
                  <pic:nvPicPr>
                    <pic:cNvPr id="8" name="图片 21"/>
                    <pic:cNvPicPr/>
                  </pic:nvPicPr>
                  <pic:blipFill>
                    <a:blip r:embed="rId55"/>
                    <a:stretch>
                      <a:fillRect/>
                    </a:stretch>
                  </pic:blipFill>
                  <pic:spPr>
                    <a:xfrm>
                      <a:off x="0" y="0"/>
                      <a:ext cx="3432175" cy="302895"/>
                    </a:xfrm>
                    <a:prstGeom prst="rect">
                      <a:avLst/>
                    </a:prstGeom>
                    <a:noFill/>
                    <a:ln>
                      <a:noFill/>
                    </a:ln>
                  </pic:spPr>
                </pic:pic>
              </a:graphicData>
            </a:graphic>
          </wp:inline>
        </w:drawing>
      </w:r>
      <w:r>
        <w:rPr>
          <w:rFonts w:hint="default" w:ascii="Times New Roman" w:hAnsi="Times New Roman" w:eastAsia="宋体" w:cs="Times New Roman"/>
          <w:iCs/>
          <w:color w:val="auto"/>
          <w:sz w:val="24"/>
        </w:rPr>
        <w:t>……………………</w:t>
      </w:r>
      <w:r>
        <w:rPr>
          <w:rFonts w:hint="default" w:ascii="Times New Roman" w:hAnsi="Times New Roman" w:eastAsia="宋体" w:cs="Times New Roman"/>
          <w:iCs/>
          <w:color w:val="auto"/>
          <w:sz w:val="24"/>
          <w:lang w:eastAsia="zh-CN"/>
        </w:rPr>
        <w:t>(</w:t>
      </w:r>
      <w:r>
        <w:rPr>
          <w:rFonts w:hint="default" w:ascii="Times New Roman" w:hAnsi="Times New Roman" w:eastAsia="宋体" w:cs="Times New Roman"/>
          <w:iCs/>
          <w:color w:val="auto"/>
          <w:sz w:val="24"/>
        </w:rPr>
        <w:t>C14</w:t>
      </w:r>
      <w:r>
        <w:rPr>
          <w:rFonts w:hint="default" w:ascii="Times New Roman" w:hAnsi="Times New Roman" w:eastAsia="宋体" w:cs="Times New Roman"/>
          <w:iCs/>
          <w:color w:val="auto"/>
          <w:sz w:val="24"/>
          <w:lang w:eastAsia="zh-CN"/>
        </w:rPr>
        <w:t>)</w:t>
      </w:r>
    </w:p>
    <w:p w14:paraId="6E0CE08E">
      <w:pPr>
        <w:adjustRightInd w:val="0"/>
        <w:snapToGrid w:val="0"/>
        <w:spacing w:line="360" w:lineRule="auto"/>
        <w:ind w:firstLine="360" w:firstLineChars="15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w:t>
      </w:r>
    </w:p>
    <w:p w14:paraId="7F0F8D1C">
      <w:pPr>
        <w:adjustRightInd w:val="0"/>
        <w:snapToGrid w:val="0"/>
        <w:spacing w:line="360" w:lineRule="auto"/>
        <w:jc w:val="center"/>
        <w:rPr>
          <w:rFonts w:hint="default" w:ascii="Times New Roman" w:hAnsi="Times New Roman" w:eastAsia="宋体" w:cs="Times New Roman"/>
          <w:color w:val="auto"/>
          <w:sz w:val="24"/>
        </w:rPr>
      </w:pPr>
      <m:oMath>
        <m:sSub>
          <m:sSubPr>
            <m:ctrlPr>
              <w:rPr>
                <w:rFonts w:hint="default" w:ascii="Cambria Math" w:hAnsi="Cambria Math" w:eastAsia="宋体" w:cs="Times New Roman"/>
                <w:i/>
                <w:color w:val="auto"/>
                <w:sz w:val="28"/>
                <w:szCs w:val="28"/>
              </w:rPr>
            </m:ctrlPr>
          </m:sSubPr>
          <m:e>
            <m:r>
              <m:rPr>
                <m:nor/>
              </m:rPr>
              <w:rPr>
                <w:rFonts w:hint="default" w:ascii="Times New Roman" w:hAnsi="Times New Roman" w:eastAsia="宋体" w:cs="Times New Roman"/>
                <w:i/>
                <w:color w:val="auto"/>
                <w:sz w:val="28"/>
                <w:szCs w:val="28"/>
              </w:rPr>
              <m:t>E</m:t>
            </m:r>
            <m:ctrlPr>
              <w:rPr>
                <w:rFonts w:hint="default" w:ascii="Cambria Math" w:hAnsi="Cambria Math" w:eastAsia="宋体" w:cs="Times New Roman"/>
                <w:i/>
                <w:color w:val="auto"/>
                <w:sz w:val="28"/>
                <w:szCs w:val="28"/>
              </w:rPr>
            </m:ctrlPr>
          </m:e>
          <m:sub>
            <m:r>
              <m:rPr>
                <m:nor/>
              </m:rPr>
              <w:rPr>
                <w:rFonts w:hint="default" w:ascii="Times New Roman" w:hAnsi="Times New Roman" w:eastAsia="宋体" w:cs="Times New Roman"/>
                <w:i/>
                <w:color w:val="auto"/>
                <w:sz w:val="28"/>
                <w:szCs w:val="28"/>
              </w:rPr>
              <m:t>x</m:t>
            </m:r>
            <m:ctrlPr>
              <w:rPr>
                <w:rFonts w:hint="default" w:ascii="Cambria Math" w:hAnsi="Cambria Math" w:eastAsia="宋体" w:cs="Times New Roman"/>
                <w:i/>
                <w:color w:val="auto"/>
                <w:sz w:val="28"/>
                <w:szCs w:val="28"/>
              </w:rPr>
            </m:ctrlPr>
          </m:sub>
        </m:sSub>
        <m:r>
          <m:rPr>
            <m:nor/>
            <m:sty m:val="p"/>
          </m:rPr>
          <w:rPr>
            <w:rFonts w:hint="default" w:ascii="Times New Roman" w:hAnsi="Times New Roman" w:eastAsia="宋体" w:cs="Times New Roman"/>
            <w:b w:val="0"/>
            <w:i w:val="0"/>
            <w:color w:val="auto"/>
            <w:sz w:val="28"/>
            <w:szCs w:val="28"/>
          </w:rPr>
          <m:t>=</m:t>
        </m:r>
        <m:rad>
          <m:radPr>
            <m:degHide m:val="1"/>
            <m:ctrlPr>
              <w:rPr>
                <w:rFonts w:hint="default" w:ascii="Cambria Math" w:hAnsi="Cambria Math" w:eastAsia="宋体" w:cs="Times New Roman"/>
                <w:i/>
                <w:color w:val="auto"/>
                <w:sz w:val="28"/>
                <w:szCs w:val="28"/>
              </w:rPr>
            </m:ctrlPr>
          </m:radPr>
          <m:deg>
            <m:ctrlPr>
              <w:rPr>
                <w:rFonts w:hint="default" w:ascii="Cambria Math" w:hAnsi="Cambria Math" w:eastAsia="宋体" w:cs="Times New Roman"/>
                <w:i/>
                <w:color w:val="auto"/>
                <w:sz w:val="28"/>
                <w:szCs w:val="28"/>
              </w:rPr>
            </m:ctrlPr>
          </m:deg>
          <m:e>
            <m:sSubSup>
              <m:sSubSupPr>
                <m:ctrlPr>
                  <w:rPr>
                    <w:rFonts w:hint="default" w:ascii="Cambria Math" w:hAnsi="Cambria Math" w:eastAsia="宋体" w:cs="Times New Roman"/>
                    <w:i/>
                    <w:color w:val="auto"/>
                    <w:sz w:val="28"/>
                    <w:szCs w:val="28"/>
                  </w:rPr>
                </m:ctrlPr>
              </m:sSubSupPr>
              <m:e>
                <m:r>
                  <m:rPr>
                    <m:nor/>
                  </m:rPr>
                  <w:rPr>
                    <w:rFonts w:hint="default" w:ascii="Times New Roman" w:hAnsi="Times New Roman" w:eastAsia="宋体" w:cs="Times New Roman"/>
                    <w:i/>
                    <w:color w:val="auto"/>
                    <w:sz w:val="28"/>
                    <w:szCs w:val="28"/>
                  </w:rPr>
                  <m:t>E</m:t>
                </m:r>
                <m:ctrlPr>
                  <w:rPr>
                    <w:rFonts w:hint="default" w:ascii="Cambria Math" w:hAnsi="Cambria Math" w:eastAsia="宋体" w:cs="Times New Roman"/>
                    <w:i/>
                    <w:color w:val="auto"/>
                    <w:sz w:val="28"/>
                    <w:szCs w:val="28"/>
                  </w:rPr>
                </m:ctrlPr>
              </m:e>
              <m:sub>
                <m:r>
                  <m:rPr>
                    <m:nor/>
                  </m:rPr>
                  <w:rPr>
                    <w:rFonts w:hint="default" w:ascii="Times New Roman" w:hAnsi="Times New Roman" w:eastAsia="宋体" w:cs="Times New Roman"/>
                    <w:i/>
                    <w:color w:val="auto"/>
                    <w:sz w:val="28"/>
                    <w:szCs w:val="28"/>
                  </w:rPr>
                  <m:t>xR</m:t>
                </m:r>
                <m:ctrlPr>
                  <w:rPr>
                    <w:rFonts w:hint="default" w:ascii="Cambria Math" w:hAnsi="Cambria Math" w:eastAsia="宋体" w:cs="Times New Roman"/>
                    <w:i/>
                    <w:color w:val="auto"/>
                    <w:sz w:val="28"/>
                    <w:szCs w:val="28"/>
                  </w:rPr>
                </m:ctrlPr>
              </m:sub>
              <m:sup>
                <m:r>
                  <m:rPr>
                    <m:nor/>
                    <m:sty m:val="p"/>
                  </m:rPr>
                  <w:rPr>
                    <w:rFonts w:hint="default" w:ascii="Times New Roman" w:hAnsi="Times New Roman" w:eastAsia="宋体" w:cs="Times New Roman"/>
                    <w:b w:val="0"/>
                    <w:i w:val="0"/>
                    <w:color w:val="auto"/>
                    <w:sz w:val="28"/>
                    <w:szCs w:val="28"/>
                  </w:rPr>
                  <m:t>2</m:t>
                </m:r>
                <m:ctrlPr>
                  <w:rPr>
                    <w:rFonts w:hint="default" w:ascii="Cambria Math" w:hAnsi="Cambria Math" w:eastAsia="宋体" w:cs="Times New Roman"/>
                    <w:i/>
                    <w:color w:val="auto"/>
                    <w:sz w:val="28"/>
                    <w:szCs w:val="28"/>
                  </w:rPr>
                </m:ctrlPr>
              </m:sup>
            </m:sSubSup>
            <m:r>
              <m:rPr>
                <m:nor/>
                <m:sty m:val="p"/>
              </m:rPr>
              <w:rPr>
                <w:rFonts w:hint="default" w:ascii="Times New Roman" w:hAnsi="Times New Roman" w:eastAsia="宋体" w:cs="Times New Roman"/>
                <w:b w:val="0"/>
                <w:i w:val="0"/>
                <w:color w:val="auto"/>
                <w:sz w:val="28"/>
                <w:szCs w:val="28"/>
              </w:rPr>
              <m:t>+</m:t>
            </m:r>
            <m:sSubSup>
              <m:sSubSupPr>
                <m:ctrlPr>
                  <w:rPr>
                    <w:rFonts w:hint="default" w:ascii="Cambria Math" w:hAnsi="Cambria Math" w:eastAsia="宋体" w:cs="Times New Roman"/>
                    <w:i/>
                    <w:color w:val="auto"/>
                    <w:sz w:val="28"/>
                    <w:szCs w:val="28"/>
                  </w:rPr>
                </m:ctrlPr>
              </m:sSubSupPr>
              <m:e>
                <m:r>
                  <m:rPr>
                    <m:nor/>
                  </m:rPr>
                  <w:rPr>
                    <w:rFonts w:hint="default" w:ascii="Times New Roman" w:hAnsi="Times New Roman" w:eastAsia="宋体" w:cs="Times New Roman"/>
                    <w:i/>
                    <w:color w:val="auto"/>
                    <w:sz w:val="28"/>
                    <w:szCs w:val="28"/>
                  </w:rPr>
                  <m:t>E</m:t>
                </m:r>
                <m:ctrlPr>
                  <w:rPr>
                    <w:rFonts w:hint="default" w:ascii="Cambria Math" w:hAnsi="Cambria Math" w:eastAsia="宋体" w:cs="Times New Roman"/>
                    <w:i/>
                    <w:color w:val="auto"/>
                    <w:sz w:val="28"/>
                    <w:szCs w:val="28"/>
                  </w:rPr>
                </m:ctrlPr>
              </m:e>
              <m:sub>
                <m:r>
                  <m:rPr>
                    <m:nor/>
                  </m:rPr>
                  <w:rPr>
                    <w:rFonts w:hint="default" w:ascii="Times New Roman" w:hAnsi="Times New Roman" w:eastAsia="宋体" w:cs="Times New Roman"/>
                    <w:i/>
                    <w:color w:val="auto"/>
                    <w:sz w:val="28"/>
                    <w:szCs w:val="28"/>
                  </w:rPr>
                  <m:t>xI</m:t>
                </m:r>
                <m:ctrlPr>
                  <w:rPr>
                    <w:rFonts w:hint="default" w:ascii="Cambria Math" w:hAnsi="Cambria Math" w:eastAsia="宋体" w:cs="Times New Roman"/>
                    <w:i/>
                    <w:color w:val="auto"/>
                    <w:sz w:val="28"/>
                    <w:szCs w:val="28"/>
                  </w:rPr>
                </m:ctrlPr>
              </m:sub>
              <m:sup>
                <m:r>
                  <m:rPr>
                    <m:nor/>
                    <m:sty m:val="p"/>
                  </m:rPr>
                  <w:rPr>
                    <w:rFonts w:hint="default" w:ascii="Times New Roman" w:hAnsi="Times New Roman" w:eastAsia="宋体" w:cs="Times New Roman"/>
                    <w:b w:val="0"/>
                    <w:i w:val="0"/>
                    <w:color w:val="auto"/>
                    <w:sz w:val="28"/>
                    <w:szCs w:val="28"/>
                  </w:rPr>
                  <m:t>2</m:t>
                </m:r>
                <m:ctrlPr>
                  <w:rPr>
                    <w:rFonts w:hint="default" w:ascii="Cambria Math" w:hAnsi="Cambria Math" w:eastAsia="宋体" w:cs="Times New Roman"/>
                    <w:i/>
                    <w:color w:val="auto"/>
                    <w:sz w:val="28"/>
                    <w:szCs w:val="28"/>
                  </w:rPr>
                </m:ctrlPr>
              </m:sup>
            </m:sSubSup>
            <m:ctrlPr>
              <w:rPr>
                <w:rFonts w:hint="default" w:ascii="Cambria Math" w:hAnsi="Cambria Math" w:eastAsia="宋体" w:cs="Times New Roman"/>
                <w:i/>
                <w:color w:val="auto"/>
                <w:sz w:val="28"/>
                <w:szCs w:val="28"/>
              </w:rPr>
            </m:ctrlPr>
          </m:e>
        </m:rad>
      </m:oMath>
      <w:r>
        <w:rPr>
          <w:rFonts w:hint="default" w:ascii="Times New Roman" w:hAnsi="Times New Roman" w:eastAsia="宋体" w:cs="Times New Roman"/>
          <w:iCs/>
          <w:color w:val="auto"/>
          <w:sz w:val="24"/>
        </w:rPr>
        <w:t>……………………（C15）</w:t>
      </w:r>
    </w:p>
    <w:p w14:paraId="12A5702C">
      <w:pPr>
        <w:adjustRightInd w:val="0"/>
        <w:snapToGrid w:val="0"/>
        <w:spacing w:line="360" w:lineRule="auto"/>
        <w:jc w:val="center"/>
        <w:rPr>
          <w:rFonts w:hint="default" w:ascii="Times New Roman" w:hAnsi="Times New Roman" w:eastAsia="宋体" w:cs="Times New Roman"/>
          <w:color w:val="auto"/>
          <w:sz w:val="24"/>
        </w:rPr>
      </w:pPr>
      <m:oMath>
        <m:sSub>
          <m:sSubPr>
            <m:ctrlPr>
              <w:rPr>
                <w:rFonts w:hint="default" w:ascii="Cambria Math" w:hAnsi="Cambria Math" w:eastAsia="宋体" w:cs="Times New Roman"/>
                <w:i/>
                <w:color w:val="auto"/>
                <w:sz w:val="28"/>
                <w:szCs w:val="28"/>
              </w:rPr>
            </m:ctrlPr>
          </m:sSubPr>
          <m:e>
            <m:r>
              <m:rPr>
                <m:nor/>
              </m:rPr>
              <w:rPr>
                <w:rFonts w:hint="default" w:ascii="Times New Roman" w:hAnsi="Times New Roman" w:eastAsia="宋体" w:cs="Times New Roman"/>
                <w:i/>
                <w:color w:val="auto"/>
                <w:sz w:val="28"/>
                <w:szCs w:val="28"/>
              </w:rPr>
              <m:t>E</m:t>
            </m:r>
            <m:ctrlPr>
              <w:rPr>
                <w:rFonts w:hint="default" w:ascii="Cambria Math" w:hAnsi="Cambria Math" w:eastAsia="宋体" w:cs="Times New Roman"/>
                <w:i/>
                <w:color w:val="auto"/>
                <w:sz w:val="28"/>
                <w:szCs w:val="28"/>
              </w:rPr>
            </m:ctrlPr>
          </m:e>
          <m:sub>
            <m:r>
              <m:rPr>
                <m:nor/>
              </m:rPr>
              <w:rPr>
                <w:rFonts w:hint="default" w:ascii="Times New Roman" w:hAnsi="Times New Roman" w:eastAsia="宋体" w:cs="Times New Roman"/>
                <w:i/>
                <w:color w:val="auto"/>
                <w:sz w:val="28"/>
                <w:szCs w:val="28"/>
              </w:rPr>
              <m:t>y</m:t>
            </m:r>
            <m:ctrlPr>
              <w:rPr>
                <w:rFonts w:hint="default" w:ascii="Cambria Math" w:hAnsi="Cambria Math" w:eastAsia="宋体" w:cs="Times New Roman"/>
                <w:i/>
                <w:color w:val="auto"/>
                <w:sz w:val="28"/>
                <w:szCs w:val="28"/>
              </w:rPr>
            </m:ctrlPr>
          </m:sub>
        </m:sSub>
        <m:r>
          <m:rPr>
            <m:nor/>
            <m:sty m:val="p"/>
          </m:rPr>
          <w:rPr>
            <w:rFonts w:hint="default" w:ascii="Times New Roman" w:hAnsi="Times New Roman" w:eastAsia="宋体" w:cs="Times New Roman"/>
            <w:b w:val="0"/>
            <w:i w:val="0"/>
            <w:color w:val="auto"/>
            <w:sz w:val="28"/>
            <w:szCs w:val="28"/>
          </w:rPr>
          <m:t>=</m:t>
        </m:r>
        <m:rad>
          <m:radPr>
            <m:degHide m:val="1"/>
            <m:ctrlPr>
              <w:rPr>
                <w:rFonts w:hint="default" w:ascii="Cambria Math" w:hAnsi="Cambria Math" w:eastAsia="宋体" w:cs="Times New Roman"/>
                <w:i/>
                <w:color w:val="auto"/>
                <w:sz w:val="28"/>
                <w:szCs w:val="28"/>
              </w:rPr>
            </m:ctrlPr>
          </m:radPr>
          <m:deg>
            <m:ctrlPr>
              <w:rPr>
                <w:rFonts w:hint="default" w:ascii="Cambria Math" w:hAnsi="Cambria Math" w:eastAsia="宋体" w:cs="Times New Roman"/>
                <w:i/>
                <w:color w:val="auto"/>
                <w:sz w:val="28"/>
                <w:szCs w:val="28"/>
              </w:rPr>
            </m:ctrlPr>
          </m:deg>
          <m:e>
            <m:sSubSup>
              <m:sSubSupPr>
                <m:ctrlPr>
                  <w:rPr>
                    <w:rFonts w:hint="default" w:ascii="Cambria Math" w:hAnsi="Cambria Math" w:eastAsia="宋体" w:cs="Times New Roman"/>
                    <w:i/>
                    <w:color w:val="auto"/>
                    <w:sz w:val="28"/>
                    <w:szCs w:val="28"/>
                  </w:rPr>
                </m:ctrlPr>
              </m:sSubSupPr>
              <m:e>
                <m:r>
                  <m:rPr>
                    <m:nor/>
                  </m:rPr>
                  <w:rPr>
                    <w:rFonts w:hint="default" w:ascii="Times New Roman" w:hAnsi="Times New Roman" w:eastAsia="宋体" w:cs="Times New Roman"/>
                    <w:i/>
                    <w:color w:val="auto"/>
                    <w:sz w:val="28"/>
                    <w:szCs w:val="28"/>
                  </w:rPr>
                  <m:t>E</m:t>
                </m:r>
                <m:ctrlPr>
                  <w:rPr>
                    <w:rFonts w:hint="default" w:ascii="Cambria Math" w:hAnsi="Cambria Math" w:eastAsia="宋体" w:cs="Times New Roman"/>
                    <w:i/>
                    <w:color w:val="auto"/>
                    <w:sz w:val="28"/>
                    <w:szCs w:val="28"/>
                  </w:rPr>
                </m:ctrlPr>
              </m:e>
              <m:sub>
                <m:r>
                  <m:rPr>
                    <m:nor/>
                  </m:rPr>
                  <w:rPr>
                    <w:rFonts w:hint="default" w:ascii="Times New Roman" w:hAnsi="Times New Roman" w:eastAsia="宋体" w:cs="Times New Roman"/>
                    <w:i/>
                    <w:color w:val="auto"/>
                    <w:sz w:val="28"/>
                    <w:szCs w:val="28"/>
                  </w:rPr>
                  <m:t>yR</m:t>
                </m:r>
                <m:ctrlPr>
                  <w:rPr>
                    <w:rFonts w:hint="default" w:ascii="Cambria Math" w:hAnsi="Cambria Math" w:eastAsia="宋体" w:cs="Times New Roman"/>
                    <w:i/>
                    <w:color w:val="auto"/>
                    <w:sz w:val="28"/>
                    <w:szCs w:val="28"/>
                  </w:rPr>
                </m:ctrlPr>
              </m:sub>
              <m:sup>
                <m:r>
                  <m:rPr>
                    <m:nor/>
                    <m:sty m:val="p"/>
                  </m:rPr>
                  <w:rPr>
                    <w:rFonts w:hint="default" w:ascii="Times New Roman" w:hAnsi="Times New Roman" w:eastAsia="宋体" w:cs="Times New Roman"/>
                    <w:b w:val="0"/>
                    <w:i w:val="0"/>
                    <w:color w:val="auto"/>
                    <w:sz w:val="28"/>
                    <w:szCs w:val="28"/>
                  </w:rPr>
                  <m:t>2</m:t>
                </m:r>
                <m:ctrlPr>
                  <w:rPr>
                    <w:rFonts w:hint="default" w:ascii="Cambria Math" w:hAnsi="Cambria Math" w:eastAsia="宋体" w:cs="Times New Roman"/>
                    <w:i/>
                    <w:color w:val="auto"/>
                    <w:sz w:val="28"/>
                    <w:szCs w:val="28"/>
                  </w:rPr>
                </m:ctrlPr>
              </m:sup>
            </m:sSubSup>
            <m:r>
              <m:rPr>
                <m:nor/>
                <m:sty m:val="p"/>
              </m:rPr>
              <w:rPr>
                <w:rFonts w:hint="default" w:ascii="Times New Roman" w:hAnsi="Times New Roman" w:eastAsia="宋体" w:cs="Times New Roman"/>
                <w:b w:val="0"/>
                <w:i w:val="0"/>
                <w:color w:val="auto"/>
                <w:sz w:val="28"/>
                <w:szCs w:val="28"/>
              </w:rPr>
              <m:t>+</m:t>
            </m:r>
            <m:sSubSup>
              <m:sSubSupPr>
                <m:ctrlPr>
                  <w:rPr>
                    <w:rFonts w:hint="default" w:ascii="Cambria Math" w:hAnsi="Cambria Math" w:eastAsia="宋体" w:cs="Times New Roman"/>
                    <w:i/>
                    <w:color w:val="auto"/>
                    <w:sz w:val="28"/>
                    <w:szCs w:val="28"/>
                  </w:rPr>
                </m:ctrlPr>
              </m:sSubSupPr>
              <m:e>
                <m:r>
                  <m:rPr>
                    <m:nor/>
                  </m:rPr>
                  <w:rPr>
                    <w:rFonts w:hint="default" w:ascii="Times New Roman" w:hAnsi="Times New Roman" w:eastAsia="宋体" w:cs="Times New Roman"/>
                    <w:i/>
                    <w:color w:val="auto"/>
                    <w:sz w:val="28"/>
                    <w:szCs w:val="28"/>
                  </w:rPr>
                  <m:t>E</m:t>
                </m:r>
                <m:ctrlPr>
                  <w:rPr>
                    <w:rFonts w:hint="default" w:ascii="Cambria Math" w:hAnsi="Cambria Math" w:eastAsia="宋体" w:cs="Times New Roman"/>
                    <w:i/>
                    <w:color w:val="auto"/>
                    <w:sz w:val="28"/>
                    <w:szCs w:val="28"/>
                  </w:rPr>
                </m:ctrlPr>
              </m:e>
              <m:sub>
                <m:r>
                  <m:rPr>
                    <m:nor/>
                  </m:rPr>
                  <w:rPr>
                    <w:rFonts w:hint="default" w:ascii="Times New Roman" w:hAnsi="Times New Roman" w:eastAsia="宋体" w:cs="Times New Roman"/>
                    <w:i/>
                    <w:color w:val="auto"/>
                    <w:sz w:val="28"/>
                    <w:szCs w:val="28"/>
                  </w:rPr>
                  <m:t>yI</m:t>
                </m:r>
                <m:ctrlPr>
                  <w:rPr>
                    <w:rFonts w:hint="default" w:ascii="Cambria Math" w:hAnsi="Cambria Math" w:eastAsia="宋体" w:cs="Times New Roman"/>
                    <w:i/>
                    <w:color w:val="auto"/>
                    <w:sz w:val="28"/>
                    <w:szCs w:val="28"/>
                  </w:rPr>
                </m:ctrlPr>
              </m:sub>
              <m:sup>
                <m:r>
                  <m:rPr>
                    <m:nor/>
                    <m:sty m:val="p"/>
                  </m:rPr>
                  <w:rPr>
                    <w:rFonts w:hint="default" w:ascii="Times New Roman" w:hAnsi="Times New Roman" w:eastAsia="宋体" w:cs="Times New Roman"/>
                    <w:b w:val="0"/>
                    <w:i w:val="0"/>
                    <w:color w:val="auto"/>
                    <w:sz w:val="28"/>
                    <w:szCs w:val="28"/>
                  </w:rPr>
                  <m:t>2</m:t>
                </m:r>
                <m:ctrlPr>
                  <w:rPr>
                    <w:rFonts w:hint="default" w:ascii="Cambria Math" w:hAnsi="Cambria Math" w:eastAsia="宋体" w:cs="Times New Roman"/>
                    <w:i/>
                    <w:color w:val="auto"/>
                    <w:sz w:val="28"/>
                    <w:szCs w:val="28"/>
                  </w:rPr>
                </m:ctrlPr>
              </m:sup>
            </m:sSubSup>
            <m:ctrlPr>
              <w:rPr>
                <w:rFonts w:hint="default" w:ascii="Cambria Math" w:hAnsi="Cambria Math" w:eastAsia="宋体" w:cs="Times New Roman"/>
                <w:i/>
                <w:color w:val="auto"/>
                <w:sz w:val="28"/>
                <w:szCs w:val="28"/>
              </w:rPr>
            </m:ctrlPr>
          </m:e>
        </m:rad>
      </m:oMath>
      <w:r>
        <w:rPr>
          <w:rFonts w:hint="default" w:ascii="Times New Roman" w:hAnsi="Times New Roman" w:eastAsia="宋体" w:cs="Times New Roman"/>
          <w:iCs/>
          <w:color w:val="auto"/>
          <w:sz w:val="24"/>
        </w:rPr>
        <w:t>……………………</w:t>
      </w:r>
      <w:r>
        <w:rPr>
          <w:rFonts w:hint="default" w:ascii="Times New Roman" w:hAnsi="Times New Roman" w:eastAsia="宋体" w:cs="Times New Roman"/>
          <w:iCs/>
          <w:color w:val="auto"/>
          <w:sz w:val="24"/>
          <w:lang w:eastAsia="zh-CN"/>
        </w:rPr>
        <w:t>(</w:t>
      </w:r>
      <w:r>
        <w:rPr>
          <w:rFonts w:hint="default" w:ascii="Times New Roman" w:hAnsi="Times New Roman" w:eastAsia="宋体" w:cs="Times New Roman"/>
          <w:iCs/>
          <w:color w:val="auto"/>
          <w:sz w:val="24"/>
        </w:rPr>
        <w:t>C16</w:t>
      </w:r>
      <w:r>
        <w:rPr>
          <w:rFonts w:hint="default" w:ascii="Times New Roman" w:hAnsi="Times New Roman" w:eastAsia="宋体" w:cs="Times New Roman"/>
          <w:iCs/>
          <w:color w:val="auto"/>
          <w:sz w:val="24"/>
          <w:lang w:eastAsia="zh-CN"/>
        </w:rPr>
        <w:t>)</w:t>
      </w:r>
    </w:p>
    <w:p w14:paraId="6FCD0B58">
      <w:pPr>
        <w:adjustRightInd w:val="0"/>
        <w:snapToGrid w:val="0"/>
        <w:spacing w:line="355"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在地面处（</w:t>
      </w:r>
      <w:r>
        <w:rPr>
          <w:rFonts w:hint="default" w:ascii="Times New Roman" w:hAnsi="Times New Roman" w:eastAsia="宋体" w:cs="Times New Roman"/>
          <w:i/>
          <w:iCs/>
          <w:color w:val="auto"/>
          <w:sz w:val="24"/>
        </w:rPr>
        <w:t>y</w:t>
      </w:r>
      <w:r>
        <w:rPr>
          <w:rFonts w:hint="default" w:ascii="Times New Roman" w:hAnsi="Times New Roman" w:eastAsia="宋体" w:cs="Times New Roman"/>
          <w:color w:val="auto"/>
          <w:sz w:val="24"/>
        </w:rPr>
        <w:t>=0）电场强度的水平分量，即</w:t>
      </w:r>
      <w:r>
        <w:rPr>
          <w:rFonts w:hint="default" w:ascii="Times New Roman" w:hAnsi="Times New Roman" w:eastAsia="宋体" w:cs="Times New Roman"/>
          <w:i/>
          <w:iCs/>
          <w:color w:val="auto"/>
          <w:sz w:val="24"/>
        </w:rPr>
        <w:t>E</w:t>
      </w:r>
      <w:r>
        <w:rPr>
          <w:rFonts w:hint="default" w:ascii="Times New Roman" w:hAnsi="Times New Roman" w:eastAsia="宋体" w:cs="Times New Roman"/>
          <w:i/>
          <w:iCs/>
          <w:color w:val="auto"/>
          <w:sz w:val="24"/>
          <w:vertAlign w:val="subscript"/>
        </w:rPr>
        <w:t>x</w:t>
      </w:r>
      <w:r>
        <w:rPr>
          <w:rFonts w:hint="default" w:ascii="Times New Roman" w:hAnsi="Times New Roman" w:eastAsia="宋体" w:cs="Times New Roman"/>
          <w:color w:val="auto"/>
          <w:sz w:val="24"/>
        </w:rPr>
        <w:t>=0。</w:t>
      </w:r>
    </w:p>
    <w:p w14:paraId="28391420">
      <w:pPr>
        <w:widowControl/>
        <w:kinsoku w:val="0"/>
        <w:autoSpaceDE w:val="0"/>
        <w:autoSpaceDN w:val="0"/>
        <w:adjustRightInd w:val="0"/>
        <w:snapToGrid w:val="0"/>
        <w:spacing w:before="156" w:beforeLines="50" w:after="156" w:afterLines="50"/>
        <w:outlineLvl w:val="1"/>
        <w:rPr>
          <w:rFonts w:hint="default" w:ascii="Times New Roman" w:hAnsi="Times New Roman" w:eastAsia="宋体" w:cs="Times New Roman"/>
          <w:b/>
          <w:bCs/>
          <w:color w:val="auto"/>
          <w:spacing w:val="-1"/>
          <w:kern w:val="0"/>
          <w:sz w:val="28"/>
          <w:szCs w:val="28"/>
          <w:lang w:bidi="ar"/>
        </w:rPr>
      </w:pPr>
      <w:bookmarkStart w:id="168" w:name="_Toc423346906"/>
      <w:bookmarkStart w:id="169" w:name="_Toc418713151"/>
      <w:bookmarkStart w:id="170" w:name="_Toc11409"/>
      <w:bookmarkStart w:id="171" w:name="_Toc409709914"/>
      <w:r>
        <w:rPr>
          <w:rFonts w:hint="default" w:ascii="Times New Roman" w:hAnsi="Times New Roman" w:eastAsia="宋体" w:cs="Times New Roman"/>
          <w:b/>
          <w:bCs/>
          <w:color w:val="auto"/>
          <w:spacing w:val="-1"/>
          <w:kern w:val="0"/>
          <w:sz w:val="28"/>
          <w:szCs w:val="28"/>
          <w:lang w:bidi="ar"/>
        </w:rPr>
        <w:t>5.4工频磁场计算公式</w:t>
      </w:r>
      <w:bookmarkEnd w:id="168"/>
      <w:bookmarkEnd w:id="169"/>
      <w:bookmarkEnd w:id="170"/>
      <w:bookmarkEnd w:id="171"/>
    </w:p>
    <w:p w14:paraId="30C5CB7E">
      <w:pPr>
        <w:adjustRightInd w:val="0"/>
        <w:snapToGrid w:val="0"/>
        <w:spacing w:line="355"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根据</w:t>
      </w:r>
      <w:r>
        <w:rPr>
          <w:rFonts w:hint="default" w:ascii="Times New Roman" w:hAnsi="Times New Roman" w:eastAsia="宋体" w:cs="Times New Roman"/>
          <w:bCs/>
          <w:color w:val="auto"/>
          <w:sz w:val="24"/>
        </w:rPr>
        <w:t>《</w:t>
      </w:r>
      <w:r>
        <w:rPr>
          <w:rFonts w:hint="default" w:ascii="Times New Roman" w:hAnsi="Times New Roman" w:eastAsia="宋体" w:cs="Times New Roman"/>
          <w:color w:val="auto"/>
          <w:sz w:val="24"/>
        </w:rPr>
        <w:t>环境影响评价技术导则 输变电</w:t>
      </w:r>
      <w:r>
        <w:rPr>
          <w:rFonts w:hint="default" w:ascii="Times New Roman" w:hAnsi="Times New Roman" w:eastAsia="宋体" w:cs="Times New Roman"/>
          <w:bCs/>
          <w:color w:val="auto"/>
          <w:sz w:val="24"/>
        </w:rPr>
        <w:t>》（HJ 24-2020）</w:t>
      </w:r>
      <w:r>
        <w:rPr>
          <w:rFonts w:hint="default" w:ascii="Times New Roman" w:hAnsi="Times New Roman" w:eastAsia="宋体" w:cs="Times New Roman"/>
          <w:color w:val="auto"/>
          <w:sz w:val="24"/>
        </w:rPr>
        <w:t>的附录D计算高压送电线路下空间工频磁场强度。</w:t>
      </w:r>
    </w:p>
    <w:p w14:paraId="2F1C7FA2">
      <w:pPr>
        <w:adjustRightInd w:val="0"/>
        <w:snapToGrid w:val="0"/>
        <w:spacing w:line="355"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由于工频电磁场具有准静态特性，线路的磁场仅由电流产生。应用安培定律，将计算结果按矢量叠加，可得出导线周围的磁场强度。</w:t>
      </w:r>
    </w:p>
    <w:p w14:paraId="7359420A">
      <w:pPr>
        <w:adjustRightInd w:val="0"/>
        <w:snapToGrid w:val="0"/>
        <w:spacing w:line="355"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和电场强度计算不同的是关于镜像导线的考虑，与导线所处高度相比这些镜像导线位于地下很深的距离</w:t>
      </w:r>
      <w:r>
        <w:rPr>
          <w:rFonts w:hint="default" w:ascii="Times New Roman" w:hAnsi="Times New Roman" w:eastAsia="宋体" w:cs="Times New Roman"/>
          <w:i/>
          <w:iCs/>
          <w:color w:val="auto"/>
          <w:sz w:val="24"/>
        </w:rPr>
        <w:t>d</w:t>
      </w:r>
      <w:r>
        <w:rPr>
          <w:rFonts w:hint="default" w:ascii="Times New Roman" w:hAnsi="Times New Roman" w:eastAsia="宋体" w:cs="Times New Roman"/>
          <w:color w:val="auto"/>
          <w:sz w:val="24"/>
        </w:rPr>
        <w:t>：</w:t>
      </w:r>
    </w:p>
    <w:p w14:paraId="424771D1">
      <w:pPr>
        <w:adjustRightInd w:val="0"/>
        <w:snapToGrid w:val="0"/>
        <w:spacing w:line="360" w:lineRule="auto"/>
        <w:jc w:val="center"/>
        <w:rPr>
          <w:rFonts w:hint="default" w:ascii="Times New Roman" w:hAnsi="Times New Roman" w:eastAsia="宋体" w:cs="Times New Roman"/>
          <w:iCs/>
          <w:color w:val="auto"/>
          <w:sz w:val="24"/>
        </w:rPr>
      </w:pPr>
      <w:r>
        <w:rPr>
          <w:rFonts w:hint="default" w:ascii="Times New Roman" w:hAnsi="Times New Roman" w:eastAsia="宋体" w:cs="Times New Roman"/>
          <w:color w:val="auto"/>
        </w:rPr>
        <w:drawing>
          <wp:inline distT="0" distB="0" distL="114300" distR="114300">
            <wp:extent cx="1709420" cy="503555"/>
            <wp:effectExtent l="0" t="0" r="5080" b="10795"/>
            <wp:docPr id="3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4"/>
                    <pic:cNvPicPr>
                      <a:picLocks noChangeAspect="1"/>
                    </pic:cNvPicPr>
                  </pic:nvPicPr>
                  <pic:blipFill>
                    <a:blip r:embed="rId56"/>
                    <a:stretch>
                      <a:fillRect/>
                    </a:stretch>
                  </pic:blipFill>
                  <pic:spPr>
                    <a:xfrm>
                      <a:off x="0" y="0"/>
                      <a:ext cx="1709420" cy="503555"/>
                    </a:xfrm>
                    <a:prstGeom prst="rect">
                      <a:avLst/>
                    </a:prstGeom>
                    <a:noFill/>
                    <a:ln>
                      <a:noFill/>
                    </a:ln>
                  </pic:spPr>
                </pic:pic>
              </a:graphicData>
            </a:graphic>
          </wp:inline>
        </w:drawing>
      </w:r>
      <w:r>
        <w:rPr>
          <w:rFonts w:hint="default" w:ascii="Times New Roman" w:hAnsi="Times New Roman" w:eastAsia="宋体" w:cs="Times New Roman"/>
          <w:iCs/>
          <w:color w:val="auto"/>
          <w:sz w:val="24"/>
        </w:rPr>
        <w:t>……………………</w:t>
      </w:r>
      <w:r>
        <w:rPr>
          <w:rFonts w:hint="default" w:ascii="Times New Roman" w:hAnsi="Times New Roman" w:eastAsia="宋体" w:cs="Times New Roman"/>
          <w:iCs/>
          <w:color w:val="auto"/>
          <w:sz w:val="24"/>
          <w:lang w:eastAsia="zh-CN"/>
        </w:rPr>
        <w:t>(</w:t>
      </w:r>
      <w:r>
        <w:rPr>
          <w:rFonts w:hint="default" w:ascii="Times New Roman" w:hAnsi="Times New Roman" w:eastAsia="宋体" w:cs="Times New Roman"/>
          <w:iCs/>
          <w:color w:val="auto"/>
          <w:sz w:val="24"/>
        </w:rPr>
        <w:t>D1</w:t>
      </w:r>
      <w:r>
        <w:rPr>
          <w:rFonts w:hint="default" w:ascii="Times New Roman" w:hAnsi="Times New Roman" w:eastAsia="宋体" w:cs="Times New Roman"/>
          <w:iCs/>
          <w:color w:val="auto"/>
          <w:sz w:val="24"/>
          <w:lang w:eastAsia="zh-CN"/>
        </w:rPr>
        <w:t>)</w:t>
      </w:r>
    </w:p>
    <w:p w14:paraId="49E64640">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式中：ρ——大地电阻率，Ω·m；</w:t>
      </w:r>
    </w:p>
    <w:p w14:paraId="2221F199">
      <w:pPr>
        <w:adjustRightInd w:val="0"/>
        <w:snapToGrid w:val="0"/>
        <w:spacing w:line="360" w:lineRule="auto"/>
        <w:ind w:firstLine="1200" w:firstLineChars="500"/>
        <w:rPr>
          <w:rFonts w:hint="default" w:ascii="Times New Roman" w:hAnsi="Times New Roman" w:eastAsia="宋体" w:cs="Times New Roman"/>
          <w:color w:val="auto"/>
          <w:sz w:val="24"/>
        </w:rPr>
      </w:pPr>
      <m:oMath>
        <m:r>
          <m:rPr>
            <m:nor/>
          </m:rPr>
          <w:rPr>
            <w:rFonts w:hint="default" w:ascii="Times New Roman" w:hAnsi="Times New Roman" w:eastAsia="宋体" w:cs="Times New Roman"/>
            <w:i/>
            <w:color w:val="auto"/>
            <w:sz w:val="24"/>
          </w:rPr>
          <m:t>f</m:t>
        </m:r>
      </m:oMath>
      <w:r>
        <w:rPr>
          <w:rFonts w:hint="default" w:ascii="Times New Roman" w:hAnsi="Times New Roman" w:eastAsia="宋体" w:cs="Times New Roman"/>
          <w:color w:val="auto"/>
          <w:sz w:val="24"/>
        </w:rPr>
        <w:t>——频率，Hz。</w:t>
      </w:r>
    </w:p>
    <w:p w14:paraId="0B3E4716">
      <w:pPr>
        <w:adjustRightInd w:val="0"/>
        <w:snapToGrid w:val="0"/>
        <w:spacing w:line="355" w:lineRule="auto"/>
        <w:ind w:firstLine="556"/>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在一般情况下，可只考虑处于空间的实际导线，忽略它的镜像进行计算，其结果已足够符合实际。如图D.1，不考虑导线</w:t>
      </w:r>
      <w:r>
        <w:rPr>
          <w:rFonts w:hint="default" w:ascii="Times New Roman" w:hAnsi="Times New Roman" w:eastAsia="宋体" w:cs="Times New Roman"/>
          <w:i/>
          <w:iCs/>
          <w:color w:val="auto"/>
          <w:sz w:val="24"/>
        </w:rPr>
        <w:t>i</w:t>
      </w:r>
      <w:r>
        <w:rPr>
          <w:rFonts w:hint="default" w:ascii="Times New Roman" w:hAnsi="Times New Roman" w:eastAsia="宋体" w:cs="Times New Roman"/>
          <w:color w:val="auto"/>
          <w:sz w:val="24"/>
        </w:rPr>
        <w:t>的镜像时，可计算其在A点产生的磁场强度：</w:t>
      </w:r>
    </w:p>
    <w:p w14:paraId="6F39DBEC">
      <w:pPr>
        <w:adjustRightInd w:val="0"/>
        <w:snapToGrid w:val="0"/>
        <w:spacing w:before="156" w:beforeLines="50" w:after="156" w:afterLines="50" w:line="360" w:lineRule="auto"/>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drawing>
          <wp:inline distT="0" distB="0" distL="114300" distR="114300">
            <wp:extent cx="991870" cy="457200"/>
            <wp:effectExtent l="0" t="0" r="17780" b="0"/>
            <wp:docPr id="10" name="图片 27"/>
            <wp:cNvGraphicFramePr/>
            <a:graphic xmlns:a="http://schemas.openxmlformats.org/drawingml/2006/main">
              <a:graphicData uri="http://schemas.openxmlformats.org/drawingml/2006/picture">
                <pic:pic xmlns:pic="http://schemas.openxmlformats.org/drawingml/2006/picture">
                  <pic:nvPicPr>
                    <pic:cNvPr id="10" name="图片 27"/>
                    <pic:cNvPicPr/>
                  </pic:nvPicPr>
                  <pic:blipFill>
                    <a:blip r:embed="rId57"/>
                    <a:stretch>
                      <a:fillRect/>
                    </a:stretch>
                  </pic:blipFill>
                  <pic:spPr>
                    <a:xfrm>
                      <a:off x="0" y="0"/>
                      <a:ext cx="991870" cy="457200"/>
                    </a:xfrm>
                    <a:prstGeom prst="rect">
                      <a:avLst/>
                    </a:prstGeom>
                    <a:noFill/>
                    <a:ln>
                      <a:noFill/>
                    </a:ln>
                  </pic:spPr>
                </pic:pic>
              </a:graphicData>
            </a:graphic>
          </wp:inline>
        </w:drawing>
      </w:r>
      <w:r>
        <w:rPr>
          <w:rFonts w:hint="default" w:ascii="Times New Roman" w:hAnsi="Times New Roman" w:eastAsia="宋体" w:cs="Times New Roman"/>
          <w:color w:val="auto"/>
          <w:sz w:val="24"/>
        </w:rPr>
        <w:t xml:space="preserve"> (A/m)</w:t>
      </w:r>
      <w:r>
        <w:rPr>
          <w:rFonts w:hint="default" w:ascii="Times New Roman" w:hAnsi="Times New Roman" w:eastAsia="宋体" w:cs="Times New Roman"/>
          <w:iCs/>
          <w:color w:val="auto"/>
          <w:sz w:val="24"/>
        </w:rPr>
        <w:t>……………………</w:t>
      </w:r>
      <w:r>
        <w:rPr>
          <w:rFonts w:hint="default" w:ascii="Times New Roman" w:hAnsi="Times New Roman" w:eastAsia="宋体" w:cs="Times New Roman"/>
          <w:iCs/>
          <w:color w:val="auto"/>
          <w:sz w:val="24"/>
          <w:lang w:eastAsia="zh-CN"/>
        </w:rPr>
        <w:t>(</w:t>
      </w:r>
      <w:r>
        <w:rPr>
          <w:rFonts w:hint="default" w:ascii="Times New Roman" w:hAnsi="Times New Roman" w:eastAsia="宋体" w:cs="Times New Roman"/>
          <w:iCs/>
          <w:color w:val="auto"/>
          <w:sz w:val="24"/>
        </w:rPr>
        <w:t>D1</w:t>
      </w:r>
      <w:r>
        <w:rPr>
          <w:rFonts w:hint="default" w:ascii="Times New Roman" w:hAnsi="Times New Roman" w:eastAsia="宋体" w:cs="Times New Roman"/>
          <w:iCs/>
          <w:color w:val="auto"/>
          <w:sz w:val="24"/>
          <w:lang w:eastAsia="zh-CN"/>
        </w:rPr>
        <w:t>)</w:t>
      </w:r>
    </w:p>
    <w:p w14:paraId="19B6F123">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w:t>
      </w:r>
      <w:r>
        <w:rPr>
          <w:rFonts w:hint="default" w:ascii="Times New Roman" w:hAnsi="Times New Roman" w:eastAsia="宋体" w:cs="Times New Roman"/>
          <w:i/>
          <w:iCs/>
          <w:color w:val="auto"/>
          <w:sz w:val="24"/>
        </w:rPr>
        <w:t>I</w:t>
      </w:r>
      <w:r>
        <w:rPr>
          <w:rFonts w:hint="default" w:ascii="Times New Roman" w:hAnsi="Times New Roman" w:eastAsia="宋体" w:cs="Times New Roman"/>
          <w:color w:val="auto"/>
          <w:sz w:val="24"/>
        </w:rPr>
        <w:t>——导线</w:t>
      </w:r>
      <w:r>
        <w:rPr>
          <w:rFonts w:hint="default" w:ascii="Times New Roman" w:hAnsi="Times New Roman" w:eastAsia="宋体" w:cs="Times New Roman"/>
          <w:i/>
          <w:iCs/>
          <w:color w:val="auto"/>
          <w:sz w:val="24"/>
        </w:rPr>
        <w:t>i</w:t>
      </w:r>
      <w:r>
        <w:rPr>
          <w:rFonts w:hint="default" w:ascii="Times New Roman" w:hAnsi="Times New Roman" w:eastAsia="宋体" w:cs="Times New Roman"/>
          <w:color w:val="auto"/>
          <w:sz w:val="24"/>
        </w:rPr>
        <w:t>中的电流值，A；</w:t>
      </w:r>
    </w:p>
    <w:p w14:paraId="1A4D7DB2">
      <w:pPr>
        <w:adjustRightInd w:val="0"/>
        <w:snapToGrid w:val="0"/>
        <w:spacing w:line="360" w:lineRule="auto"/>
        <w:ind w:firstLine="1200" w:firstLineChars="500"/>
        <w:rPr>
          <w:rFonts w:hint="default" w:ascii="Times New Roman" w:hAnsi="Times New Roman" w:eastAsia="宋体" w:cs="Times New Roman"/>
          <w:color w:val="auto"/>
          <w:sz w:val="24"/>
        </w:rPr>
      </w:pPr>
      <w:r>
        <w:rPr>
          <w:rFonts w:hint="default" w:ascii="Times New Roman" w:hAnsi="Times New Roman" w:eastAsia="宋体" w:cs="Times New Roman"/>
          <w:i/>
          <w:iCs/>
          <w:color w:val="auto"/>
          <w:sz w:val="24"/>
        </w:rPr>
        <w:t>h</w:t>
      </w:r>
      <w:r>
        <w:rPr>
          <w:rFonts w:hint="default" w:ascii="Times New Roman" w:hAnsi="Times New Roman" w:eastAsia="宋体" w:cs="Times New Roman"/>
          <w:color w:val="auto"/>
          <w:sz w:val="24"/>
        </w:rPr>
        <w:t>——导线与预测点的高差，m；</w:t>
      </w:r>
    </w:p>
    <w:p w14:paraId="29DBCF10">
      <w:pPr>
        <w:adjustRightInd w:val="0"/>
        <w:snapToGrid w:val="0"/>
        <w:spacing w:line="360" w:lineRule="auto"/>
        <w:ind w:firstLine="1200" w:firstLineChars="500"/>
        <w:rPr>
          <w:rFonts w:hint="default" w:ascii="Times New Roman" w:hAnsi="Times New Roman" w:eastAsia="宋体" w:cs="Times New Roman"/>
          <w:color w:val="auto"/>
          <w:sz w:val="24"/>
        </w:rPr>
      </w:pPr>
      <w:r>
        <w:rPr>
          <w:rFonts w:hint="default" w:ascii="Times New Roman" w:hAnsi="Times New Roman" w:eastAsia="宋体" w:cs="Times New Roman"/>
          <w:i/>
          <w:iCs/>
          <w:color w:val="auto"/>
          <w:sz w:val="24"/>
        </w:rPr>
        <w:t>L</w:t>
      </w:r>
      <w:r>
        <w:rPr>
          <w:rFonts w:hint="default" w:ascii="Times New Roman" w:hAnsi="Times New Roman" w:eastAsia="宋体" w:cs="Times New Roman"/>
          <w:color w:val="auto"/>
          <w:sz w:val="24"/>
        </w:rPr>
        <w:t>——导线与预测点水平距离，m。</w:t>
      </w:r>
    </w:p>
    <w:p w14:paraId="70A35188">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对于三相线路，由相位不同形成的磁场强度水平和垂直分量都应分别考虑电流的相角，按相位矢量来合成。合成的旋转矢量在空间的轨迹是一个椭圆。</w:t>
      </w:r>
    </w:p>
    <w:p w14:paraId="447BBB80">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为了与环境标准相对应，需要将磁场强度转换为磁感应强度。磁感应强度为矢量场量，用“B”表示，其作用在具有一定速度的带电粒子上的力等于速度与B矢量积，再与粒子电荷的乘积，其单位为特斯拉（T）。在空气中，磁感应强度等于磁场强度乘以磁导率μ</w:t>
      </w:r>
      <w:r>
        <w:rPr>
          <w:rFonts w:hint="default" w:ascii="Times New Roman" w:hAnsi="Times New Roman" w:eastAsia="宋体" w:cs="Times New Roman"/>
          <w:color w:val="auto"/>
          <w:sz w:val="24"/>
          <w:vertAlign w:val="subscript"/>
        </w:rPr>
        <w:t>0</w:t>
      </w:r>
      <w:r>
        <w:rPr>
          <w:rFonts w:hint="default" w:ascii="Times New Roman" w:hAnsi="Times New Roman" w:eastAsia="宋体" w:cs="Times New Roman"/>
          <w:color w:val="auto"/>
          <w:sz w:val="24"/>
        </w:rPr>
        <w:t>，即B=μ</w:t>
      </w:r>
      <w:r>
        <w:rPr>
          <w:rFonts w:hint="default" w:ascii="Times New Roman" w:hAnsi="Times New Roman" w:eastAsia="宋体" w:cs="Times New Roman"/>
          <w:color w:val="auto"/>
          <w:sz w:val="24"/>
          <w:vertAlign w:val="subscript"/>
        </w:rPr>
        <w:t>0</w:t>
      </w:r>
      <w:r>
        <w:rPr>
          <w:rFonts w:hint="default" w:ascii="Times New Roman" w:hAnsi="Times New Roman" w:eastAsia="宋体" w:cs="Times New Roman"/>
          <w:color w:val="auto"/>
          <w:sz w:val="24"/>
        </w:rPr>
        <w:t>H。</w:t>
      </w:r>
    </w:p>
    <w:p w14:paraId="59D50952">
      <w:pPr>
        <w:adjustRightInd w:val="0"/>
        <w:snapToGrid w:val="0"/>
        <w:spacing w:line="360" w:lineRule="auto"/>
        <w:ind w:firstLine="420" w:firstLineChars="20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rPr>
        <w:drawing>
          <wp:inline distT="0" distB="0" distL="114300" distR="114300">
            <wp:extent cx="2921000" cy="2159000"/>
            <wp:effectExtent l="0" t="0" r="12700" b="12700"/>
            <wp:docPr id="11"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8"/>
                    <pic:cNvPicPr>
                      <a:picLocks noChangeAspect="1"/>
                    </pic:cNvPicPr>
                  </pic:nvPicPr>
                  <pic:blipFill>
                    <a:blip r:embed="rId58"/>
                    <a:stretch>
                      <a:fillRect/>
                    </a:stretch>
                  </pic:blipFill>
                  <pic:spPr>
                    <a:xfrm>
                      <a:off x="0" y="0"/>
                      <a:ext cx="2921000" cy="2159000"/>
                    </a:xfrm>
                    <a:prstGeom prst="rect">
                      <a:avLst/>
                    </a:prstGeom>
                    <a:noFill/>
                    <a:ln>
                      <a:noFill/>
                    </a:ln>
                  </pic:spPr>
                </pic:pic>
              </a:graphicData>
            </a:graphic>
          </wp:inline>
        </w:drawing>
      </w:r>
    </w:p>
    <w:p w14:paraId="5CD3773D">
      <w:pPr>
        <w:adjustRightInd w:val="0"/>
        <w:snapToGrid w:val="0"/>
        <w:spacing w:line="355" w:lineRule="auto"/>
        <w:jc w:val="center"/>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rPr>
        <w:t>图D.1  磁场向量图</w:t>
      </w:r>
    </w:p>
    <w:p w14:paraId="379240F1">
      <w:pPr>
        <w:widowControl/>
        <w:kinsoku w:val="0"/>
        <w:autoSpaceDE w:val="0"/>
        <w:autoSpaceDN w:val="0"/>
        <w:adjustRightInd w:val="0"/>
        <w:snapToGrid w:val="0"/>
        <w:spacing w:before="156" w:beforeLines="50" w:after="156" w:afterLines="50"/>
        <w:outlineLvl w:val="1"/>
        <w:rPr>
          <w:rFonts w:hint="default" w:ascii="Times New Roman" w:hAnsi="Times New Roman" w:eastAsia="宋体" w:cs="Times New Roman"/>
          <w:b/>
          <w:bCs/>
          <w:color w:val="auto"/>
          <w:spacing w:val="-1"/>
          <w:kern w:val="0"/>
          <w:sz w:val="28"/>
          <w:szCs w:val="28"/>
          <w:lang w:bidi="ar"/>
        </w:rPr>
      </w:pPr>
      <w:bookmarkStart w:id="172" w:name="_Toc423346907"/>
      <w:bookmarkStart w:id="173" w:name="_Toc16831"/>
      <w:r>
        <w:rPr>
          <w:rFonts w:hint="default" w:ascii="Times New Roman" w:hAnsi="Times New Roman" w:eastAsia="宋体" w:cs="Times New Roman"/>
          <w:b/>
          <w:bCs/>
          <w:color w:val="auto"/>
          <w:spacing w:val="-1"/>
          <w:kern w:val="0"/>
          <w:sz w:val="28"/>
          <w:szCs w:val="28"/>
          <w:lang w:bidi="ar"/>
        </w:rPr>
        <w:t>5.5预测参数选择</w:t>
      </w:r>
      <w:bookmarkEnd w:id="159"/>
      <w:bookmarkEnd w:id="160"/>
      <w:bookmarkEnd w:id="161"/>
      <w:bookmarkEnd w:id="172"/>
      <w:bookmarkEnd w:id="173"/>
    </w:p>
    <w:p w14:paraId="00D238F8">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bidi="ar"/>
        </w:rPr>
        <w:t>输电线路运行产生的工频电场、工频磁场主要由导线的线间距离、导线对地高度、导线型式和线路运行工况（电压、电流等）</w:t>
      </w:r>
      <w:r>
        <w:rPr>
          <w:rFonts w:hint="default" w:ascii="Times New Roman" w:hAnsi="Times New Roman" w:eastAsia="宋体" w:cs="Times New Roman"/>
          <w:color w:val="auto"/>
          <w:sz w:val="24"/>
          <w:lang w:eastAsia="zh-CN" w:bidi="ar"/>
        </w:rPr>
        <w:t>决定</w:t>
      </w:r>
      <w:r>
        <w:rPr>
          <w:rFonts w:hint="default" w:ascii="Times New Roman" w:hAnsi="Times New Roman" w:eastAsia="宋体" w:cs="Times New Roman"/>
          <w:color w:val="auto"/>
          <w:sz w:val="24"/>
          <w:lang w:bidi="ar"/>
        </w:rPr>
        <w:t>。</w:t>
      </w:r>
    </w:p>
    <w:p w14:paraId="1BE02649">
      <w:pPr>
        <w:widowControl/>
        <w:autoSpaceDE w:val="0"/>
        <w:autoSpaceDN w:val="0"/>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bidi="ar"/>
        </w:rPr>
        <w:t>本项目</w:t>
      </w:r>
      <w:r>
        <w:rPr>
          <w:rFonts w:hint="default" w:ascii="Times New Roman" w:hAnsi="Times New Roman" w:eastAsia="宋体" w:cs="Times New Roman"/>
          <w:color w:val="auto"/>
          <w:sz w:val="24"/>
          <w:lang w:val="en-US" w:eastAsia="zh-CN" w:bidi="ar"/>
        </w:rPr>
        <w:t>110</w:t>
      </w:r>
      <w:r>
        <w:rPr>
          <w:rFonts w:hint="default" w:ascii="Times New Roman" w:hAnsi="Times New Roman" w:eastAsia="宋体" w:cs="Times New Roman"/>
          <w:color w:val="auto"/>
          <w:sz w:val="24"/>
          <w:lang w:bidi="ar"/>
        </w:rPr>
        <w:t>kV架空线单回路为三角排列架设</w:t>
      </w:r>
      <w:r>
        <w:rPr>
          <w:rFonts w:hint="default" w:ascii="Times New Roman" w:hAnsi="Times New Roman" w:eastAsia="宋体" w:cs="Times New Roman"/>
          <w:color w:val="auto"/>
          <w:sz w:val="24"/>
          <w:lang w:val="en-US" w:eastAsia="zh-CN" w:bidi="ar"/>
        </w:rPr>
        <w:t>和水平排列架设</w:t>
      </w:r>
      <w:r>
        <w:rPr>
          <w:rFonts w:hint="default" w:ascii="Times New Roman" w:hAnsi="Times New Roman" w:eastAsia="宋体" w:cs="Times New Roman"/>
          <w:color w:val="auto"/>
          <w:sz w:val="24"/>
          <w:lang w:bidi="ar"/>
        </w:rPr>
        <w:t>，一般说来，线间距离较大的塔型下工频电场强度较线间距离较小的塔型下略大，边导线外高场强区范围略宽。</w:t>
      </w:r>
    </w:p>
    <w:p w14:paraId="01298E19">
      <w:pPr>
        <w:spacing w:line="360" w:lineRule="auto"/>
        <w:ind w:firstLine="480" w:firstLineChars="200"/>
        <w:rPr>
          <w:rFonts w:hint="default" w:ascii="Times New Roman" w:hAnsi="Times New Roman" w:eastAsia="宋体" w:cs="Times New Roman"/>
          <w:color w:val="auto"/>
          <w:sz w:val="24"/>
          <w:lang w:bidi="ar"/>
        </w:rPr>
      </w:pPr>
      <w:r>
        <w:rPr>
          <w:rFonts w:hint="default" w:ascii="Times New Roman" w:hAnsi="Times New Roman" w:eastAsia="宋体" w:cs="Times New Roman"/>
          <w:color w:val="auto"/>
          <w:sz w:val="24"/>
          <w:lang w:bidi="ar"/>
        </w:rPr>
        <w:t>本次预测选择单回塔2D1R7-J2</w:t>
      </w:r>
      <w:r>
        <w:rPr>
          <w:rFonts w:hint="default"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val="en-US" w:eastAsia="zh-CN" w:bidi="ar"/>
        </w:rPr>
        <w:t>导线为三角排列</w:t>
      </w:r>
      <w:r>
        <w:rPr>
          <w:rFonts w:hint="default"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及与单回塔2D1R8-JB3（导线为</w:t>
      </w:r>
      <w:r>
        <w:rPr>
          <w:rFonts w:hint="default" w:ascii="Times New Roman" w:hAnsi="Times New Roman" w:eastAsia="宋体" w:cs="Times New Roman"/>
          <w:color w:val="auto"/>
          <w:sz w:val="24"/>
          <w:lang w:val="en-US" w:eastAsia="zh-CN" w:bidi="ar"/>
        </w:rPr>
        <w:t>水平</w:t>
      </w:r>
      <w:r>
        <w:rPr>
          <w:rFonts w:hint="default" w:ascii="Times New Roman" w:hAnsi="Times New Roman" w:eastAsia="宋体" w:cs="Times New Roman"/>
          <w:color w:val="auto"/>
          <w:sz w:val="24"/>
          <w:lang w:bidi="ar"/>
        </w:rPr>
        <w:t>排列）作为预测工频电场强度和工频磁感应强度的典型塔型。</w:t>
      </w:r>
    </w:p>
    <w:p w14:paraId="323D1050">
      <w:pPr>
        <w:spacing w:line="360" w:lineRule="auto"/>
        <w:ind w:firstLine="480" w:firstLineChars="200"/>
        <w:rPr>
          <w:rFonts w:hint="default" w:ascii="Times New Roman" w:hAnsi="Times New Roman" w:eastAsia="宋体" w:cs="Times New Roman"/>
          <w:color w:val="auto"/>
          <w:sz w:val="24"/>
          <w:lang w:bidi="ar"/>
        </w:rPr>
      </w:pPr>
      <w:r>
        <w:rPr>
          <w:rFonts w:hint="default" w:ascii="Times New Roman" w:hAnsi="Times New Roman" w:eastAsia="宋体" w:cs="Times New Roman"/>
          <w:color w:val="auto"/>
          <w:sz w:val="24"/>
          <w:lang w:bidi="ar"/>
        </w:rPr>
        <w:t>本次预测导线最低允许高度：</w:t>
      </w:r>
      <w:r>
        <w:rPr>
          <w:rFonts w:hint="default" w:ascii="Times New Roman" w:hAnsi="Times New Roman" w:eastAsia="宋体" w:cs="Times New Roman"/>
          <w:color w:val="auto"/>
          <w:sz w:val="24"/>
          <w:lang w:val="en-US" w:eastAsia="zh-CN" w:bidi="ar"/>
        </w:rPr>
        <w:t>110</w:t>
      </w:r>
      <w:r>
        <w:rPr>
          <w:rFonts w:hint="default" w:ascii="Times New Roman" w:hAnsi="Times New Roman" w:eastAsia="宋体" w:cs="Times New Roman"/>
          <w:color w:val="auto"/>
          <w:sz w:val="24"/>
          <w:lang w:bidi="ar"/>
        </w:rPr>
        <w:t>kV线在非居民区导线最低允许高度6m、在居民区导线最低允许高度7m，线下距地面上1.5m高处的工频电场、工频磁场。</w:t>
      </w:r>
    </w:p>
    <w:p w14:paraId="6BA7AA3C">
      <w:pPr>
        <w:autoSpaceDN w:val="0"/>
        <w:spacing w:line="360" w:lineRule="auto"/>
        <w:ind w:firstLine="482"/>
        <w:rPr>
          <w:rFonts w:hint="default" w:ascii="Times New Roman" w:hAnsi="Times New Roman" w:eastAsia="宋体" w:cs="Times New Roman"/>
          <w:color w:val="auto"/>
          <w:sz w:val="24"/>
          <w:lang w:bidi="ar"/>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r>
        <w:rPr>
          <w:rFonts w:hint="default" w:ascii="Times New Roman" w:hAnsi="Times New Roman" w:eastAsia="宋体" w:cs="Times New Roman"/>
          <w:color w:val="auto"/>
          <w:sz w:val="24"/>
          <w:lang w:bidi="ar"/>
        </w:rPr>
        <w:t>电磁环境模式预测参数见下表5-1。</w:t>
      </w:r>
    </w:p>
    <w:p w14:paraId="1A3AB357">
      <w:pPr>
        <w:adjustRightInd w:val="0"/>
        <w:snapToGrid w:val="0"/>
        <w:jc w:val="center"/>
        <w:rPr>
          <w:rFonts w:hint="default" w:ascii="Times New Roman" w:hAnsi="Times New Roman" w:eastAsia="宋体" w:cs="Times New Roman"/>
          <w:b/>
          <w:bCs/>
          <w:color w:val="auto"/>
          <w:szCs w:val="21"/>
          <w:lang w:bidi="ar"/>
        </w:rPr>
      </w:pPr>
      <w:r>
        <w:rPr>
          <w:rFonts w:hint="default" w:ascii="Times New Roman" w:hAnsi="Times New Roman" w:eastAsia="宋体" w:cs="Times New Roman"/>
          <w:b/>
          <w:bCs/>
          <w:color w:val="auto"/>
          <w:szCs w:val="21"/>
          <w:lang w:bidi="ar"/>
        </w:rPr>
        <w:t xml:space="preserve">表5-1 </w:t>
      </w:r>
      <w:r>
        <w:rPr>
          <w:rFonts w:hint="default" w:ascii="Times New Roman" w:hAnsi="Times New Roman" w:eastAsia="宋体" w:cs="Times New Roman"/>
          <w:b/>
          <w:bCs/>
          <w:color w:val="auto"/>
          <w:szCs w:val="21"/>
          <w:lang w:val="en-US" w:eastAsia="zh-CN" w:bidi="ar"/>
        </w:rPr>
        <w:t xml:space="preserve"> </w:t>
      </w:r>
      <w:r>
        <w:rPr>
          <w:rFonts w:hint="default" w:ascii="Times New Roman" w:hAnsi="Times New Roman" w:eastAsia="宋体" w:cs="Times New Roman"/>
          <w:b/>
          <w:bCs/>
          <w:color w:val="auto"/>
          <w:szCs w:val="21"/>
          <w:lang w:bidi="ar"/>
        </w:rPr>
        <w:t>本项目110kV单回路线路电磁环境模式预测参数表</w:t>
      </w:r>
    </w:p>
    <w:tbl>
      <w:tblPr>
        <w:tblStyle w:val="30"/>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1"/>
        <w:gridCol w:w="990"/>
        <w:gridCol w:w="1762"/>
        <w:gridCol w:w="4120"/>
        <w:gridCol w:w="6826"/>
        <w:gridCol w:w="6"/>
      </w:tblGrid>
      <w:tr w14:paraId="4AD90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115" w:type="pct"/>
            <w:gridSpan w:val="3"/>
            <w:tcBorders>
              <w:tl2br w:val="single" w:color="auto" w:sz="4" w:space="0"/>
            </w:tcBorders>
            <w:shd w:val="clear" w:color="auto" w:fill="BEBEBE"/>
            <w:noWrap w:val="0"/>
            <w:vAlign w:val="center"/>
          </w:tcPr>
          <w:p w14:paraId="750E32AE">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right"/>
              <w:textAlignment w:val="auto"/>
              <w:rPr>
                <w:rFonts w:hint="default" w:ascii="Times New Roman" w:hAnsi="Times New Roman" w:eastAsia="宋体" w:cs="Times New Roman"/>
                <w:b/>
                <w:bCs/>
                <w:caps w:val="0"/>
                <w:color w:val="auto"/>
                <w:spacing w:val="0"/>
                <w:sz w:val="21"/>
                <w:szCs w:val="21"/>
                <w:highlight w:val="none"/>
              </w:rPr>
            </w:pPr>
            <w:r>
              <w:rPr>
                <w:rFonts w:hint="default" w:ascii="Times New Roman" w:hAnsi="Times New Roman" w:eastAsia="宋体" w:cs="Times New Roman"/>
                <w:b/>
                <w:bCs/>
                <w:caps w:val="0"/>
                <w:color w:val="auto"/>
                <w:spacing w:val="0"/>
                <w:sz w:val="21"/>
                <w:szCs w:val="21"/>
                <w:highlight w:val="none"/>
              </w:rPr>
              <w:t>线  路</w:t>
            </w:r>
          </w:p>
          <w:p w14:paraId="50884E59">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left"/>
              <w:textAlignment w:val="auto"/>
              <w:rPr>
                <w:rFonts w:hint="default" w:ascii="Times New Roman" w:hAnsi="Times New Roman" w:eastAsia="宋体" w:cs="Times New Roman"/>
                <w:b/>
                <w:bCs/>
                <w:caps w:val="0"/>
                <w:color w:val="auto"/>
                <w:spacing w:val="0"/>
                <w:sz w:val="21"/>
                <w:szCs w:val="21"/>
                <w:highlight w:val="none"/>
              </w:rPr>
            </w:pPr>
            <w:r>
              <w:rPr>
                <w:rFonts w:hint="default" w:ascii="Times New Roman" w:hAnsi="Times New Roman" w:eastAsia="宋体" w:cs="Times New Roman"/>
                <w:b/>
                <w:bCs/>
                <w:caps w:val="0"/>
                <w:color w:val="auto"/>
                <w:spacing w:val="0"/>
                <w:sz w:val="21"/>
                <w:szCs w:val="21"/>
                <w:highlight w:val="none"/>
              </w:rPr>
              <w:t>参  数</w:t>
            </w:r>
          </w:p>
        </w:tc>
        <w:tc>
          <w:tcPr>
            <w:tcW w:w="1461" w:type="pct"/>
            <w:shd w:val="clear" w:color="auto" w:fill="BEBEBE"/>
            <w:noWrap w:val="0"/>
            <w:vAlign w:val="center"/>
          </w:tcPr>
          <w:p w14:paraId="73B479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110kV单回线路（导线为三角排列）</w:t>
            </w:r>
          </w:p>
        </w:tc>
        <w:tc>
          <w:tcPr>
            <w:tcW w:w="2422" w:type="pct"/>
            <w:gridSpan w:val="2"/>
            <w:shd w:val="clear" w:color="auto" w:fill="BEBEBE"/>
            <w:noWrap w:val="0"/>
            <w:vAlign w:val="center"/>
          </w:tcPr>
          <w:p w14:paraId="1463ADB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110kV单回线路（导线为水平排列）</w:t>
            </w:r>
          </w:p>
        </w:tc>
      </w:tr>
      <w:tr w14:paraId="6BE80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15" w:type="pct"/>
            <w:gridSpan w:val="3"/>
            <w:noWrap w:val="0"/>
            <w:vAlign w:val="center"/>
          </w:tcPr>
          <w:p w14:paraId="464A5017">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rPr>
            </w:pPr>
            <w:r>
              <w:rPr>
                <w:rFonts w:hint="default" w:ascii="Times New Roman" w:hAnsi="Times New Roman" w:eastAsia="宋体" w:cs="Times New Roman"/>
                <w:caps w:val="0"/>
                <w:color w:val="auto"/>
                <w:spacing w:val="0"/>
                <w:sz w:val="21"/>
                <w:szCs w:val="21"/>
                <w:highlight w:val="none"/>
              </w:rPr>
              <w:t>排列方式</w:t>
            </w:r>
          </w:p>
        </w:tc>
        <w:tc>
          <w:tcPr>
            <w:tcW w:w="1461" w:type="pct"/>
            <w:noWrap w:val="0"/>
            <w:vAlign w:val="center"/>
          </w:tcPr>
          <w:p w14:paraId="5A3DF2BC">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三角排列</w:t>
            </w:r>
          </w:p>
        </w:tc>
        <w:tc>
          <w:tcPr>
            <w:tcW w:w="2422" w:type="pct"/>
            <w:gridSpan w:val="2"/>
            <w:noWrap w:val="0"/>
            <w:vAlign w:val="center"/>
          </w:tcPr>
          <w:p w14:paraId="37673FE0">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水平排列</w:t>
            </w:r>
          </w:p>
        </w:tc>
      </w:tr>
      <w:tr w14:paraId="7C168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90" w:hRule="atLeast"/>
        </w:trPr>
        <w:tc>
          <w:tcPr>
            <w:tcW w:w="1115" w:type="pct"/>
            <w:gridSpan w:val="3"/>
            <w:noWrap w:val="0"/>
            <w:vAlign w:val="center"/>
          </w:tcPr>
          <w:p w14:paraId="01357893">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rPr>
            </w:pPr>
            <w:r>
              <w:rPr>
                <w:rFonts w:hint="default" w:ascii="Times New Roman" w:hAnsi="Times New Roman" w:eastAsia="宋体" w:cs="Times New Roman"/>
                <w:caps w:val="0"/>
                <w:color w:val="auto"/>
                <w:spacing w:val="0"/>
                <w:kern w:val="0"/>
                <w:sz w:val="21"/>
                <w:szCs w:val="21"/>
                <w:highlight w:val="none"/>
              </w:rPr>
              <w:t>导线型号</w:t>
            </w:r>
          </w:p>
        </w:tc>
        <w:tc>
          <w:tcPr>
            <w:tcW w:w="3882" w:type="pct"/>
            <w:gridSpan w:val="2"/>
            <w:noWrap w:val="0"/>
            <w:vAlign w:val="center"/>
          </w:tcPr>
          <w:p w14:paraId="697E02BA">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lang w:val="en-US" w:eastAsia="zh-CN"/>
              </w:rPr>
            </w:pPr>
            <w:r>
              <w:rPr>
                <w:rFonts w:hint="default" w:ascii="Times New Roman" w:hAnsi="Times New Roman" w:eastAsia="宋体" w:cs="Times New Roman"/>
                <w:caps w:val="0"/>
                <w:color w:val="auto"/>
                <w:spacing w:val="0"/>
                <w:sz w:val="21"/>
                <w:szCs w:val="21"/>
                <w:lang w:val="en-US" w:eastAsia="zh-CN"/>
              </w:rPr>
              <w:t>导线JNRLH1/LB20A-400/50铝包钢芯耐热铝合金绞线，导线直径为27.6mm，导线JNRLH1/LB20A-400/65铝包钢芯耐热铝合金绞线，导线直径为28mm；直径大的导线可输送电流更大，产生的工频磁感应强度越大，因此，本次预测110kV线路选取JNRLH1/LB20A-400/65铝包钢芯耐热铝合金绞线进行预测；</w:t>
            </w:r>
          </w:p>
        </w:tc>
      </w:tr>
      <w:tr w14:paraId="59047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15" w:type="pct"/>
            <w:gridSpan w:val="3"/>
            <w:noWrap w:val="0"/>
            <w:vAlign w:val="center"/>
          </w:tcPr>
          <w:p w14:paraId="11B668F4">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lang w:eastAsia="zh-CN"/>
              </w:rPr>
            </w:pPr>
            <w:r>
              <w:rPr>
                <w:rFonts w:hint="default" w:ascii="Times New Roman" w:hAnsi="Times New Roman" w:eastAsia="宋体" w:cs="Times New Roman"/>
                <w:caps w:val="0"/>
                <w:color w:val="auto"/>
                <w:spacing w:val="0"/>
                <w:sz w:val="21"/>
                <w:szCs w:val="21"/>
                <w:highlight w:val="none"/>
                <w:lang w:val="en-US" w:eastAsia="zh-CN"/>
              </w:rPr>
              <w:t>外直径</w:t>
            </w:r>
            <w:r>
              <w:rPr>
                <w:rFonts w:hint="default" w:ascii="Times New Roman" w:hAnsi="Times New Roman" w:eastAsia="宋体" w:cs="Times New Roman"/>
                <w:caps w:val="0"/>
                <w:color w:val="auto"/>
                <w:spacing w:val="0"/>
                <w:sz w:val="21"/>
                <w:szCs w:val="21"/>
                <w:highlight w:val="none"/>
                <w:lang w:eastAsia="zh-CN"/>
              </w:rPr>
              <w:t>（</w:t>
            </w:r>
            <w:r>
              <w:rPr>
                <w:rFonts w:hint="default" w:ascii="Times New Roman" w:hAnsi="Times New Roman" w:eastAsia="宋体" w:cs="Times New Roman"/>
                <w:caps w:val="0"/>
                <w:color w:val="auto"/>
                <w:spacing w:val="0"/>
                <w:sz w:val="21"/>
                <w:szCs w:val="21"/>
                <w:highlight w:val="none"/>
              </w:rPr>
              <w:t>mm</w:t>
            </w:r>
            <w:r>
              <w:rPr>
                <w:rFonts w:hint="default" w:ascii="Times New Roman" w:hAnsi="Times New Roman" w:eastAsia="宋体" w:cs="Times New Roman"/>
                <w:caps w:val="0"/>
                <w:color w:val="auto"/>
                <w:spacing w:val="0"/>
                <w:sz w:val="21"/>
                <w:szCs w:val="21"/>
                <w:highlight w:val="none"/>
                <w:lang w:eastAsia="zh-CN"/>
              </w:rPr>
              <w:t>）</w:t>
            </w:r>
          </w:p>
        </w:tc>
        <w:tc>
          <w:tcPr>
            <w:tcW w:w="1461" w:type="pct"/>
            <w:noWrap w:val="0"/>
            <w:vAlign w:val="center"/>
          </w:tcPr>
          <w:p w14:paraId="34D55B90">
            <w:pPr>
              <w:keepNext w:val="0"/>
              <w:keepLines w:val="0"/>
              <w:pageBreakBefore w:val="0"/>
              <w:widowControl w:val="0"/>
              <w:kinsoku/>
              <w:wordWrap/>
              <w:overflowPunct/>
              <w:topLinePunct w:val="0"/>
              <w:autoSpaceDE/>
              <w:autoSpaceDN/>
              <w:bidi w:val="0"/>
              <w:adjustRightInd/>
              <w:snapToGrid/>
              <w:spacing w:line="240" w:lineRule="auto"/>
              <w:ind w:right="-63" w:rightChars="-3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28</w:t>
            </w:r>
          </w:p>
        </w:tc>
        <w:tc>
          <w:tcPr>
            <w:tcW w:w="2422" w:type="pct"/>
            <w:gridSpan w:val="2"/>
            <w:noWrap w:val="0"/>
            <w:vAlign w:val="center"/>
          </w:tcPr>
          <w:p w14:paraId="7A515AAD">
            <w:pPr>
              <w:keepNext w:val="0"/>
              <w:keepLines w:val="0"/>
              <w:pageBreakBefore w:val="0"/>
              <w:widowControl w:val="0"/>
              <w:kinsoku/>
              <w:wordWrap/>
              <w:overflowPunct/>
              <w:topLinePunct w:val="0"/>
              <w:autoSpaceDE/>
              <w:autoSpaceDN/>
              <w:bidi w:val="0"/>
              <w:adjustRightInd/>
              <w:snapToGrid/>
              <w:spacing w:line="240" w:lineRule="auto"/>
              <w:ind w:right="-63" w:rightChars="-3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28</w:t>
            </w:r>
          </w:p>
        </w:tc>
      </w:tr>
      <w:tr w14:paraId="1281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15" w:type="pct"/>
            <w:gridSpan w:val="3"/>
            <w:noWrap w:val="0"/>
            <w:vAlign w:val="center"/>
          </w:tcPr>
          <w:p w14:paraId="6C728963">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lang w:eastAsia="zh-CN"/>
              </w:rPr>
            </w:pPr>
            <w:r>
              <w:rPr>
                <w:rFonts w:hint="default" w:ascii="Times New Roman" w:hAnsi="Times New Roman" w:eastAsia="宋体" w:cs="Times New Roman"/>
                <w:caps w:val="0"/>
                <w:color w:val="auto"/>
                <w:spacing w:val="0"/>
                <w:sz w:val="21"/>
                <w:szCs w:val="21"/>
                <w:highlight w:val="none"/>
              </w:rPr>
              <w:t>分裂间距</w:t>
            </w:r>
            <w:r>
              <w:rPr>
                <w:rFonts w:hint="default" w:ascii="Times New Roman" w:hAnsi="Times New Roman" w:eastAsia="宋体" w:cs="Times New Roman"/>
                <w:caps w:val="0"/>
                <w:color w:val="auto"/>
                <w:spacing w:val="0"/>
                <w:sz w:val="21"/>
                <w:szCs w:val="21"/>
                <w:highlight w:val="none"/>
                <w:lang w:eastAsia="zh-CN"/>
              </w:rPr>
              <w:t>（</w:t>
            </w:r>
            <w:r>
              <w:rPr>
                <w:rFonts w:hint="default" w:ascii="Times New Roman" w:hAnsi="Times New Roman" w:eastAsia="宋体" w:cs="Times New Roman"/>
                <w:caps w:val="0"/>
                <w:color w:val="auto"/>
                <w:spacing w:val="0"/>
                <w:sz w:val="21"/>
                <w:szCs w:val="21"/>
                <w:highlight w:val="none"/>
              </w:rPr>
              <w:t>mm</w:t>
            </w:r>
            <w:r>
              <w:rPr>
                <w:rFonts w:hint="default" w:ascii="Times New Roman" w:hAnsi="Times New Roman" w:eastAsia="宋体" w:cs="Times New Roman"/>
                <w:caps w:val="0"/>
                <w:color w:val="auto"/>
                <w:spacing w:val="0"/>
                <w:sz w:val="21"/>
                <w:szCs w:val="21"/>
                <w:highlight w:val="none"/>
                <w:lang w:eastAsia="zh-CN"/>
              </w:rPr>
              <w:t>）</w:t>
            </w:r>
          </w:p>
        </w:tc>
        <w:tc>
          <w:tcPr>
            <w:tcW w:w="1461" w:type="pct"/>
            <w:noWrap w:val="0"/>
            <w:vAlign w:val="center"/>
          </w:tcPr>
          <w:p w14:paraId="7DA517C7">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单分裂</w:t>
            </w:r>
          </w:p>
        </w:tc>
        <w:tc>
          <w:tcPr>
            <w:tcW w:w="2422" w:type="pct"/>
            <w:gridSpan w:val="2"/>
            <w:noWrap w:val="0"/>
            <w:vAlign w:val="center"/>
          </w:tcPr>
          <w:p w14:paraId="181A091F">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单分裂</w:t>
            </w:r>
          </w:p>
        </w:tc>
      </w:tr>
      <w:tr w14:paraId="18C3B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15" w:type="pct"/>
            <w:gridSpan w:val="3"/>
            <w:noWrap w:val="0"/>
            <w:vAlign w:val="center"/>
          </w:tcPr>
          <w:p w14:paraId="1DAF77CC">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导线电压等级</w:t>
            </w:r>
          </w:p>
        </w:tc>
        <w:tc>
          <w:tcPr>
            <w:tcW w:w="1461" w:type="pct"/>
            <w:noWrap w:val="0"/>
            <w:vAlign w:val="center"/>
          </w:tcPr>
          <w:p w14:paraId="0EBA9108">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110kV</w:t>
            </w:r>
          </w:p>
        </w:tc>
        <w:tc>
          <w:tcPr>
            <w:tcW w:w="2422" w:type="pct"/>
            <w:gridSpan w:val="2"/>
            <w:noWrap w:val="0"/>
            <w:vAlign w:val="center"/>
          </w:tcPr>
          <w:p w14:paraId="4E9457DC">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110kV</w:t>
            </w:r>
          </w:p>
        </w:tc>
      </w:tr>
      <w:tr w14:paraId="23350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15" w:type="pct"/>
            <w:gridSpan w:val="3"/>
            <w:noWrap w:val="0"/>
            <w:vAlign w:val="center"/>
          </w:tcPr>
          <w:p w14:paraId="384F86B7">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预测电压</w:t>
            </w:r>
          </w:p>
        </w:tc>
        <w:tc>
          <w:tcPr>
            <w:tcW w:w="1461" w:type="pct"/>
            <w:noWrap w:val="0"/>
            <w:vAlign w:val="center"/>
          </w:tcPr>
          <w:p w14:paraId="4D5309B5">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115.5</w:t>
            </w:r>
            <w:r>
              <w:rPr>
                <w:rFonts w:hint="default" w:ascii="Times New Roman" w:hAnsi="Times New Roman" w:eastAsia="宋体" w:cs="Times New Roman"/>
                <w:caps w:val="0"/>
                <w:color w:val="auto"/>
                <w:spacing w:val="0"/>
                <w:sz w:val="21"/>
                <w:szCs w:val="21"/>
                <w:highlight w:val="none"/>
              </w:rPr>
              <w:t>kV（按照</w:t>
            </w:r>
            <w:r>
              <w:rPr>
                <w:rFonts w:hint="default" w:ascii="Times New Roman" w:hAnsi="Times New Roman" w:eastAsia="宋体" w:cs="Times New Roman"/>
                <w:caps w:val="0"/>
                <w:color w:val="auto"/>
                <w:spacing w:val="0"/>
                <w:sz w:val="21"/>
                <w:szCs w:val="21"/>
                <w:highlight w:val="none"/>
                <w:lang w:val="en-US" w:eastAsia="zh-CN"/>
              </w:rPr>
              <w:t>110</w:t>
            </w:r>
            <w:r>
              <w:rPr>
                <w:rFonts w:hint="default" w:ascii="Times New Roman" w:hAnsi="Times New Roman" w:eastAsia="宋体" w:cs="Times New Roman"/>
                <w:caps w:val="0"/>
                <w:color w:val="auto"/>
                <w:spacing w:val="0"/>
                <w:sz w:val="21"/>
                <w:szCs w:val="21"/>
                <w:highlight w:val="none"/>
              </w:rPr>
              <w:t>kV增加5%考虑）</w:t>
            </w:r>
          </w:p>
        </w:tc>
        <w:tc>
          <w:tcPr>
            <w:tcW w:w="2422" w:type="pct"/>
            <w:gridSpan w:val="2"/>
            <w:noWrap w:val="0"/>
            <w:vAlign w:val="center"/>
          </w:tcPr>
          <w:p w14:paraId="5865D2BB">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115.5</w:t>
            </w:r>
            <w:r>
              <w:rPr>
                <w:rFonts w:hint="default" w:ascii="Times New Roman" w:hAnsi="Times New Roman" w:eastAsia="宋体" w:cs="Times New Roman"/>
                <w:caps w:val="0"/>
                <w:color w:val="auto"/>
                <w:spacing w:val="0"/>
                <w:sz w:val="21"/>
                <w:szCs w:val="21"/>
                <w:highlight w:val="none"/>
              </w:rPr>
              <w:t>kV（按照</w:t>
            </w:r>
            <w:r>
              <w:rPr>
                <w:rFonts w:hint="default" w:ascii="Times New Roman" w:hAnsi="Times New Roman" w:eastAsia="宋体" w:cs="Times New Roman"/>
                <w:caps w:val="0"/>
                <w:color w:val="auto"/>
                <w:spacing w:val="0"/>
                <w:sz w:val="21"/>
                <w:szCs w:val="21"/>
                <w:highlight w:val="none"/>
                <w:lang w:val="en-US" w:eastAsia="zh-CN"/>
              </w:rPr>
              <w:t>110</w:t>
            </w:r>
            <w:r>
              <w:rPr>
                <w:rFonts w:hint="default" w:ascii="Times New Roman" w:hAnsi="Times New Roman" w:eastAsia="宋体" w:cs="Times New Roman"/>
                <w:caps w:val="0"/>
                <w:color w:val="auto"/>
                <w:spacing w:val="0"/>
                <w:sz w:val="21"/>
                <w:szCs w:val="21"/>
                <w:highlight w:val="none"/>
              </w:rPr>
              <w:t>kV增加5%考虑）</w:t>
            </w:r>
          </w:p>
        </w:tc>
      </w:tr>
      <w:tr w14:paraId="3015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15" w:type="pct"/>
            <w:gridSpan w:val="3"/>
            <w:noWrap w:val="0"/>
            <w:vAlign w:val="center"/>
          </w:tcPr>
          <w:p w14:paraId="5F77C3DC">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导线电流（A）</w:t>
            </w:r>
          </w:p>
        </w:tc>
        <w:tc>
          <w:tcPr>
            <w:tcW w:w="3884" w:type="pct"/>
            <w:gridSpan w:val="3"/>
            <w:noWrap w:val="0"/>
            <w:vAlign w:val="center"/>
          </w:tcPr>
          <w:p w14:paraId="6777B991">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本项目110kV额定电流为660A；</w:t>
            </w:r>
          </w:p>
        </w:tc>
      </w:tr>
      <w:tr w14:paraId="7D6D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15" w:type="pct"/>
            <w:gridSpan w:val="3"/>
            <w:noWrap w:val="0"/>
            <w:vAlign w:val="center"/>
          </w:tcPr>
          <w:p w14:paraId="0F4A1262">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rPr>
            </w:pPr>
            <w:r>
              <w:rPr>
                <w:rFonts w:hint="default" w:ascii="Times New Roman" w:hAnsi="Times New Roman" w:eastAsia="宋体" w:cs="Times New Roman"/>
                <w:caps w:val="0"/>
                <w:color w:val="auto"/>
                <w:spacing w:val="0"/>
                <w:sz w:val="21"/>
                <w:szCs w:val="21"/>
                <w:highlight w:val="none"/>
              </w:rPr>
              <w:t>预测导线最低对地距离</w:t>
            </w:r>
            <w:r>
              <w:rPr>
                <w:rFonts w:hint="default" w:ascii="Times New Roman" w:hAnsi="Times New Roman" w:eastAsia="宋体" w:cs="Times New Roman"/>
                <w:caps w:val="0"/>
                <w:color w:val="auto"/>
                <w:spacing w:val="0"/>
                <w:sz w:val="21"/>
                <w:szCs w:val="21"/>
                <w:highlight w:val="none"/>
                <w:lang w:val="en-US" w:eastAsia="zh-CN"/>
              </w:rPr>
              <w:t>h</w:t>
            </w:r>
            <w:r>
              <w:rPr>
                <w:rFonts w:hint="default" w:ascii="Times New Roman" w:hAnsi="Times New Roman" w:eastAsia="宋体" w:cs="Times New Roman"/>
                <w:caps w:val="0"/>
                <w:color w:val="auto"/>
                <w:spacing w:val="0"/>
                <w:sz w:val="21"/>
                <w:szCs w:val="21"/>
                <w:highlight w:val="none"/>
              </w:rPr>
              <w:t>（m）</w:t>
            </w:r>
          </w:p>
        </w:tc>
        <w:tc>
          <w:tcPr>
            <w:tcW w:w="1461" w:type="pct"/>
            <w:noWrap w:val="0"/>
            <w:vAlign w:val="center"/>
          </w:tcPr>
          <w:p w14:paraId="0A123012">
            <w:pPr>
              <w:keepNext w:val="0"/>
              <w:keepLines w:val="0"/>
              <w:pageBreakBefore w:val="0"/>
              <w:widowControl w:val="0"/>
              <w:kinsoku/>
              <w:wordWrap/>
              <w:overflowPunct/>
              <w:topLinePunct w:val="0"/>
              <w:autoSpaceDE/>
              <w:autoSpaceDN/>
              <w:bidi w:val="0"/>
              <w:adjustRightInd/>
              <w:snapToGrid/>
              <w:spacing w:line="240" w:lineRule="auto"/>
              <w:ind w:right="-63" w:rightChars="-30"/>
              <w:jc w:val="center"/>
              <w:textAlignment w:val="auto"/>
              <w:rPr>
                <w:rFonts w:hint="default" w:ascii="Times New Roman" w:hAnsi="Times New Roman" w:eastAsia="宋体" w:cs="Times New Roman"/>
                <w:caps w:val="0"/>
                <w:color w:val="auto"/>
                <w:spacing w:val="0"/>
                <w:sz w:val="21"/>
                <w:szCs w:val="21"/>
                <w:highlight w:val="none"/>
                <w:lang w:eastAsia="zh-CN"/>
              </w:rPr>
            </w:pPr>
            <w:r>
              <w:rPr>
                <w:rFonts w:hint="default" w:ascii="Times New Roman" w:hAnsi="Times New Roman" w:eastAsia="宋体" w:cs="Times New Roman"/>
                <w:caps w:val="0"/>
                <w:color w:val="auto"/>
                <w:spacing w:val="0"/>
                <w:sz w:val="21"/>
                <w:szCs w:val="21"/>
                <w:highlight w:val="none"/>
                <w:lang w:eastAsia="zh-CN"/>
              </w:rPr>
              <w:t>非居民区</w:t>
            </w:r>
            <w:r>
              <w:rPr>
                <w:rFonts w:hint="default" w:ascii="Times New Roman" w:hAnsi="Times New Roman" w:eastAsia="宋体" w:cs="Times New Roman"/>
                <w:caps w:val="0"/>
                <w:color w:val="auto"/>
                <w:spacing w:val="0"/>
                <w:sz w:val="21"/>
                <w:szCs w:val="21"/>
                <w:highlight w:val="none"/>
                <w:lang w:val="en-US" w:eastAsia="zh-CN"/>
              </w:rPr>
              <w:t>6m、居民区7m；</w:t>
            </w:r>
          </w:p>
        </w:tc>
        <w:tc>
          <w:tcPr>
            <w:tcW w:w="2422" w:type="pct"/>
            <w:gridSpan w:val="2"/>
            <w:noWrap w:val="0"/>
            <w:vAlign w:val="center"/>
          </w:tcPr>
          <w:p w14:paraId="6365C9D7">
            <w:pPr>
              <w:keepNext w:val="0"/>
              <w:keepLines w:val="0"/>
              <w:pageBreakBefore w:val="0"/>
              <w:widowControl w:val="0"/>
              <w:kinsoku/>
              <w:wordWrap/>
              <w:overflowPunct/>
              <w:topLinePunct w:val="0"/>
              <w:autoSpaceDE/>
              <w:autoSpaceDN/>
              <w:bidi w:val="0"/>
              <w:adjustRightInd/>
              <w:snapToGrid/>
              <w:spacing w:line="240" w:lineRule="auto"/>
              <w:ind w:right="-63" w:rightChars="-30"/>
              <w:jc w:val="center"/>
              <w:textAlignment w:val="auto"/>
              <w:rPr>
                <w:rFonts w:hint="default" w:ascii="Times New Roman" w:hAnsi="Times New Roman" w:eastAsia="宋体" w:cs="Times New Roman"/>
                <w:caps w:val="0"/>
                <w:color w:val="auto"/>
                <w:spacing w:val="0"/>
                <w:sz w:val="21"/>
                <w:szCs w:val="21"/>
                <w:highlight w:val="none"/>
                <w:lang w:eastAsia="zh-CN"/>
              </w:rPr>
            </w:pPr>
            <w:r>
              <w:rPr>
                <w:rFonts w:hint="default" w:ascii="Times New Roman" w:hAnsi="Times New Roman" w:eastAsia="宋体" w:cs="Times New Roman"/>
                <w:caps w:val="0"/>
                <w:color w:val="auto"/>
                <w:spacing w:val="0"/>
                <w:sz w:val="21"/>
                <w:szCs w:val="21"/>
                <w:highlight w:val="none"/>
                <w:lang w:eastAsia="zh-CN"/>
              </w:rPr>
              <w:t>非居民区</w:t>
            </w:r>
            <w:r>
              <w:rPr>
                <w:rFonts w:hint="default" w:ascii="Times New Roman" w:hAnsi="Times New Roman" w:eastAsia="宋体" w:cs="Times New Roman"/>
                <w:caps w:val="0"/>
                <w:color w:val="auto"/>
                <w:spacing w:val="0"/>
                <w:sz w:val="21"/>
                <w:szCs w:val="21"/>
                <w:highlight w:val="none"/>
                <w:lang w:val="en-US" w:eastAsia="zh-CN"/>
              </w:rPr>
              <w:t>6m、居民区7m；</w:t>
            </w:r>
          </w:p>
        </w:tc>
      </w:tr>
      <w:tr w14:paraId="07F48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9" w:type="pct"/>
            <w:vMerge w:val="restart"/>
            <w:noWrap w:val="0"/>
            <w:vAlign w:val="center"/>
          </w:tcPr>
          <w:p w14:paraId="02A61866">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rPr>
            </w:pPr>
            <w:r>
              <w:rPr>
                <w:rFonts w:hint="default" w:ascii="Times New Roman" w:hAnsi="Times New Roman" w:eastAsia="宋体" w:cs="Times New Roman"/>
                <w:caps w:val="0"/>
                <w:color w:val="auto"/>
                <w:spacing w:val="0"/>
                <w:sz w:val="21"/>
                <w:szCs w:val="21"/>
                <w:highlight w:val="none"/>
              </w:rPr>
              <w:t>预测参数</w:t>
            </w:r>
          </w:p>
        </w:tc>
        <w:tc>
          <w:tcPr>
            <w:tcW w:w="975" w:type="pct"/>
            <w:gridSpan w:val="2"/>
            <w:noWrap w:val="0"/>
            <w:vAlign w:val="center"/>
          </w:tcPr>
          <w:p w14:paraId="03774C35">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kern w:val="2"/>
                <w:sz w:val="21"/>
                <w:szCs w:val="21"/>
                <w:highlight w:val="none"/>
                <w:lang w:val="en-US" w:eastAsia="zh-CN" w:bidi="ar-SA"/>
              </w:rPr>
            </w:pPr>
            <w:r>
              <w:rPr>
                <w:rFonts w:hint="default" w:ascii="Times New Roman" w:hAnsi="Times New Roman" w:eastAsia="宋体" w:cs="Times New Roman"/>
                <w:caps w:val="0"/>
                <w:color w:val="auto"/>
                <w:spacing w:val="0"/>
                <w:sz w:val="21"/>
                <w:szCs w:val="21"/>
                <w:highlight w:val="none"/>
              </w:rPr>
              <w:t>导线排列方式</w:t>
            </w:r>
          </w:p>
        </w:tc>
        <w:tc>
          <w:tcPr>
            <w:tcW w:w="1461" w:type="pct"/>
            <w:noWrap w:val="0"/>
            <w:vAlign w:val="center"/>
          </w:tcPr>
          <w:p w14:paraId="70FF051A">
            <w:pPr>
              <w:spacing w:line="240" w:lineRule="auto"/>
              <w:jc w:val="center"/>
              <w:rPr>
                <w:rFonts w:hint="default" w:ascii="Times New Roman" w:hAnsi="Times New Roman" w:eastAsia="宋体" w:cs="Times New Roman"/>
                <w:caps w:val="0"/>
                <w:color w:val="auto"/>
                <w:spacing w:val="0"/>
                <w:sz w:val="21"/>
                <w:szCs w:val="21"/>
                <w:lang w:val="en-US" w:eastAsia="zh-CN"/>
              </w:rPr>
            </w:pPr>
            <w:r>
              <w:rPr>
                <w:rFonts w:hint="default" w:ascii="Times New Roman" w:hAnsi="Times New Roman" w:eastAsia="宋体" w:cs="Times New Roman"/>
                <w:caps w:val="0"/>
                <w:color w:val="auto"/>
                <w:spacing w:val="0"/>
                <w:sz w:val="21"/>
                <w:szCs w:val="21"/>
              </w:rPr>
              <w:t>B</w:t>
            </w:r>
          </w:p>
          <w:p w14:paraId="3A0F470F">
            <w:pPr>
              <w:spacing w:line="240" w:lineRule="auto"/>
              <w:jc w:val="center"/>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rPr>
              <w:t>A</w:t>
            </w:r>
            <w:r>
              <w:rPr>
                <w:rFonts w:hint="default" w:ascii="Times New Roman" w:hAnsi="Times New Roman" w:eastAsia="宋体" w:cs="Times New Roman"/>
                <w:caps w:val="0"/>
                <w:color w:val="auto"/>
                <w:spacing w:val="0"/>
                <w:sz w:val="21"/>
                <w:szCs w:val="21"/>
                <w:lang w:val="en-US" w:eastAsia="zh-CN"/>
              </w:rPr>
              <w:t xml:space="preserve">  </w:t>
            </w:r>
            <w:r>
              <w:rPr>
                <w:rFonts w:hint="default" w:ascii="Times New Roman" w:hAnsi="Times New Roman" w:eastAsia="宋体" w:cs="Times New Roman"/>
                <w:caps w:val="0"/>
                <w:color w:val="auto"/>
                <w:spacing w:val="0"/>
                <w:sz w:val="21"/>
                <w:szCs w:val="21"/>
              </w:rPr>
              <w:t xml:space="preserve"> C</w:t>
            </w:r>
          </w:p>
        </w:tc>
        <w:tc>
          <w:tcPr>
            <w:tcW w:w="2422" w:type="pct"/>
            <w:gridSpan w:val="2"/>
            <w:noWrap w:val="0"/>
            <w:vAlign w:val="center"/>
          </w:tcPr>
          <w:p w14:paraId="28D8DFA8">
            <w:pPr>
              <w:keepNext w:val="0"/>
              <w:keepLines w:val="0"/>
              <w:pageBreakBefore w:val="0"/>
              <w:widowControl w:val="0"/>
              <w:kinsoku/>
              <w:wordWrap/>
              <w:overflowPunct/>
              <w:topLinePunct w:val="0"/>
              <w:autoSpaceDE/>
              <w:autoSpaceDN/>
              <w:bidi w:val="0"/>
              <w:adjustRightInd/>
              <w:snapToGrid/>
              <w:spacing w:line="240" w:lineRule="auto"/>
              <w:ind w:right="-63" w:rightChars="-30"/>
              <w:jc w:val="center"/>
              <w:textAlignment w:val="auto"/>
              <w:rPr>
                <w:rFonts w:hint="default" w:ascii="Times New Roman" w:hAnsi="Times New Roman" w:eastAsia="宋体" w:cs="Times New Roman"/>
                <w:caps w:val="0"/>
                <w:color w:val="auto"/>
                <w:spacing w:val="0"/>
                <w:sz w:val="21"/>
                <w:szCs w:val="21"/>
              </w:rPr>
            </w:pPr>
            <w:r>
              <w:rPr>
                <w:rFonts w:hint="default" w:ascii="Times New Roman" w:hAnsi="Times New Roman" w:eastAsia="宋体" w:cs="Times New Roman"/>
                <w:caps w:val="0"/>
                <w:color w:val="auto"/>
                <w:spacing w:val="0"/>
                <w:sz w:val="21"/>
                <w:szCs w:val="21"/>
              </w:rPr>
              <w:t>A</w:t>
            </w:r>
            <w:r>
              <w:rPr>
                <w:rFonts w:hint="default" w:ascii="Times New Roman" w:hAnsi="Times New Roman" w:eastAsia="宋体" w:cs="Times New Roman"/>
                <w:caps w:val="0"/>
                <w:color w:val="auto"/>
                <w:spacing w:val="0"/>
                <w:sz w:val="21"/>
                <w:szCs w:val="21"/>
                <w:lang w:val="en-US" w:eastAsia="zh-CN"/>
              </w:rPr>
              <w:t xml:space="preserve">   </w:t>
            </w:r>
            <w:r>
              <w:rPr>
                <w:rFonts w:hint="default" w:ascii="Times New Roman" w:hAnsi="Times New Roman" w:eastAsia="宋体" w:cs="Times New Roman"/>
                <w:caps w:val="0"/>
                <w:color w:val="auto"/>
                <w:spacing w:val="0"/>
                <w:sz w:val="21"/>
                <w:szCs w:val="21"/>
              </w:rPr>
              <w:t>B</w:t>
            </w:r>
            <w:r>
              <w:rPr>
                <w:rFonts w:hint="default" w:ascii="Times New Roman" w:hAnsi="Times New Roman" w:eastAsia="宋体" w:cs="Times New Roman"/>
                <w:caps w:val="0"/>
                <w:color w:val="auto"/>
                <w:spacing w:val="0"/>
                <w:sz w:val="21"/>
                <w:szCs w:val="21"/>
                <w:lang w:val="en-US" w:eastAsia="zh-CN"/>
              </w:rPr>
              <w:t xml:space="preserve">  </w:t>
            </w:r>
            <w:r>
              <w:rPr>
                <w:rFonts w:hint="default" w:ascii="Times New Roman" w:hAnsi="Times New Roman" w:eastAsia="宋体" w:cs="Times New Roman"/>
                <w:caps w:val="0"/>
                <w:color w:val="auto"/>
                <w:spacing w:val="0"/>
                <w:sz w:val="21"/>
                <w:szCs w:val="21"/>
              </w:rPr>
              <w:t xml:space="preserve"> C</w:t>
            </w:r>
          </w:p>
        </w:tc>
      </w:tr>
      <w:tr w14:paraId="527D7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9" w:type="pct"/>
            <w:vMerge w:val="continue"/>
            <w:noWrap w:val="0"/>
            <w:vAlign w:val="center"/>
          </w:tcPr>
          <w:p w14:paraId="389DEAAF">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rPr>
            </w:pPr>
          </w:p>
        </w:tc>
        <w:tc>
          <w:tcPr>
            <w:tcW w:w="351" w:type="pct"/>
            <w:vMerge w:val="restart"/>
            <w:noWrap w:val="0"/>
            <w:vAlign w:val="center"/>
          </w:tcPr>
          <w:p w14:paraId="20979580">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kern w:val="2"/>
                <w:sz w:val="21"/>
                <w:szCs w:val="21"/>
                <w:highlight w:val="none"/>
                <w:lang w:val="en-US" w:eastAsia="zh-CN" w:bidi="ar-SA"/>
              </w:rPr>
            </w:pPr>
            <w:r>
              <w:rPr>
                <w:rFonts w:hint="default" w:ascii="Times New Roman" w:hAnsi="Times New Roman" w:eastAsia="宋体" w:cs="Times New Roman"/>
                <w:caps w:val="0"/>
                <w:color w:val="auto"/>
                <w:spacing w:val="0"/>
                <w:sz w:val="21"/>
                <w:szCs w:val="21"/>
                <w:highlight w:val="none"/>
                <w:lang w:eastAsia="zh-CN"/>
              </w:rPr>
              <w:t>工频电场强度</w:t>
            </w:r>
            <w:r>
              <w:rPr>
                <w:rFonts w:hint="default" w:ascii="Times New Roman" w:hAnsi="Times New Roman" w:eastAsia="宋体" w:cs="Times New Roman"/>
                <w:caps w:val="0"/>
                <w:color w:val="auto"/>
                <w:spacing w:val="0"/>
                <w:sz w:val="21"/>
                <w:szCs w:val="21"/>
                <w:highlight w:val="none"/>
                <w:lang w:val="en-US" w:eastAsia="zh-CN"/>
              </w:rPr>
              <w:t>、</w:t>
            </w:r>
            <w:r>
              <w:rPr>
                <w:rFonts w:hint="default" w:ascii="Times New Roman" w:hAnsi="Times New Roman" w:eastAsia="宋体" w:cs="Times New Roman"/>
                <w:caps w:val="0"/>
                <w:color w:val="auto"/>
                <w:spacing w:val="0"/>
                <w:sz w:val="21"/>
                <w:szCs w:val="21"/>
                <w:highlight w:val="none"/>
                <w:lang w:eastAsia="zh-CN"/>
              </w:rPr>
              <w:t>工频磁感应强度</w:t>
            </w:r>
          </w:p>
        </w:tc>
        <w:tc>
          <w:tcPr>
            <w:tcW w:w="623" w:type="pct"/>
            <w:noWrap w:val="0"/>
            <w:vAlign w:val="center"/>
          </w:tcPr>
          <w:p w14:paraId="20D5E0A7">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lang w:eastAsia="zh-CN"/>
              </w:rPr>
            </w:pPr>
            <w:r>
              <w:rPr>
                <w:rFonts w:hint="default" w:ascii="Times New Roman" w:hAnsi="Times New Roman" w:eastAsia="宋体" w:cs="Times New Roman"/>
                <w:caps w:val="0"/>
                <w:color w:val="auto"/>
                <w:spacing w:val="0"/>
                <w:sz w:val="21"/>
                <w:szCs w:val="21"/>
                <w:highlight w:val="none"/>
                <w:lang w:eastAsia="zh-CN"/>
              </w:rPr>
              <w:t>预测塔型</w:t>
            </w:r>
            <w:r>
              <w:rPr>
                <w:rFonts w:hint="default" w:ascii="Times New Roman" w:hAnsi="Times New Roman" w:eastAsia="宋体" w:cs="Times New Roman"/>
                <w:caps w:val="0"/>
                <w:color w:val="auto"/>
                <w:spacing w:val="0"/>
                <w:sz w:val="21"/>
                <w:szCs w:val="21"/>
                <w:highlight w:val="none"/>
              </w:rPr>
              <w:t>各点坐标（m</w:t>
            </w:r>
            <w:r>
              <w:rPr>
                <w:rFonts w:hint="default" w:ascii="Times New Roman" w:hAnsi="Times New Roman" w:eastAsia="宋体" w:cs="Times New Roman"/>
                <w:caps w:val="0"/>
                <w:color w:val="auto"/>
                <w:spacing w:val="0"/>
                <w:sz w:val="21"/>
                <w:szCs w:val="21"/>
                <w:highlight w:val="none"/>
                <w:lang w:eastAsia="zh-CN"/>
              </w:rPr>
              <w:t>）</w:t>
            </w:r>
          </w:p>
        </w:tc>
        <w:tc>
          <w:tcPr>
            <w:tcW w:w="1461" w:type="pct"/>
            <w:noWrap w:val="0"/>
            <w:vAlign w:val="center"/>
          </w:tcPr>
          <w:p w14:paraId="39E059C0">
            <w:pPr>
              <w:spacing w:line="240" w:lineRule="auto"/>
              <w:jc w:val="center"/>
              <w:rPr>
                <w:rFonts w:hint="default" w:ascii="Times New Roman" w:hAnsi="Times New Roman" w:eastAsia="宋体" w:cs="Times New Roman"/>
                <w:caps w:val="0"/>
                <w:color w:val="auto"/>
                <w:spacing w:val="0"/>
                <w:sz w:val="21"/>
                <w:szCs w:val="21"/>
              </w:rPr>
            </w:pPr>
            <w:r>
              <w:rPr>
                <w:rFonts w:hint="default" w:ascii="Times New Roman" w:hAnsi="Times New Roman" w:eastAsia="宋体" w:cs="Times New Roman"/>
                <w:caps w:val="0"/>
                <w:color w:val="auto"/>
                <w:spacing w:val="0"/>
                <w:sz w:val="21"/>
                <w:szCs w:val="21"/>
              </w:rPr>
              <w:t>B</w:t>
            </w:r>
            <w:r>
              <w:rPr>
                <w:rFonts w:hint="default" w:ascii="Times New Roman" w:hAnsi="Times New Roman" w:eastAsia="宋体" w:cs="Times New Roman"/>
                <w:caps w:val="0"/>
                <w:color w:val="auto"/>
                <w:spacing w:val="0"/>
                <w:sz w:val="21"/>
                <w:szCs w:val="21"/>
                <w:lang w:eastAsia="zh-CN"/>
              </w:rPr>
              <w:t>(</w:t>
            </w:r>
            <w:r>
              <w:rPr>
                <w:rFonts w:hint="default" w:ascii="Times New Roman" w:hAnsi="Times New Roman" w:eastAsia="宋体" w:cs="Times New Roman"/>
                <w:caps w:val="0"/>
                <w:color w:val="auto"/>
                <w:spacing w:val="0"/>
                <w:sz w:val="21"/>
                <w:szCs w:val="21"/>
              </w:rPr>
              <w:t>0</w:t>
            </w:r>
            <w:r>
              <w:rPr>
                <w:rFonts w:hint="default" w:ascii="Times New Roman" w:hAnsi="Times New Roman" w:eastAsia="宋体" w:cs="Times New Roman"/>
                <w:caps w:val="0"/>
                <w:color w:val="auto"/>
                <w:spacing w:val="0"/>
                <w:sz w:val="21"/>
                <w:szCs w:val="21"/>
                <w:lang w:eastAsia="zh-CN"/>
              </w:rPr>
              <w:t>,</w:t>
            </w:r>
            <w:r>
              <w:rPr>
                <w:rFonts w:hint="default" w:ascii="Times New Roman" w:hAnsi="Times New Roman" w:eastAsia="宋体" w:cs="Times New Roman"/>
                <w:caps w:val="0"/>
                <w:color w:val="auto"/>
                <w:spacing w:val="0"/>
                <w:sz w:val="21"/>
                <w:szCs w:val="21"/>
                <w:lang w:val="en-US" w:eastAsia="zh-CN"/>
              </w:rPr>
              <w:t>5+h)</w:t>
            </w:r>
          </w:p>
          <w:p w14:paraId="53EC0FEF">
            <w:pPr>
              <w:keepNext w:val="0"/>
              <w:keepLines w:val="0"/>
              <w:pageBreakBefore w:val="0"/>
              <w:widowControl w:val="0"/>
              <w:kinsoku/>
              <w:wordWrap/>
              <w:overflowPunct/>
              <w:topLinePunct w:val="0"/>
              <w:autoSpaceDE/>
              <w:autoSpaceDN/>
              <w:bidi w:val="0"/>
              <w:adjustRightInd/>
              <w:snapToGrid/>
              <w:spacing w:line="240" w:lineRule="auto"/>
              <w:ind w:right="-63" w:rightChars="-3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rPr>
              <w:t>A</w:t>
            </w:r>
            <w:r>
              <w:rPr>
                <w:rFonts w:hint="default" w:ascii="Times New Roman" w:hAnsi="Times New Roman" w:eastAsia="宋体" w:cs="Times New Roman"/>
                <w:caps w:val="0"/>
                <w:color w:val="auto"/>
                <w:spacing w:val="0"/>
                <w:sz w:val="21"/>
                <w:szCs w:val="21"/>
                <w:lang w:eastAsia="zh-CN"/>
              </w:rPr>
              <w:t>(</w:t>
            </w:r>
            <w:r>
              <w:rPr>
                <w:rFonts w:hint="default" w:ascii="Times New Roman" w:hAnsi="Times New Roman" w:eastAsia="宋体" w:cs="Times New Roman"/>
                <w:caps w:val="0"/>
                <w:color w:val="auto"/>
                <w:spacing w:val="0"/>
                <w:sz w:val="21"/>
                <w:szCs w:val="21"/>
              </w:rPr>
              <w:t>-</w:t>
            </w:r>
            <w:r>
              <w:rPr>
                <w:rFonts w:hint="default" w:ascii="Times New Roman" w:hAnsi="Times New Roman" w:eastAsia="宋体" w:cs="Times New Roman"/>
                <w:caps w:val="0"/>
                <w:color w:val="auto"/>
                <w:spacing w:val="0"/>
                <w:sz w:val="21"/>
                <w:szCs w:val="21"/>
                <w:lang w:val="en-US" w:eastAsia="zh-CN"/>
              </w:rPr>
              <w:t>7, h)</w:t>
            </w:r>
            <w:r>
              <w:rPr>
                <w:rFonts w:hint="default" w:ascii="Times New Roman" w:hAnsi="Times New Roman" w:eastAsia="宋体" w:cs="Times New Roman"/>
                <w:caps w:val="0"/>
                <w:color w:val="auto"/>
                <w:spacing w:val="0"/>
                <w:sz w:val="21"/>
                <w:szCs w:val="21"/>
              </w:rPr>
              <w:t xml:space="preserve"> C</w:t>
            </w:r>
            <w:r>
              <w:rPr>
                <w:rFonts w:hint="default" w:ascii="Times New Roman" w:hAnsi="Times New Roman" w:eastAsia="宋体" w:cs="Times New Roman"/>
                <w:caps w:val="0"/>
                <w:color w:val="auto"/>
                <w:spacing w:val="0"/>
                <w:sz w:val="21"/>
                <w:szCs w:val="21"/>
                <w:lang w:eastAsia="zh-CN"/>
              </w:rPr>
              <w:t>(</w:t>
            </w:r>
            <w:r>
              <w:rPr>
                <w:rFonts w:hint="default" w:ascii="Times New Roman" w:hAnsi="Times New Roman" w:eastAsia="宋体" w:cs="Times New Roman"/>
                <w:caps w:val="0"/>
                <w:color w:val="auto"/>
                <w:spacing w:val="0"/>
                <w:sz w:val="21"/>
                <w:szCs w:val="21"/>
                <w:lang w:val="en-US" w:eastAsia="zh-CN"/>
              </w:rPr>
              <w:t>6, h)</w:t>
            </w:r>
          </w:p>
        </w:tc>
        <w:tc>
          <w:tcPr>
            <w:tcW w:w="2422" w:type="pct"/>
            <w:gridSpan w:val="2"/>
            <w:noWrap w:val="0"/>
            <w:vAlign w:val="center"/>
          </w:tcPr>
          <w:p w14:paraId="4859CAAA">
            <w:pPr>
              <w:spacing w:line="240" w:lineRule="auto"/>
              <w:jc w:val="center"/>
              <w:rPr>
                <w:rFonts w:hint="default" w:ascii="Times New Roman" w:hAnsi="Times New Roman" w:eastAsia="宋体" w:cs="Times New Roman"/>
                <w:caps w:val="0"/>
                <w:color w:val="auto"/>
                <w:spacing w:val="0"/>
                <w:sz w:val="21"/>
                <w:szCs w:val="21"/>
              </w:rPr>
            </w:pPr>
            <w:r>
              <w:rPr>
                <w:rFonts w:hint="default" w:ascii="Times New Roman" w:hAnsi="Times New Roman" w:eastAsia="宋体" w:cs="Times New Roman"/>
                <w:caps w:val="0"/>
                <w:color w:val="auto"/>
                <w:spacing w:val="0"/>
                <w:sz w:val="21"/>
                <w:szCs w:val="21"/>
              </w:rPr>
              <w:t>A</w:t>
            </w:r>
            <w:r>
              <w:rPr>
                <w:rFonts w:hint="default" w:ascii="Times New Roman" w:hAnsi="Times New Roman" w:eastAsia="宋体" w:cs="Times New Roman"/>
                <w:caps w:val="0"/>
                <w:color w:val="auto"/>
                <w:spacing w:val="0"/>
                <w:sz w:val="21"/>
                <w:szCs w:val="21"/>
                <w:lang w:eastAsia="zh-CN"/>
              </w:rPr>
              <w:t>(</w:t>
            </w:r>
            <w:r>
              <w:rPr>
                <w:rFonts w:hint="default" w:ascii="Times New Roman" w:hAnsi="Times New Roman" w:eastAsia="宋体" w:cs="Times New Roman"/>
                <w:caps w:val="0"/>
                <w:color w:val="auto"/>
                <w:spacing w:val="0"/>
                <w:sz w:val="21"/>
                <w:szCs w:val="21"/>
              </w:rPr>
              <w:t>-</w:t>
            </w:r>
            <w:r>
              <w:rPr>
                <w:rFonts w:hint="default" w:ascii="Times New Roman" w:hAnsi="Times New Roman" w:eastAsia="宋体" w:cs="Times New Roman"/>
                <w:caps w:val="0"/>
                <w:color w:val="auto"/>
                <w:spacing w:val="0"/>
                <w:sz w:val="21"/>
                <w:szCs w:val="21"/>
                <w:lang w:val="en-US" w:eastAsia="zh-CN"/>
              </w:rPr>
              <w:t xml:space="preserve">10.3, h) </w:t>
            </w:r>
            <w:r>
              <w:rPr>
                <w:rFonts w:hint="default" w:ascii="Times New Roman" w:hAnsi="Times New Roman" w:eastAsia="宋体" w:cs="Times New Roman"/>
                <w:caps w:val="0"/>
                <w:color w:val="auto"/>
                <w:spacing w:val="0"/>
                <w:sz w:val="21"/>
                <w:szCs w:val="21"/>
              </w:rPr>
              <w:t>B</w:t>
            </w:r>
            <w:r>
              <w:rPr>
                <w:rFonts w:hint="default" w:ascii="Times New Roman" w:hAnsi="Times New Roman" w:eastAsia="宋体" w:cs="Times New Roman"/>
                <w:caps w:val="0"/>
                <w:color w:val="auto"/>
                <w:spacing w:val="0"/>
                <w:sz w:val="21"/>
                <w:szCs w:val="21"/>
                <w:lang w:eastAsia="zh-CN"/>
              </w:rPr>
              <w:t>(</w:t>
            </w:r>
            <w:r>
              <w:rPr>
                <w:rFonts w:hint="default" w:ascii="Times New Roman" w:hAnsi="Times New Roman" w:eastAsia="宋体" w:cs="Times New Roman"/>
                <w:caps w:val="0"/>
                <w:color w:val="auto"/>
                <w:spacing w:val="0"/>
                <w:sz w:val="21"/>
                <w:szCs w:val="21"/>
              </w:rPr>
              <w:t>0</w:t>
            </w:r>
            <w:r>
              <w:rPr>
                <w:rFonts w:hint="default" w:ascii="Times New Roman" w:hAnsi="Times New Roman" w:eastAsia="宋体" w:cs="Times New Roman"/>
                <w:caps w:val="0"/>
                <w:color w:val="auto"/>
                <w:spacing w:val="0"/>
                <w:sz w:val="21"/>
                <w:szCs w:val="21"/>
                <w:lang w:eastAsia="zh-CN"/>
              </w:rPr>
              <w:t>,</w:t>
            </w:r>
            <w:r>
              <w:rPr>
                <w:rFonts w:hint="default" w:ascii="Times New Roman" w:hAnsi="Times New Roman" w:eastAsia="宋体" w:cs="Times New Roman"/>
                <w:caps w:val="0"/>
                <w:color w:val="auto"/>
                <w:spacing w:val="0"/>
                <w:sz w:val="21"/>
                <w:szCs w:val="21"/>
                <w:lang w:val="en-US" w:eastAsia="zh-CN"/>
              </w:rPr>
              <w:t>h)</w:t>
            </w:r>
            <w:r>
              <w:rPr>
                <w:rFonts w:hint="default" w:ascii="Times New Roman" w:hAnsi="Times New Roman" w:eastAsia="宋体" w:cs="Times New Roman"/>
                <w:caps w:val="0"/>
                <w:color w:val="auto"/>
                <w:spacing w:val="0"/>
                <w:sz w:val="21"/>
                <w:szCs w:val="21"/>
              </w:rPr>
              <w:t xml:space="preserve"> C</w:t>
            </w:r>
            <w:r>
              <w:rPr>
                <w:rFonts w:hint="default" w:ascii="Times New Roman" w:hAnsi="Times New Roman" w:eastAsia="宋体" w:cs="Times New Roman"/>
                <w:caps w:val="0"/>
                <w:color w:val="auto"/>
                <w:spacing w:val="0"/>
                <w:sz w:val="21"/>
                <w:szCs w:val="21"/>
                <w:lang w:eastAsia="zh-CN"/>
              </w:rPr>
              <w:t>(</w:t>
            </w:r>
            <w:r>
              <w:rPr>
                <w:rFonts w:hint="default" w:ascii="Times New Roman" w:hAnsi="Times New Roman" w:eastAsia="宋体" w:cs="Times New Roman"/>
                <w:caps w:val="0"/>
                <w:color w:val="auto"/>
                <w:spacing w:val="0"/>
                <w:sz w:val="21"/>
                <w:szCs w:val="21"/>
                <w:lang w:val="en-US" w:eastAsia="zh-CN"/>
              </w:rPr>
              <w:t>10.3, h)</w:t>
            </w:r>
          </w:p>
        </w:tc>
      </w:tr>
      <w:tr w14:paraId="5F5CC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9" w:type="pct"/>
            <w:vMerge w:val="continue"/>
            <w:noWrap w:val="0"/>
            <w:vAlign w:val="center"/>
          </w:tcPr>
          <w:p w14:paraId="71605C3F">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rPr>
            </w:pPr>
          </w:p>
        </w:tc>
        <w:tc>
          <w:tcPr>
            <w:tcW w:w="351" w:type="pct"/>
            <w:vMerge w:val="continue"/>
            <w:noWrap w:val="0"/>
            <w:vAlign w:val="center"/>
          </w:tcPr>
          <w:p w14:paraId="6A6890B9">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lang w:eastAsia="zh-CN"/>
              </w:rPr>
            </w:pPr>
          </w:p>
        </w:tc>
        <w:tc>
          <w:tcPr>
            <w:tcW w:w="623" w:type="pct"/>
            <w:noWrap w:val="0"/>
            <w:vAlign w:val="center"/>
          </w:tcPr>
          <w:p w14:paraId="441FD103">
            <w:pPr>
              <w:keepNext w:val="0"/>
              <w:keepLines w:val="0"/>
              <w:pageBreakBefore w:val="0"/>
              <w:kinsoku/>
              <w:wordWrap/>
              <w:overflowPunct/>
              <w:topLinePunct w:val="0"/>
              <w:autoSpaceDE/>
              <w:autoSpaceDN/>
              <w:bidi w:val="0"/>
              <w:spacing w:line="240" w:lineRule="auto"/>
              <w:ind w:left="-63" w:leftChars="-30" w:right="-63" w:rightChars="-30"/>
              <w:jc w:val="center"/>
              <w:textAlignment w:val="auto"/>
              <w:rPr>
                <w:rFonts w:hint="default" w:ascii="Times New Roman" w:hAnsi="Times New Roman" w:eastAsia="宋体" w:cs="Times New Roman"/>
                <w:caps w:val="0"/>
                <w:color w:val="auto"/>
                <w:spacing w:val="0"/>
                <w:kern w:val="2"/>
                <w:sz w:val="21"/>
                <w:szCs w:val="21"/>
                <w:lang w:val="en-US" w:eastAsia="zh-CN" w:bidi="ar-SA"/>
              </w:rPr>
            </w:pPr>
            <w:r>
              <w:rPr>
                <w:rFonts w:hint="default" w:ascii="Times New Roman" w:hAnsi="Times New Roman" w:eastAsia="宋体" w:cs="Times New Roman"/>
                <w:caps w:val="0"/>
                <w:color w:val="auto"/>
                <w:spacing w:val="0"/>
                <w:sz w:val="21"/>
                <w:szCs w:val="21"/>
              </w:rPr>
              <w:t>导线垂直间距</w:t>
            </w:r>
          </w:p>
        </w:tc>
        <w:tc>
          <w:tcPr>
            <w:tcW w:w="1461" w:type="pct"/>
            <w:noWrap w:val="0"/>
            <w:vAlign w:val="center"/>
          </w:tcPr>
          <w:p w14:paraId="2734569F">
            <w:pPr>
              <w:keepNext w:val="0"/>
              <w:keepLines w:val="0"/>
              <w:pageBreakBefore w:val="0"/>
              <w:widowControl w:val="0"/>
              <w:kinsoku/>
              <w:wordWrap/>
              <w:overflowPunct/>
              <w:topLinePunct w:val="0"/>
              <w:autoSpaceDE/>
              <w:autoSpaceDN/>
              <w:bidi w:val="0"/>
              <w:adjustRightInd/>
              <w:snapToGrid/>
              <w:spacing w:line="240" w:lineRule="auto"/>
              <w:ind w:right="-63" w:rightChars="-30"/>
              <w:jc w:val="center"/>
              <w:textAlignment w:val="auto"/>
              <w:rPr>
                <w:rFonts w:hint="default" w:ascii="Times New Roman" w:hAnsi="Times New Roman" w:eastAsia="宋体" w:cs="Times New Roman"/>
                <w:caps w:val="0"/>
                <w:color w:val="auto"/>
                <w:spacing w:val="0"/>
                <w:sz w:val="21"/>
                <w:szCs w:val="21"/>
                <w:lang w:val="en-US" w:eastAsia="zh-CN"/>
              </w:rPr>
            </w:pPr>
            <w:r>
              <w:rPr>
                <w:rFonts w:hint="default" w:ascii="Times New Roman" w:hAnsi="Times New Roman" w:eastAsia="宋体" w:cs="Times New Roman"/>
                <w:caps w:val="0"/>
                <w:color w:val="auto"/>
                <w:spacing w:val="0"/>
                <w:sz w:val="21"/>
                <w:szCs w:val="21"/>
                <w:lang w:val="en-US" w:eastAsia="zh-CN"/>
              </w:rPr>
              <w:t>5</w:t>
            </w:r>
            <w:r>
              <w:rPr>
                <w:rFonts w:hint="default" w:ascii="Times New Roman" w:hAnsi="Times New Roman" w:eastAsia="宋体" w:cs="Times New Roman"/>
                <w:caps w:val="0"/>
                <w:color w:val="auto"/>
                <w:spacing w:val="0"/>
                <w:sz w:val="21"/>
                <w:szCs w:val="21"/>
                <w:highlight w:val="none"/>
              </w:rPr>
              <w:t>m</w:t>
            </w:r>
          </w:p>
        </w:tc>
        <w:tc>
          <w:tcPr>
            <w:tcW w:w="2422" w:type="pct"/>
            <w:gridSpan w:val="2"/>
            <w:noWrap w:val="0"/>
            <w:vAlign w:val="center"/>
          </w:tcPr>
          <w:p w14:paraId="4F05670B">
            <w:pPr>
              <w:keepNext w:val="0"/>
              <w:keepLines w:val="0"/>
              <w:pageBreakBefore w:val="0"/>
              <w:widowControl w:val="0"/>
              <w:kinsoku/>
              <w:wordWrap/>
              <w:overflowPunct/>
              <w:topLinePunct w:val="0"/>
              <w:autoSpaceDE/>
              <w:autoSpaceDN/>
              <w:bidi w:val="0"/>
              <w:adjustRightInd/>
              <w:snapToGrid/>
              <w:spacing w:line="240" w:lineRule="auto"/>
              <w:ind w:right="-63" w:rightChars="-30"/>
              <w:jc w:val="center"/>
              <w:textAlignment w:val="auto"/>
              <w:rPr>
                <w:rFonts w:hint="default" w:ascii="Times New Roman" w:hAnsi="Times New Roman" w:eastAsia="宋体" w:cs="Times New Roman"/>
                <w:caps w:val="0"/>
                <w:color w:val="auto"/>
                <w:spacing w:val="0"/>
                <w:sz w:val="21"/>
                <w:szCs w:val="21"/>
                <w:lang w:val="en-US" w:eastAsia="zh-CN"/>
              </w:rPr>
            </w:pPr>
            <w:r>
              <w:rPr>
                <w:rFonts w:hint="default" w:ascii="Times New Roman" w:hAnsi="Times New Roman" w:eastAsia="宋体" w:cs="Times New Roman"/>
                <w:caps w:val="0"/>
                <w:color w:val="auto"/>
                <w:spacing w:val="0"/>
                <w:sz w:val="21"/>
                <w:szCs w:val="21"/>
                <w:lang w:val="en-US" w:eastAsia="zh-CN"/>
              </w:rPr>
              <w:t>0m</w:t>
            </w:r>
          </w:p>
        </w:tc>
      </w:tr>
      <w:tr w14:paraId="57995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9" w:type="pct"/>
            <w:vMerge w:val="continue"/>
            <w:noWrap w:val="0"/>
            <w:vAlign w:val="center"/>
          </w:tcPr>
          <w:p w14:paraId="46131AC2">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rPr>
            </w:pPr>
          </w:p>
        </w:tc>
        <w:tc>
          <w:tcPr>
            <w:tcW w:w="351" w:type="pct"/>
            <w:vMerge w:val="continue"/>
            <w:noWrap w:val="0"/>
            <w:vAlign w:val="center"/>
          </w:tcPr>
          <w:p w14:paraId="3429F6F6">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lang w:eastAsia="zh-CN"/>
              </w:rPr>
            </w:pPr>
          </w:p>
        </w:tc>
        <w:tc>
          <w:tcPr>
            <w:tcW w:w="623" w:type="pct"/>
            <w:noWrap w:val="0"/>
            <w:vAlign w:val="center"/>
          </w:tcPr>
          <w:p w14:paraId="619E45D7">
            <w:pPr>
              <w:keepNext w:val="0"/>
              <w:keepLines w:val="0"/>
              <w:pageBreakBefore w:val="0"/>
              <w:kinsoku/>
              <w:wordWrap/>
              <w:overflowPunct/>
              <w:topLinePunct w:val="0"/>
              <w:autoSpaceDE/>
              <w:autoSpaceDN/>
              <w:bidi w:val="0"/>
              <w:spacing w:line="240" w:lineRule="auto"/>
              <w:ind w:left="-63" w:leftChars="-30" w:right="-63" w:rightChars="-30"/>
              <w:jc w:val="center"/>
              <w:textAlignment w:val="auto"/>
              <w:rPr>
                <w:rFonts w:hint="default" w:ascii="Times New Roman" w:hAnsi="Times New Roman" w:eastAsia="宋体" w:cs="Times New Roman"/>
                <w:caps w:val="0"/>
                <w:color w:val="auto"/>
                <w:spacing w:val="0"/>
                <w:kern w:val="2"/>
                <w:sz w:val="21"/>
                <w:szCs w:val="21"/>
                <w:lang w:val="en-US" w:eastAsia="zh-CN" w:bidi="ar-SA"/>
              </w:rPr>
            </w:pPr>
            <w:r>
              <w:rPr>
                <w:rFonts w:hint="default" w:ascii="Times New Roman" w:hAnsi="Times New Roman" w:eastAsia="宋体" w:cs="Times New Roman"/>
                <w:caps w:val="0"/>
                <w:color w:val="auto"/>
                <w:spacing w:val="0"/>
                <w:sz w:val="21"/>
                <w:szCs w:val="21"/>
              </w:rPr>
              <w:t>导线水平间距</w:t>
            </w:r>
          </w:p>
        </w:tc>
        <w:tc>
          <w:tcPr>
            <w:tcW w:w="1461" w:type="pct"/>
            <w:noWrap w:val="0"/>
            <w:vAlign w:val="center"/>
          </w:tcPr>
          <w:p w14:paraId="74BD52A6">
            <w:pPr>
              <w:keepNext w:val="0"/>
              <w:keepLines w:val="0"/>
              <w:pageBreakBefore w:val="0"/>
              <w:widowControl w:val="0"/>
              <w:kinsoku/>
              <w:wordWrap/>
              <w:overflowPunct/>
              <w:topLinePunct w:val="0"/>
              <w:autoSpaceDE/>
              <w:autoSpaceDN/>
              <w:bidi w:val="0"/>
              <w:adjustRightInd/>
              <w:snapToGrid/>
              <w:spacing w:line="240" w:lineRule="auto"/>
              <w:ind w:right="-63" w:rightChars="-30"/>
              <w:jc w:val="center"/>
              <w:textAlignment w:val="auto"/>
              <w:rPr>
                <w:rFonts w:hint="default" w:ascii="Times New Roman" w:hAnsi="Times New Roman" w:eastAsia="宋体" w:cs="Times New Roman"/>
                <w:caps w:val="0"/>
                <w:color w:val="auto"/>
                <w:spacing w:val="0"/>
                <w:sz w:val="21"/>
                <w:szCs w:val="21"/>
              </w:rPr>
            </w:pPr>
            <w:r>
              <w:rPr>
                <w:rFonts w:hint="default" w:ascii="Times New Roman" w:hAnsi="Times New Roman" w:eastAsia="宋体" w:cs="Times New Roman"/>
                <w:caps w:val="0"/>
                <w:color w:val="auto"/>
                <w:spacing w:val="0"/>
                <w:sz w:val="21"/>
                <w:szCs w:val="21"/>
                <w:highlight w:val="none"/>
                <w:lang w:val="en-US" w:eastAsia="zh-CN"/>
              </w:rPr>
              <w:t>13</w:t>
            </w:r>
            <w:r>
              <w:rPr>
                <w:rFonts w:hint="default" w:ascii="Times New Roman" w:hAnsi="Times New Roman" w:eastAsia="宋体" w:cs="Times New Roman"/>
                <w:caps w:val="0"/>
                <w:color w:val="auto"/>
                <w:spacing w:val="0"/>
                <w:sz w:val="21"/>
                <w:szCs w:val="21"/>
                <w:highlight w:val="none"/>
              </w:rPr>
              <w:t>m</w:t>
            </w:r>
          </w:p>
        </w:tc>
        <w:tc>
          <w:tcPr>
            <w:tcW w:w="2422" w:type="pct"/>
            <w:gridSpan w:val="2"/>
            <w:noWrap w:val="0"/>
            <w:vAlign w:val="center"/>
          </w:tcPr>
          <w:p w14:paraId="12E1F4B4">
            <w:pPr>
              <w:keepNext w:val="0"/>
              <w:keepLines w:val="0"/>
              <w:pageBreakBefore w:val="0"/>
              <w:widowControl w:val="0"/>
              <w:kinsoku/>
              <w:wordWrap/>
              <w:overflowPunct/>
              <w:topLinePunct w:val="0"/>
              <w:autoSpaceDE/>
              <w:autoSpaceDN/>
              <w:bidi w:val="0"/>
              <w:adjustRightInd/>
              <w:snapToGrid/>
              <w:spacing w:line="240" w:lineRule="auto"/>
              <w:ind w:right="-63" w:rightChars="-30"/>
              <w:jc w:val="center"/>
              <w:textAlignment w:val="auto"/>
              <w:rPr>
                <w:rFonts w:hint="default" w:ascii="Times New Roman" w:hAnsi="Times New Roman" w:eastAsia="宋体" w:cs="Times New Roman"/>
                <w:caps w:val="0"/>
                <w:color w:val="auto"/>
                <w:spacing w:val="0"/>
                <w:sz w:val="21"/>
                <w:szCs w:val="21"/>
                <w:highlight w:val="none"/>
                <w:lang w:val="en-US" w:eastAsia="zh-CN"/>
              </w:rPr>
            </w:pPr>
            <w:r>
              <w:rPr>
                <w:rFonts w:hint="default" w:ascii="Times New Roman" w:hAnsi="Times New Roman" w:eastAsia="宋体" w:cs="Times New Roman"/>
                <w:caps w:val="0"/>
                <w:color w:val="auto"/>
                <w:spacing w:val="0"/>
                <w:sz w:val="21"/>
                <w:szCs w:val="21"/>
                <w:highlight w:val="none"/>
                <w:lang w:val="en-US" w:eastAsia="zh-CN"/>
              </w:rPr>
              <w:t>20.6m</w:t>
            </w:r>
          </w:p>
        </w:tc>
      </w:tr>
      <w:tr w14:paraId="3A0C1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9" w:type="pct"/>
            <w:vMerge w:val="continue"/>
            <w:noWrap w:val="0"/>
            <w:vAlign w:val="center"/>
          </w:tcPr>
          <w:p w14:paraId="087A7359">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rPr>
            </w:pPr>
          </w:p>
        </w:tc>
        <w:tc>
          <w:tcPr>
            <w:tcW w:w="351" w:type="pct"/>
            <w:vMerge w:val="continue"/>
            <w:noWrap w:val="0"/>
            <w:vAlign w:val="center"/>
          </w:tcPr>
          <w:p w14:paraId="78B6D35F">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lang w:eastAsia="zh-CN"/>
              </w:rPr>
            </w:pPr>
          </w:p>
        </w:tc>
        <w:tc>
          <w:tcPr>
            <w:tcW w:w="623" w:type="pct"/>
            <w:noWrap w:val="0"/>
            <w:vAlign w:val="center"/>
          </w:tcPr>
          <w:p w14:paraId="3876BF2E">
            <w:pPr>
              <w:keepNext w:val="0"/>
              <w:keepLines w:val="0"/>
              <w:pageBreakBefore w:val="0"/>
              <w:widowControl w:val="0"/>
              <w:kinsoku/>
              <w:wordWrap/>
              <w:overflowPunct/>
              <w:topLinePunct w:val="0"/>
              <w:autoSpaceDE/>
              <w:autoSpaceDN/>
              <w:bidi w:val="0"/>
              <w:adjustRightInd/>
              <w:snapToGrid/>
              <w:spacing w:line="240" w:lineRule="auto"/>
              <w:ind w:left="-63" w:leftChars="-30" w:right="-63" w:rightChars="-30"/>
              <w:jc w:val="center"/>
              <w:textAlignment w:val="auto"/>
              <w:rPr>
                <w:rFonts w:hint="default" w:ascii="Times New Roman" w:hAnsi="Times New Roman" w:eastAsia="宋体" w:cs="Times New Roman"/>
                <w:caps w:val="0"/>
                <w:color w:val="auto"/>
                <w:spacing w:val="0"/>
                <w:sz w:val="21"/>
                <w:szCs w:val="21"/>
                <w:highlight w:val="none"/>
                <w:lang w:eastAsia="zh-CN"/>
              </w:rPr>
            </w:pPr>
            <w:r>
              <w:rPr>
                <w:rFonts w:hint="default" w:ascii="Times New Roman" w:hAnsi="Times New Roman" w:eastAsia="宋体" w:cs="Times New Roman"/>
                <w:caps w:val="0"/>
                <w:color w:val="auto"/>
                <w:spacing w:val="0"/>
                <w:sz w:val="21"/>
                <w:szCs w:val="21"/>
                <w:highlight w:val="none"/>
                <w:lang w:eastAsia="zh-CN"/>
              </w:rPr>
              <w:t>选用塔型</w:t>
            </w:r>
          </w:p>
        </w:tc>
        <w:tc>
          <w:tcPr>
            <w:tcW w:w="1461" w:type="pct"/>
            <w:noWrap w:val="0"/>
            <w:vAlign w:val="center"/>
          </w:tcPr>
          <w:p w14:paraId="63E5D802">
            <w:pPr>
              <w:pStyle w:val="2"/>
              <w:keepNext w:val="0"/>
              <w:keepLines w:val="0"/>
              <w:pageBreakBefore w:val="0"/>
              <w:kinsoku/>
              <w:wordWrap/>
              <w:overflowPunct/>
              <w:topLinePunct w:val="0"/>
              <w:autoSpaceDE/>
              <w:autoSpaceDN/>
              <w:bidi w:val="0"/>
              <w:adjustRightInd/>
              <w:spacing w:before="0" w:after="0" w:line="240" w:lineRule="auto"/>
              <w:ind w:right="0"/>
              <w:jc w:val="center"/>
              <w:textAlignment w:val="auto"/>
              <w:rPr>
                <w:rFonts w:hint="default" w:ascii="Times New Roman" w:hAnsi="Times New Roman" w:eastAsia="宋体" w:cs="Times New Roman"/>
                <w:b/>
                <w:bCs/>
                <w:caps w:val="0"/>
                <w:color w:val="auto"/>
                <w:spacing w:val="0"/>
                <w:sz w:val="21"/>
                <w:szCs w:val="21"/>
                <w:lang w:val="en-US" w:eastAsia="zh-CN"/>
              </w:rPr>
            </w:pPr>
            <w:r>
              <w:rPr>
                <w:rFonts w:hint="default" w:ascii="Times New Roman" w:hAnsi="Times New Roman" w:eastAsia="宋体" w:cs="Times New Roman"/>
                <w:b/>
                <w:bCs/>
                <w:caps w:val="0"/>
                <w:color w:val="auto"/>
                <w:spacing w:val="0"/>
                <w:sz w:val="21"/>
                <w:szCs w:val="21"/>
                <w:lang w:val="en-US" w:eastAsia="zh-CN"/>
              </w:rPr>
              <w:t>2D1R7-J2</w:t>
            </w:r>
          </w:p>
          <w:p w14:paraId="7488105C">
            <w:pPr>
              <w:pStyle w:val="26"/>
              <w:rPr>
                <w:rFonts w:hint="default" w:ascii="Times New Roman" w:hAnsi="Times New Roman" w:eastAsia="宋体" w:cs="Times New Roman"/>
                <w:color w:val="auto"/>
                <w:lang w:val="en-US" w:eastAsia="zh-CN"/>
              </w:rPr>
            </w:pPr>
            <w:bookmarkStart w:id="174" w:name="_Toc11203"/>
            <w:r>
              <w:rPr>
                <w:rFonts w:hint="default" w:ascii="Times New Roman" w:hAnsi="Times New Roman" w:eastAsia="宋体" w:cs="Times New Roman"/>
                <w:color w:val="auto"/>
              </w:rPr>
              <w:drawing>
                <wp:inline distT="0" distB="0" distL="114300" distR="114300">
                  <wp:extent cx="2357755" cy="1672590"/>
                  <wp:effectExtent l="0" t="0" r="4445" b="38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59"/>
                          <a:stretch>
                            <a:fillRect/>
                          </a:stretch>
                        </pic:blipFill>
                        <pic:spPr>
                          <a:xfrm>
                            <a:off x="0" y="0"/>
                            <a:ext cx="2357755" cy="1672590"/>
                          </a:xfrm>
                          <a:prstGeom prst="rect">
                            <a:avLst/>
                          </a:prstGeom>
                          <a:noFill/>
                          <a:ln>
                            <a:noFill/>
                          </a:ln>
                        </pic:spPr>
                      </pic:pic>
                    </a:graphicData>
                  </a:graphic>
                </wp:inline>
              </w:drawing>
            </w:r>
            <w:bookmarkEnd w:id="174"/>
          </w:p>
        </w:tc>
        <w:tc>
          <w:tcPr>
            <w:tcW w:w="2422" w:type="pct"/>
            <w:gridSpan w:val="2"/>
            <w:noWrap w:val="0"/>
            <w:vAlign w:val="center"/>
          </w:tcPr>
          <w:p w14:paraId="36488184">
            <w:pPr>
              <w:pStyle w:val="26"/>
              <w:keepNext w:val="0"/>
              <w:keepLines w:val="0"/>
              <w:pageBreakBefore w:val="0"/>
              <w:kinsoku/>
              <w:wordWrap/>
              <w:overflowPunct/>
              <w:topLinePunct w:val="0"/>
              <w:autoSpaceDE/>
              <w:autoSpaceDN/>
              <w:bidi w:val="0"/>
              <w:adjustRightInd/>
              <w:spacing w:line="240" w:lineRule="auto"/>
              <w:ind w:right="0"/>
              <w:textAlignment w:val="auto"/>
              <w:rPr>
                <w:rFonts w:hint="default" w:ascii="Times New Roman" w:hAnsi="Times New Roman" w:eastAsia="宋体" w:cs="Times New Roman"/>
                <w:caps w:val="0"/>
                <w:color w:val="auto"/>
                <w:spacing w:val="0"/>
                <w:sz w:val="21"/>
                <w:szCs w:val="21"/>
                <w:lang w:val="en-US" w:eastAsia="zh-CN"/>
              </w:rPr>
            </w:pPr>
            <w:bookmarkStart w:id="175" w:name="_Toc31230"/>
            <w:r>
              <w:rPr>
                <w:rFonts w:hint="default" w:ascii="Times New Roman" w:hAnsi="Times New Roman" w:eastAsia="宋体" w:cs="Times New Roman"/>
                <w:caps w:val="0"/>
                <w:color w:val="auto"/>
                <w:spacing w:val="0"/>
                <w:sz w:val="21"/>
                <w:szCs w:val="21"/>
                <w:lang w:val="en-US" w:eastAsia="zh-CN"/>
              </w:rPr>
              <w:t>2D1R8-JB3</w:t>
            </w:r>
            <w:bookmarkEnd w:id="175"/>
          </w:p>
          <w:p w14:paraId="237FB3ED">
            <w:pPr>
              <w:pStyle w:val="26"/>
              <w:keepNext w:val="0"/>
              <w:keepLines w:val="0"/>
              <w:pageBreakBefore w:val="0"/>
              <w:kinsoku/>
              <w:wordWrap/>
              <w:overflowPunct/>
              <w:topLinePunct w:val="0"/>
              <w:autoSpaceDE/>
              <w:autoSpaceDN/>
              <w:bidi w:val="0"/>
              <w:adjustRightInd/>
              <w:spacing w:line="240" w:lineRule="auto"/>
              <w:ind w:right="0"/>
              <w:textAlignment w:val="auto"/>
              <w:rPr>
                <w:rFonts w:hint="default" w:ascii="Times New Roman" w:hAnsi="Times New Roman" w:eastAsia="宋体" w:cs="Times New Roman"/>
                <w:caps w:val="0"/>
                <w:color w:val="auto"/>
                <w:spacing w:val="0"/>
                <w:sz w:val="21"/>
                <w:szCs w:val="21"/>
                <w:lang w:val="en-US" w:eastAsia="zh-CN"/>
              </w:rPr>
            </w:pPr>
            <w:bookmarkStart w:id="176" w:name="_Toc4008"/>
            <w:r>
              <w:rPr>
                <w:rFonts w:hint="default" w:ascii="Times New Roman" w:hAnsi="Times New Roman" w:eastAsia="宋体" w:cs="Times New Roman"/>
                <w:color w:val="auto"/>
              </w:rPr>
              <w:drawing>
                <wp:inline distT="0" distB="0" distL="114300" distR="114300">
                  <wp:extent cx="3040380" cy="1764030"/>
                  <wp:effectExtent l="0" t="0" r="7620" b="762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60"/>
                          <a:srcRect t="6340" b="10529"/>
                          <a:stretch>
                            <a:fillRect/>
                          </a:stretch>
                        </pic:blipFill>
                        <pic:spPr>
                          <a:xfrm>
                            <a:off x="0" y="0"/>
                            <a:ext cx="3040380" cy="1764030"/>
                          </a:xfrm>
                          <a:prstGeom prst="rect">
                            <a:avLst/>
                          </a:prstGeom>
                          <a:noFill/>
                          <a:ln>
                            <a:noFill/>
                          </a:ln>
                        </pic:spPr>
                      </pic:pic>
                    </a:graphicData>
                  </a:graphic>
                </wp:inline>
              </w:drawing>
            </w:r>
            <w:bookmarkEnd w:id="176"/>
          </w:p>
        </w:tc>
      </w:tr>
      <w:tr w14:paraId="7EEE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23" w:hRule="atLeast"/>
        </w:trPr>
        <w:tc>
          <w:tcPr>
            <w:tcW w:w="4997" w:type="pct"/>
            <w:gridSpan w:val="5"/>
            <w:noWrap w:val="0"/>
            <w:vAlign w:val="center"/>
          </w:tcPr>
          <w:p w14:paraId="355D1C0F">
            <w:pPr>
              <w:pStyle w:val="85"/>
              <w:keepNext w:val="0"/>
              <w:keepLines w:val="0"/>
              <w:pageBreakBefore w:val="0"/>
              <w:kinsoku/>
              <w:wordWrap/>
              <w:overflowPunct/>
              <w:topLinePunct w:val="0"/>
              <w:autoSpaceDE/>
              <w:autoSpaceDN/>
              <w:bidi w:val="0"/>
              <w:spacing w:line="240" w:lineRule="auto"/>
              <w:ind w:left="0" w:leftChars="0" w:firstLine="0" w:firstLineChars="0"/>
              <w:jc w:val="left"/>
              <w:textAlignment w:val="auto"/>
              <w:rPr>
                <w:rFonts w:hint="default" w:ascii="Times New Roman" w:hAnsi="Times New Roman" w:eastAsia="宋体" w:cs="Times New Roman"/>
                <w:b/>
                <w:bCs/>
                <w:caps w:val="0"/>
                <w:color w:val="auto"/>
                <w:spacing w:val="0"/>
                <w:sz w:val="21"/>
                <w:szCs w:val="21"/>
                <w:highlight w:val="none"/>
                <w:lang w:eastAsia="zh-CN"/>
              </w:rPr>
            </w:pPr>
            <w:r>
              <w:rPr>
                <w:rFonts w:hint="default" w:ascii="Times New Roman" w:hAnsi="Times New Roman" w:eastAsia="宋体" w:cs="Times New Roman"/>
                <w:b/>
                <w:bCs/>
                <w:caps w:val="0"/>
                <w:color w:val="auto"/>
                <w:spacing w:val="0"/>
                <w:sz w:val="21"/>
                <w:szCs w:val="21"/>
                <w:highlight w:val="none"/>
              </w:rPr>
              <w:t>注：①</w:t>
            </w:r>
            <w:r>
              <w:rPr>
                <w:rFonts w:hint="default" w:ascii="Times New Roman" w:hAnsi="Times New Roman" w:eastAsia="宋体" w:cs="Times New Roman"/>
                <w:b/>
                <w:bCs/>
                <w:caps w:val="0"/>
                <w:color w:val="auto"/>
                <w:spacing w:val="0"/>
                <w:sz w:val="21"/>
                <w:szCs w:val="21"/>
                <w:highlight w:val="none"/>
                <w:lang w:val="en-US" w:eastAsia="zh-CN"/>
              </w:rPr>
              <w:t>h</w:t>
            </w:r>
            <w:r>
              <w:rPr>
                <w:rFonts w:hint="default" w:ascii="Times New Roman" w:hAnsi="Times New Roman" w:eastAsia="宋体" w:cs="Times New Roman"/>
                <w:b/>
                <w:bCs/>
                <w:caps w:val="0"/>
                <w:color w:val="auto"/>
                <w:spacing w:val="0"/>
                <w:sz w:val="21"/>
                <w:szCs w:val="21"/>
                <w:highlight w:val="none"/>
              </w:rPr>
              <w:t>为导线对地距离</w:t>
            </w:r>
            <w:r>
              <w:rPr>
                <w:rFonts w:hint="default" w:ascii="Times New Roman" w:hAnsi="Times New Roman" w:eastAsia="宋体" w:cs="Times New Roman"/>
                <w:b/>
                <w:bCs/>
                <w:caps w:val="0"/>
                <w:color w:val="auto"/>
                <w:spacing w:val="0"/>
                <w:sz w:val="21"/>
                <w:szCs w:val="21"/>
                <w:highlight w:val="none"/>
                <w:lang w:eastAsia="zh-CN"/>
              </w:rPr>
              <w:t>；</w:t>
            </w:r>
          </w:p>
          <w:p w14:paraId="29208770">
            <w:pPr>
              <w:keepNext w:val="0"/>
              <w:keepLines w:val="0"/>
              <w:pageBreakBefore w:val="0"/>
              <w:widowControl w:val="0"/>
              <w:kinsoku/>
              <w:wordWrap/>
              <w:overflowPunct/>
              <w:topLinePunct w:val="0"/>
              <w:autoSpaceDE/>
              <w:autoSpaceDN/>
              <w:bidi w:val="0"/>
              <w:adjustRightInd/>
              <w:snapToGrid/>
              <w:spacing w:line="240" w:lineRule="auto"/>
              <w:ind w:right="-63" w:rightChars="-30"/>
              <w:jc w:val="left"/>
              <w:textAlignment w:val="auto"/>
              <w:rPr>
                <w:rFonts w:hint="default" w:ascii="Times New Roman" w:hAnsi="Times New Roman" w:eastAsia="宋体" w:cs="Times New Roman"/>
                <w:b/>
                <w:bCs/>
                <w:caps w:val="0"/>
                <w:color w:val="auto"/>
                <w:spacing w:val="0"/>
                <w:sz w:val="21"/>
                <w:szCs w:val="21"/>
                <w:highlight w:val="none"/>
                <w:lang w:val="en-US" w:eastAsia="zh-CN"/>
              </w:rPr>
            </w:pPr>
            <w:r>
              <w:rPr>
                <w:rFonts w:hint="default" w:ascii="Times New Roman" w:hAnsi="Times New Roman" w:eastAsia="宋体" w:cs="Times New Roman"/>
                <w:b/>
                <w:bCs/>
                <w:caps w:val="0"/>
                <w:color w:val="auto"/>
                <w:spacing w:val="0"/>
                <w:sz w:val="21"/>
                <w:szCs w:val="21"/>
                <w:highlight w:val="none"/>
                <w:lang w:val="en-US" w:eastAsia="zh-CN"/>
              </w:rPr>
              <w:t xml:space="preserve">  </w:t>
            </w:r>
            <w:r>
              <w:rPr>
                <w:rFonts w:hint="default" w:ascii="Times New Roman" w:hAnsi="Times New Roman" w:eastAsia="宋体" w:cs="Times New Roman"/>
                <w:b/>
                <w:bCs/>
                <w:caps w:val="0"/>
                <w:color w:val="auto"/>
                <w:spacing w:val="0"/>
                <w:sz w:val="21"/>
                <w:szCs w:val="21"/>
                <w:highlight w:val="none"/>
                <w:lang w:eastAsia="zh-CN"/>
              </w:rPr>
              <w:t>②</w:t>
            </w:r>
            <w:r>
              <w:rPr>
                <w:rFonts w:hint="default" w:ascii="Times New Roman" w:hAnsi="Times New Roman" w:eastAsia="宋体" w:cs="Times New Roman"/>
                <w:b/>
                <w:bCs/>
                <w:caps w:val="0"/>
                <w:color w:val="auto"/>
                <w:spacing w:val="0"/>
                <w:sz w:val="21"/>
                <w:szCs w:val="21"/>
                <w:highlight w:val="none"/>
                <w:lang w:val="en-US" w:eastAsia="zh-CN"/>
              </w:rPr>
              <w:t>本次预测软件为南京晶森环境科技有限公司开发的</w:t>
            </w:r>
            <w:r>
              <w:rPr>
                <w:rFonts w:hint="default" w:ascii="Times New Roman" w:hAnsi="Times New Roman" w:eastAsia="宋体" w:cs="Times New Roman"/>
                <w:b/>
                <w:bCs/>
                <w:caps w:val="0"/>
                <w:color w:val="auto"/>
                <w:spacing w:val="0"/>
                <w:kern w:val="0"/>
                <w:sz w:val="21"/>
                <w:szCs w:val="21"/>
                <w:highlight w:val="none"/>
                <w:lang w:val="en-US" w:eastAsia="zh-CN" w:bidi="ar-SA"/>
              </w:rPr>
              <w:t>晶森EHL-电磁环境影响预测软件</w:t>
            </w:r>
            <w:r>
              <w:rPr>
                <w:rFonts w:hint="default" w:ascii="Times New Roman" w:hAnsi="Times New Roman" w:eastAsia="宋体" w:cs="Times New Roman"/>
                <w:b/>
                <w:bCs/>
                <w:caps w:val="0"/>
                <w:color w:val="auto"/>
                <w:spacing w:val="0"/>
                <w:sz w:val="21"/>
                <w:szCs w:val="21"/>
                <w:highlight w:val="none"/>
              </w:rPr>
              <w:t>。</w:t>
            </w:r>
          </w:p>
        </w:tc>
      </w:tr>
    </w:tbl>
    <w:p w14:paraId="197012E9">
      <w:pPr>
        <w:pStyle w:val="14"/>
        <w:rPr>
          <w:rFonts w:hint="default" w:ascii="Times New Roman" w:hAnsi="Times New Roman" w:eastAsia="宋体" w:cs="Times New Roman"/>
          <w:color w:val="auto"/>
          <w:sz w:val="24"/>
          <w:szCs w:val="32"/>
        </w:rPr>
        <w:sectPr>
          <w:pgSz w:w="16838" w:h="11906" w:orient="landscape"/>
          <w:pgMar w:top="907" w:right="1440" w:bottom="907" w:left="1440"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1ED6E1A0">
      <w:pPr>
        <w:widowControl/>
        <w:kinsoku w:val="0"/>
        <w:autoSpaceDE w:val="0"/>
        <w:autoSpaceDN w:val="0"/>
        <w:adjustRightInd w:val="0"/>
        <w:snapToGrid w:val="0"/>
        <w:spacing w:before="156" w:beforeLines="50" w:after="156" w:afterLines="50"/>
        <w:outlineLvl w:val="1"/>
        <w:rPr>
          <w:rFonts w:hint="default" w:ascii="Times New Roman" w:hAnsi="Times New Roman" w:eastAsia="宋体" w:cs="Times New Roman"/>
          <w:b/>
          <w:bCs/>
          <w:color w:val="auto"/>
          <w:spacing w:val="-1"/>
          <w:kern w:val="0"/>
          <w:sz w:val="28"/>
          <w:szCs w:val="28"/>
          <w:lang w:bidi="ar"/>
        </w:rPr>
      </w:pPr>
      <w:bookmarkStart w:id="177" w:name="_Toc7692"/>
      <w:r>
        <w:rPr>
          <w:rFonts w:hint="default" w:ascii="Times New Roman" w:hAnsi="Times New Roman" w:eastAsia="宋体" w:cs="Times New Roman"/>
          <w:b/>
          <w:bCs/>
          <w:color w:val="auto"/>
          <w:spacing w:val="-1"/>
          <w:kern w:val="0"/>
          <w:sz w:val="28"/>
          <w:szCs w:val="28"/>
          <w:lang w:bidi="ar"/>
        </w:rPr>
        <w:t>5.6预测结果及分析</w:t>
      </w:r>
      <w:bookmarkEnd w:id="177"/>
    </w:p>
    <w:p w14:paraId="349A6CA0">
      <w:pPr>
        <w:spacing w:line="360" w:lineRule="auto"/>
        <w:ind w:firstLine="480" w:firstLineChars="200"/>
        <w:rPr>
          <w:rFonts w:hint="default" w:ascii="Times New Roman" w:hAnsi="Times New Roman" w:eastAsia="宋体" w:cs="Times New Roman"/>
          <w:color w:val="auto"/>
          <w:sz w:val="24"/>
          <w:lang w:bidi="ar"/>
        </w:rPr>
      </w:pPr>
      <w:r>
        <w:rPr>
          <w:rFonts w:hint="default" w:ascii="Times New Roman" w:hAnsi="Times New Roman" w:eastAsia="宋体" w:cs="Times New Roman"/>
          <w:color w:val="auto"/>
          <w:sz w:val="24"/>
          <w:lang w:bidi="ar"/>
        </w:rPr>
        <w:t>以导线弧垂最大处铁塔中心的地面投影点为预测原点，至铁塔中心地面投影点外50m处，分别预测离地面1.5m处的工频电场、工频磁场。</w:t>
      </w:r>
    </w:p>
    <w:p w14:paraId="23460421">
      <w:pPr>
        <w:adjustRightInd w:val="0"/>
        <w:snapToGrid w:val="0"/>
        <w:spacing w:before="156" w:beforeLines="50" w:after="156" w:afterLines="50"/>
        <w:outlineLvl w:val="2"/>
        <w:rPr>
          <w:rFonts w:hint="default" w:ascii="Times New Roman" w:hAnsi="Times New Roman" w:eastAsia="宋体" w:cs="Times New Roman"/>
          <w:b/>
          <w:color w:val="auto"/>
          <w:sz w:val="24"/>
          <w:szCs w:val="20"/>
          <w:lang w:val="en-US" w:eastAsia="zh-CN" w:bidi="ar"/>
        </w:rPr>
      </w:pPr>
      <w:r>
        <w:rPr>
          <w:rFonts w:hint="default" w:ascii="Times New Roman" w:hAnsi="Times New Roman" w:eastAsia="宋体" w:cs="Times New Roman"/>
          <w:b/>
          <w:color w:val="auto"/>
          <w:sz w:val="24"/>
          <w:szCs w:val="20"/>
          <w:lang w:bidi="ar"/>
        </w:rPr>
        <w:t>5.6.1输电线路</w:t>
      </w:r>
      <w:r>
        <w:rPr>
          <w:rFonts w:hint="default" w:ascii="Times New Roman" w:hAnsi="Times New Roman" w:eastAsia="宋体" w:cs="Times New Roman"/>
          <w:b/>
          <w:color w:val="auto"/>
          <w:sz w:val="24"/>
          <w:szCs w:val="20"/>
          <w:lang w:val="en-US" w:eastAsia="zh-CN" w:bidi="ar"/>
        </w:rPr>
        <w:t xml:space="preserve"> </w:t>
      </w:r>
    </w:p>
    <w:p w14:paraId="50191CD6">
      <w:pPr>
        <w:keepNext w:val="0"/>
        <w:keepLines w:val="0"/>
        <w:pageBreakBefore w:val="0"/>
        <w:widowControl/>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bidi="ar"/>
        </w:rPr>
        <w:t>（1）</w:t>
      </w:r>
      <w:r>
        <w:rPr>
          <w:rFonts w:hint="default" w:ascii="Times New Roman" w:hAnsi="Times New Roman" w:eastAsia="宋体" w:cs="Times New Roman"/>
          <w:b/>
          <w:bCs/>
          <w:color w:val="auto"/>
          <w:sz w:val="24"/>
          <w:lang w:val="en-US" w:eastAsia="zh-CN" w:bidi="ar"/>
        </w:rPr>
        <w:t>三角排列</w:t>
      </w:r>
    </w:p>
    <w:p w14:paraId="29B534B3">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bidi="ar"/>
        </w:rPr>
      </w:pPr>
      <w:r>
        <w:rPr>
          <w:rFonts w:hint="default" w:ascii="Times New Roman" w:hAnsi="Times New Roman" w:eastAsia="宋体" w:cs="Times New Roman"/>
          <w:color w:val="auto"/>
          <w:sz w:val="24"/>
          <w:lang w:bidi="ar"/>
        </w:rPr>
        <w:t>1</w:t>
      </w:r>
      <w:r>
        <w:rPr>
          <w:rFonts w:hint="default"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2D1R7-J2</w:t>
      </w:r>
    </w:p>
    <w:p w14:paraId="6E741615">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bidi="ar"/>
        </w:rPr>
      </w:pPr>
      <w:r>
        <w:rPr>
          <w:rFonts w:hint="default" w:ascii="Times New Roman" w:hAnsi="Times New Roman" w:eastAsia="宋体" w:cs="Times New Roman"/>
          <w:color w:val="auto"/>
          <w:sz w:val="24"/>
          <w:lang w:bidi="ar"/>
        </w:rPr>
        <w:t>在塔型（2D1R7-J2）段导线最低允许高度分别取6m（非居民区）、</w:t>
      </w:r>
      <w:r>
        <w:rPr>
          <w:rFonts w:hint="default" w:ascii="Times New Roman" w:hAnsi="Times New Roman" w:eastAsia="宋体" w:cs="Times New Roman"/>
          <w:color w:val="auto"/>
          <w:sz w:val="24"/>
          <w:lang w:val="en-US" w:eastAsia="zh-CN" w:bidi="ar"/>
        </w:rPr>
        <w:t>7</w:t>
      </w:r>
      <w:r>
        <w:rPr>
          <w:rFonts w:hint="default" w:ascii="Times New Roman" w:hAnsi="Times New Roman" w:eastAsia="宋体" w:cs="Times New Roman"/>
          <w:color w:val="auto"/>
          <w:sz w:val="24"/>
          <w:lang w:bidi="ar"/>
        </w:rPr>
        <w:t>m</w:t>
      </w:r>
      <w:r>
        <w:rPr>
          <w:rFonts w:hint="default"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val="en-US" w:eastAsia="zh-CN" w:bidi="ar"/>
        </w:rPr>
        <w:t>居民区</w:t>
      </w:r>
      <w:r>
        <w:rPr>
          <w:rFonts w:hint="default"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下距地面1.5m高处工频电场强度、磁感应强度预测结果见表5-</w:t>
      </w:r>
      <w:r>
        <w:rPr>
          <w:rFonts w:hint="default" w:ascii="Times New Roman" w:hAnsi="Times New Roman" w:eastAsia="宋体" w:cs="Times New Roman"/>
          <w:color w:val="auto"/>
          <w:sz w:val="24"/>
          <w:lang w:val="en-US" w:eastAsia="zh-CN" w:bidi="ar"/>
        </w:rPr>
        <w:t>2</w:t>
      </w:r>
      <w:r>
        <w:rPr>
          <w:rFonts w:hint="default" w:ascii="Times New Roman" w:hAnsi="Times New Roman" w:eastAsia="宋体" w:cs="Times New Roman"/>
          <w:color w:val="auto"/>
          <w:sz w:val="24"/>
          <w:lang w:bidi="ar"/>
        </w:rPr>
        <w:t>。</w:t>
      </w:r>
    </w:p>
    <w:p w14:paraId="7680036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4"/>
          <w:szCs w:val="24"/>
        </w:rPr>
      </w:pPr>
      <w:bookmarkStart w:id="178" w:name="OLE_LINK2"/>
      <w:r>
        <w:rPr>
          <w:rFonts w:hint="default" w:ascii="Times New Roman" w:hAnsi="Times New Roman" w:eastAsia="宋体" w:cs="Times New Roman"/>
          <w:b/>
          <w:bCs/>
          <w:color w:val="auto"/>
          <w:sz w:val="24"/>
          <w:szCs w:val="24"/>
          <w:lang w:bidi="ar"/>
        </w:rPr>
        <w:t>表5-</w:t>
      </w:r>
      <w:r>
        <w:rPr>
          <w:rFonts w:hint="default" w:ascii="Times New Roman" w:hAnsi="Times New Roman" w:eastAsia="宋体" w:cs="Times New Roman"/>
          <w:b/>
          <w:bCs/>
          <w:color w:val="auto"/>
          <w:sz w:val="24"/>
          <w:szCs w:val="24"/>
          <w:lang w:val="en-US" w:eastAsia="zh-CN" w:bidi="ar"/>
        </w:rPr>
        <w:t>2</w:t>
      </w:r>
      <w:r>
        <w:rPr>
          <w:rFonts w:hint="default" w:ascii="Times New Roman" w:hAnsi="Times New Roman" w:eastAsia="宋体" w:cs="Times New Roman"/>
          <w:b/>
          <w:bCs/>
          <w:color w:val="auto"/>
          <w:sz w:val="24"/>
          <w:szCs w:val="24"/>
          <w:lang w:bidi="ar"/>
        </w:rPr>
        <w:t xml:space="preserve"> </w:t>
      </w:r>
      <w:r>
        <w:rPr>
          <w:rFonts w:hint="default" w:ascii="Times New Roman" w:hAnsi="Times New Roman" w:eastAsia="宋体" w:cs="Times New Roman"/>
          <w:b/>
          <w:bCs/>
          <w:color w:val="auto"/>
          <w:sz w:val="24"/>
          <w:szCs w:val="24"/>
          <w:lang w:val="en-US" w:eastAsia="zh-CN" w:bidi="ar"/>
        </w:rPr>
        <w:t xml:space="preserve"> </w:t>
      </w:r>
      <w:r>
        <w:rPr>
          <w:rFonts w:hint="default" w:ascii="Times New Roman" w:hAnsi="Times New Roman" w:eastAsia="宋体" w:cs="Times New Roman"/>
          <w:b/>
          <w:bCs/>
          <w:color w:val="auto"/>
          <w:sz w:val="24"/>
          <w:szCs w:val="24"/>
          <w:lang w:bidi="ar"/>
        </w:rPr>
        <w:t>线路工频电场强度</w:t>
      </w:r>
      <w:r>
        <w:rPr>
          <w:rFonts w:hint="default" w:ascii="Times New Roman" w:hAnsi="Times New Roman" w:eastAsia="宋体" w:cs="Times New Roman"/>
          <w:b/>
          <w:bCs/>
          <w:color w:val="auto"/>
          <w:sz w:val="24"/>
          <w:szCs w:val="24"/>
          <w:lang w:eastAsia="zh-CN" w:bidi="ar"/>
        </w:rPr>
        <w:t>、</w:t>
      </w:r>
      <w:r>
        <w:rPr>
          <w:rFonts w:hint="default" w:ascii="Times New Roman" w:hAnsi="Times New Roman" w:eastAsia="宋体" w:cs="Times New Roman"/>
          <w:b/>
          <w:bCs/>
          <w:color w:val="auto"/>
          <w:sz w:val="24"/>
          <w:szCs w:val="24"/>
          <w:lang w:val="en-US" w:eastAsia="zh-CN" w:bidi="ar"/>
        </w:rPr>
        <w:t>磁感应强度</w:t>
      </w:r>
      <w:r>
        <w:rPr>
          <w:rFonts w:hint="default" w:ascii="Times New Roman" w:hAnsi="Times New Roman" w:eastAsia="宋体" w:cs="Times New Roman"/>
          <w:b/>
          <w:bCs/>
          <w:color w:val="auto"/>
          <w:sz w:val="24"/>
          <w:szCs w:val="24"/>
          <w:lang w:bidi="ar"/>
        </w:rPr>
        <w:t>预测结果</w:t>
      </w:r>
    </w:p>
    <w:bookmarkEnd w:id="178"/>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6"/>
        <w:gridCol w:w="1123"/>
        <w:gridCol w:w="1233"/>
        <w:gridCol w:w="1074"/>
        <w:gridCol w:w="1075"/>
        <w:gridCol w:w="1216"/>
        <w:gridCol w:w="1219"/>
      </w:tblGrid>
      <w:tr w14:paraId="04494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12" w:type="dxa"/>
            <w:gridSpan w:val="3"/>
            <w:vAlign w:val="center"/>
          </w:tcPr>
          <w:p w14:paraId="28FB6F3A">
            <w:pPr>
              <w:adjustRightInd w:val="0"/>
              <w:snapToGrid w:val="0"/>
              <w:jc w:val="center"/>
              <w:rPr>
                <w:rFonts w:hint="default" w:ascii="Times New Roman" w:hAnsi="Times New Roman" w:eastAsia="宋体" w:cs="Times New Roman"/>
                <w:b/>
                <w:bCs/>
                <w:color w:val="auto"/>
                <w:sz w:val="21"/>
                <w:szCs w:val="21"/>
                <w:lang w:bidi="ar"/>
              </w:rPr>
            </w:pPr>
            <w:bookmarkStart w:id="179" w:name="OLE_LINK1"/>
            <w:r>
              <w:rPr>
                <w:rFonts w:hint="default" w:ascii="Times New Roman" w:hAnsi="Times New Roman" w:eastAsia="宋体" w:cs="Times New Roman"/>
                <w:b/>
                <w:bCs/>
                <w:color w:val="auto"/>
                <w:sz w:val="21"/>
                <w:szCs w:val="21"/>
                <w:lang w:bidi="ar"/>
              </w:rPr>
              <w:t>塔型</w:t>
            </w:r>
          </w:p>
        </w:tc>
        <w:tc>
          <w:tcPr>
            <w:tcW w:w="4584" w:type="dxa"/>
            <w:gridSpan w:val="4"/>
            <w:vAlign w:val="center"/>
          </w:tcPr>
          <w:p w14:paraId="421136AD">
            <w:pPr>
              <w:adjustRightInd w:val="0"/>
              <w:snapToGrid w:val="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2D1R7-J2</w:t>
            </w:r>
          </w:p>
        </w:tc>
      </w:tr>
      <w:tr w14:paraId="31D7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12" w:type="dxa"/>
            <w:gridSpan w:val="3"/>
            <w:vAlign w:val="center"/>
          </w:tcPr>
          <w:p w14:paraId="170DA3B3">
            <w:pPr>
              <w:adjustRightInd w:val="0"/>
              <w:snapToGrid w:val="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w:t>
            </w:r>
          </w:p>
        </w:tc>
        <w:tc>
          <w:tcPr>
            <w:tcW w:w="2149" w:type="dxa"/>
            <w:gridSpan w:val="2"/>
            <w:vAlign w:val="center"/>
          </w:tcPr>
          <w:p w14:paraId="63DE1131">
            <w:pPr>
              <w:adjustRightInd w:val="0"/>
              <w:snapToGrid w:val="0"/>
              <w:jc w:val="center"/>
              <w:rPr>
                <w:rFonts w:hint="default" w:ascii="Times New Roman" w:hAnsi="Times New Roman" w:eastAsia="宋体" w:cs="Times New Roman"/>
                <w:b/>
                <w:bCs/>
                <w:color w:val="auto"/>
                <w:sz w:val="21"/>
                <w:szCs w:val="21"/>
                <w:lang w:val="en-US" w:eastAsia="zh-CN" w:bidi="ar"/>
              </w:rPr>
            </w:pPr>
            <w:r>
              <w:rPr>
                <w:rFonts w:hint="default" w:ascii="Times New Roman" w:hAnsi="Times New Roman" w:eastAsia="宋体" w:cs="Times New Roman"/>
                <w:b/>
                <w:bCs/>
                <w:color w:val="auto"/>
                <w:sz w:val="21"/>
                <w:szCs w:val="21"/>
                <w:lang w:val="en-US" w:eastAsia="zh-CN" w:bidi="ar"/>
              </w:rPr>
              <w:t>工频电场E（kV/m）</w:t>
            </w:r>
          </w:p>
        </w:tc>
        <w:tc>
          <w:tcPr>
            <w:tcW w:w="2435" w:type="dxa"/>
            <w:gridSpan w:val="2"/>
            <w:vAlign w:val="center"/>
          </w:tcPr>
          <w:p w14:paraId="64F24993">
            <w:pPr>
              <w:adjustRightInd w:val="0"/>
              <w:snapToGrid w:val="0"/>
              <w:jc w:val="center"/>
              <w:rPr>
                <w:rFonts w:hint="default" w:ascii="Times New Roman" w:hAnsi="Times New Roman" w:eastAsia="宋体" w:cs="Times New Roman"/>
                <w:b/>
                <w:bCs/>
                <w:color w:val="auto"/>
                <w:sz w:val="21"/>
                <w:szCs w:val="21"/>
                <w:lang w:bidi="ar"/>
              </w:rPr>
            </w:pPr>
            <w:r>
              <w:rPr>
                <w:rFonts w:hint="default" w:ascii="Times New Roman" w:hAnsi="Times New Roman" w:eastAsia="宋体" w:cs="Times New Roman"/>
                <w:b/>
                <w:bCs/>
                <w:color w:val="auto"/>
                <w:sz w:val="21"/>
                <w:szCs w:val="21"/>
                <w:lang w:bidi="ar"/>
              </w:rPr>
              <w:t>磁感应强度B（μT）</w:t>
            </w:r>
          </w:p>
        </w:tc>
      </w:tr>
      <w:tr w14:paraId="1EEDD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12" w:type="dxa"/>
            <w:gridSpan w:val="3"/>
            <w:shd w:val="clear" w:color="auto" w:fill="auto"/>
            <w:vAlign w:val="center"/>
          </w:tcPr>
          <w:p w14:paraId="74F3AFCC">
            <w:pPr>
              <w:adjustRightInd w:val="0"/>
              <w:snapToGrid w:val="0"/>
              <w:jc w:val="center"/>
              <w:rPr>
                <w:rFonts w:hint="default" w:ascii="Times New Roman" w:hAnsi="Times New Roman" w:eastAsia="宋体" w:cs="Times New Roman"/>
                <w:b/>
                <w:bCs/>
                <w:color w:val="auto"/>
                <w:sz w:val="21"/>
                <w:szCs w:val="21"/>
                <w:lang w:bidi="ar"/>
              </w:rPr>
            </w:pPr>
            <w:r>
              <w:rPr>
                <w:rFonts w:hint="default" w:ascii="Times New Roman" w:hAnsi="Times New Roman" w:eastAsia="宋体" w:cs="Times New Roman"/>
                <w:b/>
                <w:bCs/>
                <w:color w:val="auto"/>
                <w:sz w:val="21"/>
                <w:szCs w:val="21"/>
                <w:lang w:bidi="ar"/>
              </w:rPr>
              <w:t>最低导线高度L（m）</w:t>
            </w:r>
          </w:p>
        </w:tc>
        <w:tc>
          <w:tcPr>
            <w:tcW w:w="1074" w:type="dxa"/>
            <w:shd w:val="clear" w:color="auto" w:fill="auto"/>
            <w:vAlign w:val="center"/>
          </w:tcPr>
          <w:p w14:paraId="7A9DB43B">
            <w:pPr>
              <w:adjustRightInd w:val="0"/>
              <w:snapToGrid w:val="0"/>
              <w:jc w:val="center"/>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 w:val="21"/>
                <w:szCs w:val="21"/>
                <w:lang w:bidi="ar"/>
              </w:rPr>
              <w:t>6（非居民区）</w:t>
            </w:r>
          </w:p>
        </w:tc>
        <w:tc>
          <w:tcPr>
            <w:tcW w:w="1075" w:type="dxa"/>
            <w:shd w:val="clear" w:color="auto" w:fill="auto"/>
            <w:vAlign w:val="center"/>
          </w:tcPr>
          <w:p w14:paraId="3BA8C9FA">
            <w:pPr>
              <w:adjustRightInd w:val="0"/>
              <w:snapToGrid w:val="0"/>
              <w:jc w:val="center"/>
              <w:rPr>
                <w:rFonts w:hint="default" w:ascii="Times New Roman" w:hAnsi="Times New Roman" w:eastAsia="宋体" w:cs="Times New Roman"/>
                <w:b/>
                <w:bCs/>
                <w:color w:val="auto"/>
                <w:kern w:val="2"/>
                <w:sz w:val="21"/>
                <w:szCs w:val="21"/>
                <w:lang w:val="en-US" w:eastAsia="zh-CN" w:bidi="ar"/>
              </w:rPr>
            </w:pPr>
            <w:r>
              <w:rPr>
                <w:rFonts w:hint="default" w:ascii="Times New Roman" w:hAnsi="Times New Roman" w:eastAsia="宋体" w:cs="Times New Roman"/>
                <w:b/>
                <w:bCs/>
                <w:color w:val="auto"/>
                <w:sz w:val="21"/>
                <w:szCs w:val="21"/>
                <w:lang w:val="en-US" w:eastAsia="zh-CN" w:bidi="ar"/>
              </w:rPr>
              <w:t>7（居民区）</w:t>
            </w:r>
          </w:p>
        </w:tc>
        <w:tc>
          <w:tcPr>
            <w:tcW w:w="1216" w:type="dxa"/>
            <w:shd w:val="clear" w:color="auto" w:fill="auto"/>
            <w:vAlign w:val="center"/>
          </w:tcPr>
          <w:p w14:paraId="760BBD80">
            <w:pPr>
              <w:adjustRightInd w:val="0"/>
              <w:snapToGrid w:val="0"/>
              <w:jc w:val="center"/>
              <w:rPr>
                <w:rFonts w:hint="default" w:ascii="Times New Roman" w:hAnsi="Times New Roman" w:eastAsia="宋体" w:cs="Times New Roman"/>
                <w:b/>
                <w:bCs/>
                <w:color w:val="auto"/>
                <w:kern w:val="2"/>
                <w:sz w:val="21"/>
                <w:szCs w:val="21"/>
                <w:lang w:val="en-US" w:eastAsia="zh-CN" w:bidi="ar"/>
              </w:rPr>
            </w:pPr>
            <w:r>
              <w:rPr>
                <w:rFonts w:hint="default" w:ascii="Times New Roman" w:hAnsi="Times New Roman" w:eastAsia="宋体" w:cs="Times New Roman"/>
                <w:b/>
                <w:bCs/>
                <w:color w:val="auto"/>
                <w:sz w:val="21"/>
                <w:szCs w:val="21"/>
                <w:lang w:bidi="ar"/>
              </w:rPr>
              <w:t>6（非居民区）</w:t>
            </w:r>
          </w:p>
        </w:tc>
        <w:tc>
          <w:tcPr>
            <w:tcW w:w="1219" w:type="dxa"/>
            <w:shd w:val="clear" w:color="auto" w:fill="auto"/>
            <w:vAlign w:val="center"/>
          </w:tcPr>
          <w:p w14:paraId="58B9E678">
            <w:pPr>
              <w:adjustRightInd w:val="0"/>
              <w:snapToGrid w:val="0"/>
              <w:jc w:val="center"/>
              <w:rPr>
                <w:rFonts w:hint="default" w:ascii="Times New Roman" w:hAnsi="Times New Roman" w:eastAsia="宋体" w:cs="Times New Roman"/>
                <w:b/>
                <w:bCs/>
                <w:color w:val="auto"/>
                <w:sz w:val="21"/>
                <w:szCs w:val="21"/>
                <w:lang w:bidi="ar"/>
              </w:rPr>
            </w:pPr>
            <w:r>
              <w:rPr>
                <w:rFonts w:hint="default" w:ascii="Times New Roman" w:hAnsi="Times New Roman" w:eastAsia="宋体" w:cs="Times New Roman"/>
                <w:b/>
                <w:bCs/>
                <w:color w:val="auto"/>
                <w:sz w:val="21"/>
                <w:szCs w:val="21"/>
                <w:lang w:val="en-US" w:eastAsia="zh-CN" w:bidi="ar"/>
              </w:rPr>
              <w:t>7（居民区）</w:t>
            </w:r>
          </w:p>
        </w:tc>
      </w:tr>
      <w:tr w14:paraId="5FDBF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4BE1EA6C">
            <w:pPr>
              <w:adjustRightInd w:val="0"/>
              <w:snapToGrid w:val="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bidi="ar"/>
              </w:rPr>
              <w:t>距线路中心距离（m）</w:t>
            </w:r>
          </w:p>
        </w:tc>
        <w:tc>
          <w:tcPr>
            <w:tcW w:w="2356" w:type="dxa"/>
            <w:gridSpan w:val="2"/>
            <w:vAlign w:val="center"/>
          </w:tcPr>
          <w:p w14:paraId="64A6F711">
            <w:pPr>
              <w:adjustRightInd w:val="0"/>
              <w:snapToGrid w:val="0"/>
              <w:jc w:val="center"/>
              <w:rPr>
                <w:rFonts w:hint="default" w:ascii="Times New Roman" w:hAnsi="Times New Roman" w:eastAsia="宋体" w:cs="Times New Roman"/>
                <w:b/>
                <w:bCs/>
                <w:color w:val="auto"/>
                <w:sz w:val="21"/>
                <w:szCs w:val="21"/>
                <w:lang w:bidi="ar"/>
              </w:rPr>
            </w:pPr>
            <w:r>
              <w:rPr>
                <w:rFonts w:hint="default" w:ascii="Times New Roman" w:hAnsi="Times New Roman" w:eastAsia="宋体" w:cs="Times New Roman"/>
                <w:b/>
                <w:bCs/>
                <w:color w:val="auto"/>
                <w:szCs w:val="21"/>
                <w:highlight w:val="none"/>
                <w:lang w:val="en-US" w:eastAsia="zh-CN"/>
              </w:rPr>
              <w:t>距边导线距离（m）</w:t>
            </w:r>
          </w:p>
        </w:tc>
        <w:tc>
          <w:tcPr>
            <w:tcW w:w="1074" w:type="dxa"/>
            <w:vAlign w:val="center"/>
          </w:tcPr>
          <w:p w14:paraId="34EAFF29">
            <w:pPr>
              <w:adjustRightInd w:val="0"/>
              <w:snapToGrid w:val="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bidi="ar"/>
              </w:rPr>
              <w:t>离地1.5</w:t>
            </w:r>
          </w:p>
        </w:tc>
        <w:tc>
          <w:tcPr>
            <w:tcW w:w="1075" w:type="dxa"/>
            <w:vAlign w:val="center"/>
          </w:tcPr>
          <w:p w14:paraId="7BA0EBA2">
            <w:pPr>
              <w:adjustRightInd w:val="0"/>
              <w:snapToGrid w:val="0"/>
              <w:jc w:val="center"/>
              <w:rPr>
                <w:rFonts w:hint="default" w:ascii="Times New Roman" w:hAnsi="Times New Roman" w:eastAsia="宋体" w:cs="Times New Roman"/>
                <w:b/>
                <w:bCs/>
                <w:color w:val="auto"/>
                <w:sz w:val="21"/>
                <w:szCs w:val="21"/>
                <w:lang w:bidi="ar"/>
              </w:rPr>
            </w:pPr>
            <w:r>
              <w:rPr>
                <w:rFonts w:hint="default" w:ascii="Times New Roman" w:hAnsi="Times New Roman" w:eastAsia="宋体" w:cs="Times New Roman"/>
                <w:b/>
                <w:bCs/>
                <w:color w:val="auto"/>
                <w:sz w:val="21"/>
                <w:szCs w:val="21"/>
                <w:lang w:bidi="ar"/>
              </w:rPr>
              <w:t>离地1.5</w:t>
            </w:r>
          </w:p>
        </w:tc>
        <w:tc>
          <w:tcPr>
            <w:tcW w:w="1216" w:type="dxa"/>
            <w:vAlign w:val="center"/>
          </w:tcPr>
          <w:p w14:paraId="30C59F59">
            <w:pPr>
              <w:adjustRightInd w:val="0"/>
              <w:snapToGrid w:val="0"/>
              <w:jc w:val="center"/>
              <w:rPr>
                <w:rFonts w:hint="default" w:ascii="Times New Roman" w:hAnsi="Times New Roman" w:eastAsia="宋体" w:cs="Times New Roman"/>
                <w:b/>
                <w:bCs/>
                <w:color w:val="auto"/>
                <w:sz w:val="21"/>
                <w:szCs w:val="21"/>
                <w:lang w:bidi="ar"/>
              </w:rPr>
            </w:pPr>
            <w:r>
              <w:rPr>
                <w:rFonts w:hint="default" w:ascii="Times New Roman" w:hAnsi="Times New Roman" w:eastAsia="宋体" w:cs="Times New Roman"/>
                <w:b/>
                <w:bCs/>
                <w:color w:val="auto"/>
                <w:sz w:val="21"/>
                <w:szCs w:val="21"/>
                <w:lang w:bidi="ar"/>
              </w:rPr>
              <w:t>离地1.5</w:t>
            </w:r>
          </w:p>
        </w:tc>
        <w:tc>
          <w:tcPr>
            <w:tcW w:w="1219" w:type="dxa"/>
            <w:vAlign w:val="center"/>
          </w:tcPr>
          <w:p w14:paraId="1D20901E">
            <w:pPr>
              <w:adjustRightInd w:val="0"/>
              <w:snapToGrid w:val="0"/>
              <w:jc w:val="center"/>
              <w:rPr>
                <w:rFonts w:hint="default" w:ascii="Times New Roman" w:hAnsi="Times New Roman" w:eastAsia="宋体" w:cs="Times New Roman"/>
                <w:b/>
                <w:bCs/>
                <w:color w:val="auto"/>
                <w:sz w:val="21"/>
                <w:szCs w:val="21"/>
                <w:lang w:bidi="ar"/>
              </w:rPr>
            </w:pPr>
            <w:r>
              <w:rPr>
                <w:rFonts w:hint="default" w:ascii="Times New Roman" w:hAnsi="Times New Roman" w:eastAsia="宋体" w:cs="Times New Roman"/>
                <w:b/>
                <w:bCs/>
                <w:color w:val="auto"/>
                <w:sz w:val="21"/>
                <w:szCs w:val="21"/>
                <w:lang w:bidi="ar"/>
              </w:rPr>
              <w:t>离地1.5</w:t>
            </w:r>
          </w:p>
        </w:tc>
      </w:tr>
      <w:tr w14:paraId="25CD2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7BA73A89">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-50</w:t>
            </w:r>
          </w:p>
        </w:tc>
        <w:tc>
          <w:tcPr>
            <w:tcW w:w="1123" w:type="dxa"/>
            <w:vMerge w:val="restart"/>
            <w:vAlign w:val="center"/>
          </w:tcPr>
          <w:p w14:paraId="7CF9ADFF">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边导线内外</w:t>
            </w:r>
          </w:p>
        </w:tc>
        <w:tc>
          <w:tcPr>
            <w:tcW w:w="1233" w:type="dxa"/>
            <w:vAlign w:val="center"/>
          </w:tcPr>
          <w:p w14:paraId="47C2729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-43</w:t>
            </w:r>
          </w:p>
        </w:tc>
        <w:tc>
          <w:tcPr>
            <w:tcW w:w="1074" w:type="dxa"/>
            <w:vAlign w:val="center"/>
          </w:tcPr>
          <w:p w14:paraId="597D9B78">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0.0361</w:t>
            </w:r>
          </w:p>
        </w:tc>
        <w:tc>
          <w:tcPr>
            <w:tcW w:w="1075" w:type="dxa"/>
            <w:vAlign w:val="center"/>
          </w:tcPr>
          <w:p w14:paraId="35C44459">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0.0372</w:t>
            </w:r>
          </w:p>
        </w:tc>
        <w:tc>
          <w:tcPr>
            <w:tcW w:w="1216" w:type="dxa"/>
            <w:vAlign w:val="center"/>
          </w:tcPr>
          <w:p w14:paraId="29634F3C">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0.6691</w:t>
            </w:r>
          </w:p>
        </w:tc>
        <w:tc>
          <w:tcPr>
            <w:tcW w:w="1219" w:type="dxa"/>
            <w:vAlign w:val="center"/>
          </w:tcPr>
          <w:p w14:paraId="7DAAFFFF">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0.6657</w:t>
            </w:r>
          </w:p>
        </w:tc>
      </w:tr>
      <w:tr w14:paraId="4BF40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225BA389">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-45</w:t>
            </w:r>
          </w:p>
        </w:tc>
        <w:tc>
          <w:tcPr>
            <w:tcW w:w="1123" w:type="dxa"/>
            <w:vMerge w:val="continue"/>
            <w:vAlign w:val="center"/>
          </w:tcPr>
          <w:p w14:paraId="4AE91AD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65A53D5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-38</w:t>
            </w:r>
          </w:p>
        </w:tc>
        <w:tc>
          <w:tcPr>
            <w:tcW w:w="1074" w:type="dxa"/>
            <w:vAlign w:val="center"/>
          </w:tcPr>
          <w:p w14:paraId="309D8BA6">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0.0455</w:t>
            </w:r>
          </w:p>
        </w:tc>
        <w:tc>
          <w:tcPr>
            <w:tcW w:w="1075" w:type="dxa"/>
            <w:vAlign w:val="center"/>
          </w:tcPr>
          <w:p w14:paraId="2E948C47">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0.0472</w:t>
            </w:r>
          </w:p>
        </w:tc>
        <w:tc>
          <w:tcPr>
            <w:tcW w:w="1216" w:type="dxa"/>
            <w:vAlign w:val="center"/>
          </w:tcPr>
          <w:p w14:paraId="6A408BB6">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0.8292</w:t>
            </w:r>
          </w:p>
        </w:tc>
        <w:tc>
          <w:tcPr>
            <w:tcW w:w="1219" w:type="dxa"/>
            <w:vAlign w:val="center"/>
          </w:tcPr>
          <w:p w14:paraId="6809E9BE">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0.824</w:t>
            </w:r>
          </w:p>
        </w:tc>
      </w:tr>
      <w:tr w14:paraId="46C92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5263F200">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-40</w:t>
            </w:r>
          </w:p>
        </w:tc>
        <w:tc>
          <w:tcPr>
            <w:tcW w:w="1123" w:type="dxa"/>
            <w:vMerge w:val="continue"/>
            <w:vAlign w:val="center"/>
          </w:tcPr>
          <w:p w14:paraId="2EA2D89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3726DF2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-33</w:t>
            </w:r>
          </w:p>
        </w:tc>
        <w:tc>
          <w:tcPr>
            <w:tcW w:w="1074" w:type="dxa"/>
            <w:vAlign w:val="center"/>
          </w:tcPr>
          <w:p w14:paraId="5F47CEC7">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0.0594</w:t>
            </w:r>
          </w:p>
        </w:tc>
        <w:tc>
          <w:tcPr>
            <w:tcW w:w="1075" w:type="dxa"/>
            <w:vAlign w:val="center"/>
          </w:tcPr>
          <w:p w14:paraId="641C589A">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0.0623</w:t>
            </w:r>
          </w:p>
        </w:tc>
        <w:tc>
          <w:tcPr>
            <w:tcW w:w="1216" w:type="dxa"/>
            <w:vAlign w:val="center"/>
          </w:tcPr>
          <w:p w14:paraId="0A3C49D9">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1.0547</w:t>
            </w:r>
          </w:p>
        </w:tc>
        <w:tc>
          <w:tcPr>
            <w:tcW w:w="1219" w:type="dxa"/>
            <w:vAlign w:val="center"/>
          </w:tcPr>
          <w:p w14:paraId="3A4B99D4">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1.0462</w:t>
            </w:r>
          </w:p>
        </w:tc>
      </w:tr>
      <w:tr w14:paraId="590ED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56" w:type="dxa"/>
            <w:vAlign w:val="center"/>
          </w:tcPr>
          <w:p w14:paraId="5415BE96">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-35</w:t>
            </w:r>
          </w:p>
        </w:tc>
        <w:tc>
          <w:tcPr>
            <w:tcW w:w="1123" w:type="dxa"/>
            <w:vMerge w:val="continue"/>
            <w:vAlign w:val="center"/>
          </w:tcPr>
          <w:p w14:paraId="3A6BE1F6">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75593FD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-28</w:t>
            </w:r>
          </w:p>
        </w:tc>
        <w:tc>
          <w:tcPr>
            <w:tcW w:w="1074" w:type="dxa"/>
            <w:vAlign w:val="center"/>
          </w:tcPr>
          <w:p w14:paraId="613D5084">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0.0814</w:t>
            </w:r>
          </w:p>
        </w:tc>
        <w:tc>
          <w:tcPr>
            <w:tcW w:w="1075" w:type="dxa"/>
            <w:vAlign w:val="center"/>
          </w:tcPr>
          <w:p w14:paraId="4DE7B89D">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0.0866</w:t>
            </w:r>
          </w:p>
        </w:tc>
        <w:tc>
          <w:tcPr>
            <w:tcW w:w="1216" w:type="dxa"/>
            <w:vAlign w:val="center"/>
          </w:tcPr>
          <w:p w14:paraId="18AC4DFE">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1.3867</w:t>
            </w:r>
          </w:p>
        </w:tc>
        <w:tc>
          <w:tcPr>
            <w:tcW w:w="1219" w:type="dxa"/>
            <w:vAlign w:val="center"/>
          </w:tcPr>
          <w:p w14:paraId="70FA61BA">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1.3719</w:t>
            </w:r>
          </w:p>
        </w:tc>
      </w:tr>
      <w:tr w14:paraId="4BF0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51DDDC52">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-30</w:t>
            </w:r>
          </w:p>
        </w:tc>
        <w:tc>
          <w:tcPr>
            <w:tcW w:w="1123" w:type="dxa"/>
            <w:vMerge w:val="continue"/>
            <w:vAlign w:val="center"/>
          </w:tcPr>
          <w:p w14:paraId="1EC62EE6">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5F1754B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-23</w:t>
            </w:r>
          </w:p>
        </w:tc>
        <w:tc>
          <w:tcPr>
            <w:tcW w:w="1074" w:type="dxa"/>
            <w:vAlign w:val="center"/>
          </w:tcPr>
          <w:p w14:paraId="475A1D0A">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0.12</w:t>
            </w:r>
          </w:p>
        </w:tc>
        <w:tc>
          <w:tcPr>
            <w:tcW w:w="1075" w:type="dxa"/>
            <w:vAlign w:val="center"/>
          </w:tcPr>
          <w:p w14:paraId="0A5B7C9B">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0.1292</w:t>
            </w:r>
          </w:p>
        </w:tc>
        <w:tc>
          <w:tcPr>
            <w:tcW w:w="1216" w:type="dxa"/>
            <w:vAlign w:val="center"/>
          </w:tcPr>
          <w:p w14:paraId="4846BE0F">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1.9051</w:t>
            </w:r>
          </w:p>
        </w:tc>
        <w:tc>
          <w:tcPr>
            <w:tcW w:w="1219" w:type="dxa"/>
            <w:vAlign w:val="center"/>
          </w:tcPr>
          <w:p w14:paraId="435E54D3">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1.8769</w:t>
            </w:r>
          </w:p>
        </w:tc>
      </w:tr>
      <w:tr w14:paraId="33109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683C4CBA">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-25</w:t>
            </w:r>
          </w:p>
        </w:tc>
        <w:tc>
          <w:tcPr>
            <w:tcW w:w="1123" w:type="dxa"/>
            <w:vMerge w:val="continue"/>
            <w:vAlign w:val="center"/>
          </w:tcPr>
          <w:p w14:paraId="392A6474">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5888B73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-18</w:t>
            </w:r>
          </w:p>
        </w:tc>
        <w:tc>
          <w:tcPr>
            <w:tcW w:w="1074" w:type="dxa"/>
            <w:vAlign w:val="center"/>
          </w:tcPr>
          <w:p w14:paraId="6C587613">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0.1964</w:t>
            </w:r>
          </w:p>
        </w:tc>
        <w:tc>
          <w:tcPr>
            <w:tcW w:w="1075" w:type="dxa"/>
            <w:vAlign w:val="center"/>
          </w:tcPr>
          <w:p w14:paraId="62B162D9">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0.2128</w:t>
            </w:r>
          </w:p>
        </w:tc>
        <w:tc>
          <w:tcPr>
            <w:tcW w:w="1216" w:type="dxa"/>
            <w:vAlign w:val="center"/>
          </w:tcPr>
          <w:p w14:paraId="14B6D35D">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2.781</w:t>
            </w:r>
          </w:p>
        </w:tc>
        <w:tc>
          <w:tcPr>
            <w:tcW w:w="1219" w:type="dxa"/>
            <w:vAlign w:val="center"/>
          </w:tcPr>
          <w:p w14:paraId="376A1AB1">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2.7198</w:t>
            </w:r>
          </w:p>
        </w:tc>
      </w:tr>
      <w:tr w14:paraId="5FBF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38AC3961">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-20</w:t>
            </w:r>
          </w:p>
        </w:tc>
        <w:tc>
          <w:tcPr>
            <w:tcW w:w="1123" w:type="dxa"/>
            <w:vMerge w:val="continue"/>
            <w:vAlign w:val="center"/>
          </w:tcPr>
          <w:p w14:paraId="0D64090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1AE6986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-13</w:t>
            </w:r>
          </w:p>
        </w:tc>
        <w:tc>
          <w:tcPr>
            <w:tcW w:w="1074" w:type="dxa"/>
            <w:vAlign w:val="center"/>
          </w:tcPr>
          <w:p w14:paraId="42221515">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0.3749</w:t>
            </w:r>
          </w:p>
        </w:tc>
        <w:tc>
          <w:tcPr>
            <w:tcW w:w="1075" w:type="dxa"/>
            <w:vAlign w:val="center"/>
          </w:tcPr>
          <w:p w14:paraId="3E3C9B2A">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0.4004</w:t>
            </w:r>
          </w:p>
        </w:tc>
        <w:tc>
          <w:tcPr>
            <w:tcW w:w="1216" w:type="dxa"/>
            <w:vAlign w:val="center"/>
          </w:tcPr>
          <w:p w14:paraId="28941EC2">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4.4361</w:t>
            </w:r>
          </w:p>
        </w:tc>
        <w:tc>
          <w:tcPr>
            <w:tcW w:w="1219" w:type="dxa"/>
            <w:vAlign w:val="center"/>
          </w:tcPr>
          <w:p w14:paraId="61077CE3">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4.2754</w:t>
            </w:r>
          </w:p>
        </w:tc>
      </w:tr>
      <w:tr w14:paraId="420A1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0DCEB902">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-15</w:t>
            </w:r>
          </w:p>
        </w:tc>
        <w:tc>
          <w:tcPr>
            <w:tcW w:w="1123" w:type="dxa"/>
            <w:vMerge w:val="continue"/>
            <w:vAlign w:val="center"/>
          </w:tcPr>
          <w:p w14:paraId="191CCAD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48AE496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-8</w:t>
            </w:r>
          </w:p>
        </w:tc>
        <w:tc>
          <w:tcPr>
            <w:tcW w:w="1074" w:type="dxa"/>
            <w:vAlign w:val="center"/>
          </w:tcPr>
          <w:p w14:paraId="4E9C3248">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0.8729</w:t>
            </w:r>
          </w:p>
        </w:tc>
        <w:tc>
          <w:tcPr>
            <w:tcW w:w="1075" w:type="dxa"/>
            <w:vAlign w:val="center"/>
          </w:tcPr>
          <w:p w14:paraId="3DDD527D">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0.8748</w:t>
            </w:r>
          </w:p>
        </w:tc>
        <w:tc>
          <w:tcPr>
            <w:tcW w:w="1216" w:type="dxa"/>
            <w:vAlign w:val="center"/>
          </w:tcPr>
          <w:p w14:paraId="5968FFCD">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8.1127</w:t>
            </w:r>
          </w:p>
        </w:tc>
        <w:tc>
          <w:tcPr>
            <w:tcW w:w="1219" w:type="dxa"/>
            <w:vAlign w:val="center"/>
          </w:tcPr>
          <w:p w14:paraId="694138AF">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7.5443</w:t>
            </w:r>
          </w:p>
        </w:tc>
      </w:tr>
      <w:tr w14:paraId="32712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76CFEF05">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123" w:type="dxa"/>
            <w:vMerge w:val="continue"/>
            <w:vAlign w:val="center"/>
          </w:tcPr>
          <w:p w14:paraId="00FADB06">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594DDE3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-3</w:t>
            </w:r>
          </w:p>
        </w:tc>
        <w:tc>
          <w:tcPr>
            <w:tcW w:w="1074" w:type="dxa"/>
            <w:vAlign w:val="center"/>
          </w:tcPr>
          <w:p w14:paraId="22117B0B">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2.2555</w:t>
            </w:r>
          </w:p>
        </w:tc>
        <w:tc>
          <w:tcPr>
            <w:tcW w:w="1075" w:type="dxa"/>
            <w:vAlign w:val="center"/>
          </w:tcPr>
          <w:p w14:paraId="70805998">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1.9226</w:t>
            </w:r>
          </w:p>
        </w:tc>
        <w:tc>
          <w:tcPr>
            <w:tcW w:w="1216" w:type="dxa"/>
            <w:vAlign w:val="center"/>
          </w:tcPr>
          <w:p w14:paraId="359C1701">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17.5549</w:t>
            </w:r>
          </w:p>
        </w:tc>
        <w:tc>
          <w:tcPr>
            <w:tcW w:w="1219" w:type="dxa"/>
            <w:vAlign w:val="center"/>
          </w:tcPr>
          <w:p w14:paraId="28527717">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14.7647</w:t>
            </w:r>
          </w:p>
        </w:tc>
      </w:tr>
      <w:tr w14:paraId="601F5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183372E8">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-9</w:t>
            </w:r>
          </w:p>
        </w:tc>
        <w:tc>
          <w:tcPr>
            <w:tcW w:w="1123" w:type="dxa"/>
            <w:vMerge w:val="continue"/>
            <w:vAlign w:val="center"/>
          </w:tcPr>
          <w:p w14:paraId="39793C6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3FA6D1D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-2</w:t>
            </w:r>
          </w:p>
        </w:tc>
        <w:tc>
          <w:tcPr>
            <w:tcW w:w="1074" w:type="dxa"/>
            <w:vAlign w:val="center"/>
          </w:tcPr>
          <w:p w14:paraId="08CBFD7C">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2.5996</w:t>
            </w:r>
          </w:p>
        </w:tc>
        <w:tc>
          <w:tcPr>
            <w:tcW w:w="1075" w:type="dxa"/>
            <w:vAlign w:val="center"/>
          </w:tcPr>
          <w:p w14:paraId="4024BAD1">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2.1291</w:t>
            </w:r>
          </w:p>
        </w:tc>
        <w:tc>
          <w:tcPr>
            <w:tcW w:w="1216" w:type="dxa"/>
            <w:vAlign w:val="center"/>
          </w:tcPr>
          <w:p w14:paraId="5AC3E6A6">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20.3828</w:t>
            </w:r>
          </w:p>
        </w:tc>
        <w:tc>
          <w:tcPr>
            <w:tcW w:w="1219" w:type="dxa"/>
            <w:vAlign w:val="center"/>
          </w:tcPr>
          <w:p w14:paraId="18B51C1B">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16.665</w:t>
            </w:r>
          </w:p>
        </w:tc>
      </w:tr>
      <w:tr w14:paraId="4B9A7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3453F29C">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-8</w:t>
            </w:r>
          </w:p>
        </w:tc>
        <w:tc>
          <w:tcPr>
            <w:tcW w:w="1123" w:type="dxa"/>
            <w:vMerge w:val="continue"/>
            <w:vAlign w:val="center"/>
          </w:tcPr>
          <w:p w14:paraId="76E3DBD8">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57F3B6C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w:t>
            </w:r>
          </w:p>
        </w:tc>
        <w:tc>
          <w:tcPr>
            <w:tcW w:w="1074" w:type="dxa"/>
            <w:vAlign w:val="center"/>
          </w:tcPr>
          <w:p w14:paraId="138F20FE">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2.8438</w:t>
            </w:r>
          </w:p>
        </w:tc>
        <w:tc>
          <w:tcPr>
            <w:tcW w:w="1075" w:type="dxa"/>
            <w:vAlign w:val="center"/>
          </w:tcPr>
          <w:p w14:paraId="4974F1BA">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2.2557</w:t>
            </w:r>
          </w:p>
        </w:tc>
        <w:tc>
          <w:tcPr>
            <w:tcW w:w="1216" w:type="dxa"/>
            <w:vAlign w:val="center"/>
          </w:tcPr>
          <w:p w14:paraId="0F768B53">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23.0871</w:t>
            </w:r>
          </w:p>
        </w:tc>
        <w:tc>
          <w:tcPr>
            <w:tcW w:w="1219" w:type="dxa"/>
            <w:vAlign w:val="center"/>
          </w:tcPr>
          <w:p w14:paraId="7E360F8E">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18.4422</w:t>
            </w:r>
          </w:p>
        </w:tc>
      </w:tr>
      <w:tr w14:paraId="3038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12400820">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-7</w:t>
            </w:r>
          </w:p>
        </w:tc>
        <w:tc>
          <w:tcPr>
            <w:tcW w:w="1123" w:type="dxa"/>
            <w:vAlign w:val="center"/>
          </w:tcPr>
          <w:p w14:paraId="61A39EC5">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边导线正下方</w:t>
            </w:r>
          </w:p>
        </w:tc>
        <w:tc>
          <w:tcPr>
            <w:tcW w:w="1233" w:type="dxa"/>
            <w:vAlign w:val="center"/>
          </w:tcPr>
          <w:p w14:paraId="519D231F">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1074" w:type="dxa"/>
            <w:vAlign w:val="center"/>
          </w:tcPr>
          <w:p w14:paraId="3D846155">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2.8939</w:t>
            </w:r>
          </w:p>
        </w:tc>
        <w:tc>
          <w:tcPr>
            <w:tcW w:w="1075" w:type="dxa"/>
            <w:vAlign w:val="center"/>
          </w:tcPr>
          <w:p w14:paraId="5760CD34">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2.2587</w:t>
            </w:r>
          </w:p>
        </w:tc>
        <w:tc>
          <w:tcPr>
            <w:tcW w:w="1216" w:type="dxa"/>
            <w:vAlign w:val="center"/>
          </w:tcPr>
          <w:p w14:paraId="0CFF8298">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25.1591</w:t>
            </w:r>
          </w:p>
        </w:tc>
        <w:tc>
          <w:tcPr>
            <w:tcW w:w="1219" w:type="dxa"/>
            <w:vAlign w:val="center"/>
          </w:tcPr>
          <w:p w14:paraId="15DF4CB2">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19.8709</w:t>
            </w:r>
          </w:p>
        </w:tc>
      </w:tr>
      <w:tr w14:paraId="43A1A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00C72984">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-6</w:t>
            </w:r>
          </w:p>
        </w:tc>
        <w:tc>
          <w:tcPr>
            <w:tcW w:w="1123" w:type="dxa"/>
            <w:vMerge w:val="restart"/>
            <w:vAlign w:val="center"/>
          </w:tcPr>
          <w:p w14:paraId="54CFDE1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边导线内</w:t>
            </w:r>
          </w:p>
        </w:tc>
        <w:tc>
          <w:tcPr>
            <w:tcW w:w="1233" w:type="dxa"/>
            <w:vAlign w:val="center"/>
          </w:tcPr>
          <w:p w14:paraId="73D5C460">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边导线内</w:t>
            </w:r>
          </w:p>
        </w:tc>
        <w:tc>
          <w:tcPr>
            <w:tcW w:w="1074" w:type="dxa"/>
            <w:vAlign w:val="center"/>
          </w:tcPr>
          <w:p w14:paraId="73906047">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2.7078</w:t>
            </w:r>
          </w:p>
        </w:tc>
        <w:tc>
          <w:tcPr>
            <w:tcW w:w="1075" w:type="dxa"/>
            <w:vAlign w:val="center"/>
          </w:tcPr>
          <w:p w14:paraId="067D0A91">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2.1207</w:t>
            </w:r>
          </w:p>
        </w:tc>
        <w:tc>
          <w:tcPr>
            <w:tcW w:w="1216" w:type="dxa"/>
            <w:vAlign w:val="center"/>
          </w:tcPr>
          <w:p w14:paraId="10F75FC1">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26.2252</w:t>
            </w:r>
          </w:p>
        </w:tc>
        <w:tc>
          <w:tcPr>
            <w:tcW w:w="1219" w:type="dxa"/>
            <w:vAlign w:val="center"/>
          </w:tcPr>
          <w:p w14:paraId="41581953">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20.7918</w:t>
            </w:r>
          </w:p>
        </w:tc>
      </w:tr>
      <w:tr w14:paraId="299A6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6DD94EED">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-5</w:t>
            </w:r>
          </w:p>
        </w:tc>
        <w:tc>
          <w:tcPr>
            <w:tcW w:w="1123" w:type="dxa"/>
            <w:vMerge w:val="continue"/>
            <w:vAlign w:val="center"/>
          </w:tcPr>
          <w:p w14:paraId="233CF899">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608D392C">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边导线内</w:t>
            </w:r>
          </w:p>
        </w:tc>
        <w:tc>
          <w:tcPr>
            <w:tcW w:w="1074" w:type="dxa"/>
            <w:vAlign w:val="center"/>
          </w:tcPr>
          <w:p w14:paraId="44B5BC41">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2.333</w:t>
            </w:r>
          </w:p>
        </w:tc>
        <w:tc>
          <w:tcPr>
            <w:tcW w:w="1075" w:type="dxa"/>
            <w:vAlign w:val="center"/>
          </w:tcPr>
          <w:p w14:paraId="72F5C8A3">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1.8622</w:t>
            </w:r>
          </w:p>
        </w:tc>
        <w:tc>
          <w:tcPr>
            <w:tcW w:w="1216" w:type="dxa"/>
            <w:vAlign w:val="center"/>
          </w:tcPr>
          <w:p w14:paraId="7A4D1721">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26.3279</w:t>
            </w:r>
          </w:p>
        </w:tc>
        <w:tc>
          <w:tcPr>
            <w:tcW w:w="1219" w:type="dxa"/>
            <w:vAlign w:val="center"/>
          </w:tcPr>
          <w:p w14:paraId="28D58523">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21.1983</w:t>
            </w:r>
          </w:p>
        </w:tc>
      </w:tr>
      <w:tr w14:paraId="3421C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25B766D2">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-4</w:t>
            </w:r>
          </w:p>
        </w:tc>
        <w:tc>
          <w:tcPr>
            <w:tcW w:w="1123" w:type="dxa"/>
            <w:vMerge w:val="continue"/>
            <w:vAlign w:val="center"/>
          </w:tcPr>
          <w:p w14:paraId="1203F03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19E96768">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边导线内</w:t>
            </w:r>
          </w:p>
        </w:tc>
        <w:tc>
          <w:tcPr>
            <w:tcW w:w="1074" w:type="dxa"/>
            <w:vAlign w:val="center"/>
          </w:tcPr>
          <w:p w14:paraId="07F05BA3">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1.8681</w:t>
            </w:r>
          </w:p>
        </w:tc>
        <w:tc>
          <w:tcPr>
            <w:tcW w:w="1075" w:type="dxa"/>
            <w:vAlign w:val="center"/>
          </w:tcPr>
          <w:p w14:paraId="73CDAF7A">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1.5298</w:t>
            </w:r>
          </w:p>
        </w:tc>
        <w:tc>
          <w:tcPr>
            <w:tcW w:w="1216" w:type="dxa"/>
            <w:vAlign w:val="center"/>
          </w:tcPr>
          <w:p w14:paraId="32DC3000">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25.8385</w:t>
            </w:r>
          </w:p>
        </w:tc>
        <w:tc>
          <w:tcPr>
            <w:tcW w:w="1219" w:type="dxa"/>
            <w:vAlign w:val="center"/>
          </w:tcPr>
          <w:p w14:paraId="25908489">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21.223</w:t>
            </w:r>
          </w:p>
        </w:tc>
      </w:tr>
      <w:tr w14:paraId="24C34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712D967F">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-3</w:t>
            </w:r>
          </w:p>
        </w:tc>
        <w:tc>
          <w:tcPr>
            <w:tcW w:w="1123" w:type="dxa"/>
            <w:vMerge w:val="continue"/>
            <w:vAlign w:val="center"/>
          </w:tcPr>
          <w:p w14:paraId="15A8B109">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3EBFFAB1">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边导线内</w:t>
            </w:r>
          </w:p>
        </w:tc>
        <w:tc>
          <w:tcPr>
            <w:tcW w:w="1074" w:type="dxa"/>
            <w:vAlign w:val="center"/>
          </w:tcPr>
          <w:p w14:paraId="7CF3812A">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1.4031</w:t>
            </w:r>
          </w:p>
        </w:tc>
        <w:tc>
          <w:tcPr>
            <w:tcW w:w="1075" w:type="dxa"/>
            <w:vAlign w:val="center"/>
          </w:tcPr>
          <w:p w14:paraId="70A62398">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1.1753</w:t>
            </w:r>
          </w:p>
        </w:tc>
        <w:tc>
          <w:tcPr>
            <w:tcW w:w="1216" w:type="dxa"/>
            <w:vAlign w:val="center"/>
          </w:tcPr>
          <w:p w14:paraId="2199BA3C">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25.1638</w:t>
            </w:r>
          </w:p>
        </w:tc>
        <w:tc>
          <w:tcPr>
            <w:tcW w:w="1219" w:type="dxa"/>
            <w:vAlign w:val="center"/>
          </w:tcPr>
          <w:p w14:paraId="616AF80A">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21.0499</w:t>
            </w:r>
          </w:p>
        </w:tc>
      </w:tr>
      <w:tr w14:paraId="2F837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6816FAB5">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w:t>
            </w:r>
          </w:p>
        </w:tc>
        <w:tc>
          <w:tcPr>
            <w:tcW w:w="1123" w:type="dxa"/>
            <w:vMerge w:val="continue"/>
            <w:vAlign w:val="center"/>
          </w:tcPr>
          <w:p w14:paraId="40DB018A">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77B1AE8A">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边导线内</w:t>
            </w:r>
          </w:p>
        </w:tc>
        <w:tc>
          <w:tcPr>
            <w:tcW w:w="1074" w:type="dxa"/>
            <w:vAlign w:val="center"/>
          </w:tcPr>
          <w:p w14:paraId="549CEDAF">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1.0031</w:t>
            </w:r>
          </w:p>
        </w:tc>
        <w:tc>
          <w:tcPr>
            <w:tcW w:w="1075" w:type="dxa"/>
            <w:vAlign w:val="center"/>
          </w:tcPr>
          <w:p w14:paraId="7E47E30B">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0.8483</w:t>
            </w:r>
          </w:p>
        </w:tc>
        <w:tc>
          <w:tcPr>
            <w:tcW w:w="1216" w:type="dxa"/>
            <w:vAlign w:val="center"/>
          </w:tcPr>
          <w:p w14:paraId="50BC60AB">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24.5824</w:t>
            </w:r>
          </w:p>
        </w:tc>
        <w:tc>
          <w:tcPr>
            <w:tcW w:w="1219" w:type="dxa"/>
            <w:vAlign w:val="center"/>
          </w:tcPr>
          <w:p w14:paraId="767E9E2C">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20.8381</w:t>
            </w:r>
          </w:p>
        </w:tc>
      </w:tr>
      <w:tr w14:paraId="250B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111F76B0">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w:t>
            </w:r>
          </w:p>
        </w:tc>
        <w:tc>
          <w:tcPr>
            <w:tcW w:w="1123" w:type="dxa"/>
            <w:vMerge w:val="continue"/>
            <w:vAlign w:val="center"/>
          </w:tcPr>
          <w:p w14:paraId="04D61388">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66F01FE0">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边导线内</w:t>
            </w:r>
          </w:p>
        </w:tc>
        <w:tc>
          <w:tcPr>
            <w:tcW w:w="1074" w:type="dxa"/>
            <w:vAlign w:val="center"/>
          </w:tcPr>
          <w:p w14:paraId="7F18FB27">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0.7426</w:t>
            </w:r>
          </w:p>
        </w:tc>
        <w:tc>
          <w:tcPr>
            <w:tcW w:w="1075" w:type="dxa"/>
            <w:vAlign w:val="center"/>
          </w:tcPr>
          <w:p w14:paraId="32329DED">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0.6208</w:t>
            </w:r>
          </w:p>
        </w:tc>
        <w:tc>
          <w:tcPr>
            <w:tcW w:w="1216" w:type="dxa"/>
            <w:vAlign w:val="center"/>
          </w:tcPr>
          <w:p w14:paraId="47A6647C">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24.242</w:t>
            </w:r>
          </w:p>
        </w:tc>
        <w:tc>
          <w:tcPr>
            <w:tcW w:w="1219" w:type="dxa"/>
            <w:vAlign w:val="center"/>
          </w:tcPr>
          <w:p w14:paraId="07BDD350">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20.6924</w:t>
            </w:r>
          </w:p>
        </w:tc>
      </w:tr>
      <w:tr w14:paraId="5AFD1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1CC34A14">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1123" w:type="dxa"/>
            <w:vMerge w:val="continue"/>
            <w:vAlign w:val="center"/>
          </w:tcPr>
          <w:p w14:paraId="79A10D4C">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2117546A">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边导线内</w:t>
            </w:r>
          </w:p>
        </w:tc>
        <w:tc>
          <w:tcPr>
            <w:tcW w:w="1074" w:type="dxa"/>
            <w:vAlign w:val="center"/>
          </w:tcPr>
          <w:p w14:paraId="0AFDB005">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0.7339</w:t>
            </w:r>
          </w:p>
        </w:tc>
        <w:tc>
          <w:tcPr>
            <w:tcW w:w="1075" w:type="dxa"/>
            <w:vAlign w:val="center"/>
          </w:tcPr>
          <w:p w14:paraId="1530EB9C">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0.6107</w:t>
            </w:r>
          </w:p>
        </w:tc>
        <w:tc>
          <w:tcPr>
            <w:tcW w:w="1216" w:type="dxa"/>
            <w:vAlign w:val="center"/>
          </w:tcPr>
          <w:p w14:paraId="541E9EE1">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24.2035</w:t>
            </w:r>
          </w:p>
        </w:tc>
        <w:tc>
          <w:tcPr>
            <w:tcW w:w="1219" w:type="dxa"/>
            <w:vAlign w:val="center"/>
          </w:tcPr>
          <w:p w14:paraId="2FA36166">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20.6633</w:t>
            </w:r>
          </w:p>
        </w:tc>
      </w:tr>
      <w:tr w14:paraId="458C4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53A56A21">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w:t>
            </w:r>
          </w:p>
        </w:tc>
        <w:tc>
          <w:tcPr>
            <w:tcW w:w="1123" w:type="dxa"/>
            <w:vMerge w:val="continue"/>
            <w:vAlign w:val="center"/>
          </w:tcPr>
          <w:p w14:paraId="148F8BF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7C35C7BC">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边导线内</w:t>
            </w:r>
          </w:p>
        </w:tc>
        <w:tc>
          <w:tcPr>
            <w:tcW w:w="1074" w:type="dxa"/>
            <w:vAlign w:val="center"/>
          </w:tcPr>
          <w:p w14:paraId="0BE552DA">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0.9811</w:t>
            </w:r>
          </w:p>
        </w:tc>
        <w:tc>
          <w:tcPr>
            <w:tcW w:w="1075" w:type="dxa"/>
            <w:vAlign w:val="center"/>
          </w:tcPr>
          <w:p w14:paraId="6BBEFFED">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0.8249</w:t>
            </w:r>
          </w:p>
        </w:tc>
        <w:tc>
          <w:tcPr>
            <w:tcW w:w="1216" w:type="dxa"/>
            <w:vAlign w:val="center"/>
          </w:tcPr>
          <w:p w14:paraId="6E9CAAEA">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24.4697</w:t>
            </w:r>
          </w:p>
        </w:tc>
        <w:tc>
          <w:tcPr>
            <w:tcW w:w="1219" w:type="dxa"/>
            <w:vAlign w:val="center"/>
          </w:tcPr>
          <w:p w14:paraId="33CFCC93">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20.753</w:t>
            </w:r>
          </w:p>
        </w:tc>
      </w:tr>
      <w:tr w14:paraId="78266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5971827F">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w:t>
            </w:r>
          </w:p>
        </w:tc>
        <w:tc>
          <w:tcPr>
            <w:tcW w:w="1123" w:type="dxa"/>
            <w:vMerge w:val="continue"/>
            <w:vAlign w:val="center"/>
          </w:tcPr>
          <w:p w14:paraId="79CA4D3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7F371FB2">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边导线内</w:t>
            </w:r>
          </w:p>
        </w:tc>
        <w:tc>
          <w:tcPr>
            <w:tcW w:w="1074" w:type="dxa"/>
            <w:vAlign w:val="center"/>
          </w:tcPr>
          <w:p w14:paraId="72A83500">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1.372</w:t>
            </w:r>
          </w:p>
        </w:tc>
        <w:tc>
          <w:tcPr>
            <w:tcW w:w="1075" w:type="dxa"/>
            <w:vAlign w:val="center"/>
          </w:tcPr>
          <w:p w14:paraId="09813E35">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1.1449</w:t>
            </w:r>
          </w:p>
        </w:tc>
        <w:tc>
          <w:tcPr>
            <w:tcW w:w="1216" w:type="dxa"/>
            <w:vAlign w:val="center"/>
          </w:tcPr>
          <w:p w14:paraId="772449E5">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24.985</w:t>
            </w:r>
          </w:p>
        </w:tc>
        <w:tc>
          <w:tcPr>
            <w:tcW w:w="1219" w:type="dxa"/>
            <w:vAlign w:val="center"/>
          </w:tcPr>
          <w:p w14:paraId="740A098D">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20.9152</w:t>
            </w:r>
          </w:p>
        </w:tc>
      </w:tr>
      <w:tr w14:paraId="3FF25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70EDB90B">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3</w:t>
            </w:r>
          </w:p>
        </w:tc>
        <w:tc>
          <w:tcPr>
            <w:tcW w:w="1123" w:type="dxa"/>
            <w:vMerge w:val="continue"/>
            <w:vAlign w:val="center"/>
          </w:tcPr>
          <w:p w14:paraId="19C4E03C">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3F5EC7F2">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边导线内</w:t>
            </w:r>
          </w:p>
        </w:tc>
        <w:tc>
          <w:tcPr>
            <w:tcW w:w="1074" w:type="dxa"/>
            <w:vAlign w:val="center"/>
          </w:tcPr>
          <w:p w14:paraId="6AE0BE46">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1.8302</w:t>
            </w:r>
          </w:p>
        </w:tc>
        <w:tc>
          <w:tcPr>
            <w:tcW w:w="1075" w:type="dxa"/>
            <w:vAlign w:val="center"/>
          </w:tcPr>
          <w:p w14:paraId="24124730">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1.495</w:t>
            </w:r>
          </w:p>
        </w:tc>
        <w:tc>
          <w:tcPr>
            <w:tcW w:w="1216" w:type="dxa"/>
            <w:vAlign w:val="center"/>
          </w:tcPr>
          <w:p w14:paraId="4C8C9FAF">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25.6061</w:t>
            </w:r>
          </w:p>
        </w:tc>
        <w:tc>
          <w:tcPr>
            <w:tcW w:w="1219" w:type="dxa"/>
            <w:vAlign w:val="center"/>
          </w:tcPr>
          <w:p w14:paraId="168CA928">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21.0486</w:t>
            </w:r>
          </w:p>
        </w:tc>
      </w:tr>
      <w:tr w14:paraId="2869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1506C600">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4</w:t>
            </w:r>
          </w:p>
        </w:tc>
        <w:tc>
          <w:tcPr>
            <w:tcW w:w="1123" w:type="dxa"/>
            <w:vMerge w:val="continue"/>
            <w:vAlign w:val="center"/>
          </w:tcPr>
          <w:p w14:paraId="363960A9">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35DB89B2">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边导线内</w:t>
            </w:r>
          </w:p>
        </w:tc>
        <w:tc>
          <w:tcPr>
            <w:tcW w:w="1074" w:type="dxa"/>
            <w:vAlign w:val="center"/>
          </w:tcPr>
          <w:p w14:paraId="3FE69CE8">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2.2907</w:t>
            </w:r>
          </w:p>
        </w:tc>
        <w:tc>
          <w:tcPr>
            <w:tcW w:w="1075" w:type="dxa"/>
            <w:vAlign w:val="center"/>
          </w:tcPr>
          <w:p w14:paraId="309043F7">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1.8246</w:t>
            </w:r>
          </w:p>
        </w:tc>
        <w:tc>
          <w:tcPr>
            <w:tcW w:w="1216" w:type="dxa"/>
            <w:vAlign w:val="center"/>
          </w:tcPr>
          <w:p w14:paraId="523A0EB0">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26.0586</w:t>
            </w:r>
          </w:p>
        </w:tc>
        <w:tc>
          <w:tcPr>
            <w:tcW w:w="1219" w:type="dxa"/>
            <w:vAlign w:val="center"/>
          </w:tcPr>
          <w:p w14:paraId="1CE5ACB6">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20.9971</w:t>
            </w:r>
          </w:p>
        </w:tc>
      </w:tr>
      <w:tr w14:paraId="444EC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5E82E7CA">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5</w:t>
            </w:r>
          </w:p>
        </w:tc>
        <w:tc>
          <w:tcPr>
            <w:tcW w:w="1123" w:type="dxa"/>
            <w:vMerge w:val="continue"/>
            <w:vAlign w:val="center"/>
          </w:tcPr>
          <w:p w14:paraId="307E5FE8">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046B4D27">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边导线内</w:t>
            </w:r>
          </w:p>
        </w:tc>
        <w:tc>
          <w:tcPr>
            <w:tcW w:w="1074" w:type="dxa"/>
            <w:vAlign w:val="center"/>
          </w:tcPr>
          <w:p w14:paraId="5F0319A8">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2.6637</w:t>
            </w:r>
          </w:p>
        </w:tc>
        <w:tc>
          <w:tcPr>
            <w:tcW w:w="1075" w:type="dxa"/>
            <w:vAlign w:val="center"/>
          </w:tcPr>
          <w:p w14:paraId="7E9C46D1">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2.0818</w:t>
            </w:r>
          </w:p>
        </w:tc>
        <w:tc>
          <w:tcPr>
            <w:tcW w:w="1216" w:type="dxa"/>
            <w:vAlign w:val="center"/>
          </w:tcPr>
          <w:p w14:paraId="294CB126">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25.94</w:t>
            </w:r>
          </w:p>
        </w:tc>
        <w:tc>
          <w:tcPr>
            <w:tcW w:w="1219" w:type="dxa"/>
            <w:vAlign w:val="center"/>
          </w:tcPr>
          <w:p w14:paraId="6765813B">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20.5785</w:t>
            </w:r>
          </w:p>
        </w:tc>
      </w:tr>
      <w:tr w14:paraId="23146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7BF9E43E">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6</w:t>
            </w:r>
          </w:p>
        </w:tc>
        <w:tc>
          <w:tcPr>
            <w:tcW w:w="1123" w:type="dxa"/>
            <w:vAlign w:val="center"/>
          </w:tcPr>
          <w:p w14:paraId="31D824D6">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边导线正下方</w:t>
            </w:r>
          </w:p>
        </w:tc>
        <w:tc>
          <w:tcPr>
            <w:tcW w:w="1233" w:type="dxa"/>
            <w:vAlign w:val="center"/>
          </w:tcPr>
          <w:p w14:paraId="3029B6A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1074" w:type="dxa"/>
            <w:vAlign w:val="center"/>
          </w:tcPr>
          <w:p w14:paraId="3CB61E80">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2.8501</w:t>
            </w:r>
          </w:p>
        </w:tc>
        <w:tc>
          <w:tcPr>
            <w:tcW w:w="1075" w:type="dxa"/>
            <w:vAlign w:val="center"/>
          </w:tcPr>
          <w:p w14:paraId="106DC71A">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2.22</w:t>
            </w:r>
          </w:p>
        </w:tc>
        <w:tc>
          <w:tcPr>
            <w:tcW w:w="1216" w:type="dxa"/>
            <w:vAlign w:val="center"/>
          </w:tcPr>
          <w:p w14:paraId="478B5B9C">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24.8805</w:t>
            </w:r>
          </w:p>
        </w:tc>
        <w:tc>
          <w:tcPr>
            <w:tcW w:w="1219" w:type="dxa"/>
            <w:vAlign w:val="center"/>
          </w:tcPr>
          <w:p w14:paraId="48C32A01">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19.6602</w:t>
            </w:r>
          </w:p>
        </w:tc>
      </w:tr>
      <w:tr w14:paraId="644FD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07BDB472">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7</w:t>
            </w:r>
          </w:p>
        </w:tc>
        <w:tc>
          <w:tcPr>
            <w:tcW w:w="1123" w:type="dxa"/>
            <w:vMerge w:val="restart"/>
            <w:vAlign w:val="center"/>
          </w:tcPr>
          <w:p w14:paraId="1950CB16">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边导线内外</w:t>
            </w:r>
          </w:p>
        </w:tc>
        <w:tc>
          <w:tcPr>
            <w:tcW w:w="1233" w:type="dxa"/>
            <w:vAlign w:val="center"/>
          </w:tcPr>
          <w:p w14:paraId="698393C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w:t>
            </w:r>
          </w:p>
        </w:tc>
        <w:tc>
          <w:tcPr>
            <w:tcW w:w="1074" w:type="dxa"/>
            <w:vAlign w:val="center"/>
          </w:tcPr>
          <w:p w14:paraId="13C0367C">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2.8018</w:t>
            </w:r>
          </w:p>
        </w:tc>
        <w:tc>
          <w:tcPr>
            <w:tcW w:w="1075" w:type="dxa"/>
            <w:vAlign w:val="center"/>
          </w:tcPr>
          <w:p w14:paraId="51AD08DD">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2.2182</w:t>
            </w:r>
          </w:p>
        </w:tc>
        <w:tc>
          <w:tcPr>
            <w:tcW w:w="1216" w:type="dxa"/>
            <w:vAlign w:val="center"/>
          </w:tcPr>
          <w:p w14:paraId="4E6496E5">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22.8342</w:t>
            </w:r>
          </w:p>
        </w:tc>
        <w:tc>
          <w:tcPr>
            <w:tcW w:w="1219" w:type="dxa"/>
            <w:vAlign w:val="center"/>
          </w:tcPr>
          <w:p w14:paraId="3CB9A806">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18.2461</w:t>
            </w:r>
          </w:p>
        </w:tc>
      </w:tr>
      <w:tr w14:paraId="1FD53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51346012">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8</w:t>
            </w:r>
          </w:p>
        </w:tc>
        <w:tc>
          <w:tcPr>
            <w:tcW w:w="1123" w:type="dxa"/>
            <w:vMerge w:val="continue"/>
            <w:vAlign w:val="center"/>
          </w:tcPr>
          <w:p w14:paraId="46C3F722">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5144A3A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2</w:t>
            </w:r>
          </w:p>
        </w:tc>
        <w:tc>
          <w:tcPr>
            <w:tcW w:w="1074" w:type="dxa"/>
            <w:vAlign w:val="center"/>
          </w:tcPr>
          <w:p w14:paraId="6156681B">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2.5602</w:t>
            </w:r>
          </w:p>
        </w:tc>
        <w:tc>
          <w:tcPr>
            <w:tcW w:w="1075" w:type="dxa"/>
            <w:vAlign w:val="center"/>
          </w:tcPr>
          <w:p w14:paraId="25831B5C">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2.0935</w:t>
            </w:r>
          </w:p>
        </w:tc>
        <w:tc>
          <w:tcPr>
            <w:tcW w:w="1216" w:type="dxa"/>
            <w:vAlign w:val="center"/>
          </w:tcPr>
          <w:p w14:paraId="36DCD779">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20.1662</w:t>
            </w:r>
          </w:p>
        </w:tc>
        <w:tc>
          <w:tcPr>
            <w:tcW w:w="1219" w:type="dxa"/>
            <w:vAlign w:val="center"/>
          </w:tcPr>
          <w:p w14:paraId="7685608D">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16.4911</w:t>
            </w:r>
          </w:p>
        </w:tc>
      </w:tr>
      <w:tr w14:paraId="681EA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384DDCDB">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9</w:t>
            </w:r>
          </w:p>
        </w:tc>
        <w:tc>
          <w:tcPr>
            <w:tcW w:w="1123" w:type="dxa"/>
            <w:vMerge w:val="continue"/>
            <w:vAlign w:val="center"/>
          </w:tcPr>
          <w:p w14:paraId="63DB0E3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1293FFF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3</w:t>
            </w:r>
          </w:p>
        </w:tc>
        <w:tc>
          <w:tcPr>
            <w:tcW w:w="1074" w:type="dxa"/>
            <w:vAlign w:val="center"/>
          </w:tcPr>
          <w:p w14:paraId="1E1EA124">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2.2194</w:t>
            </w:r>
          </w:p>
        </w:tc>
        <w:tc>
          <w:tcPr>
            <w:tcW w:w="1075" w:type="dxa"/>
            <w:vAlign w:val="center"/>
          </w:tcPr>
          <w:p w14:paraId="48432F23">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1.8894</w:t>
            </w:r>
          </w:p>
        </w:tc>
        <w:tc>
          <w:tcPr>
            <w:tcW w:w="1216" w:type="dxa"/>
            <w:vAlign w:val="center"/>
          </w:tcPr>
          <w:p w14:paraId="1583A526">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17.3762</w:t>
            </w:r>
          </w:p>
        </w:tc>
        <w:tc>
          <w:tcPr>
            <w:tcW w:w="1219" w:type="dxa"/>
            <w:vAlign w:val="center"/>
          </w:tcPr>
          <w:p w14:paraId="5C34E5A7">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14.6156</w:t>
            </w:r>
          </w:p>
        </w:tc>
      </w:tr>
      <w:tr w14:paraId="1BB02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13A550F2">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123" w:type="dxa"/>
            <w:vMerge w:val="continue"/>
            <w:vAlign w:val="center"/>
          </w:tcPr>
          <w:p w14:paraId="53E0D12F">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65496AB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4</w:t>
            </w:r>
          </w:p>
        </w:tc>
        <w:tc>
          <w:tcPr>
            <w:tcW w:w="1074" w:type="dxa"/>
            <w:vAlign w:val="center"/>
          </w:tcPr>
          <w:p w14:paraId="481F0045">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1.8626</w:t>
            </w:r>
          </w:p>
        </w:tc>
        <w:tc>
          <w:tcPr>
            <w:tcW w:w="1075" w:type="dxa"/>
            <w:vAlign w:val="center"/>
          </w:tcPr>
          <w:p w14:paraId="08922E6F">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1.6522</w:t>
            </w:r>
          </w:p>
        </w:tc>
        <w:tc>
          <w:tcPr>
            <w:tcW w:w="1216" w:type="dxa"/>
            <w:vAlign w:val="center"/>
          </w:tcPr>
          <w:p w14:paraId="5AAFE850">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14.8105</w:t>
            </w:r>
          </w:p>
        </w:tc>
        <w:tc>
          <w:tcPr>
            <w:tcW w:w="1219" w:type="dxa"/>
            <w:vAlign w:val="center"/>
          </w:tcPr>
          <w:p w14:paraId="57108373">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12.8051</w:t>
            </w:r>
          </w:p>
        </w:tc>
      </w:tr>
      <w:tr w14:paraId="27F12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0F11A6AF">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15</w:t>
            </w:r>
          </w:p>
        </w:tc>
        <w:tc>
          <w:tcPr>
            <w:tcW w:w="1123" w:type="dxa"/>
            <w:vMerge w:val="continue"/>
            <w:vAlign w:val="center"/>
          </w:tcPr>
          <w:p w14:paraId="6FF1FDD7">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5532C65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9</w:t>
            </w:r>
          </w:p>
        </w:tc>
        <w:tc>
          <w:tcPr>
            <w:tcW w:w="1074" w:type="dxa"/>
            <w:vAlign w:val="center"/>
          </w:tcPr>
          <w:p w14:paraId="33343129">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0.7101</w:t>
            </w:r>
          </w:p>
        </w:tc>
        <w:tc>
          <w:tcPr>
            <w:tcW w:w="1075" w:type="dxa"/>
            <w:vAlign w:val="center"/>
          </w:tcPr>
          <w:p w14:paraId="6D9156E0">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0.7244</w:t>
            </w:r>
          </w:p>
        </w:tc>
        <w:tc>
          <w:tcPr>
            <w:tcW w:w="1216" w:type="dxa"/>
            <w:vAlign w:val="center"/>
          </w:tcPr>
          <w:p w14:paraId="1AB1292D">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7.0387</w:t>
            </w:r>
          </w:p>
        </w:tc>
        <w:tc>
          <w:tcPr>
            <w:tcW w:w="1219" w:type="dxa"/>
            <w:vAlign w:val="center"/>
          </w:tcPr>
          <w:p w14:paraId="50967FDB">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6.6124</w:t>
            </w:r>
          </w:p>
        </w:tc>
      </w:tr>
      <w:tr w14:paraId="7DFC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16F11F70">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20</w:t>
            </w:r>
          </w:p>
        </w:tc>
        <w:tc>
          <w:tcPr>
            <w:tcW w:w="1123" w:type="dxa"/>
            <w:vMerge w:val="continue"/>
            <w:vAlign w:val="center"/>
          </w:tcPr>
          <w:p w14:paraId="4BCBEE6B">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7082DDF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14</w:t>
            </w:r>
          </w:p>
        </w:tc>
        <w:tc>
          <w:tcPr>
            <w:tcW w:w="1074" w:type="dxa"/>
            <w:vAlign w:val="center"/>
          </w:tcPr>
          <w:p w14:paraId="3B4FDCC3">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0.3205</w:t>
            </w:r>
          </w:p>
        </w:tc>
        <w:tc>
          <w:tcPr>
            <w:tcW w:w="1075" w:type="dxa"/>
            <w:vAlign w:val="center"/>
          </w:tcPr>
          <w:p w14:paraId="79B2A42F">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0.3424</w:t>
            </w:r>
          </w:p>
        </w:tc>
        <w:tc>
          <w:tcPr>
            <w:tcW w:w="1216" w:type="dxa"/>
            <w:vAlign w:val="center"/>
          </w:tcPr>
          <w:p w14:paraId="4227B3CD">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3.9818</w:t>
            </w:r>
          </w:p>
        </w:tc>
        <w:tc>
          <w:tcPr>
            <w:tcW w:w="1219" w:type="dxa"/>
            <w:vAlign w:val="center"/>
          </w:tcPr>
          <w:p w14:paraId="10C9A18A">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3.8521</w:t>
            </w:r>
          </w:p>
        </w:tc>
      </w:tr>
      <w:tr w14:paraId="58DC5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1D868578">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25</w:t>
            </w:r>
          </w:p>
        </w:tc>
        <w:tc>
          <w:tcPr>
            <w:tcW w:w="1123" w:type="dxa"/>
            <w:vMerge w:val="continue"/>
            <w:vAlign w:val="center"/>
          </w:tcPr>
          <w:p w14:paraId="0391E35B">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200A094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19</w:t>
            </w:r>
          </w:p>
        </w:tc>
        <w:tc>
          <w:tcPr>
            <w:tcW w:w="1074" w:type="dxa"/>
            <w:vAlign w:val="center"/>
          </w:tcPr>
          <w:p w14:paraId="4CBAFC06">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0.1767</w:t>
            </w:r>
          </w:p>
        </w:tc>
        <w:tc>
          <w:tcPr>
            <w:tcW w:w="1075" w:type="dxa"/>
            <w:vAlign w:val="center"/>
          </w:tcPr>
          <w:p w14:paraId="55A433E9">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0.1895</w:t>
            </w:r>
          </w:p>
        </w:tc>
        <w:tc>
          <w:tcPr>
            <w:tcW w:w="1216" w:type="dxa"/>
            <w:vAlign w:val="center"/>
          </w:tcPr>
          <w:p w14:paraId="2AABE52A">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2.5515</w:t>
            </w:r>
          </w:p>
        </w:tc>
        <w:tc>
          <w:tcPr>
            <w:tcW w:w="1219" w:type="dxa"/>
            <w:vAlign w:val="center"/>
          </w:tcPr>
          <w:p w14:paraId="2A897791">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2.4997</w:t>
            </w:r>
          </w:p>
        </w:tc>
      </w:tr>
      <w:tr w14:paraId="08004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0159F34A">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30</w:t>
            </w:r>
          </w:p>
        </w:tc>
        <w:tc>
          <w:tcPr>
            <w:tcW w:w="1123" w:type="dxa"/>
            <w:vMerge w:val="continue"/>
            <w:vAlign w:val="center"/>
          </w:tcPr>
          <w:p w14:paraId="6EA0C6E8">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6F73FEC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24</w:t>
            </w:r>
          </w:p>
        </w:tc>
        <w:tc>
          <w:tcPr>
            <w:tcW w:w="1074" w:type="dxa"/>
            <w:vAlign w:val="center"/>
          </w:tcPr>
          <w:p w14:paraId="72D710FB">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0.1123</w:t>
            </w:r>
          </w:p>
        </w:tc>
        <w:tc>
          <w:tcPr>
            <w:tcW w:w="1075" w:type="dxa"/>
            <w:vAlign w:val="center"/>
          </w:tcPr>
          <w:p w14:paraId="0F39F0AE">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0.1192</w:t>
            </w:r>
          </w:p>
        </w:tc>
        <w:tc>
          <w:tcPr>
            <w:tcW w:w="1216" w:type="dxa"/>
            <w:vAlign w:val="center"/>
          </w:tcPr>
          <w:p w14:paraId="4A95E56B">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1.7737</w:t>
            </w:r>
          </w:p>
        </w:tc>
        <w:tc>
          <w:tcPr>
            <w:tcW w:w="1219" w:type="dxa"/>
            <w:vAlign w:val="center"/>
          </w:tcPr>
          <w:p w14:paraId="0A6B94DB">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1.7491</w:t>
            </w:r>
          </w:p>
        </w:tc>
      </w:tr>
      <w:tr w14:paraId="6821A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7EF03E06">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35</w:t>
            </w:r>
          </w:p>
        </w:tc>
        <w:tc>
          <w:tcPr>
            <w:tcW w:w="1123" w:type="dxa"/>
            <w:vMerge w:val="continue"/>
            <w:vAlign w:val="center"/>
          </w:tcPr>
          <w:p w14:paraId="30B8B68A">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70005D2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29</w:t>
            </w:r>
          </w:p>
        </w:tc>
        <w:tc>
          <w:tcPr>
            <w:tcW w:w="1074" w:type="dxa"/>
            <w:vAlign w:val="center"/>
          </w:tcPr>
          <w:p w14:paraId="61886C88">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0.0784</w:t>
            </w:r>
          </w:p>
        </w:tc>
        <w:tc>
          <w:tcPr>
            <w:tcW w:w="1075" w:type="dxa"/>
            <w:vAlign w:val="center"/>
          </w:tcPr>
          <w:p w14:paraId="2FD3FFFE">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0.0822</w:t>
            </w:r>
          </w:p>
        </w:tc>
        <w:tc>
          <w:tcPr>
            <w:tcW w:w="1216" w:type="dxa"/>
            <w:vAlign w:val="center"/>
          </w:tcPr>
          <w:p w14:paraId="7DCFEA57">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1.3046</w:t>
            </w:r>
          </w:p>
        </w:tc>
        <w:tc>
          <w:tcPr>
            <w:tcW w:w="1219" w:type="dxa"/>
            <w:vAlign w:val="center"/>
          </w:tcPr>
          <w:p w14:paraId="48DDFE6B">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1.2914</w:t>
            </w:r>
          </w:p>
        </w:tc>
      </w:tr>
      <w:tr w14:paraId="7B04B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660976EB">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40</w:t>
            </w:r>
          </w:p>
        </w:tc>
        <w:tc>
          <w:tcPr>
            <w:tcW w:w="1123" w:type="dxa"/>
            <w:vMerge w:val="continue"/>
            <w:vAlign w:val="center"/>
          </w:tcPr>
          <w:p w14:paraId="6AE0ED27">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15DDE46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34</w:t>
            </w:r>
          </w:p>
        </w:tc>
        <w:tc>
          <w:tcPr>
            <w:tcW w:w="1074" w:type="dxa"/>
            <w:vAlign w:val="center"/>
          </w:tcPr>
          <w:p w14:paraId="14241520">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0.0582</w:t>
            </w:r>
          </w:p>
        </w:tc>
        <w:tc>
          <w:tcPr>
            <w:tcW w:w="1075" w:type="dxa"/>
            <w:vAlign w:val="center"/>
          </w:tcPr>
          <w:p w14:paraId="137A4D90">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0.0603</w:t>
            </w:r>
          </w:p>
        </w:tc>
        <w:tc>
          <w:tcPr>
            <w:tcW w:w="1216" w:type="dxa"/>
            <w:vAlign w:val="center"/>
          </w:tcPr>
          <w:p w14:paraId="18A32E48">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0.9999</w:t>
            </w:r>
          </w:p>
        </w:tc>
        <w:tc>
          <w:tcPr>
            <w:tcW w:w="1219" w:type="dxa"/>
            <w:vAlign w:val="center"/>
          </w:tcPr>
          <w:p w14:paraId="7DCCB66F">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0.9923</w:t>
            </w:r>
          </w:p>
        </w:tc>
      </w:tr>
      <w:tr w14:paraId="5897E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2F979D69">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45</w:t>
            </w:r>
          </w:p>
        </w:tc>
        <w:tc>
          <w:tcPr>
            <w:tcW w:w="1123" w:type="dxa"/>
            <w:vMerge w:val="continue"/>
            <w:vAlign w:val="center"/>
          </w:tcPr>
          <w:p w14:paraId="2756E2F4">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0CCF830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39</w:t>
            </w:r>
          </w:p>
        </w:tc>
        <w:tc>
          <w:tcPr>
            <w:tcW w:w="1074" w:type="dxa"/>
            <w:vAlign w:val="center"/>
          </w:tcPr>
          <w:p w14:paraId="667E8FC5">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0.0451</w:t>
            </w:r>
          </w:p>
        </w:tc>
        <w:tc>
          <w:tcPr>
            <w:tcW w:w="1075" w:type="dxa"/>
            <w:vAlign w:val="center"/>
          </w:tcPr>
          <w:p w14:paraId="51CB0892">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0.0463</w:t>
            </w:r>
          </w:p>
        </w:tc>
        <w:tc>
          <w:tcPr>
            <w:tcW w:w="1216" w:type="dxa"/>
            <w:vAlign w:val="center"/>
          </w:tcPr>
          <w:p w14:paraId="499534E6">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0.7909</w:t>
            </w:r>
          </w:p>
        </w:tc>
        <w:tc>
          <w:tcPr>
            <w:tcW w:w="1219" w:type="dxa"/>
            <w:vAlign w:val="center"/>
          </w:tcPr>
          <w:p w14:paraId="1085D933">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0.7861</w:t>
            </w:r>
          </w:p>
        </w:tc>
      </w:tr>
      <w:tr w14:paraId="39740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6" w:type="dxa"/>
            <w:vAlign w:val="center"/>
          </w:tcPr>
          <w:p w14:paraId="78619EC6">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50</w:t>
            </w:r>
          </w:p>
        </w:tc>
        <w:tc>
          <w:tcPr>
            <w:tcW w:w="1123" w:type="dxa"/>
            <w:vMerge w:val="continue"/>
            <w:vAlign w:val="center"/>
          </w:tcPr>
          <w:p w14:paraId="442BAC3C">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p>
        </w:tc>
        <w:tc>
          <w:tcPr>
            <w:tcW w:w="1233" w:type="dxa"/>
            <w:vAlign w:val="center"/>
          </w:tcPr>
          <w:p w14:paraId="07B6DA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44</w:t>
            </w:r>
          </w:p>
        </w:tc>
        <w:tc>
          <w:tcPr>
            <w:tcW w:w="1074" w:type="dxa"/>
            <w:vAlign w:val="center"/>
          </w:tcPr>
          <w:p w14:paraId="54150CA9">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0.0361</w:t>
            </w:r>
          </w:p>
        </w:tc>
        <w:tc>
          <w:tcPr>
            <w:tcW w:w="1075" w:type="dxa"/>
            <w:vAlign w:val="center"/>
          </w:tcPr>
          <w:p w14:paraId="74F302B3">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0.0368</w:t>
            </w:r>
          </w:p>
        </w:tc>
        <w:tc>
          <w:tcPr>
            <w:tcW w:w="1216" w:type="dxa"/>
            <w:vAlign w:val="center"/>
          </w:tcPr>
          <w:p w14:paraId="53A6E46F">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0.6413</w:t>
            </w:r>
          </w:p>
        </w:tc>
        <w:tc>
          <w:tcPr>
            <w:tcW w:w="1219" w:type="dxa"/>
            <w:vAlign w:val="center"/>
          </w:tcPr>
          <w:p w14:paraId="30593092">
            <w:pPr>
              <w:keepNext w:val="0"/>
              <w:keepLines w:val="0"/>
              <w:widowControl/>
              <w:suppressLineNumbers w:val="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0.6381</w:t>
            </w:r>
          </w:p>
        </w:tc>
      </w:tr>
      <w:tr w14:paraId="0CDF3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12" w:type="dxa"/>
            <w:gridSpan w:val="3"/>
            <w:vAlign w:val="center"/>
          </w:tcPr>
          <w:p w14:paraId="65ACBA3D">
            <w:pPr>
              <w:adjustRightInd w:val="0"/>
              <w:snapToGrid w:val="0"/>
              <w:jc w:val="center"/>
              <w:rPr>
                <w:rFonts w:hint="default" w:ascii="Times New Roman" w:hAnsi="Times New Roman" w:eastAsia="宋体" w:cs="Times New Roman"/>
                <w:b/>
                <w:bCs/>
                <w:color w:val="auto"/>
                <w:sz w:val="21"/>
                <w:szCs w:val="21"/>
                <w:lang w:bidi="ar"/>
              </w:rPr>
            </w:pPr>
            <w:r>
              <w:rPr>
                <w:rFonts w:hint="default" w:ascii="Times New Roman" w:hAnsi="Times New Roman" w:eastAsia="宋体" w:cs="Times New Roman"/>
                <w:b/>
                <w:bCs/>
                <w:color w:val="auto"/>
                <w:sz w:val="21"/>
                <w:szCs w:val="21"/>
                <w:lang w:bidi="ar"/>
              </w:rPr>
              <w:t>工频电场强度最大值</w:t>
            </w:r>
          </w:p>
        </w:tc>
        <w:tc>
          <w:tcPr>
            <w:tcW w:w="1074" w:type="dxa"/>
            <w:vAlign w:val="center"/>
          </w:tcPr>
          <w:p w14:paraId="31293344">
            <w:pPr>
              <w:keepNext w:val="0"/>
              <w:keepLines w:val="0"/>
              <w:widowControl/>
              <w:suppressLineNumbers w:val="0"/>
              <w:jc w:val="center"/>
              <w:textAlignment w:val="bottom"/>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i w:val="0"/>
                <w:iCs w:val="0"/>
                <w:color w:val="auto"/>
                <w:kern w:val="0"/>
                <w:sz w:val="21"/>
                <w:szCs w:val="21"/>
                <w:u w:val="none"/>
                <w:lang w:val="en-US" w:eastAsia="zh-CN" w:bidi="ar"/>
              </w:rPr>
              <w:t>2.8939</w:t>
            </w:r>
          </w:p>
        </w:tc>
        <w:tc>
          <w:tcPr>
            <w:tcW w:w="1075" w:type="dxa"/>
            <w:vAlign w:val="center"/>
          </w:tcPr>
          <w:p w14:paraId="4C5779C0">
            <w:pPr>
              <w:keepNext w:val="0"/>
              <w:keepLines w:val="0"/>
              <w:widowControl/>
              <w:suppressLineNumbers w:val="0"/>
              <w:jc w:val="center"/>
              <w:textAlignment w:val="bottom"/>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i w:val="0"/>
                <w:iCs w:val="0"/>
                <w:color w:val="auto"/>
                <w:kern w:val="0"/>
                <w:sz w:val="21"/>
                <w:szCs w:val="21"/>
                <w:u w:val="none"/>
                <w:lang w:val="en-US" w:eastAsia="zh-CN" w:bidi="ar"/>
              </w:rPr>
              <w:t>2.2587</w:t>
            </w:r>
          </w:p>
        </w:tc>
        <w:tc>
          <w:tcPr>
            <w:tcW w:w="1216" w:type="dxa"/>
            <w:vAlign w:val="center"/>
          </w:tcPr>
          <w:p w14:paraId="27798BF4">
            <w:pPr>
              <w:adjustRightInd w:val="0"/>
              <w:snapToGrid w:val="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i w:val="0"/>
                <w:iCs w:val="0"/>
                <w:color w:val="auto"/>
                <w:kern w:val="0"/>
                <w:sz w:val="21"/>
                <w:szCs w:val="21"/>
                <w:u w:val="none"/>
                <w:lang w:val="en-US" w:eastAsia="zh-CN" w:bidi="ar"/>
              </w:rPr>
              <w:t>/</w:t>
            </w:r>
          </w:p>
        </w:tc>
        <w:tc>
          <w:tcPr>
            <w:tcW w:w="1219" w:type="dxa"/>
            <w:vAlign w:val="center"/>
          </w:tcPr>
          <w:p w14:paraId="7EC7EBC4">
            <w:pPr>
              <w:keepNext w:val="0"/>
              <w:keepLines w:val="0"/>
              <w:widowControl/>
              <w:suppressLineNumbers w:val="0"/>
              <w:jc w:val="center"/>
              <w:textAlignment w:val="bottom"/>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i w:val="0"/>
                <w:iCs w:val="0"/>
                <w:color w:val="auto"/>
                <w:kern w:val="0"/>
                <w:sz w:val="21"/>
                <w:szCs w:val="21"/>
                <w:u w:val="none"/>
                <w:lang w:val="en-US" w:eastAsia="zh-CN" w:bidi="ar"/>
              </w:rPr>
              <w:t>/</w:t>
            </w:r>
          </w:p>
        </w:tc>
      </w:tr>
      <w:tr w14:paraId="08F6B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12" w:type="dxa"/>
            <w:gridSpan w:val="3"/>
            <w:vAlign w:val="center"/>
          </w:tcPr>
          <w:p w14:paraId="211FAD91">
            <w:pPr>
              <w:adjustRightInd w:val="0"/>
              <w:snapToGrid w:val="0"/>
              <w:jc w:val="center"/>
              <w:rPr>
                <w:rFonts w:hint="default" w:ascii="Times New Roman" w:hAnsi="Times New Roman" w:eastAsia="宋体" w:cs="Times New Roman"/>
                <w:b/>
                <w:bCs/>
                <w:color w:val="auto"/>
                <w:sz w:val="21"/>
                <w:szCs w:val="21"/>
                <w:lang w:bidi="ar"/>
              </w:rPr>
            </w:pPr>
            <w:r>
              <w:rPr>
                <w:rFonts w:hint="default" w:ascii="Times New Roman" w:hAnsi="Times New Roman" w:eastAsia="宋体" w:cs="Times New Roman"/>
                <w:b/>
                <w:bCs/>
                <w:color w:val="auto"/>
                <w:sz w:val="21"/>
                <w:szCs w:val="21"/>
                <w:lang w:bidi="ar"/>
              </w:rPr>
              <w:t>磁感应强度最大值</w:t>
            </w:r>
          </w:p>
        </w:tc>
        <w:tc>
          <w:tcPr>
            <w:tcW w:w="1074" w:type="dxa"/>
            <w:vAlign w:val="center"/>
          </w:tcPr>
          <w:p w14:paraId="4C629517">
            <w:pPr>
              <w:keepNext w:val="0"/>
              <w:keepLines w:val="0"/>
              <w:widowControl/>
              <w:suppressLineNumbers w:val="0"/>
              <w:jc w:val="center"/>
              <w:textAlignment w:val="bottom"/>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i w:val="0"/>
                <w:iCs w:val="0"/>
                <w:color w:val="auto"/>
                <w:kern w:val="0"/>
                <w:sz w:val="21"/>
                <w:szCs w:val="21"/>
                <w:u w:val="none"/>
                <w:lang w:val="en-US" w:eastAsia="zh-CN" w:bidi="ar"/>
              </w:rPr>
              <w:t>/</w:t>
            </w:r>
          </w:p>
        </w:tc>
        <w:tc>
          <w:tcPr>
            <w:tcW w:w="1075" w:type="dxa"/>
            <w:vAlign w:val="center"/>
          </w:tcPr>
          <w:p w14:paraId="479B2679">
            <w:pPr>
              <w:keepNext w:val="0"/>
              <w:keepLines w:val="0"/>
              <w:widowControl/>
              <w:suppressLineNumbers w:val="0"/>
              <w:jc w:val="center"/>
              <w:textAlignment w:val="bottom"/>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i w:val="0"/>
                <w:iCs w:val="0"/>
                <w:color w:val="auto"/>
                <w:kern w:val="0"/>
                <w:sz w:val="21"/>
                <w:szCs w:val="21"/>
                <w:u w:val="none"/>
                <w:lang w:val="en-US" w:eastAsia="zh-CN" w:bidi="ar"/>
              </w:rPr>
              <w:t>/</w:t>
            </w:r>
          </w:p>
        </w:tc>
        <w:tc>
          <w:tcPr>
            <w:tcW w:w="1216" w:type="dxa"/>
            <w:vAlign w:val="center"/>
          </w:tcPr>
          <w:p w14:paraId="4F08384E">
            <w:pPr>
              <w:adjustRightInd w:val="0"/>
              <w:snapToGrid w:val="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i w:val="0"/>
                <w:iCs w:val="0"/>
                <w:color w:val="auto"/>
                <w:kern w:val="0"/>
                <w:sz w:val="21"/>
                <w:szCs w:val="21"/>
                <w:u w:val="none"/>
                <w:lang w:val="en-US" w:eastAsia="zh-CN" w:bidi="ar"/>
              </w:rPr>
              <w:t>26.3279</w:t>
            </w:r>
          </w:p>
        </w:tc>
        <w:tc>
          <w:tcPr>
            <w:tcW w:w="1219" w:type="dxa"/>
            <w:vAlign w:val="center"/>
          </w:tcPr>
          <w:p w14:paraId="4ED66640">
            <w:pPr>
              <w:keepNext w:val="0"/>
              <w:keepLines w:val="0"/>
              <w:widowControl/>
              <w:suppressLineNumbers w:val="0"/>
              <w:jc w:val="center"/>
              <w:textAlignment w:val="bottom"/>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i w:val="0"/>
                <w:iCs w:val="0"/>
                <w:color w:val="auto"/>
                <w:kern w:val="0"/>
                <w:sz w:val="21"/>
                <w:szCs w:val="21"/>
                <w:u w:val="none"/>
                <w:lang w:val="en-US" w:eastAsia="zh-CN" w:bidi="ar"/>
              </w:rPr>
              <w:t>21.223</w:t>
            </w:r>
          </w:p>
        </w:tc>
      </w:tr>
      <w:bookmarkEnd w:id="179"/>
    </w:tbl>
    <w:p w14:paraId="0B0659AA">
      <w:pPr>
        <w:widowControl/>
        <w:autoSpaceDE w:val="0"/>
        <w:autoSpaceDN w:val="0"/>
        <w:adjustRightInd w:val="0"/>
        <w:snapToGrid w:val="0"/>
        <w:spacing w:line="360" w:lineRule="auto"/>
        <w:rPr>
          <w:rFonts w:hint="default" w:ascii="Times New Roman" w:hAnsi="Times New Roman" w:eastAsia="宋体" w:cs="Times New Roman"/>
          <w:color w:val="auto"/>
        </w:rPr>
      </w:pPr>
    </w:p>
    <w:p w14:paraId="7632BBAE">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default" w:ascii="Times New Roman" w:hAnsi="Times New Roman" w:eastAsia="宋体" w:cs="Times New Roman"/>
          <w:b/>
          <w:bCs/>
          <w:color w:val="auto"/>
          <w:sz w:val="24"/>
          <w:lang w:bidi="ar"/>
        </w:rPr>
      </w:pPr>
      <w:r>
        <w:rPr>
          <w:rFonts w:hint="default" w:ascii="Times New Roman" w:hAnsi="Times New Roman" w:eastAsia="宋体" w:cs="Times New Roman"/>
          <w:b/>
          <w:bCs/>
          <w:color w:val="auto"/>
          <w:sz w:val="24"/>
          <w:lang w:bidi="ar"/>
        </w:rPr>
        <w:drawing>
          <wp:inline distT="0" distB="0" distL="114300" distR="114300">
            <wp:extent cx="5304790" cy="2844800"/>
            <wp:effectExtent l="0" t="0" r="10160" b="12700"/>
            <wp:docPr id="21" name="图片 21" descr="工频电场图 110kV线路三角排列 线高6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工频电场图 110kV线路三角排列 线高6m"/>
                    <pic:cNvPicPr>
                      <a:picLocks noChangeAspect="1"/>
                    </pic:cNvPicPr>
                  </pic:nvPicPr>
                  <pic:blipFill>
                    <a:blip r:embed="rId61"/>
                    <a:stretch>
                      <a:fillRect/>
                    </a:stretch>
                  </pic:blipFill>
                  <pic:spPr>
                    <a:xfrm>
                      <a:off x="0" y="0"/>
                      <a:ext cx="5304790" cy="2844800"/>
                    </a:xfrm>
                    <a:prstGeom prst="rect">
                      <a:avLst/>
                    </a:prstGeom>
                  </pic:spPr>
                </pic:pic>
              </a:graphicData>
            </a:graphic>
          </wp:inline>
        </w:drawing>
      </w:r>
      <w:r>
        <w:rPr>
          <w:rFonts w:hint="default" w:ascii="Times New Roman" w:hAnsi="Times New Roman" w:eastAsia="宋体" w:cs="Times New Roman"/>
          <w:b/>
          <w:bCs/>
          <w:color w:val="auto"/>
          <w:sz w:val="24"/>
          <w:lang w:bidi="ar"/>
        </w:rPr>
        <w:t>图5-1 非居民区三角排列高6m电场强度综合量的分布情况</w:t>
      </w:r>
    </w:p>
    <w:p w14:paraId="164D5481">
      <w:pPr>
        <w:pStyle w:val="29"/>
        <w:keepNext w:val="0"/>
        <w:keepLines w:val="0"/>
        <w:pageBreakBefore w:val="0"/>
        <w:tabs>
          <w:tab w:val="center" w:pos="4153"/>
          <w:tab w:val="right" w:pos="8306"/>
        </w:tabs>
        <w:kinsoku/>
        <w:wordWrap/>
        <w:overflowPunct/>
        <w:topLinePunct w:val="0"/>
        <w:bidi w:val="0"/>
        <w:adjustRightInd w:val="0"/>
        <w:snapToGrid w:val="0"/>
        <w:spacing w:before="0" w:after="0" w:line="240" w:lineRule="auto"/>
        <w:ind w:left="0" w:leftChars="0" w:firstLine="0" w:firstLineChars="0"/>
        <w:jc w:val="center"/>
        <w:rPr>
          <w:rFonts w:hint="default" w:ascii="Times New Roman" w:hAnsi="Times New Roman" w:eastAsia="宋体" w:cs="Times New Roman"/>
          <w:b/>
          <w:bCs/>
          <w:color w:val="auto"/>
          <w:sz w:val="24"/>
          <w:lang w:eastAsia="zh-CN" w:bidi="ar"/>
        </w:rPr>
      </w:pPr>
      <w:r>
        <w:rPr>
          <w:rFonts w:hint="default" w:ascii="Times New Roman" w:hAnsi="Times New Roman" w:eastAsia="宋体" w:cs="Times New Roman"/>
          <w:b/>
          <w:bCs/>
          <w:color w:val="auto"/>
          <w:sz w:val="24"/>
          <w:lang w:eastAsia="zh-CN" w:bidi="ar"/>
        </w:rPr>
        <w:drawing>
          <wp:inline distT="0" distB="0" distL="114300" distR="114300">
            <wp:extent cx="5282565" cy="2774315"/>
            <wp:effectExtent l="0" t="0" r="13335" b="6985"/>
            <wp:docPr id="1" name="图片 1" descr="电场等值线图 110kV线路三角排列 线高6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电场等值线图 110kV线路三角排列 线高6m"/>
                    <pic:cNvPicPr>
                      <a:picLocks noChangeAspect="1"/>
                    </pic:cNvPicPr>
                  </pic:nvPicPr>
                  <pic:blipFill>
                    <a:blip r:embed="rId62"/>
                    <a:stretch>
                      <a:fillRect/>
                    </a:stretch>
                  </pic:blipFill>
                  <pic:spPr>
                    <a:xfrm>
                      <a:off x="0" y="0"/>
                      <a:ext cx="5282565" cy="2774315"/>
                    </a:xfrm>
                    <a:prstGeom prst="rect">
                      <a:avLst/>
                    </a:prstGeom>
                  </pic:spPr>
                </pic:pic>
              </a:graphicData>
            </a:graphic>
          </wp:inline>
        </w:drawing>
      </w:r>
    </w:p>
    <w:p w14:paraId="52E19373">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default" w:ascii="Times New Roman" w:hAnsi="Times New Roman" w:eastAsia="宋体" w:cs="Times New Roman"/>
          <w:b/>
          <w:bCs/>
          <w:color w:val="auto"/>
          <w:sz w:val="24"/>
          <w:lang w:val="en-US" w:eastAsia="zh-CN" w:bidi="ar"/>
        </w:rPr>
      </w:pPr>
      <w:r>
        <w:rPr>
          <w:rFonts w:hint="default" w:ascii="Times New Roman" w:hAnsi="Times New Roman" w:eastAsia="宋体" w:cs="Times New Roman"/>
          <w:b/>
          <w:bCs/>
          <w:color w:val="auto"/>
          <w:sz w:val="24"/>
          <w:lang w:bidi="ar"/>
        </w:rPr>
        <w:t>图5-</w:t>
      </w:r>
      <w:r>
        <w:rPr>
          <w:rFonts w:hint="default" w:ascii="Times New Roman" w:hAnsi="Times New Roman" w:eastAsia="宋体" w:cs="Times New Roman"/>
          <w:b/>
          <w:bCs/>
          <w:color w:val="auto"/>
          <w:sz w:val="24"/>
          <w:lang w:val="en-US" w:eastAsia="zh-CN" w:bidi="ar"/>
        </w:rPr>
        <w:t>2</w:t>
      </w:r>
      <w:r>
        <w:rPr>
          <w:rFonts w:hint="default" w:ascii="Times New Roman" w:hAnsi="Times New Roman" w:eastAsia="宋体" w:cs="Times New Roman"/>
          <w:b/>
          <w:bCs/>
          <w:color w:val="auto"/>
          <w:sz w:val="24"/>
          <w:lang w:bidi="ar"/>
        </w:rPr>
        <w:t xml:space="preserve"> 非居民区三角排列高6m电场</w:t>
      </w:r>
      <w:r>
        <w:rPr>
          <w:rFonts w:hint="default" w:ascii="Times New Roman" w:hAnsi="Times New Roman" w:eastAsia="宋体" w:cs="Times New Roman"/>
          <w:b/>
          <w:bCs/>
          <w:color w:val="auto"/>
          <w:sz w:val="24"/>
          <w:lang w:val="en-US" w:eastAsia="zh-CN" w:bidi="ar"/>
        </w:rPr>
        <w:t>强度等值线图</w:t>
      </w:r>
    </w:p>
    <w:p w14:paraId="5A5E75BF">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default" w:ascii="Times New Roman" w:hAnsi="Times New Roman" w:eastAsia="宋体" w:cs="Times New Roman"/>
          <w:b/>
          <w:bCs/>
          <w:color w:val="auto"/>
          <w:sz w:val="24"/>
          <w:lang w:bidi="ar"/>
        </w:rPr>
      </w:pPr>
      <w:r>
        <w:rPr>
          <w:rFonts w:hint="default" w:ascii="Times New Roman" w:hAnsi="Times New Roman" w:eastAsia="宋体" w:cs="Times New Roman"/>
          <w:color w:val="auto"/>
          <w:sz w:val="24"/>
          <w:lang w:bidi="ar"/>
        </w:rPr>
        <w:drawing>
          <wp:inline distT="0" distB="0" distL="114300" distR="114300">
            <wp:extent cx="5269230" cy="2708910"/>
            <wp:effectExtent l="0" t="0" r="7620" b="15240"/>
            <wp:docPr id="22" name="图片 22" descr="工频磁场图 110kV线路三角排列 线高6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工频磁场图 110kV线路三角排列 线高6m"/>
                    <pic:cNvPicPr>
                      <a:picLocks noChangeAspect="1"/>
                    </pic:cNvPicPr>
                  </pic:nvPicPr>
                  <pic:blipFill>
                    <a:blip r:embed="rId63"/>
                    <a:stretch>
                      <a:fillRect/>
                    </a:stretch>
                  </pic:blipFill>
                  <pic:spPr>
                    <a:xfrm>
                      <a:off x="0" y="0"/>
                      <a:ext cx="5269230" cy="2708910"/>
                    </a:xfrm>
                    <a:prstGeom prst="rect">
                      <a:avLst/>
                    </a:prstGeom>
                  </pic:spPr>
                </pic:pic>
              </a:graphicData>
            </a:graphic>
          </wp:inline>
        </w:drawing>
      </w:r>
      <w:r>
        <w:rPr>
          <w:rFonts w:hint="default" w:ascii="Times New Roman" w:hAnsi="Times New Roman" w:eastAsia="宋体" w:cs="Times New Roman"/>
          <w:b/>
          <w:bCs/>
          <w:color w:val="auto"/>
          <w:sz w:val="24"/>
          <w:lang w:bidi="ar"/>
        </w:rPr>
        <w:t>图5-</w:t>
      </w:r>
      <w:r>
        <w:rPr>
          <w:rFonts w:hint="default" w:ascii="Times New Roman" w:hAnsi="Times New Roman" w:eastAsia="宋体" w:cs="Times New Roman"/>
          <w:b/>
          <w:bCs/>
          <w:color w:val="auto"/>
          <w:sz w:val="24"/>
          <w:lang w:val="en-US" w:eastAsia="zh-CN" w:bidi="ar"/>
        </w:rPr>
        <w:t>3</w:t>
      </w:r>
      <w:r>
        <w:rPr>
          <w:rFonts w:hint="default" w:ascii="Times New Roman" w:hAnsi="Times New Roman" w:eastAsia="宋体" w:cs="Times New Roman"/>
          <w:b/>
          <w:bCs/>
          <w:color w:val="auto"/>
          <w:sz w:val="24"/>
          <w:lang w:bidi="ar"/>
        </w:rPr>
        <w:t xml:space="preserve"> 非居民区三角排列高6m</w:t>
      </w:r>
      <w:r>
        <w:rPr>
          <w:rFonts w:hint="default" w:ascii="Times New Roman" w:hAnsi="Times New Roman" w:eastAsia="宋体" w:cs="Times New Roman"/>
          <w:b/>
          <w:bCs/>
          <w:color w:val="auto"/>
          <w:sz w:val="24"/>
          <w:lang w:val="en-US" w:eastAsia="zh-CN" w:bidi="ar"/>
        </w:rPr>
        <w:t>磁场强度</w:t>
      </w:r>
      <w:r>
        <w:rPr>
          <w:rFonts w:hint="default" w:ascii="Times New Roman" w:hAnsi="Times New Roman" w:eastAsia="宋体" w:cs="Times New Roman"/>
          <w:b/>
          <w:bCs/>
          <w:color w:val="auto"/>
          <w:sz w:val="24"/>
          <w:lang w:bidi="ar"/>
        </w:rPr>
        <w:t>综合量的分布情况</w:t>
      </w:r>
    </w:p>
    <w:p w14:paraId="14BEED6C">
      <w:pPr>
        <w:pStyle w:val="29"/>
        <w:keepNext w:val="0"/>
        <w:keepLines w:val="0"/>
        <w:pageBreakBefore w:val="0"/>
        <w:tabs>
          <w:tab w:val="center" w:pos="4153"/>
          <w:tab w:val="right" w:pos="8306"/>
        </w:tabs>
        <w:kinsoku/>
        <w:wordWrap/>
        <w:overflowPunct/>
        <w:topLinePunct w:val="0"/>
        <w:bidi w:val="0"/>
        <w:adjustRightInd w:val="0"/>
        <w:snapToGrid w:val="0"/>
        <w:spacing w:before="0" w:after="0" w:line="240" w:lineRule="auto"/>
        <w:ind w:left="0" w:leftChars="0" w:firstLine="0" w:firstLineChars="0"/>
        <w:jc w:val="center"/>
        <w:rPr>
          <w:rFonts w:hint="default" w:ascii="Times New Roman" w:hAnsi="Times New Roman" w:eastAsia="宋体" w:cs="Times New Roman"/>
          <w:b/>
          <w:bCs/>
          <w:color w:val="auto"/>
          <w:sz w:val="24"/>
          <w:lang w:eastAsia="zh-CN" w:bidi="ar"/>
        </w:rPr>
      </w:pPr>
      <w:r>
        <w:rPr>
          <w:rFonts w:hint="default" w:ascii="Times New Roman" w:hAnsi="Times New Roman" w:eastAsia="宋体" w:cs="Times New Roman"/>
          <w:b/>
          <w:bCs/>
          <w:color w:val="auto"/>
          <w:sz w:val="24"/>
          <w:lang w:eastAsia="zh-CN" w:bidi="ar"/>
        </w:rPr>
        <w:drawing>
          <wp:inline distT="0" distB="0" distL="114300" distR="114300">
            <wp:extent cx="5271135" cy="2688590"/>
            <wp:effectExtent l="0" t="0" r="5715" b="16510"/>
            <wp:docPr id="2" name="图片 2" descr="磁场等值线图 110kV线路三角排列 线高6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磁场等值线图 110kV线路三角排列 线高6m"/>
                    <pic:cNvPicPr>
                      <a:picLocks noChangeAspect="1"/>
                    </pic:cNvPicPr>
                  </pic:nvPicPr>
                  <pic:blipFill>
                    <a:blip r:embed="rId64"/>
                    <a:stretch>
                      <a:fillRect/>
                    </a:stretch>
                  </pic:blipFill>
                  <pic:spPr>
                    <a:xfrm>
                      <a:off x="0" y="0"/>
                      <a:ext cx="5271135" cy="2688590"/>
                    </a:xfrm>
                    <a:prstGeom prst="rect">
                      <a:avLst/>
                    </a:prstGeom>
                  </pic:spPr>
                </pic:pic>
              </a:graphicData>
            </a:graphic>
          </wp:inline>
        </w:drawing>
      </w:r>
    </w:p>
    <w:p w14:paraId="7A14FFCF">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default" w:ascii="Times New Roman" w:hAnsi="Times New Roman" w:eastAsia="宋体" w:cs="Times New Roman"/>
          <w:b/>
          <w:bCs/>
          <w:color w:val="auto"/>
          <w:sz w:val="24"/>
          <w:lang w:val="en-US" w:bidi="ar"/>
        </w:rPr>
      </w:pPr>
      <w:r>
        <w:rPr>
          <w:rFonts w:hint="default" w:ascii="Times New Roman" w:hAnsi="Times New Roman" w:eastAsia="宋体" w:cs="Times New Roman"/>
          <w:b/>
          <w:bCs/>
          <w:color w:val="auto"/>
          <w:sz w:val="24"/>
          <w:lang w:bidi="ar"/>
        </w:rPr>
        <w:t>图5-</w:t>
      </w:r>
      <w:r>
        <w:rPr>
          <w:rFonts w:hint="default" w:ascii="Times New Roman" w:hAnsi="Times New Roman" w:eastAsia="宋体" w:cs="Times New Roman"/>
          <w:b/>
          <w:bCs/>
          <w:color w:val="auto"/>
          <w:sz w:val="24"/>
          <w:lang w:val="en-US" w:eastAsia="zh-CN" w:bidi="ar"/>
        </w:rPr>
        <w:t>4</w:t>
      </w:r>
      <w:r>
        <w:rPr>
          <w:rFonts w:hint="default" w:ascii="Times New Roman" w:hAnsi="Times New Roman" w:eastAsia="宋体" w:cs="Times New Roman"/>
          <w:b/>
          <w:bCs/>
          <w:color w:val="auto"/>
          <w:sz w:val="24"/>
          <w:lang w:bidi="ar"/>
        </w:rPr>
        <w:t xml:space="preserve"> 非居民区三角排列高6m</w:t>
      </w:r>
      <w:r>
        <w:rPr>
          <w:rFonts w:hint="default" w:ascii="Times New Roman" w:hAnsi="Times New Roman" w:eastAsia="宋体" w:cs="Times New Roman"/>
          <w:b/>
          <w:bCs/>
          <w:color w:val="auto"/>
          <w:sz w:val="24"/>
          <w:lang w:val="en-US" w:eastAsia="zh-CN" w:bidi="ar"/>
        </w:rPr>
        <w:t>磁感应强度等值线图</w:t>
      </w:r>
    </w:p>
    <w:p w14:paraId="06C780A7">
      <w:pPr>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color w:val="auto"/>
          <w:sz w:val="24"/>
          <w:lang w:eastAsia="zh-CN" w:bidi="ar"/>
        </w:rPr>
      </w:pPr>
      <w:r>
        <w:rPr>
          <w:rFonts w:hint="default" w:ascii="Times New Roman" w:hAnsi="Times New Roman" w:eastAsia="宋体" w:cs="Times New Roman"/>
          <w:color w:val="auto"/>
          <w:sz w:val="24"/>
          <w:lang w:eastAsia="zh-CN" w:bidi="ar"/>
        </w:rPr>
        <w:drawing>
          <wp:inline distT="0" distB="0" distL="114300" distR="114300">
            <wp:extent cx="5269865" cy="2825750"/>
            <wp:effectExtent l="0" t="0" r="6985" b="12700"/>
            <wp:docPr id="23" name="图片 23" descr="工频电场图 110kV线路三角排列 线高7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工频电场图 110kV线路三角排列 线高7m"/>
                    <pic:cNvPicPr>
                      <a:picLocks noChangeAspect="1"/>
                    </pic:cNvPicPr>
                  </pic:nvPicPr>
                  <pic:blipFill>
                    <a:blip r:embed="rId65"/>
                    <a:stretch>
                      <a:fillRect/>
                    </a:stretch>
                  </pic:blipFill>
                  <pic:spPr>
                    <a:xfrm>
                      <a:off x="0" y="0"/>
                      <a:ext cx="5269865" cy="2825750"/>
                    </a:xfrm>
                    <a:prstGeom prst="rect">
                      <a:avLst/>
                    </a:prstGeom>
                  </pic:spPr>
                </pic:pic>
              </a:graphicData>
            </a:graphic>
          </wp:inline>
        </w:drawing>
      </w:r>
    </w:p>
    <w:p w14:paraId="6678FDFB">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default" w:ascii="Times New Roman" w:hAnsi="Times New Roman" w:eastAsia="宋体" w:cs="Times New Roman"/>
          <w:b/>
          <w:bCs/>
          <w:color w:val="auto"/>
          <w:sz w:val="24"/>
          <w:lang w:bidi="ar"/>
        </w:rPr>
      </w:pPr>
      <w:r>
        <w:rPr>
          <w:rFonts w:hint="default" w:ascii="Times New Roman" w:hAnsi="Times New Roman" w:eastAsia="宋体" w:cs="Times New Roman"/>
          <w:b/>
          <w:bCs/>
          <w:color w:val="auto"/>
          <w:sz w:val="24"/>
          <w:lang w:bidi="ar"/>
        </w:rPr>
        <w:t>图5-</w:t>
      </w:r>
      <w:r>
        <w:rPr>
          <w:rFonts w:hint="default" w:ascii="Times New Roman" w:hAnsi="Times New Roman" w:eastAsia="宋体" w:cs="Times New Roman"/>
          <w:b/>
          <w:bCs/>
          <w:color w:val="auto"/>
          <w:sz w:val="24"/>
          <w:lang w:val="en-US" w:eastAsia="zh-CN" w:bidi="ar"/>
        </w:rPr>
        <w:t>5</w:t>
      </w:r>
      <w:r>
        <w:rPr>
          <w:rFonts w:hint="default" w:ascii="Times New Roman" w:hAnsi="Times New Roman" w:eastAsia="宋体" w:cs="Times New Roman"/>
          <w:b/>
          <w:bCs/>
          <w:color w:val="auto"/>
          <w:sz w:val="24"/>
          <w:lang w:bidi="ar"/>
        </w:rPr>
        <w:t xml:space="preserve"> 居民区三角排列高</w:t>
      </w:r>
      <w:r>
        <w:rPr>
          <w:rFonts w:hint="default" w:ascii="Times New Roman" w:hAnsi="Times New Roman" w:eastAsia="宋体" w:cs="Times New Roman"/>
          <w:b/>
          <w:bCs/>
          <w:color w:val="auto"/>
          <w:sz w:val="24"/>
          <w:lang w:val="en-US" w:eastAsia="zh-CN" w:bidi="ar"/>
        </w:rPr>
        <w:t>7</w:t>
      </w:r>
      <w:r>
        <w:rPr>
          <w:rFonts w:hint="default" w:ascii="Times New Roman" w:hAnsi="Times New Roman" w:eastAsia="宋体" w:cs="Times New Roman"/>
          <w:b/>
          <w:bCs/>
          <w:color w:val="auto"/>
          <w:sz w:val="24"/>
          <w:lang w:bidi="ar"/>
        </w:rPr>
        <w:t>m电场强度综合量的分布情况</w:t>
      </w:r>
    </w:p>
    <w:p w14:paraId="6B27878E">
      <w:pPr>
        <w:pStyle w:val="29"/>
        <w:keepNext w:val="0"/>
        <w:keepLines w:val="0"/>
        <w:pageBreakBefore w:val="0"/>
        <w:tabs>
          <w:tab w:val="center" w:pos="4153"/>
          <w:tab w:val="right" w:pos="8306"/>
        </w:tabs>
        <w:kinsoku/>
        <w:wordWrap/>
        <w:overflowPunct/>
        <w:topLinePunct w:val="0"/>
        <w:bidi w:val="0"/>
        <w:adjustRightInd w:val="0"/>
        <w:snapToGrid w:val="0"/>
        <w:spacing w:before="0" w:after="0" w:line="240" w:lineRule="auto"/>
        <w:ind w:left="0" w:leftChars="0" w:firstLine="0" w:firstLineChars="0"/>
        <w:jc w:val="center"/>
        <w:rPr>
          <w:rFonts w:hint="default" w:ascii="Times New Roman" w:hAnsi="Times New Roman" w:eastAsia="宋体" w:cs="Times New Roman"/>
          <w:b/>
          <w:bCs/>
          <w:color w:val="auto"/>
          <w:sz w:val="24"/>
          <w:lang w:eastAsia="zh-CN" w:bidi="ar"/>
        </w:rPr>
      </w:pPr>
      <w:r>
        <w:rPr>
          <w:rFonts w:hint="default" w:ascii="Times New Roman" w:hAnsi="Times New Roman" w:eastAsia="宋体" w:cs="Times New Roman"/>
          <w:b/>
          <w:bCs/>
          <w:color w:val="auto"/>
          <w:sz w:val="24"/>
          <w:lang w:eastAsia="zh-CN" w:bidi="ar"/>
        </w:rPr>
        <w:drawing>
          <wp:inline distT="0" distB="0" distL="114300" distR="114300">
            <wp:extent cx="5271135" cy="2925445"/>
            <wp:effectExtent l="0" t="0" r="5715" b="8255"/>
            <wp:docPr id="3" name="图片 3" descr="电场等值线图 110kV线路三角排列 线高7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电场等值线图 110kV线路三角排列 线高7m"/>
                    <pic:cNvPicPr>
                      <a:picLocks noChangeAspect="1"/>
                    </pic:cNvPicPr>
                  </pic:nvPicPr>
                  <pic:blipFill>
                    <a:blip r:embed="rId66"/>
                    <a:stretch>
                      <a:fillRect/>
                    </a:stretch>
                  </pic:blipFill>
                  <pic:spPr>
                    <a:xfrm>
                      <a:off x="0" y="0"/>
                      <a:ext cx="5271135" cy="2925445"/>
                    </a:xfrm>
                    <a:prstGeom prst="rect">
                      <a:avLst/>
                    </a:prstGeom>
                  </pic:spPr>
                </pic:pic>
              </a:graphicData>
            </a:graphic>
          </wp:inline>
        </w:drawing>
      </w:r>
    </w:p>
    <w:p w14:paraId="381BFB7D">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default" w:ascii="Times New Roman" w:hAnsi="Times New Roman" w:eastAsia="宋体" w:cs="Times New Roman"/>
          <w:b/>
          <w:bCs/>
          <w:color w:val="auto"/>
          <w:sz w:val="24"/>
          <w:lang w:val="en-US" w:eastAsia="zh-CN" w:bidi="ar"/>
        </w:rPr>
      </w:pPr>
      <w:r>
        <w:rPr>
          <w:rFonts w:hint="default" w:ascii="Times New Roman" w:hAnsi="Times New Roman" w:eastAsia="宋体" w:cs="Times New Roman"/>
          <w:b/>
          <w:bCs/>
          <w:color w:val="auto"/>
          <w:sz w:val="24"/>
          <w:lang w:bidi="ar"/>
        </w:rPr>
        <w:t>图5-</w:t>
      </w:r>
      <w:r>
        <w:rPr>
          <w:rFonts w:hint="default" w:ascii="Times New Roman" w:hAnsi="Times New Roman" w:eastAsia="宋体" w:cs="Times New Roman"/>
          <w:b/>
          <w:bCs/>
          <w:color w:val="auto"/>
          <w:sz w:val="24"/>
          <w:lang w:val="en-US" w:eastAsia="zh-CN" w:bidi="ar"/>
        </w:rPr>
        <w:t>6</w:t>
      </w:r>
      <w:r>
        <w:rPr>
          <w:rFonts w:hint="default" w:ascii="Times New Roman" w:hAnsi="Times New Roman" w:eastAsia="宋体" w:cs="Times New Roman"/>
          <w:b/>
          <w:bCs/>
          <w:color w:val="auto"/>
          <w:sz w:val="24"/>
          <w:lang w:bidi="ar"/>
        </w:rPr>
        <w:t xml:space="preserve"> 居民区三角排列高</w:t>
      </w:r>
      <w:r>
        <w:rPr>
          <w:rFonts w:hint="default" w:ascii="Times New Roman" w:hAnsi="Times New Roman" w:eastAsia="宋体" w:cs="Times New Roman"/>
          <w:b/>
          <w:bCs/>
          <w:color w:val="auto"/>
          <w:sz w:val="24"/>
          <w:lang w:val="en-US" w:eastAsia="zh-CN" w:bidi="ar"/>
        </w:rPr>
        <w:t>7</w:t>
      </w:r>
      <w:r>
        <w:rPr>
          <w:rFonts w:hint="default" w:ascii="Times New Roman" w:hAnsi="Times New Roman" w:eastAsia="宋体" w:cs="Times New Roman"/>
          <w:b/>
          <w:bCs/>
          <w:color w:val="auto"/>
          <w:sz w:val="24"/>
          <w:lang w:bidi="ar"/>
        </w:rPr>
        <w:t>m电场</w:t>
      </w:r>
      <w:r>
        <w:rPr>
          <w:rFonts w:hint="default" w:ascii="Times New Roman" w:hAnsi="Times New Roman" w:eastAsia="宋体" w:cs="Times New Roman"/>
          <w:b/>
          <w:bCs/>
          <w:color w:val="auto"/>
          <w:sz w:val="24"/>
          <w:lang w:val="en-US" w:eastAsia="zh-CN" w:bidi="ar"/>
        </w:rPr>
        <w:t>强度等值线图</w:t>
      </w:r>
    </w:p>
    <w:p w14:paraId="47F69B80">
      <w:pPr>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color w:val="auto"/>
          <w:sz w:val="24"/>
          <w:lang w:eastAsia="zh-CN" w:bidi="ar"/>
        </w:rPr>
      </w:pPr>
      <w:r>
        <w:rPr>
          <w:rFonts w:hint="default" w:ascii="Times New Roman" w:hAnsi="Times New Roman" w:eastAsia="宋体" w:cs="Times New Roman"/>
          <w:color w:val="auto"/>
          <w:sz w:val="24"/>
          <w:lang w:eastAsia="zh-CN" w:bidi="ar"/>
        </w:rPr>
        <w:drawing>
          <wp:inline distT="0" distB="0" distL="114300" distR="114300">
            <wp:extent cx="5269230" cy="2479675"/>
            <wp:effectExtent l="0" t="0" r="7620" b="15875"/>
            <wp:docPr id="24" name="图片 24" descr="工频磁场图 110kV线路三角排列 线高7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工频磁场图 110kV线路三角排列 线高7m"/>
                    <pic:cNvPicPr>
                      <a:picLocks noChangeAspect="1"/>
                    </pic:cNvPicPr>
                  </pic:nvPicPr>
                  <pic:blipFill>
                    <a:blip r:embed="rId67"/>
                    <a:stretch>
                      <a:fillRect/>
                    </a:stretch>
                  </pic:blipFill>
                  <pic:spPr>
                    <a:xfrm>
                      <a:off x="0" y="0"/>
                      <a:ext cx="5269230" cy="2479675"/>
                    </a:xfrm>
                    <a:prstGeom prst="rect">
                      <a:avLst/>
                    </a:prstGeom>
                  </pic:spPr>
                </pic:pic>
              </a:graphicData>
            </a:graphic>
          </wp:inline>
        </w:drawing>
      </w:r>
    </w:p>
    <w:p w14:paraId="1E3B2009">
      <w:pPr>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b/>
          <w:bCs/>
          <w:color w:val="auto"/>
          <w:sz w:val="24"/>
          <w:lang w:bidi="ar"/>
        </w:rPr>
      </w:pPr>
      <w:r>
        <w:rPr>
          <w:rFonts w:hint="default" w:ascii="Times New Roman" w:hAnsi="Times New Roman" w:eastAsia="宋体" w:cs="Times New Roman"/>
          <w:b/>
          <w:bCs/>
          <w:color w:val="auto"/>
          <w:sz w:val="24"/>
          <w:lang w:bidi="ar"/>
        </w:rPr>
        <w:t>图5-</w:t>
      </w:r>
      <w:r>
        <w:rPr>
          <w:rFonts w:hint="default" w:ascii="Times New Roman" w:hAnsi="Times New Roman" w:eastAsia="宋体" w:cs="Times New Roman"/>
          <w:b/>
          <w:bCs/>
          <w:color w:val="auto"/>
          <w:sz w:val="24"/>
          <w:lang w:val="en-US" w:eastAsia="zh-CN" w:bidi="ar"/>
        </w:rPr>
        <w:t>7</w:t>
      </w:r>
      <w:r>
        <w:rPr>
          <w:rFonts w:hint="default" w:ascii="Times New Roman" w:hAnsi="Times New Roman" w:eastAsia="宋体" w:cs="Times New Roman"/>
          <w:b/>
          <w:bCs/>
          <w:color w:val="auto"/>
          <w:sz w:val="24"/>
          <w:lang w:bidi="ar"/>
        </w:rPr>
        <w:t xml:space="preserve"> 居民区三角排列高</w:t>
      </w:r>
      <w:r>
        <w:rPr>
          <w:rFonts w:hint="default" w:ascii="Times New Roman" w:hAnsi="Times New Roman" w:eastAsia="宋体" w:cs="Times New Roman"/>
          <w:b/>
          <w:bCs/>
          <w:color w:val="auto"/>
          <w:sz w:val="24"/>
          <w:lang w:val="en-US" w:eastAsia="zh-CN" w:bidi="ar"/>
        </w:rPr>
        <w:t>7</w:t>
      </w:r>
      <w:r>
        <w:rPr>
          <w:rFonts w:hint="default" w:ascii="Times New Roman" w:hAnsi="Times New Roman" w:eastAsia="宋体" w:cs="Times New Roman"/>
          <w:b/>
          <w:bCs/>
          <w:color w:val="auto"/>
          <w:sz w:val="24"/>
          <w:lang w:bidi="ar"/>
        </w:rPr>
        <w:t>m</w:t>
      </w:r>
      <w:r>
        <w:rPr>
          <w:rFonts w:hint="default" w:ascii="Times New Roman" w:hAnsi="Times New Roman" w:eastAsia="宋体" w:cs="Times New Roman"/>
          <w:b/>
          <w:bCs/>
          <w:color w:val="auto"/>
          <w:sz w:val="24"/>
          <w:lang w:val="en-US" w:eastAsia="zh-CN" w:bidi="ar"/>
        </w:rPr>
        <w:t>磁场强度</w:t>
      </w:r>
      <w:r>
        <w:rPr>
          <w:rFonts w:hint="default" w:ascii="Times New Roman" w:hAnsi="Times New Roman" w:eastAsia="宋体" w:cs="Times New Roman"/>
          <w:b/>
          <w:bCs/>
          <w:color w:val="auto"/>
          <w:sz w:val="24"/>
          <w:lang w:bidi="ar"/>
        </w:rPr>
        <w:t>综合量的分布情况</w:t>
      </w:r>
    </w:p>
    <w:p w14:paraId="0BE36FBC">
      <w:pPr>
        <w:pStyle w:val="29"/>
        <w:keepNext w:val="0"/>
        <w:keepLines w:val="0"/>
        <w:pageBreakBefore w:val="0"/>
        <w:tabs>
          <w:tab w:val="center" w:pos="4153"/>
          <w:tab w:val="right" w:pos="8306"/>
        </w:tabs>
        <w:kinsoku/>
        <w:wordWrap/>
        <w:overflowPunct/>
        <w:topLinePunct w:val="0"/>
        <w:bidi w:val="0"/>
        <w:adjustRightInd w:val="0"/>
        <w:snapToGrid w:val="0"/>
        <w:spacing w:before="0" w:after="0" w:line="240" w:lineRule="auto"/>
        <w:ind w:left="0" w:leftChars="0" w:firstLine="0" w:firstLineChars="0"/>
        <w:jc w:val="center"/>
        <w:rPr>
          <w:rFonts w:hint="default" w:ascii="Times New Roman" w:hAnsi="Times New Roman" w:eastAsia="宋体" w:cs="Times New Roman"/>
          <w:b/>
          <w:bCs/>
          <w:color w:val="auto"/>
          <w:sz w:val="24"/>
          <w:lang w:eastAsia="zh-CN" w:bidi="ar"/>
        </w:rPr>
      </w:pPr>
      <w:r>
        <w:rPr>
          <w:rFonts w:hint="default" w:ascii="Times New Roman" w:hAnsi="Times New Roman" w:eastAsia="宋体" w:cs="Times New Roman"/>
          <w:b/>
          <w:bCs/>
          <w:color w:val="auto"/>
          <w:sz w:val="24"/>
          <w:lang w:eastAsia="zh-CN" w:bidi="ar"/>
        </w:rPr>
        <w:drawing>
          <wp:inline distT="0" distB="0" distL="114300" distR="114300">
            <wp:extent cx="5271135" cy="3147060"/>
            <wp:effectExtent l="0" t="0" r="5715" b="15240"/>
            <wp:docPr id="4" name="图片 4" descr="磁场等值线图 110kV线路三角排列 线高7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磁场等值线图 110kV线路三角排列 线高7m"/>
                    <pic:cNvPicPr>
                      <a:picLocks noChangeAspect="1"/>
                    </pic:cNvPicPr>
                  </pic:nvPicPr>
                  <pic:blipFill>
                    <a:blip r:embed="rId68"/>
                    <a:stretch>
                      <a:fillRect/>
                    </a:stretch>
                  </pic:blipFill>
                  <pic:spPr>
                    <a:xfrm>
                      <a:off x="0" y="0"/>
                      <a:ext cx="5271135" cy="3147060"/>
                    </a:xfrm>
                    <a:prstGeom prst="rect">
                      <a:avLst/>
                    </a:prstGeom>
                  </pic:spPr>
                </pic:pic>
              </a:graphicData>
            </a:graphic>
          </wp:inline>
        </w:drawing>
      </w:r>
    </w:p>
    <w:p w14:paraId="36BA51C0">
      <w:pPr>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b/>
          <w:bCs/>
          <w:color w:val="auto"/>
          <w:sz w:val="24"/>
          <w:lang w:val="en-US" w:bidi="ar"/>
        </w:rPr>
      </w:pPr>
      <w:r>
        <w:rPr>
          <w:rFonts w:hint="default" w:ascii="Times New Roman" w:hAnsi="Times New Roman" w:eastAsia="宋体" w:cs="Times New Roman"/>
          <w:b/>
          <w:bCs/>
          <w:color w:val="auto"/>
          <w:sz w:val="24"/>
          <w:lang w:bidi="ar"/>
        </w:rPr>
        <w:t>图5-</w:t>
      </w:r>
      <w:r>
        <w:rPr>
          <w:rFonts w:hint="default" w:ascii="Times New Roman" w:hAnsi="Times New Roman" w:eastAsia="宋体" w:cs="Times New Roman"/>
          <w:b/>
          <w:bCs/>
          <w:color w:val="auto"/>
          <w:sz w:val="24"/>
          <w:lang w:val="en-US" w:eastAsia="zh-CN" w:bidi="ar"/>
        </w:rPr>
        <w:t>8</w:t>
      </w:r>
      <w:r>
        <w:rPr>
          <w:rFonts w:hint="default" w:ascii="Times New Roman" w:hAnsi="Times New Roman" w:eastAsia="宋体" w:cs="Times New Roman"/>
          <w:b/>
          <w:bCs/>
          <w:color w:val="auto"/>
          <w:sz w:val="24"/>
          <w:lang w:bidi="ar"/>
        </w:rPr>
        <w:t xml:space="preserve"> 居民区三角排列高</w:t>
      </w:r>
      <w:r>
        <w:rPr>
          <w:rFonts w:hint="default" w:ascii="Times New Roman" w:hAnsi="Times New Roman" w:eastAsia="宋体" w:cs="Times New Roman"/>
          <w:b/>
          <w:bCs/>
          <w:color w:val="auto"/>
          <w:sz w:val="24"/>
          <w:lang w:val="en-US" w:eastAsia="zh-CN" w:bidi="ar"/>
        </w:rPr>
        <w:t>7</w:t>
      </w:r>
      <w:r>
        <w:rPr>
          <w:rFonts w:hint="default" w:ascii="Times New Roman" w:hAnsi="Times New Roman" w:eastAsia="宋体" w:cs="Times New Roman"/>
          <w:b/>
          <w:bCs/>
          <w:color w:val="auto"/>
          <w:sz w:val="24"/>
          <w:lang w:bidi="ar"/>
        </w:rPr>
        <w:t>m</w:t>
      </w:r>
      <w:r>
        <w:rPr>
          <w:rFonts w:hint="default" w:ascii="Times New Roman" w:hAnsi="Times New Roman" w:eastAsia="宋体" w:cs="Times New Roman"/>
          <w:b/>
          <w:bCs/>
          <w:color w:val="auto"/>
          <w:sz w:val="24"/>
          <w:lang w:val="en-US" w:eastAsia="zh-CN" w:bidi="ar"/>
        </w:rPr>
        <w:t>磁感应强度等值线图</w:t>
      </w:r>
    </w:p>
    <w:p w14:paraId="21FDB982">
      <w:pPr>
        <w:spacing w:line="360" w:lineRule="auto"/>
        <w:ind w:firstLine="480" w:firstLineChars="200"/>
        <w:rPr>
          <w:rFonts w:hint="default" w:ascii="Times New Roman" w:hAnsi="Times New Roman" w:eastAsia="宋体" w:cs="Times New Roman"/>
          <w:color w:val="auto"/>
          <w:sz w:val="24"/>
          <w:lang w:val="en-US" w:eastAsia="zh-CN" w:bidi="ar"/>
        </w:rPr>
      </w:pPr>
      <w:r>
        <w:rPr>
          <w:rFonts w:hint="default" w:ascii="Times New Roman" w:hAnsi="Times New Roman" w:eastAsia="宋体" w:cs="Times New Roman"/>
          <w:color w:val="auto"/>
          <w:sz w:val="24"/>
          <w:lang w:bidi="ar"/>
        </w:rPr>
        <w:t>2）</w:t>
      </w:r>
      <w:r>
        <w:rPr>
          <w:rFonts w:hint="default" w:ascii="Times New Roman" w:hAnsi="Times New Roman" w:eastAsia="宋体" w:cs="Times New Roman"/>
          <w:color w:val="auto"/>
          <w:sz w:val="24"/>
          <w:lang w:val="en-US" w:eastAsia="zh-CN" w:bidi="ar"/>
        </w:rPr>
        <w:t>水平排列</w:t>
      </w:r>
    </w:p>
    <w:p w14:paraId="5764077E">
      <w:pPr>
        <w:spacing w:line="360" w:lineRule="auto"/>
        <w:ind w:firstLine="480" w:firstLineChars="200"/>
        <w:rPr>
          <w:rFonts w:hint="default" w:ascii="Times New Roman" w:hAnsi="Times New Roman" w:eastAsia="宋体" w:cs="Times New Roman"/>
          <w:color w:val="auto"/>
          <w:sz w:val="24"/>
          <w:lang w:bidi="ar"/>
        </w:rPr>
      </w:pPr>
      <w:r>
        <w:rPr>
          <w:rFonts w:hint="default" w:ascii="Times New Roman" w:hAnsi="Times New Roman" w:eastAsia="宋体" w:cs="Times New Roman"/>
          <w:color w:val="auto"/>
          <w:sz w:val="24"/>
          <w:lang w:bidi="ar"/>
        </w:rPr>
        <w:t>在塔型（2D1R8-JB3）段导线最低允许高度分别取6m（非居民区）、7m（居民区）下距地面1.5m高处工频电场强度、磁感应强度预测结果见表5-</w:t>
      </w:r>
      <w:r>
        <w:rPr>
          <w:rFonts w:hint="default" w:ascii="Times New Roman" w:hAnsi="Times New Roman" w:eastAsia="宋体" w:cs="Times New Roman"/>
          <w:color w:val="auto"/>
          <w:sz w:val="24"/>
          <w:lang w:val="en-US" w:eastAsia="zh-CN" w:bidi="ar"/>
        </w:rPr>
        <w:t>3</w:t>
      </w:r>
      <w:r>
        <w:rPr>
          <w:rFonts w:hint="default" w:ascii="Times New Roman" w:hAnsi="Times New Roman" w:eastAsia="宋体" w:cs="Times New Roman"/>
          <w:color w:val="auto"/>
          <w:sz w:val="24"/>
          <w:lang w:bidi="ar"/>
        </w:rPr>
        <w:t>。</w:t>
      </w:r>
    </w:p>
    <w:p w14:paraId="488DA116">
      <w:pPr>
        <w:adjustRightInd w:val="0"/>
        <w:snapToGrid w:val="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bidi="ar"/>
        </w:rPr>
        <w:t>表5-</w:t>
      </w:r>
      <w:r>
        <w:rPr>
          <w:rFonts w:hint="default" w:ascii="Times New Roman" w:hAnsi="Times New Roman" w:eastAsia="宋体" w:cs="Times New Roman"/>
          <w:b/>
          <w:bCs/>
          <w:color w:val="auto"/>
          <w:sz w:val="24"/>
          <w:szCs w:val="24"/>
          <w:lang w:val="en-US" w:eastAsia="zh-CN" w:bidi="ar"/>
        </w:rPr>
        <w:t>3</w:t>
      </w:r>
      <w:r>
        <w:rPr>
          <w:rFonts w:hint="default" w:ascii="Times New Roman" w:hAnsi="Times New Roman" w:eastAsia="宋体" w:cs="Times New Roman"/>
          <w:b/>
          <w:bCs/>
          <w:color w:val="auto"/>
          <w:sz w:val="24"/>
          <w:szCs w:val="24"/>
          <w:lang w:bidi="ar"/>
        </w:rPr>
        <w:t xml:space="preserve"> </w:t>
      </w:r>
      <w:r>
        <w:rPr>
          <w:rFonts w:hint="default" w:ascii="Times New Roman" w:hAnsi="Times New Roman" w:eastAsia="宋体" w:cs="Times New Roman"/>
          <w:b/>
          <w:bCs/>
          <w:color w:val="auto"/>
          <w:sz w:val="24"/>
          <w:szCs w:val="24"/>
          <w:lang w:val="en-US" w:eastAsia="zh-CN" w:bidi="ar"/>
        </w:rPr>
        <w:t xml:space="preserve"> </w:t>
      </w:r>
      <w:r>
        <w:rPr>
          <w:rFonts w:hint="default" w:ascii="Times New Roman" w:hAnsi="Times New Roman" w:eastAsia="宋体" w:cs="Times New Roman"/>
          <w:b/>
          <w:bCs/>
          <w:color w:val="auto"/>
          <w:sz w:val="24"/>
          <w:szCs w:val="24"/>
          <w:lang w:bidi="ar"/>
        </w:rPr>
        <w:t>线路工频电场强度</w:t>
      </w:r>
      <w:r>
        <w:rPr>
          <w:rFonts w:hint="default" w:ascii="Times New Roman" w:hAnsi="Times New Roman" w:eastAsia="宋体" w:cs="Times New Roman"/>
          <w:b/>
          <w:bCs/>
          <w:color w:val="auto"/>
          <w:sz w:val="24"/>
          <w:szCs w:val="24"/>
          <w:lang w:eastAsia="zh-CN" w:bidi="ar"/>
        </w:rPr>
        <w:t>、</w:t>
      </w:r>
      <w:r>
        <w:rPr>
          <w:rFonts w:hint="default" w:ascii="Times New Roman" w:hAnsi="Times New Roman" w:eastAsia="宋体" w:cs="Times New Roman"/>
          <w:b/>
          <w:bCs/>
          <w:color w:val="auto"/>
          <w:sz w:val="24"/>
          <w:szCs w:val="24"/>
          <w:lang w:val="en-US" w:eastAsia="zh-CN" w:bidi="ar"/>
        </w:rPr>
        <w:t>磁场强度</w:t>
      </w:r>
      <w:r>
        <w:rPr>
          <w:rFonts w:hint="default" w:ascii="Times New Roman" w:hAnsi="Times New Roman" w:eastAsia="宋体" w:cs="Times New Roman"/>
          <w:b/>
          <w:bCs/>
          <w:color w:val="auto"/>
          <w:sz w:val="24"/>
          <w:szCs w:val="24"/>
          <w:lang w:bidi="ar"/>
        </w:rPr>
        <w:t>预测结果</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0"/>
        <w:gridCol w:w="852"/>
        <w:gridCol w:w="1227"/>
        <w:gridCol w:w="1232"/>
        <w:gridCol w:w="1116"/>
        <w:gridCol w:w="1302"/>
        <w:gridCol w:w="1163"/>
      </w:tblGrid>
      <w:tr w14:paraId="57E44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gridSpan w:val="3"/>
            <w:vAlign w:val="center"/>
          </w:tcPr>
          <w:p w14:paraId="7D53681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塔型</w:t>
            </w:r>
          </w:p>
        </w:tc>
        <w:tc>
          <w:tcPr>
            <w:tcW w:w="0" w:type="auto"/>
            <w:gridSpan w:val="4"/>
            <w:vAlign w:val="center"/>
          </w:tcPr>
          <w:p w14:paraId="7D940F6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2D1R8-JB3</w:t>
            </w:r>
          </w:p>
        </w:tc>
      </w:tr>
      <w:tr w14:paraId="05A76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gridSpan w:val="3"/>
            <w:vAlign w:val="center"/>
          </w:tcPr>
          <w:p w14:paraId="2BF5486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w:t>
            </w:r>
          </w:p>
        </w:tc>
        <w:tc>
          <w:tcPr>
            <w:tcW w:w="0" w:type="auto"/>
            <w:gridSpan w:val="2"/>
            <w:vAlign w:val="center"/>
          </w:tcPr>
          <w:p w14:paraId="619DBA9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工频电场E（kV/m）</w:t>
            </w:r>
          </w:p>
        </w:tc>
        <w:tc>
          <w:tcPr>
            <w:tcW w:w="0" w:type="auto"/>
            <w:gridSpan w:val="2"/>
            <w:vAlign w:val="center"/>
          </w:tcPr>
          <w:p w14:paraId="274F1FE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磁感应强度B（μT）</w:t>
            </w:r>
          </w:p>
        </w:tc>
      </w:tr>
      <w:tr w14:paraId="102F5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gridSpan w:val="3"/>
            <w:shd w:val="clear" w:color="auto" w:fill="auto"/>
            <w:vAlign w:val="center"/>
          </w:tcPr>
          <w:p w14:paraId="1CAA04C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最低导线高度L（m）</w:t>
            </w:r>
          </w:p>
        </w:tc>
        <w:tc>
          <w:tcPr>
            <w:tcW w:w="0" w:type="auto"/>
            <w:shd w:val="clear" w:color="auto" w:fill="auto"/>
            <w:vAlign w:val="center"/>
          </w:tcPr>
          <w:p w14:paraId="7847168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6（非居民区）</w:t>
            </w:r>
          </w:p>
        </w:tc>
        <w:tc>
          <w:tcPr>
            <w:tcW w:w="0" w:type="auto"/>
            <w:shd w:val="clear" w:color="auto" w:fill="auto"/>
            <w:vAlign w:val="center"/>
          </w:tcPr>
          <w:p w14:paraId="6DA6E72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7（居民区）</w:t>
            </w:r>
          </w:p>
        </w:tc>
        <w:tc>
          <w:tcPr>
            <w:tcW w:w="0" w:type="auto"/>
            <w:shd w:val="clear" w:color="auto" w:fill="auto"/>
            <w:vAlign w:val="center"/>
          </w:tcPr>
          <w:p w14:paraId="3FD4AC9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6（非居民区）</w:t>
            </w:r>
          </w:p>
        </w:tc>
        <w:tc>
          <w:tcPr>
            <w:tcW w:w="0" w:type="auto"/>
            <w:shd w:val="clear" w:color="auto" w:fill="auto"/>
            <w:vAlign w:val="center"/>
          </w:tcPr>
          <w:p w14:paraId="37C2AB5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7（居民区）</w:t>
            </w:r>
          </w:p>
        </w:tc>
      </w:tr>
      <w:tr w14:paraId="23541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55D1D13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距线路中心距离（m）</w:t>
            </w:r>
          </w:p>
        </w:tc>
        <w:tc>
          <w:tcPr>
            <w:tcW w:w="0" w:type="auto"/>
            <w:gridSpan w:val="2"/>
            <w:vAlign w:val="center"/>
          </w:tcPr>
          <w:p w14:paraId="586D5DD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距边导线距离（m）</w:t>
            </w:r>
          </w:p>
        </w:tc>
        <w:tc>
          <w:tcPr>
            <w:tcW w:w="0" w:type="auto"/>
            <w:vAlign w:val="center"/>
          </w:tcPr>
          <w:p w14:paraId="5BBD2C9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离地1.5</w:t>
            </w:r>
          </w:p>
        </w:tc>
        <w:tc>
          <w:tcPr>
            <w:tcW w:w="0" w:type="auto"/>
            <w:vAlign w:val="center"/>
          </w:tcPr>
          <w:p w14:paraId="4322376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离地1.5</w:t>
            </w:r>
          </w:p>
        </w:tc>
        <w:tc>
          <w:tcPr>
            <w:tcW w:w="0" w:type="auto"/>
            <w:vAlign w:val="center"/>
          </w:tcPr>
          <w:p w14:paraId="2AACF17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离地1.5</w:t>
            </w:r>
          </w:p>
        </w:tc>
        <w:tc>
          <w:tcPr>
            <w:tcW w:w="0" w:type="auto"/>
            <w:vAlign w:val="center"/>
          </w:tcPr>
          <w:p w14:paraId="6FBE663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离地1.5</w:t>
            </w:r>
          </w:p>
        </w:tc>
      </w:tr>
      <w:tr w14:paraId="1C38D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1A5ECF7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-50</w:t>
            </w:r>
          </w:p>
        </w:tc>
        <w:tc>
          <w:tcPr>
            <w:tcW w:w="685" w:type="dxa"/>
            <w:vMerge w:val="restart"/>
            <w:vAlign w:val="center"/>
          </w:tcPr>
          <w:p w14:paraId="4398F01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边导线外</w:t>
            </w:r>
          </w:p>
        </w:tc>
        <w:tc>
          <w:tcPr>
            <w:tcW w:w="985" w:type="dxa"/>
            <w:vAlign w:val="center"/>
          </w:tcPr>
          <w:p w14:paraId="4563086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39.7</w:t>
            </w:r>
          </w:p>
        </w:tc>
        <w:tc>
          <w:tcPr>
            <w:tcW w:w="0" w:type="auto"/>
            <w:vAlign w:val="center"/>
          </w:tcPr>
          <w:p w14:paraId="2AA2859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0.0375</w:t>
            </w:r>
          </w:p>
        </w:tc>
        <w:tc>
          <w:tcPr>
            <w:tcW w:w="0" w:type="auto"/>
            <w:vAlign w:val="center"/>
          </w:tcPr>
          <w:p w14:paraId="0FF653E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0.0426</w:t>
            </w:r>
          </w:p>
        </w:tc>
        <w:tc>
          <w:tcPr>
            <w:tcW w:w="0" w:type="auto"/>
            <w:vAlign w:val="center"/>
          </w:tcPr>
          <w:p w14:paraId="58D9A60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0.9815</w:t>
            </w:r>
          </w:p>
        </w:tc>
        <w:tc>
          <w:tcPr>
            <w:tcW w:w="0" w:type="auto"/>
            <w:vAlign w:val="center"/>
          </w:tcPr>
          <w:p w14:paraId="5095C38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0.9771</w:t>
            </w:r>
          </w:p>
        </w:tc>
      </w:tr>
      <w:tr w14:paraId="0D79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5AA4024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-45</w:t>
            </w:r>
          </w:p>
        </w:tc>
        <w:tc>
          <w:tcPr>
            <w:tcW w:w="685" w:type="dxa"/>
            <w:vMerge w:val="continue"/>
            <w:vAlign w:val="center"/>
          </w:tcPr>
          <w:p w14:paraId="367310F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3E8011B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34.7</w:t>
            </w:r>
          </w:p>
        </w:tc>
        <w:tc>
          <w:tcPr>
            <w:tcW w:w="0" w:type="auto"/>
            <w:vAlign w:val="center"/>
          </w:tcPr>
          <w:p w14:paraId="12494BF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0.0522</w:t>
            </w:r>
          </w:p>
        </w:tc>
        <w:tc>
          <w:tcPr>
            <w:tcW w:w="0" w:type="auto"/>
            <w:vAlign w:val="center"/>
          </w:tcPr>
          <w:p w14:paraId="6939E03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0.0591</w:t>
            </w:r>
          </w:p>
        </w:tc>
        <w:tc>
          <w:tcPr>
            <w:tcW w:w="0" w:type="auto"/>
            <w:vAlign w:val="center"/>
          </w:tcPr>
          <w:p w14:paraId="726D44D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1.2234</w:t>
            </w:r>
          </w:p>
        </w:tc>
        <w:tc>
          <w:tcPr>
            <w:tcW w:w="0" w:type="auto"/>
            <w:vAlign w:val="center"/>
          </w:tcPr>
          <w:p w14:paraId="0195520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1.2165</w:t>
            </w:r>
          </w:p>
        </w:tc>
      </w:tr>
      <w:tr w14:paraId="6991A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4795654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-40</w:t>
            </w:r>
          </w:p>
        </w:tc>
        <w:tc>
          <w:tcPr>
            <w:tcW w:w="685" w:type="dxa"/>
            <w:vMerge w:val="continue"/>
            <w:vAlign w:val="center"/>
          </w:tcPr>
          <w:p w14:paraId="72C38A0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639E53C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29.7</w:t>
            </w:r>
          </w:p>
        </w:tc>
        <w:tc>
          <w:tcPr>
            <w:tcW w:w="0" w:type="auto"/>
            <w:vAlign w:val="center"/>
          </w:tcPr>
          <w:p w14:paraId="5B78254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0.0758</w:t>
            </w:r>
          </w:p>
        </w:tc>
        <w:tc>
          <w:tcPr>
            <w:tcW w:w="0" w:type="auto"/>
            <w:vAlign w:val="center"/>
          </w:tcPr>
          <w:p w14:paraId="51DC7C4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0.0855</w:t>
            </w:r>
          </w:p>
        </w:tc>
        <w:tc>
          <w:tcPr>
            <w:tcW w:w="0" w:type="auto"/>
            <w:vAlign w:val="center"/>
          </w:tcPr>
          <w:p w14:paraId="22BB5A8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1.5692</w:t>
            </w:r>
          </w:p>
        </w:tc>
        <w:tc>
          <w:tcPr>
            <w:tcW w:w="0" w:type="auto"/>
            <w:vAlign w:val="center"/>
          </w:tcPr>
          <w:p w14:paraId="56565D9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1.5574</w:t>
            </w:r>
          </w:p>
        </w:tc>
      </w:tr>
      <w:tr w14:paraId="3550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2FFDB8D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-35</w:t>
            </w:r>
          </w:p>
        </w:tc>
        <w:tc>
          <w:tcPr>
            <w:tcW w:w="685" w:type="dxa"/>
            <w:vMerge w:val="continue"/>
            <w:vAlign w:val="center"/>
          </w:tcPr>
          <w:p w14:paraId="186FBA6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42757C7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24.7</w:t>
            </w:r>
          </w:p>
        </w:tc>
        <w:tc>
          <w:tcPr>
            <w:tcW w:w="0" w:type="auto"/>
            <w:vAlign w:val="center"/>
          </w:tcPr>
          <w:p w14:paraId="5C83024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0.1165</w:t>
            </w:r>
          </w:p>
        </w:tc>
        <w:tc>
          <w:tcPr>
            <w:tcW w:w="0" w:type="auto"/>
            <w:vAlign w:val="center"/>
          </w:tcPr>
          <w:p w14:paraId="1A64086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0.1304</w:t>
            </w:r>
          </w:p>
        </w:tc>
        <w:tc>
          <w:tcPr>
            <w:tcW w:w="0" w:type="auto"/>
            <w:vAlign w:val="center"/>
          </w:tcPr>
          <w:p w14:paraId="6EE4527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2.0895</w:t>
            </w:r>
          </w:p>
        </w:tc>
        <w:tc>
          <w:tcPr>
            <w:tcW w:w="0" w:type="auto"/>
            <w:vAlign w:val="center"/>
          </w:tcPr>
          <w:p w14:paraId="719B60F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2.0679</w:t>
            </w:r>
          </w:p>
        </w:tc>
      </w:tr>
      <w:tr w14:paraId="0CDE9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5E03058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-30</w:t>
            </w:r>
          </w:p>
        </w:tc>
        <w:tc>
          <w:tcPr>
            <w:tcW w:w="685" w:type="dxa"/>
            <w:vMerge w:val="continue"/>
            <w:vAlign w:val="center"/>
          </w:tcPr>
          <w:p w14:paraId="50921CD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4C1B017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19.7</w:t>
            </w:r>
          </w:p>
        </w:tc>
        <w:tc>
          <w:tcPr>
            <w:tcW w:w="0" w:type="auto"/>
            <w:vAlign w:val="center"/>
          </w:tcPr>
          <w:p w14:paraId="5CA0248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0.1926</w:t>
            </w:r>
          </w:p>
        </w:tc>
        <w:tc>
          <w:tcPr>
            <w:tcW w:w="0" w:type="auto"/>
            <w:vAlign w:val="center"/>
          </w:tcPr>
          <w:p w14:paraId="1EE74AF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0.2131</w:t>
            </w:r>
          </w:p>
        </w:tc>
        <w:tc>
          <w:tcPr>
            <w:tcW w:w="0" w:type="auto"/>
            <w:vAlign w:val="center"/>
          </w:tcPr>
          <w:p w14:paraId="73D87FE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2.9286</w:t>
            </w:r>
          </w:p>
        </w:tc>
        <w:tc>
          <w:tcPr>
            <w:tcW w:w="0" w:type="auto"/>
            <w:vAlign w:val="center"/>
          </w:tcPr>
          <w:p w14:paraId="30D61B0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2.884</w:t>
            </w:r>
          </w:p>
        </w:tc>
      </w:tr>
      <w:tr w14:paraId="4999F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14B4720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-25</w:t>
            </w:r>
          </w:p>
        </w:tc>
        <w:tc>
          <w:tcPr>
            <w:tcW w:w="685" w:type="dxa"/>
            <w:vMerge w:val="continue"/>
            <w:vAlign w:val="center"/>
          </w:tcPr>
          <w:p w14:paraId="052D03B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3148FE5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14.7</w:t>
            </w:r>
          </w:p>
        </w:tc>
        <w:tc>
          <w:tcPr>
            <w:tcW w:w="0" w:type="auto"/>
            <w:vAlign w:val="center"/>
          </w:tcPr>
          <w:p w14:paraId="5483485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0.3532</w:t>
            </w:r>
          </w:p>
        </w:tc>
        <w:tc>
          <w:tcPr>
            <w:tcW w:w="0" w:type="auto"/>
            <w:vAlign w:val="center"/>
          </w:tcPr>
          <w:p w14:paraId="1D59ED7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0.3819</w:t>
            </w:r>
          </w:p>
        </w:tc>
        <w:tc>
          <w:tcPr>
            <w:tcW w:w="0" w:type="auto"/>
            <w:vAlign w:val="center"/>
          </w:tcPr>
          <w:p w14:paraId="2B16A88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4.4209</w:t>
            </w:r>
          </w:p>
        </w:tc>
        <w:tc>
          <w:tcPr>
            <w:tcW w:w="0" w:type="auto"/>
            <w:vAlign w:val="center"/>
          </w:tcPr>
          <w:p w14:paraId="779E4AD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4.3116</w:t>
            </w:r>
          </w:p>
        </w:tc>
      </w:tr>
      <w:tr w14:paraId="169D2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603F9B1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w:t>
            </w:r>
          </w:p>
        </w:tc>
        <w:tc>
          <w:tcPr>
            <w:tcW w:w="685" w:type="dxa"/>
            <w:vMerge w:val="continue"/>
            <w:vAlign w:val="center"/>
          </w:tcPr>
          <w:p w14:paraId="50B9655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00C5DFA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9.7</w:t>
            </w:r>
          </w:p>
        </w:tc>
        <w:tc>
          <w:tcPr>
            <w:tcW w:w="0" w:type="auto"/>
            <w:vAlign w:val="center"/>
          </w:tcPr>
          <w:p w14:paraId="63BD84D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0.7468</w:t>
            </w:r>
          </w:p>
        </w:tc>
        <w:tc>
          <w:tcPr>
            <w:tcW w:w="0" w:type="auto"/>
            <w:vAlign w:val="center"/>
          </w:tcPr>
          <w:p w14:paraId="66BED88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0.769</w:t>
            </w:r>
          </w:p>
        </w:tc>
        <w:tc>
          <w:tcPr>
            <w:tcW w:w="0" w:type="auto"/>
            <w:vAlign w:val="center"/>
          </w:tcPr>
          <w:p w14:paraId="6E391B5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7.4858</w:t>
            </w:r>
          </w:p>
        </w:tc>
        <w:tc>
          <w:tcPr>
            <w:tcW w:w="0" w:type="auto"/>
            <w:vAlign w:val="center"/>
          </w:tcPr>
          <w:p w14:paraId="2BEA2CC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7.1341</w:t>
            </w:r>
          </w:p>
        </w:tc>
      </w:tr>
      <w:tr w14:paraId="499C1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55EE902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-15</w:t>
            </w:r>
          </w:p>
        </w:tc>
        <w:tc>
          <w:tcPr>
            <w:tcW w:w="685" w:type="dxa"/>
            <w:vMerge w:val="continue"/>
            <w:vAlign w:val="center"/>
          </w:tcPr>
          <w:p w14:paraId="0F26F8F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5530A72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4.7</w:t>
            </w:r>
          </w:p>
        </w:tc>
        <w:tc>
          <w:tcPr>
            <w:tcW w:w="0" w:type="auto"/>
            <w:vAlign w:val="center"/>
          </w:tcPr>
          <w:p w14:paraId="793E954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1.8324</w:t>
            </w:r>
          </w:p>
        </w:tc>
        <w:tc>
          <w:tcPr>
            <w:tcW w:w="0" w:type="auto"/>
            <w:vAlign w:val="center"/>
          </w:tcPr>
          <w:p w14:paraId="50BD034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1.678</w:t>
            </w:r>
          </w:p>
        </w:tc>
        <w:tc>
          <w:tcPr>
            <w:tcW w:w="0" w:type="auto"/>
            <w:vAlign w:val="center"/>
          </w:tcPr>
          <w:p w14:paraId="7A34AAF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15.0648</w:t>
            </w:r>
          </w:p>
        </w:tc>
        <w:tc>
          <w:tcPr>
            <w:tcW w:w="0" w:type="auto"/>
            <w:vAlign w:val="center"/>
          </w:tcPr>
          <w:p w14:paraId="7E1A949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13.4147</w:t>
            </w:r>
          </w:p>
        </w:tc>
      </w:tr>
      <w:tr w14:paraId="179EF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A045F1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-10</w:t>
            </w:r>
          </w:p>
        </w:tc>
        <w:tc>
          <w:tcPr>
            <w:tcW w:w="685" w:type="dxa"/>
            <w:vMerge w:val="restart"/>
            <w:vAlign w:val="center"/>
          </w:tcPr>
          <w:p w14:paraId="10FB688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边导线内</w:t>
            </w:r>
          </w:p>
        </w:tc>
        <w:tc>
          <w:tcPr>
            <w:tcW w:w="985" w:type="dxa"/>
            <w:vAlign w:val="center"/>
          </w:tcPr>
          <w:p w14:paraId="3B5FAA5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边导线内</w:t>
            </w:r>
          </w:p>
        </w:tc>
        <w:tc>
          <w:tcPr>
            <w:tcW w:w="0" w:type="auto"/>
            <w:vAlign w:val="center"/>
          </w:tcPr>
          <w:p w14:paraId="1CDC92A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3.1133</w:t>
            </w:r>
          </w:p>
        </w:tc>
        <w:tc>
          <w:tcPr>
            <w:tcW w:w="0" w:type="auto"/>
            <w:vAlign w:val="center"/>
          </w:tcPr>
          <w:p w14:paraId="4ADF42D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2.4682</w:t>
            </w:r>
          </w:p>
        </w:tc>
        <w:tc>
          <w:tcPr>
            <w:tcW w:w="0" w:type="auto"/>
            <w:vAlign w:val="center"/>
          </w:tcPr>
          <w:p w14:paraId="2AE14E4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28.567</w:t>
            </w:r>
          </w:p>
        </w:tc>
        <w:tc>
          <w:tcPr>
            <w:tcW w:w="0" w:type="auto"/>
            <w:vAlign w:val="center"/>
          </w:tcPr>
          <w:p w14:paraId="253DBD5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22.9216</w:t>
            </w:r>
          </w:p>
        </w:tc>
      </w:tr>
      <w:tr w14:paraId="26B6B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20E78D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-9</w:t>
            </w:r>
          </w:p>
        </w:tc>
        <w:tc>
          <w:tcPr>
            <w:tcW w:w="685" w:type="dxa"/>
            <w:vMerge w:val="continue"/>
            <w:vAlign w:val="center"/>
          </w:tcPr>
          <w:p w14:paraId="7106F66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28A1336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边导线内</w:t>
            </w:r>
          </w:p>
        </w:tc>
        <w:tc>
          <w:tcPr>
            <w:tcW w:w="0" w:type="auto"/>
            <w:vAlign w:val="center"/>
          </w:tcPr>
          <w:p w14:paraId="3DC25BA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2.8882</w:t>
            </w:r>
          </w:p>
        </w:tc>
        <w:tc>
          <w:tcPr>
            <w:tcW w:w="0" w:type="auto"/>
            <w:vAlign w:val="center"/>
          </w:tcPr>
          <w:p w14:paraId="525FBE3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2.3181</w:t>
            </w:r>
          </w:p>
        </w:tc>
        <w:tc>
          <w:tcPr>
            <w:tcW w:w="0" w:type="auto"/>
            <w:vAlign w:val="center"/>
          </w:tcPr>
          <w:p w14:paraId="5589A33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29.468</w:t>
            </w:r>
          </w:p>
        </w:tc>
        <w:tc>
          <w:tcPr>
            <w:tcW w:w="0" w:type="auto"/>
            <w:vAlign w:val="center"/>
          </w:tcPr>
          <w:p w14:paraId="37E32FC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23.8357</w:t>
            </w:r>
          </w:p>
        </w:tc>
      </w:tr>
      <w:tr w14:paraId="1D94F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457A9A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-8</w:t>
            </w:r>
          </w:p>
        </w:tc>
        <w:tc>
          <w:tcPr>
            <w:tcW w:w="685" w:type="dxa"/>
            <w:vMerge w:val="continue"/>
            <w:vAlign w:val="center"/>
          </w:tcPr>
          <w:p w14:paraId="3AE69D3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5B6866F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边导线内</w:t>
            </w:r>
          </w:p>
        </w:tc>
        <w:tc>
          <w:tcPr>
            <w:tcW w:w="0" w:type="auto"/>
            <w:vAlign w:val="center"/>
          </w:tcPr>
          <w:p w14:paraId="294CECC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2.5156</w:t>
            </w:r>
          </w:p>
        </w:tc>
        <w:tc>
          <w:tcPr>
            <w:tcW w:w="0" w:type="auto"/>
            <w:vAlign w:val="center"/>
          </w:tcPr>
          <w:p w14:paraId="0616E3F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2.076</w:t>
            </w:r>
          </w:p>
        </w:tc>
        <w:tc>
          <w:tcPr>
            <w:tcW w:w="0" w:type="auto"/>
            <w:vAlign w:val="center"/>
          </w:tcPr>
          <w:p w14:paraId="021DA93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29.4623</w:t>
            </w:r>
          </w:p>
        </w:tc>
        <w:tc>
          <w:tcPr>
            <w:tcW w:w="0" w:type="auto"/>
            <w:vAlign w:val="center"/>
          </w:tcPr>
          <w:p w14:paraId="56F142A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24.2419</w:t>
            </w:r>
          </w:p>
        </w:tc>
      </w:tr>
      <w:tr w14:paraId="1A400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2BD52E0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-7</w:t>
            </w:r>
          </w:p>
        </w:tc>
        <w:tc>
          <w:tcPr>
            <w:tcW w:w="685" w:type="dxa"/>
            <w:vMerge w:val="continue"/>
            <w:vAlign w:val="center"/>
          </w:tcPr>
          <w:p w14:paraId="5442691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00527B3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边导线内</w:t>
            </w:r>
          </w:p>
        </w:tc>
        <w:tc>
          <w:tcPr>
            <w:tcW w:w="0" w:type="auto"/>
            <w:vAlign w:val="center"/>
          </w:tcPr>
          <w:p w14:paraId="0C5FD3A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2.115</w:t>
            </w:r>
          </w:p>
        </w:tc>
        <w:tc>
          <w:tcPr>
            <w:tcW w:w="0" w:type="auto"/>
            <w:vAlign w:val="center"/>
          </w:tcPr>
          <w:p w14:paraId="5114F2C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1.8085</w:t>
            </w:r>
          </w:p>
        </w:tc>
        <w:tc>
          <w:tcPr>
            <w:tcW w:w="0" w:type="auto"/>
            <w:vAlign w:val="center"/>
          </w:tcPr>
          <w:p w14:paraId="06066F8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29.0157</w:t>
            </w:r>
          </w:p>
        </w:tc>
        <w:tc>
          <w:tcPr>
            <w:tcW w:w="0" w:type="auto"/>
            <w:vAlign w:val="center"/>
          </w:tcPr>
          <w:p w14:paraId="7EDDE0E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24.3222</w:t>
            </w:r>
          </w:p>
        </w:tc>
      </w:tr>
      <w:tr w14:paraId="4AB08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3C47127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-6</w:t>
            </w:r>
          </w:p>
        </w:tc>
        <w:tc>
          <w:tcPr>
            <w:tcW w:w="685" w:type="dxa"/>
            <w:vMerge w:val="continue"/>
            <w:vAlign w:val="center"/>
          </w:tcPr>
          <w:p w14:paraId="617DBFD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231F204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边导线内</w:t>
            </w:r>
          </w:p>
        </w:tc>
        <w:tc>
          <w:tcPr>
            <w:tcW w:w="0" w:type="auto"/>
            <w:vAlign w:val="center"/>
          </w:tcPr>
          <w:p w14:paraId="1C1105E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1.8052</w:t>
            </w:r>
          </w:p>
        </w:tc>
        <w:tc>
          <w:tcPr>
            <w:tcW w:w="0" w:type="auto"/>
            <w:vAlign w:val="center"/>
          </w:tcPr>
          <w:p w14:paraId="05B5CFA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1.5933</w:t>
            </w:r>
          </w:p>
        </w:tc>
        <w:tc>
          <w:tcPr>
            <w:tcW w:w="0" w:type="auto"/>
            <w:vAlign w:val="center"/>
          </w:tcPr>
          <w:p w14:paraId="6067CF8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28.5544</w:t>
            </w:r>
          </w:p>
        </w:tc>
        <w:tc>
          <w:tcPr>
            <w:tcW w:w="0" w:type="auto"/>
            <w:vAlign w:val="center"/>
          </w:tcPr>
          <w:p w14:paraId="627E040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24.2834</w:t>
            </w:r>
          </w:p>
        </w:tc>
      </w:tr>
      <w:tr w14:paraId="6438F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756D58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-5</w:t>
            </w:r>
          </w:p>
        </w:tc>
        <w:tc>
          <w:tcPr>
            <w:tcW w:w="685" w:type="dxa"/>
            <w:vMerge w:val="continue"/>
            <w:vAlign w:val="center"/>
          </w:tcPr>
          <w:p w14:paraId="724BB2D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5AD763B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边导线内</w:t>
            </w:r>
          </w:p>
        </w:tc>
        <w:tc>
          <w:tcPr>
            <w:tcW w:w="0" w:type="auto"/>
            <w:vAlign w:val="center"/>
          </w:tcPr>
          <w:p w14:paraId="20B40AE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1.6883</w:t>
            </w:r>
          </w:p>
        </w:tc>
        <w:tc>
          <w:tcPr>
            <w:tcW w:w="0" w:type="auto"/>
            <w:vAlign w:val="center"/>
          </w:tcPr>
          <w:p w14:paraId="174B7EF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1.5014</w:t>
            </w:r>
          </w:p>
        </w:tc>
        <w:tc>
          <w:tcPr>
            <w:tcW w:w="0" w:type="auto"/>
            <w:vAlign w:val="center"/>
          </w:tcPr>
          <w:p w14:paraId="5DFACC2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28.3469</w:t>
            </w:r>
          </w:p>
        </w:tc>
        <w:tc>
          <w:tcPr>
            <w:tcW w:w="0" w:type="auto"/>
            <w:vAlign w:val="center"/>
          </w:tcPr>
          <w:p w14:paraId="73493B7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24.2849</w:t>
            </w:r>
          </w:p>
        </w:tc>
      </w:tr>
      <w:tr w14:paraId="02EAA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CAC440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w:t>
            </w:r>
          </w:p>
        </w:tc>
        <w:tc>
          <w:tcPr>
            <w:tcW w:w="685" w:type="dxa"/>
            <w:vMerge w:val="continue"/>
            <w:vAlign w:val="center"/>
          </w:tcPr>
          <w:p w14:paraId="22A64AF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7881BFB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边导线内</w:t>
            </w:r>
          </w:p>
        </w:tc>
        <w:tc>
          <w:tcPr>
            <w:tcW w:w="0" w:type="auto"/>
            <w:vAlign w:val="center"/>
          </w:tcPr>
          <w:p w14:paraId="3231029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1.8067</w:t>
            </w:r>
          </w:p>
        </w:tc>
        <w:tc>
          <w:tcPr>
            <w:tcW w:w="0" w:type="auto"/>
            <w:vAlign w:val="center"/>
          </w:tcPr>
          <w:p w14:paraId="61B35B1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1.5634</w:t>
            </w:r>
          </w:p>
        </w:tc>
        <w:tc>
          <w:tcPr>
            <w:tcW w:w="0" w:type="auto"/>
            <w:vAlign w:val="center"/>
          </w:tcPr>
          <w:p w14:paraId="1F2EE78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28.5178</w:t>
            </w:r>
          </w:p>
        </w:tc>
        <w:tc>
          <w:tcPr>
            <w:tcW w:w="0" w:type="auto"/>
            <w:vAlign w:val="center"/>
          </w:tcPr>
          <w:p w14:paraId="2BD7EB3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24.4141</w:t>
            </w:r>
          </w:p>
        </w:tc>
      </w:tr>
      <w:tr w14:paraId="47A57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657D08A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w:t>
            </w:r>
          </w:p>
        </w:tc>
        <w:tc>
          <w:tcPr>
            <w:tcW w:w="685" w:type="dxa"/>
            <w:vMerge w:val="continue"/>
            <w:vAlign w:val="center"/>
          </w:tcPr>
          <w:p w14:paraId="6602982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7D7850A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边导线内</w:t>
            </w:r>
          </w:p>
        </w:tc>
        <w:tc>
          <w:tcPr>
            <w:tcW w:w="0" w:type="auto"/>
            <w:vAlign w:val="center"/>
          </w:tcPr>
          <w:p w14:paraId="53FD938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2.1039</w:t>
            </w:r>
          </w:p>
        </w:tc>
        <w:tc>
          <w:tcPr>
            <w:tcW w:w="0" w:type="auto"/>
            <w:vAlign w:val="center"/>
          </w:tcPr>
          <w:p w14:paraId="10E51E1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1.7422</w:t>
            </w:r>
          </w:p>
        </w:tc>
        <w:tc>
          <w:tcPr>
            <w:tcW w:w="0" w:type="auto"/>
            <w:vAlign w:val="center"/>
          </w:tcPr>
          <w:p w14:paraId="7114900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29.0684</w:t>
            </w:r>
          </w:p>
        </w:tc>
        <w:tc>
          <w:tcPr>
            <w:tcW w:w="0" w:type="auto"/>
            <w:vAlign w:val="center"/>
          </w:tcPr>
          <w:p w14:paraId="1B43799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24.682</w:t>
            </w:r>
          </w:p>
        </w:tc>
      </w:tr>
      <w:tr w14:paraId="39509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5F90EC0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w:t>
            </w:r>
          </w:p>
        </w:tc>
        <w:tc>
          <w:tcPr>
            <w:tcW w:w="685" w:type="dxa"/>
            <w:vMerge w:val="continue"/>
            <w:vAlign w:val="center"/>
          </w:tcPr>
          <w:p w14:paraId="7402AA3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4214B56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边导线内</w:t>
            </w:r>
          </w:p>
        </w:tc>
        <w:tc>
          <w:tcPr>
            <w:tcW w:w="0" w:type="auto"/>
            <w:vAlign w:val="center"/>
          </w:tcPr>
          <w:p w14:paraId="4F32525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2.4653</w:t>
            </w:r>
          </w:p>
        </w:tc>
        <w:tc>
          <w:tcPr>
            <w:tcW w:w="0" w:type="auto"/>
            <w:vAlign w:val="center"/>
          </w:tcPr>
          <w:p w14:paraId="4B91077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1.9591</w:t>
            </w:r>
          </w:p>
        </w:tc>
        <w:tc>
          <w:tcPr>
            <w:tcW w:w="0" w:type="auto"/>
            <w:vAlign w:val="center"/>
          </w:tcPr>
          <w:p w14:paraId="3955F06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29.8585</w:t>
            </w:r>
          </w:p>
        </w:tc>
        <w:tc>
          <w:tcPr>
            <w:tcW w:w="0" w:type="auto"/>
            <w:vAlign w:val="center"/>
          </w:tcPr>
          <w:p w14:paraId="379782E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25.0252</w:t>
            </w:r>
          </w:p>
        </w:tc>
      </w:tr>
      <w:tr w14:paraId="77494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6020D63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w:t>
            </w:r>
          </w:p>
        </w:tc>
        <w:tc>
          <w:tcPr>
            <w:tcW w:w="685" w:type="dxa"/>
            <w:vMerge w:val="continue"/>
            <w:vAlign w:val="center"/>
          </w:tcPr>
          <w:p w14:paraId="05CF646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0E1D030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边导线内</w:t>
            </w:r>
          </w:p>
        </w:tc>
        <w:tc>
          <w:tcPr>
            <w:tcW w:w="0" w:type="auto"/>
            <w:vAlign w:val="center"/>
          </w:tcPr>
          <w:p w14:paraId="7AB3C3D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2.762</w:t>
            </w:r>
          </w:p>
        </w:tc>
        <w:tc>
          <w:tcPr>
            <w:tcW w:w="0" w:type="auto"/>
            <w:vAlign w:val="center"/>
          </w:tcPr>
          <w:p w14:paraId="68D6D6E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2.1319</w:t>
            </w:r>
          </w:p>
        </w:tc>
        <w:tc>
          <w:tcPr>
            <w:tcW w:w="0" w:type="auto"/>
            <w:vAlign w:val="center"/>
          </w:tcPr>
          <w:p w14:paraId="10511B2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30.5876</w:t>
            </w:r>
          </w:p>
        </w:tc>
        <w:tc>
          <w:tcPr>
            <w:tcW w:w="0" w:type="auto"/>
            <w:vAlign w:val="center"/>
          </w:tcPr>
          <w:p w14:paraId="4D8AA6C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25.3205</w:t>
            </w:r>
          </w:p>
        </w:tc>
      </w:tr>
      <w:tr w14:paraId="6DA8F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13739C2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w:t>
            </w:r>
          </w:p>
        </w:tc>
        <w:tc>
          <w:tcPr>
            <w:tcW w:w="685" w:type="dxa"/>
            <w:vMerge w:val="continue"/>
            <w:vAlign w:val="center"/>
          </w:tcPr>
          <w:p w14:paraId="4EB5D5C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24FB164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边导线内</w:t>
            </w:r>
          </w:p>
        </w:tc>
        <w:tc>
          <w:tcPr>
            <w:tcW w:w="0" w:type="auto"/>
            <w:vAlign w:val="center"/>
          </w:tcPr>
          <w:p w14:paraId="6D2859A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2.8777</w:t>
            </w:r>
          </w:p>
        </w:tc>
        <w:tc>
          <w:tcPr>
            <w:tcW w:w="0" w:type="auto"/>
            <w:vAlign w:val="center"/>
          </w:tcPr>
          <w:p w14:paraId="25A77C6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2.1976</w:t>
            </w:r>
          </w:p>
        </w:tc>
        <w:tc>
          <w:tcPr>
            <w:tcW w:w="0" w:type="auto"/>
            <w:vAlign w:val="center"/>
          </w:tcPr>
          <w:p w14:paraId="32DC781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30.8893</w:t>
            </w:r>
          </w:p>
        </w:tc>
        <w:tc>
          <w:tcPr>
            <w:tcW w:w="0" w:type="auto"/>
            <w:vAlign w:val="center"/>
          </w:tcPr>
          <w:p w14:paraId="748A20B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25.4379</w:t>
            </w:r>
          </w:p>
        </w:tc>
      </w:tr>
      <w:tr w14:paraId="2AFB4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425AFF9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w:t>
            </w:r>
          </w:p>
        </w:tc>
        <w:tc>
          <w:tcPr>
            <w:tcW w:w="685" w:type="dxa"/>
            <w:vMerge w:val="continue"/>
            <w:vAlign w:val="center"/>
          </w:tcPr>
          <w:p w14:paraId="1FB7985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3E921AA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边导线内</w:t>
            </w:r>
          </w:p>
        </w:tc>
        <w:tc>
          <w:tcPr>
            <w:tcW w:w="0" w:type="auto"/>
            <w:vAlign w:val="center"/>
          </w:tcPr>
          <w:p w14:paraId="44517CF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2.762</w:t>
            </w:r>
          </w:p>
        </w:tc>
        <w:tc>
          <w:tcPr>
            <w:tcW w:w="0" w:type="auto"/>
            <w:vAlign w:val="center"/>
          </w:tcPr>
          <w:p w14:paraId="3B4E8F8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2.1319</w:t>
            </w:r>
          </w:p>
        </w:tc>
        <w:tc>
          <w:tcPr>
            <w:tcW w:w="0" w:type="auto"/>
            <w:vAlign w:val="center"/>
          </w:tcPr>
          <w:p w14:paraId="3E741FF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30.5876</w:t>
            </w:r>
          </w:p>
        </w:tc>
        <w:tc>
          <w:tcPr>
            <w:tcW w:w="0" w:type="auto"/>
            <w:vAlign w:val="center"/>
          </w:tcPr>
          <w:p w14:paraId="744F631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25.3205</w:t>
            </w:r>
          </w:p>
        </w:tc>
      </w:tr>
      <w:tr w14:paraId="51B80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FE8DD4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w:t>
            </w:r>
          </w:p>
        </w:tc>
        <w:tc>
          <w:tcPr>
            <w:tcW w:w="685" w:type="dxa"/>
            <w:vMerge w:val="continue"/>
            <w:vAlign w:val="center"/>
          </w:tcPr>
          <w:p w14:paraId="31BBB3C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616D3AB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边导线内</w:t>
            </w:r>
          </w:p>
        </w:tc>
        <w:tc>
          <w:tcPr>
            <w:tcW w:w="0" w:type="auto"/>
            <w:vAlign w:val="center"/>
          </w:tcPr>
          <w:p w14:paraId="1428BD7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2.4653</w:t>
            </w:r>
          </w:p>
        </w:tc>
        <w:tc>
          <w:tcPr>
            <w:tcW w:w="0" w:type="auto"/>
            <w:vAlign w:val="center"/>
          </w:tcPr>
          <w:p w14:paraId="0882150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1.9591</w:t>
            </w:r>
          </w:p>
        </w:tc>
        <w:tc>
          <w:tcPr>
            <w:tcW w:w="0" w:type="auto"/>
            <w:vAlign w:val="center"/>
          </w:tcPr>
          <w:p w14:paraId="3C0CDAB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29.8585</w:t>
            </w:r>
          </w:p>
        </w:tc>
        <w:tc>
          <w:tcPr>
            <w:tcW w:w="0" w:type="auto"/>
            <w:vAlign w:val="center"/>
          </w:tcPr>
          <w:p w14:paraId="4B326EA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25.0252</w:t>
            </w:r>
          </w:p>
        </w:tc>
      </w:tr>
      <w:tr w14:paraId="25B28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23F295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w:t>
            </w:r>
          </w:p>
        </w:tc>
        <w:tc>
          <w:tcPr>
            <w:tcW w:w="685" w:type="dxa"/>
            <w:vMerge w:val="continue"/>
            <w:vAlign w:val="center"/>
          </w:tcPr>
          <w:p w14:paraId="14F5C39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71B5F24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边导线内</w:t>
            </w:r>
          </w:p>
        </w:tc>
        <w:tc>
          <w:tcPr>
            <w:tcW w:w="0" w:type="auto"/>
            <w:vAlign w:val="center"/>
          </w:tcPr>
          <w:p w14:paraId="78EB243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2.1039</w:t>
            </w:r>
          </w:p>
        </w:tc>
        <w:tc>
          <w:tcPr>
            <w:tcW w:w="0" w:type="auto"/>
            <w:vAlign w:val="center"/>
          </w:tcPr>
          <w:p w14:paraId="158F45B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1.7422</w:t>
            </w:r>
          </w:p>
        </w:tc>
        <w:tc>
          <w:tcPr>
            <w:tcW w:w="0" w:type="auto"/>
            <w:vAlign w:val="center"/>
          </w:tcPr>
          <w:p w14:paraId="56CB8AF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29.0684</w:t>
            </w:r>
          </w:p>
        </w:tc>
        <w:tc>
          <w:tcPr>
            <w:tcW w:w="0" w:type="auto"/>
            <w:vAlign w:val="center"/>
          </w:tcPr>
          <w:p w14:paraId="476DB94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24.682</w:t>
            </w:r>
          </w:p>
        </w:tc>
      </w:tr>
      <w:tr w14:paraId="6F12D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7BE6C5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w:t>
            </w:r>
          </w:p>
        </w:tc>
        <w:tc>
          <w:tcPr>
            <w:tcW w:w="685" w:type="dxa"/>
            <w:vMerge w:val="continue"/>
            <w:vAlign w:val="center"/>
          </w:tcPr>
          <w:p w14:paraId="655B3DA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4EA2E80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边导线内</w:t>
            </w:r>
          </w:p>
        </w:tc>
        <w:tc>
          <w:tcPr>
            <w:tcW w:w="0" w:type="auto"/>
            <w:vAlign w:val="center"/>
          </w:tcPr>
          <w:p w14:paraId="469D820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1.8067</w:t>
            </w:r>
          </w:p>
        </w:tc>
        <w:tc>
          <w:tcPr>
            <w:tcW w:w="0" w:type="auto"/>
            <w:vAlign w:val="center"/>
          </w:tcPr>
          <w:p w14:paraId="1043DE0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1.5634</w:t>
            </w:r>
          </w:p>
        </w:tc>
        <w:tc>
          <w:tcPr>
            <w:tcW w:w="0" w:type="auto"/>
            <w:vAlign w:val="center"/>
          </w:tcPr>
          <w:p w14:paraId="2470BC8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28.5178</w:t>
            </w:r>
          </w:p>
        </w:tc>
        <w:tc>
          <w:tcPr>
            <w:tcW w:w="0" w:type="auto"/>
            <w:vAlign w:val="center"/>
          </w:tcPr>
          <w:p w14:paraId="71482A9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24.4141</w:t>
            </w:r>
          </w:p>
        </w:tc>
      </w:tr>
      <w:tr w14:paraId="51E22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36C0DA0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5</w:t>
            </w:r>
          </w:p>
        </w:tc>
        <w:tc>
          <w:tcPr>
            <w:tcW w:w="685" w:type="dxa"/>
            <w:vMerge w:val="continue"/>
            <w:vAlign w:val="center"/>
          </w:tcPr>
          <w:p w14:paraId="33F49BA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159C0B9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边导线内</w:t>
            </w:r>
          </w:p>
        </w:tc>
        <w:tc>
          <w:tcPr>
            <w:tcW w:w="0" w:type="auto"/>
            <w:vAlign w:val="center"/>
          </w:tcPr>
          <w:p w14:paraId="7560438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1.6883</w:t>
            </w:r>
          </w:p>
        </w:tc>
        <w:tc>
          <w:tcPr>
            <w:tcW w:w="0" w:type="auto"/>
            <w:vAlign w:val="center"/>
          </w:tcPr>
          <w:p w14:paraId="562DF26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1.5014</w:t>
            </w:r>
          </w:p>
        </w:tc>
        <w:tc>
          <w:tcPr>
            <w:tcW w:w="0" w:type="auto"/>
            <w:vAlign w:val="center"/>
          </w:tcPr>
          <w:p w14:paraId="6765155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28.3469</w:t>
            </w:r>
          </w:p>
        </w:tc>
        <w:tc>
          <w:tcPr>
            <w:tcW w:w="0" w:type="auto"/>
            <w:vAlign w:val="center"/>
          </w:tcPr>
          <w:p w14:paraId="7E7B473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24.2849</w:t>
            </w:r>
          </w:p>
        </w:tc>
      </w:tr>
      <w:tr w14:paraId="7A01B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657585A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6</w:t>
            </w:r>
          </w:p>
        </w:tc>
        <w:tc>
          <w:tcPr>
            <w:tcW w:w="685" w:type="dxa"/>
            <w:vMerge w:val="continue"/>
            <w:vAlign w:val="center"/>
          </w:tcPr>
          <w:p w14:paraId="4AEC740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3EE08D5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边导线内</w:t>
            </w:r>
          </w:p>
        </w:tc>
        <w:tc>
          <w:tcPr>
            <w:tcW w:w="0" w:type="auto"/>
            <w:vAlign w:val="center"/>
          </w:tcPr>
          <w:p w14:paraId="6DF239C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1.8052</w:t>
            </w:r>
          </w:p>
        </w:tc>
        <w:tc>
          <w:tcPr>
            <w:tcW w:w="0" w:type="auto"/>
            <w:vAlign w:val="center"/>
          </w:tcPr>
          <w:p w14:paraId="2692251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1.5933</w:t>
            </w:r>
          </w:p>
        </w:tc>
        <w:tc>
          <w:tcPr>
            <w:tcW w:w="0" w:type="auto"/>
            <w:vAlign w:val="center"/>
          </w:tcPr>
          <w:p w14:paraId="629BB65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28.5544</w:t>
            </w:r>
          </w:p>
        </w:tc>
        <w:tc>
          <w:tcPr>
            <w:tcW w:w="0" w:type="auto"/>
            <w:vAlign w:val="center"/>
          </w:tcPr>
          <w:p w14:paraId="4FD1ADF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24.2834</w:t>
            </w:r>
          </w:p>
        </w:tc>
      </w:tr>
      <w:tr w14:paraId="52DF4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6C20F6D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7</w:t>
            </w:r>
          </w:p>
        </w:tc>
        <w:tc>
          <w:tcPr>
            <w:tcW w:w="685" w:type="dxa"/>
            <w:vMerge w:val="continue"/>
            <w:vAlign w:val="center"/>
          </w:tcPr>
          <w:p w14:paraId="2D3C4B1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0179006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边导线内</w:t>
            </w:r>
          </w:p>
        </w:tc>
        <w:tc>
          <w:tcPr>
            <w:tcW w:w="0" w:type="auto"/>
            <w:vAlign w:val="center"/>
          </w:tcPr>
          <w:p w14:paraId="69360D0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2.115</w:t>
            </w:r>
          </w:p>
        </w:tc>
        <w:tc>
          <w:tcPr>
            <w:tcW w:w="0" w:type="auto"/>
            <w:vAlign w:val="center"/>
          </w:tcPr>
          <w:p w14:paraId="734567E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1.8085</w:t>
            </w:r>
          </w:p>
        </w:tc>
        <w:tc>
          <w:tcPr>
            <w:tcW w:w="0" w:type="auto"/>
            <w:vAlign w:val="center"/>
          </w:tcPr>
          <w:p w14:paraId="591456F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29.0157</w:t>
            </w:r>
          </w:p>
        </w:tc>
        <w:tc>
          <w:tcPr>
            <w:tcW w:w="0" w:type="auto"/>
            <w:vAlign w:val="center"/>
          </w:tcPr>
          <w:p w14:paraId="26CEAFB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24.3222</w:t>
            </w:r>
          </w:p>
        </w:tc>
      </w:tr>
      <w:tr w14:paraId="740CC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66730D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8</w:t>
            </w:r>
          </w:p>
        </w:tc>
        <w:tc>
          <w:tcPr>
            <w:tcW w:w="685" w:type="dxa"/>
            <w:vMerge w:val="continue"/>
            <w:vAlign w:val="center"/>
          </w:tcPr>
          <w:p w14:paraId="73C97F1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76AA7E7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边导线内</w:t>
            </w:r>
          </w:p>
        </w:tc>
        <w:tc>
          <w:tcPr>
            <w:tcW w:w="0" w:type="auto"/>
            <w:vAlign w:val="center"/>
          </w:tcPr>
          <w:p w14:paraId="02C5BDE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2.5156</w:t>
            </w:r>
          </w:p>
        </w:tc>
        <w:tc>
          <w:tcPr>
            <w:tcW w:w="0" w:type="auto"/>
            <w:vAlign w:val="center"/>
          </w:tcPr>
          <w:p w14:paraId="08811D5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2.076</w:t>
            </w:r>
          </w:p>
        </w:tc>
        <w:tc>
          <w:tcPr>
            <w:tcW w:w="0" w:type="auto"/>
            <w:vAlign w:val="center"/>
          </w:tcPr>
          <w:p w14:paraId="6E2147A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29.4623</w:t>
            </w:r>
          </w:p>
        </w:tc>
        <w:tc>
          <w:tcPr>
            <w:tcW w:w="0" w:type="auto"/>
            <w:vAlign w:val="center"/>
          </w:tcPr>
          <w:p w14:paraId="0BF7DFE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24.2419</w:t>
            </w:r>
          </w:p>
        </w:tc>
      </w:tr>
      <w:tr w14:paraId="07A17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1854785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9</w:t>
            </w:r>
          </w:p>
        </w:tc>
        <w:tc>
          <w:tcPr>
            <w:tcW w:w="685" w:type="dxa"/>
            <w:vMerge w:val="continue"/>
            <w:vAlign w:val="center"/>
          </w:tcPr>
          <w:p w14:paraId="0AC947D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0667C6B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边导线内</w:t>
            </w:r>
          </w:p>
        </w:tc>
        <w:tc>
          <w:tcPr>
            <w:tcW w:w="0" w:type="auto"/>
            <w:vAlign w:val="center"/>
          </w:tcPr>
          <w:p w14:paraId="2AB7525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2.8882</w:t>
            </w:r>
          </w:p>
        </w:tc>
        <w:tc>
          <w:tcPr>
            <w:tcW w:w="0" w:type="auto"/>
            <w:vAlign w:val="center"/>
          </w:tcPr>
          <w:p w14:paraId="4D5EC14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2.3181</w:t>
            </w:r>
          </w:p>
        </w:tc>
        <w:tc>
          <w:tcPr>
            <w:tcW w:w="0" w:type="auto"/>
            <w:vAlign w:val="center"/>
          </w:tcPr>
          <w:p w14:paraId="41F983F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29.468</w:t>
            </w:r>
          </w:p>
        </w:tc>
        <w:tc>
          <w:tcPr>
            <w:tcW w:w="0" w:type="auto"/>
            <w:vAlign w:val="center"/>
          </w:tcPr>
          <w:p w14:paraId="6FE2C33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23.8357</w:t>
            </w:r>
          </w:p>
        </w:tc>
      </w:tr>
      <w:tr w14:paraId="44349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B51B7D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10</w:t>
            </w:r>
          </w:p>
        </w:tc>
        <w:tc>
          <w:tcPr>
            <w:tcW w:w="685" w:type="dxa"/>
            <w:vMerge w:val="continue"/>
            <w:vAlign w:val="center"/>
          </w:tcPr>
          <w:p w14:paraId="34B61E2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738AA05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边导线内</w:t>
            </w:r>
          </w:p>
        </w:tc>
        <w:tc>
          <w:tcPr>
            <w:tcW w:w="0" w:type="auto"/>
            <w:vAlign w:val="center"/>
          </w:tcPr>
          <w:p w14:paraId="501EFC3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3.1133</w:t>
            </w:r>
          </w:p>
        </w:tc>
        <w:tc>
          <w:tcPr>
            <w:tcW w:w="0" w:type="auto"/>
            <w:vAlign w:val="center"/>
          </w:tcPr>
          <w:p w14:paraId="2878E1E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2.4682</w:t>
            </w:r>
          </w:p>
        </w:tc>
        <w:tc>
          <w:tcPr>
            <w:tcW w:w="0" w:type="auto"/>
            <w:vAlign w:val="center"/>
          </w:tcPr>
          <w:p w14:paraId="2E3B5B9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28.567</w:t>
            </w:r>
          </w:p>
        </w:tc>
        <w:tc>
          <w:tcPr>
            <w:tcW w:w="0" w:type="auto"/>
            <w:vAlign w:val="center"/>
          </w:tcPr>
          <w:p w14:paraId="5D70676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22.9216</w:t>
            </w:r>
          </w:p>
        </w:tc>
      </w:tr>
      <w:tr w14:paraId="6D946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6C59EFC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11</w:t>
            </w:r>
          </w:p>
        </w:tc>
        <w:tc>
          <w:tcPr>
            <w:tcW w:w="685" w:type="dxa"/>
            <w:vMerge w:val="restart"/>
            <w:vAlign w:val="center"/>
          </w:tcPr>
          <w:p w14:paraId="3CFE503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边导线外</w:t>
            </w:r>
          </w:p>
        </w:tc>
        <w:tc>
          <w:tcPr>
            <w:tcW w:w="985" w:type="dxa"/>
            <w:vAlign w:val="center"/>
          </w:tcPr>
          <w:p w14:paraId="313DF51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0.7</w:t>
            </w:r>
          </w:p>
        </w:tc>
        <w:tc>
          <w:tcPr>
            <w:tcW w:w="0" w:type="auto"/>
            <w:vAlign w:val="center"/>
          </w:tcPr>
          <w:p w14:paraId="331AF21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3.1135</w:t>
            </w:r>
          </w:p>
        </w:tc>
        <w:tc>
          <w:tcPr>
            <w:tcW w:w="0" w:type="auto"/>
            <w:vAlign w:val="center"/>
          </w:tcPr>
          <w:p w14:paraId="400B8B0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2.4876</w:t>
            </w:r>
          </w:p>
        </w:tc>
        <w:tc>
          <w:tcPr>
            <w:tcW w:w="0" w:type="auto"/>
            <w:vAlign w:val="center"/>
          </w:tcPr>
          <w:p w14:paraId="3695A71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26.5597</w:t>
            </w:r>
          </w:p>
        </w:tc>
        <w:tc>
          <w:tcPr>
            <w:tcW w:w="0" w:type="auto"/>
            <w:vAlign w:val="center"/>
          </w:tcPr>
          <w:p w14:paraId="285396C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21.4461</w:t>
            </w:r>
          </w:p>
        </w:tc>
      </w:tr>
      <w:tr w14:paraId="290DC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28312B3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15</w:t>
            </w:r>
          </w:p>
        </w:tc>
        <w:tc>
          <w:tcPr>
            <w:tcW w:w="685" w:type="dxa"/>
            <w:vMerge w:val="continue"/>
            <w:vAlign w:val="center"/>
          </w:tcPr>
          <w:p w14:paraId="0C20331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1110CB5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4.7</w:t>
            </w:r>
          </w:p>
        </w:tc>
        <w:tc>
          <w:tcPr>
            <w:tcW w:w="0" w:type="auto"/>
            <w:vAlign w:val="center"/>
          </w:tcPr>
          <w:p w14:paraId="5BDA4E6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1.8324</w:t>
            </w:r>
          </w:p>
        </w:tc>
        <w:tc>
          <w:tcPr>
            <w:tcW w:w="0" w:type="auto"/>
            <w:vAlign w:val="center"/>
          </w:tcPr>
          <w:p w14:paraId="39717BE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1.678</w:t>
            </w:r>
          </w:p>
        </w:tc>
        <w:tc>
          <w:tcPr>
            <w:tcW w:w="0" w:type="auto"/>
            <w:vAlign w:val="center"/>
          </w:tcPr>
          <w:p w14:paraId="02FE9AE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15.0648</w:t>
            </w:r>
          </w:p>
        </w:tc>
        <w:tc>
          <w:tcPr>
            <w:tcW w:w="0" w:type="auto"/>
            <w:vAlign w:val="center"/>
          </w:tcPr>
          <w:p w14:paraId="158EB6C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13.4147</w:t>
            </w:r>
          </w:p>
        </w:tc>
      </w:tr>
      <w:tr w14:paraId="462F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DC06A9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w:t>
            </w:r>
          </w:p>
        </w:tc>
        <w:tc>
          <w:tcPr>
            <w:tcW w:w="685" w:type="dxa"/>
            <w:vMerge w:val="continue"/>
            <w:vAlign w:val="center"/>
          </w:tcPr>
          <w:p w14:paraId="24864DD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42E160F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9.7</w:t>
            </w:r>
          </w:p>
        </w:tc>
        <w:tc>
          <w:tcPr>
            <w:tcW w:w="0" w:type="auto"/>
            <w:vAlign w:val="center"/>
          </w:tcPr>
          <w:p w14:paraId="67E2A70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0.7468</w:t>
            </w:r>
          </w:p>
        </w:tc>
        <w:tc>
          <w:tcPr>
            <w:tcW w:w="0" w:type="auto"/>
            <w:vAlign w:val="center"/>
          </w:tcPr>
          <w:p w14:paraId="15ECE6C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0.769</w:t>
            </w:r>
          </w:p>
        </w:tc>
        <w:tc>
          <w:tcPr>
            <w:tcW w:w="0" w:type="auto"/>
            <w:vAlign w:val="center"/>
          </w:tcPr>
          <w:p w14:paraId="6E5D6DF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7.4858</w:t>
            </w:r>
          </w:p>
        </w:tc>
        <w:tc>
          <w:tcPr>
            <w:tcW w:w="0" w:type="auto"/>
            <w:vAlign w:val="center"/>
          </w:tcPr>
          <w:p w14:paraId="3FC62B6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7.1341</w:t>
            </w:r>
          </w:p>
        </w:tc>
      </w:tr>
      <w:tr w14:paraId="52751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C14D40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25</w:t>
            </w:r>
          </w:p>
        </w:tc>
        <w:tc>
          <w:tcPr>
            <w:tcW w:w="685" w:type="dxa"/>
            <w:vMerge w:val="continue"/>
            <w:vAlign w:val="center"/>
          </w:tcPr>
          <w:p w14:paraId="3D63DC0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63E5B4D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14.7</w:t>
            </w:r>
          </w:p>
        </w:tc>
        <w:tc>
          <w:tcPr>
            <w:tcW w:w="0" w:type="auto"/>
            <w:vAlign w:val="center"/>
          </w:tcPr>
          <w:p w14:paraId="3C020A6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0.3532</w:t>
            </w:r>
          </w:p>
        </w:tc>
        <w:tc>
          <w:tcPr>
            <w:tcW w:w="0" w:type="auto"/>
            <w:vAlign w:val="center"/>
          </w:tcPr>
          <w:p w14:paraId="3C6BC05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0.3819</w:t>
            </w:r>
          </w:p>
        </w:tc>
        <w:tc>
          <w:tcPr>
            <w:tcW w:w="0" w:type="auto"/>
            <w:vAlign w:val="center"/>
          </w:tcPr>
          <w:p w14:paraId="7309550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4.4209</w:t>
            </w:r>
          </w:p>
        </w:tc>
        <w:tc>
          <w:tcPr>
            <w:tcW w:w="0" w:type="auto"/>
            <w:vAlign w:val="center"/>
          </w:tcPr>
          <w:p w14:paraId="5DCC7F1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4.3116</w:t>
            </w:r>
          </w:p>
        </w:tc>
      </w:tr>
      <w:tr w14:paraId="47EB0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14DA67F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30</w:t>
            </w:r>
          </w:p>
        </w:tc>
        <w:tc>
          <w:tcPr>
            <w:tcW w:w="685" w:type="dxa"/>
            <w:vMerge w:val="continue"/>
            <w:vAlign w:val="center"/>
          </w:tcPr>
          <w:p w14:paraId="4AAC5AA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74096D3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19.7</w:t>
            </w:r>
          </w:p>
        </w:tc>
        <w:tc>
          <w:tcPr>
            <w:tcW w:w="0" w:type="auto"/>
            <w:vAlign w:val="center"/>
          </w:tcPr>
          <w:p w14:paraId="542BB01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0.1926</w:t>
            </w:r>
          </w:p>
        </w:tc>
        <w:tc>
          <w:tcPr>
            <w:tcW w:w="0" w:type="auto"/>
            <w:vAlign w:val="center"/>
          </w:tcPr>
          <w:p w14:paraId="1444CF3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0.2131</w:t>
            </w:r>
          </w:p>
        </w:tc>
        <w:tc>
          <w:tcPr>
            <w:tcW w:w="0" w:type="auto"/>
            <w:vAlign w:val="center"/>
          </w:tcPr>
          <w:p w14:paraId="501EE89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2.9286</w:t>
            </w:r>
          </w:p>
        </w:tc>
        <w:tc>
          <w:tcPr>
            <w:tcW w:w="0" w:type="auto"/>
            <w:vAlign w:val="center"/>
          </w:tcPr>
          <w:p w14:paraId="4FA27D4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2.884</w:t>
            </w:r>
          </w:p>
        </w:tc>
      </w:tr>
      <w:tr w14:paraId="6C8C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68CCCBD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35</w:t>
            </w:r>
          </w:p>
        </w:tc>
        <w:tc>
          <w:tcPr>
            <w:tcW w:w="685" w:type="dxa"/>
            <w:vMerge w:val="continue"/>
            <w:vAlign w:val="center"/>
          </w:tcPr>
          <w:p w14:paraId="699CB0B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4D8E881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24.7</w:t>
            </w:r>
          </w:p>
        </w:tc>
        <w:tc>
          <w:tcPr>
            <w:tcW w:w="0" w:type="auto"/>
            <w:vAlign w:val="center"/>
          </w:tcPr>
          <w:p w14:paraId="78A4751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0.1165</w:t>
            </w:r>
          </w:p>
        </w:tc>
        <w:tc>
          <w:tcPr>
            <w:tcW w:w="0" w:type="auto"/>
            <w:vAlign w:val="center"/>
          </w:tcPr>
          <w:p w14:paraId="4089623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0.1304</w:t>
            </w:r>
          </w:p>
        </w:tc>
        <w:tc>
          <w:tcPr>
            <w:tcW w:w="0" w:type="auto"/>
            <w:vAlign w:val="center"/>
          </w:tcPr>
          <w:p w14:paraId="0020F82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2.0895</w:t>
            </w:r>
          </w:p>
        </w:tc>
        <w:tc>
          <w:tcPr>
            <w:tcW w:w="0" w:type="auto"/>
            <w:vAlign w:val="center"/>
          </w:tcPr>
          <w:p w14:paraId="770A323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2.0679</w:t>
            </w:r>
          </w:p>
        </w:tc>
      </w:tr>
      <w:tr w14:paraId="37BBB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025C54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40</w:t>
            </w:r>
          </w:p>
        </w:tc>
        <w:tc>
          <w:tcPr>
            <w:tcW w:w="685" w:type="dxa"/>
            <w:vMerge w:val="continue"/>
            <w:vAlign w:val="center"/>
          </w:tcPr>
          <w:p w14:paraId="1779A22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68E1050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29.7</w:t>
            </w:r>
          </w:p>
        </w:tc>
        <w:tc>
          <w:tcPr>
            <w:tcW w:w="0" w:type="auto"/>
            <w:vAlign w:val="center"/>
          </w:tcPr>
          <w:p w14:paraId="3EBBAE6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0.0758</w:t>
            </w:r>
          </w:p>
        </w:tc>
        <w:tc>
          <w:tcPr>
            <w:tcW w:w="0" w:type="auto"/>
            <w:vAlign w:val="center"/>
          </w:tcPr>
          <w:p w14:paraId="44F167C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0.0855</w:t>
            </w:r>
          </w:p>
        </w:tc>
        <w:tc>
          <w:tcPr>
            <w:tcW w:w="0" w:type="auto"/>
            <w:vAlign w:val="center"/>
          </w:tcPr>
          <w:p w14:paraId="1B86488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1.5692</w:t>
            </w:r>
          </w:p>
        </w:tc>
        <w:tc>
          <w:tcPr>
            <w:tcW w:w="0" w:type="auto"/>
            <w:vAlign w:val="center"/>
          </w:tcPr>
          <w:p w14:paraId="24D6F8C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1.5574</w:t>
            </w:r>
          </w:p>
        </w:tc>
      </w:tr>
      <w:tr w14:paraId="42AD2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13885CC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45</w:t>
            </w:r>
          </w:p>
        </w:tc>
        <w:tc>
          <w:tcPr>
            <w:tcW w:w="685" w:type="dxa"/>
            <w:vMerge w:val="continue"/>
            <w:vAlign w:val="center"/>
          </w:tcPr>
          <w:p w14:paraId="13D6870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0A1263B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34.7</w:t>
            </w:r>
          </w:p>
        </w:tc>
        <w:tc>
          <w:tcPr>
            <w:tcW w:w="0" w:type="auto"/>
            <w:vAlign w:val="center"/>
          </w:tcPr>
          <w:p w14:paraId="4E750F1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0.0522</w:t>
            </w:r>
          </w:p>
        </w:tc>
        <w:tc>
          <w:tcPr>
            <w:tcW w:w="0" w:type="auto"/>
            <w:vAlign w:val="center"/>
          </w:tcPr>
          <w:p w14:paraId="7A229E6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0.0591</w:t>
            </w:r>
          </w:p>
        </w:tc>
        <w:tc>
          <w:tcPr>
            <w:tcW w:w="0" w:type="auto"/>
            <w:vAlign w:val="center"/>
          </w:tcPr>
          <w:p w14:paraId="65A4F8A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1.2234</w:t>
            </w:r>
          </w:p>
        </w:tc>
        <w:tc>
          <w:tcPr>
            <w:tcW w:w="0" w:type="auto"/>
            <w:vAlign w:val="center"/>
          </w:tcPr>
          <w:p w14:paraId="2A78EEC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1.2165</w:t>
            </w:r>
          </w:p>
        </w:tc>
      </w:tr>
      <w:tr w14:paraId="7534E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2C4E635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50</w:t>
            </w:r>
          </w:p>
        </w:tc>
        <w:tc>
          <w:tcPr>
            <w:tcW w:w="685" w:type="dxa"/>
            <w:vMerge w:val="continue"/>
            <w:vAlign w:val="center"/>
          </w:tcPr>
          <w:p w14:paraId="46F568E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p>
        </w:tc>
        <w:tc>
          <w:tcPr>
            <w:tcW w:w="985" w:type="dxa"/>
            <w:vAlign w:val="center"/>
          </w:tcPr>
          <w:p w14:paraId="3DAAD3F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39.7</w:t>
            </w:r>
          </w:p>
        </w:tc>
        <w:tc>
          <w:tcPr>
            <w:tcW w:w="0" w:type="auto"/>
            <w:vAlign w:val="center"/>
          </w:tcPr>
          <w:p w14:paraId="1773EC2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0.0375</w:t>
            </w:r>
          </w:p>
        </w:tc>
        <w:tc>
          <w:tcPr>
            <w:tcW w:w="0" w:type="auto"/>
            <w:vAlign w:val="center"/>
          </w:tcPr>
          <w:p w14:paraId="4B3C21C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0.0426</w:t>
            </w:r>
          </w:p>
        </w:tc>
        <w:tc>
          <w:tcPr>
            <w:tcW w:w="0" w:type="auto"/>
            <w:vAlign w:val="center"/>
          </w:tcPr>
          <w:p w14:paraId="676AF4C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eastAsia="zh-CN"/>
              </w:rPr>
              <w:t>0.0.9815</w:t>
            </w:r>
          </w:p>
        </w:tc>
        <w:tc>
          <w:tcPr>
            <w:tcW w:w="0" w:type="auto"/>
            <w:vAlign w:val="center"/>
          </w:tcPr>
          <w:p w14:paraId="77B5A05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0.9771</w:t>
            </w:r>
          </w:p>
        </w:tc>
      </w:tr>
      <w:tr w14:paraId="62C7A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gridSpan w:val="3"/>
            <w:vAlign w:val="center"/>
          </w:tcPr>
          <w:p w14:paraId="3DA3073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工频电场强度最大值</w:t>
            </w:r>
          </w:p>
        </w:tc>
        <w:tc>
          <w:tcPr>
            <w:tcW w:w="0" w:type="auto"/>
            <w:shd w:val="clear" w:color="auto" w:fill="auto"/>
            <w:vAlign w:val="center"/>
          </w:tcPr>
          <w:p w14:paraId="48E6D7A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3.1135</w:t>
            </w:r>
          </w:p>
        </w:tc>
        <w:tc>
          <w:tcPr>
            <w:tcW w:w="0" w:type="auto"/>
            <w:shd w:val="clear" w:color="auto" w:fill="auto"/>
            <w:vAlign w:val="center"/>
          </w:tcPr>
          <w:p w14:paraId="1AF93B5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2.4876</w:t>
            </w:r>
          </w:p>
        </w:tc>
        <w:tc>
          <w:tcPr>
            <w:tcW w:w="0" w:type="auto"/>
            <w:vAlign w:val="center"/>
          </w:tcPr>
          <w:p w14:paraId="0306E04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w:t>
            </w:r>
          </w:p>
        </w:tc>
        <w:tc>
          <w:tcPr>
            <w:tcW w:w="0" w:type="auto"/>
            <w:vAlign w:val="center"/>
          </w:tcPr>
          <w:p w14:paraId="221CF58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w:t>
            </w:r>
          </w:p>
        </w:tc>
      </w:tr>
      <w:tr w14:paraId="5CA93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gridSpan w:val="3"/>
            <w:vAlign w:val="center"/>
          </w:tcPr>
          <w:p w14:paraId="38B5235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磁感应强度最大值</w:t>
            </w:r>
          </w:p>
        </w:tc>
        <w:tc>
          <w:tcPr>
            <w:tcW w:w="0" w:type="auto"/>
            <w:vAlign w:val="center"/>
          </w:tcPr>
          <w:p w14:paraId="167F919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w:t>
            </w:r>
          </w:p>
        </w:tc>
        <w:tc>
          <w:tcPr>
            <w:tcW w:w="0" w:type="auto"/>
            <w:vAlign w:val="center"/>
          </w:tcPr>
          <w:p w14:paraId="5B0EA81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w:t>
            </w:r>
          </w:p>
        </w:tc>
        <w:tc>
          <w:tcPr>
            <w:tcW w:w="0" w:type="auto"/>
            <w:shd w:val="clear" w:color="auto" w:fill="auto"/>
            <w:vAlign w:val="center"/>
          </w:tcPr>
          <w:p w14:paraId="04EFAF1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30.8893</w:t>
            </w:r>
          </w:p>
        </w:tc>
        <w:tc>
          <w:tcPr>
            <w:tcW w:w="0" w:type="auto"/>
            <w:vAlign w:val="center"/>
          </w:tcPr>
          <w:p w14:paraId="4BDF255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25.4379</w:t>
            </w:r>
          </w:p>
        </w:tc>
      </w:tr>
    </w:tbl>
    <w:p w14:paraId="77ED5B0C">
      <w:pPr>
        <w:keepNext w:val="0"/>
        <w:keepLines w:val="0"/>
        <w:pageBreakBefore w:val="0"/>
        <w:kinsoku/>
        <w:wordWrap/>
        <w:overflowPunct/>
        <w:topLinePunct w:val="0"/>
        <w:autoSpaceDE/>
        <w:autoSpaceDN/>
        <w:bidi w:val="0"/>
        <w:adjustRightInd w:val="0"/>
        <w:snapToGrid w:val="0"/>
        <w:spacing w:line="240" w:lineRule="auto"/>
        <w:ind w:right="0"/>
        <w:jc w:val="center"/>
        <w:rPr>
          <w:rFonts w:hint="default" w:ascii="Times New Roman" w:hAnsi="Times New Roman" w:eastAsia="宋体" w:cs="Times New Roman"/>
          <w:color w:val="auto"/>
          <w:sz w:val="24"/>
          <w:lang w:eastAsia="zh-CN" w:bidi="ar"/>
        </w:rPr>
      </w:pPr>
    </w:p>
    <w:p w14:paraId="51BCE9D9">
      <w:pPr>
        <w:keepNext w:val="0"/>
        <w:keepLines w:val="0"/>
        <w:pageBreakBefore w:val="0"/>
        <w:kinsoku/>
        <w:wordWrap/>
        <w:overflowPunct/>
        <w:topLinePunct w:val="0"/>
        <w:autoSpaceDE/>
        <w:autoSpaceDN/>
        <w:bidi w:val="0"/>
        <w:adjustRightInd w:val="0"/>
        <w:snapToGrid w:val="0"/>
        <w:spacing w:line="240" w:lineRule="auto"/>
        <w:ind w:right="0"/>
        <w:jc w:val="center"/>
        <w:rPr>
          <w:rFonts w:hint="default" w:ascii="Times New Roman" w:hAnsi="Times New Roman" w:eastAsia="宋体" w:cs="Times New Roman"/>
          <w:color w:val="auto"/>
          <w:sz w:val="24"/>
          <w:lang w:eastAsia="zh-CN" w:bidi="ar"/>
        </w:rPr>
      </w:pPr>
      <w:r>
        <w:rPr>
          <w:rFonts w:hint="default" w:ascii="Times New Roman" w:hAnsi="Times New Roman" w:eastAsia="宋体" w:cs="Times New Roman"/>
          <w:color w:val="auto"/>
          <w:sz w:val="24"/>
          <w:lang w:eastAsia="zh-CN" w:bidi="ar"/>
        </w:rPr>
        <w:drawing>
          <wp:inline distT="0" distB="0" distL="114300" distR="114300">
            <wp:extent cx="5269230" cy="2242820"/>
            <wp:effectExtent l="0" t="0" r="7620" b="5080"/>
            <wp:docPr id="26" name="图片 26" descr="工频磁场图 110kV水平排列 6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工频磁场图 110kV水平排列 6m"/>
                    <pic:cNvPicPr>
                      <a:picLocks noChangeAspect="1"/>
                    </pic:cNvPicPr>
                  </pic:nvPicPr>
                  <pic:blipFill>
                    <a:blip r:embed="rId69"/>
                    <a:stretch>
                      <a:fillRect/>
                    </a:stretch>
                  </pic:blipFill>
                  <pic:spPr>
                    <a:xfrm>
                      <a:off x="0" y="0"/>
                      <a:ext cx="5269230" cy="2242820"/>
                    </a:xfrm>
                    <a:prstGeom prst="rect">
                      <a:avLst/>
                    </a:prstGeom>
                  </pic:spPr>
                </pic:pic>
              </a:graphicData>
            </a:graphic>
          </wp:inline>
        </w:drawing>
      </w:r>
    </w:p>
    <w:p w14:paraId="5E2B70C1">
      <w:pPr>
        <w:keepNext w:val="0"/>
        <w:keepLines w:val="0"/>
        <w:pageBreakBefore w:val="0"/>
        <w:kinsoku/>
        <w:wordWrap/>
        <w:overflowPunct/>
        <w:topLinePunct w:val="0"/>
        <w:autoSpaceDE/>
        <w:autoSpaceDN/>
        <w:bidi w:val="0"/>
        <w:adjustRightInd w:val="0"/>
        <w:snapToGrid w:val="0"/>
        <w:spacing w:line="240" w:lineRule="auto"/>
        <w:ind w:right="0"/>
        <w:jc w:val="center"/>
        <w:rPr>
          <w:rFonts w:hint="default" w:ascii="Times New Roman" w:hAnsi="Times New Roman" w:eastAsia="宋体" w:cs="Times New Roman"/>
          <w:b/>
          <w:bCs/>
          <w:color w:val="auto"/>
          <w:sz w:val="24"/>
          <w:lang w:bidi="ar"/>
        </w:rPr>
      </w:pPr>
      <w:r>
        <w:rPr>
          <w:rFonts w:hint="default" w:ascii="Times New Roman" w:hAnsi="Times New Roman" w:eastAsia="宋体" w:cs="Times New Roman"/>
          <w:b/>
          <w:bCs/>
          <w:color w:val="auto"/>
          <w:sz w:val="24"/>
          <w:lang w:bidi="ar"/>
        </w:rPr>
        <w:t>图5-</w:t>
      </w:r>
      <w:r>
        <w:rPr>
          <w:rFonts w:hint="default" w:ascii="Times New Roman" w:hAnsi="Times New Roman" w:eastAsia="宋体" w:cs="Times New Roman"/>
          <w:b/>
          <w:bCs/>
          <w:color w:val="auto"/>
          <w:sz w:val="24"/>
          <w:lang w:val="en-US" w:eastAsia="zh-CN" w:bidi="ar"/>
        </w:rPr>
        <w:t>9</w:t>
      </w:r>
      <w:r>
        <w:rPr>
          <w:rFonts w:hint="default" w:ascii="Times New Roman" w:hAnsi="Times New Roman" w:eastAsia="宋体" w:cs="Times New Roman"/>
          <w:b/>
          <w:bCs/>
          <w:color w:val="auto"/>
          <w:sz w:val="24"/>
          <w:lang w:bidi="ar"/>
        </w:rPr>
        <w:t xml:space="preserve"> </w:t>
      </w:r>
      <w:r>
        <w:rPr>
          <w:rFonts w:hint="default" w:ascii="Times New Roman" w:hAnsi="Times New Roman" w:eastAsia="宋体" w:cs="Times New Roman"/>
          <w:b/>
          <w:bCs/>
          <w:color w:val="auto"/>
          <w:sz w:val="24"/>
          <w:lang w:val="en-US" w:eastAsia="zh-CN" w:bidi="ar"/>
        </w:rPr>
        <w:t>非</w:t>
      </w:r>
      <w:r>
        <w:rPr>
          <w:rFonts w:hint="default" w:ascii="Times New Roman" w:hAnsi="Times New Roman" w:eastAsia="宋体" w:cs="Times New Roman"/>
          <w:b/>
          <w:bCs/>
          <w:color w:val="auto"/>
          <w:sz w:val="24"/>
          <w:lang w:bidi="ar"/>
        </w:rPr>
        <w:t>居民区</w:t>
      </w:r>
      <w:r>
        <w:rPr>
          <w:rFonts w:hint="default" w:ascii="Times New Roman" w:hAnsi="Times New Roman" w:eastAsia="宋体" w:cs="Times New Roman"/>
          <w:b/>
          <w:bCs/>
          <w:color w:val="auto"/>
          <w:sz w:val="24"/>
          <w:lang w:val="en-US" w:eastAsia="zh-CN" w:bidi="ar"/>
        </w:rPr>
        <w:t>水平</w:t>
      </w:r>
      <w:r>
        <w:rPr>
          <w:rFonts w:hint="default" w:ascii="Times New Roman" w:hAnsi="Times New Roman" w:eastAsia="宋体" w:cs="Times New Roman"/>
          <w:b/>
          <w:bCs/>
          <w:color w:val="auto"/>
          <w:sz w:val="24"/>
          <w:lang w:bidi="ar"/>
        </w:rPr>
        <w:t>排列高</w:t>
      </w:r>
      <w:r>
        <w:rPr>
          <w:rFonts w:hint="default" w:ascii="Times New Roman" w:hAnsi="Times New Roman" w:eastAsia="宋体" w:cs="Times New Roman"/>
          <w:b/>
          <w:bCs/>
          <w:color w:val="auto"/>
          <w:sz w:val="24"/>
          <w:lang w:val="en-US" w:eastAsia="zh-CN" w:bidi="ar"/>
        </w:rPr>
        <w:t>6</w:t>
      </w:r>
      <w:r>
        <w:rPr>
          <w:rFonts w:hint="default" w:ascii="Times New Roman" w:hAnsi="Times New Roman" w:eastAsia="宋体" w:cs="Times New Roman"/>
          <w:b/>
          <w:bCs/>
          <w:color w:val="auto"/>
          <w:sz w:val="24"/>
          <w:lang w:bidi="ar"/>
        </w:rPr>
        <w:t>m磁场强度综合量的分布情况</w:t>
      </w:r>
    </w:p>
    <w:p w14:paraId="6224BA1F">
      <w:pPr>
        <w:pStyle w:val="29"/>
        <w:keepNext w:val="0"/>
        <w:keepLines w:val="0"/>
        <w:pageBreakBefore w:val="0"/>
        <w:tabs>
          <w:tab w:val="center" w:pos="4153"/>
          <w:tab w:val="right" w:pos="8306"/>
        </w:tabs>
        <w:kinsoku/>
        <w:wordWrap/>
        <w:overflowPunct/>
        <w:topLinePunct w:val="0"/>
        <w:autoSpaceDE/>
        <w:autoSpaceDN/>
        <w:bidi w:val="0"/>
        <w:adjustRightInd w:val="0"/>
        <w:snapToGrid w:val="0"/>
        <w:spacing w:before="0" w:after="0" w:line="240" w:lineRule="auto"/>
        <w:ind w:left="0" w:leftChars="0" w:right="0" w:firstLine="0" w:firstLineChars="0"/>
        <w:jc w:val="center"/>
        <w:rPr>
          <w:rFonts w:hint="default" w:ascii="Times New Roman" w:hAnsi="Times New Roman" w:eastAsia="宋体" w:cs="Times New Roman"/>
          <w:b/>
          <w:bCs/>
          <w:color w:val="auto"/>
          <w:sz w:val="24"/>
          <w:lang w:eastAsia="zh-CN" w:bidi="ar"/>
        </w:rPr>
      </w:pPr>
      <w:r>
        <w:rPr>
          <w:rFonts w:hint="default" w:ascii="Times New Roman" w:hAnsi="Times New Roman" w:eastAsia="宋体" w:cs="Times New Roman"/>
          <w:b/>
          <w:bCs/>
          <w:color w:val="auto"/>
          <w:sz w:val="24"/>
          <w:lang w:eastAsia="zh-CN" w:bidi="ar"/>
        </w:rPr>
        <w:drawing>
          <wp:inline distT="0" distB="0" distL="114300" distR="114300">
            <wp:extent cx="5271135" cy="2374900"/>
            <wp:effectExtent l="0" t="0" r="5715" b="6350"/>
            <wp:docPr id="32" name="图片 32" descr="磁场等值线图 110kV水平排列 6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磁场等值线图 110kV水平排列 6m"/>
                    <pic:cNvPicPr>
                      <a:picLocks noChangeAspect="1"/>
                    </pic:cNvPicPr>
                  </pic:nvPicPr>
                  <pic:blipFill>
                    <a:blip r:embed="rId70"/>
                    <a:stretch>
                      <a:fillRect/>
                    </a:stretch>
                  </pic:blipFill>
                  <pic:spPr>
                    <a:xfrm>
                      <a:off x="0" y="0"/>
                      <a:ext cx="5271135" cy="2374900"/>
                    </a:xfrm>
                    <a:prstGeom prst="rect">
                      <a:avLst/>
                    </a:prstGeom>
                  </pic:spPr>
                </pic:pic>
              </a:graphicData>
            </a:graphic>
          </wp:inline>
        </w:drawing>
      </w:r>
    </w:p>
    <w:p w14:paraId="27F21732">
      <w:pPr>
        <w:keepNext w:val="0"/>
        <w:keepLines w:val="0"/>
        <w:pageBreakBefore w:val="0"/>
        <w:kinsoku/>
        <w:wordWrap/>
        <w:overflowPunct/>
        <w:topLinePunct w:val="0"/>
        <w:autoSpaceDE/>
        <w:autoSpaceDN/>
        <w:bidi w:val="0"/>
        <w:adjustRightInd w:val="0"/>
        <w:snapToGrid w:val="0"/>
        <w:spacing w:line="240" w:lineRule="auto"/>
        <w:ind w:right="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bCs/>
          <w:color w:val="auto"/>
          <w:sz w:val="24"/>
          <w:szCs w:val="24"/>
          <w:lang w:val="en-US" w:eastAsia="zh-CN"/>
        </w:rPr>
        <w:t>图5-10  非居民区水平排列高6m磁感应强度等值线图</w:t>
      </w:r>
    </w:p>
    <w:p w14:paraId="47A68C3D">
      <w:pPr>
        <w:pStyle w:val="2"/>
        <w:keepNext w:val="0"/>
        <w:keepLines w:val="0"/>
        <w:pageBreakBefore w:val="0"/>
        <w:kinsoku/>
        <w:wordWrap/>
        <w:overflowPunct/>
        <w:topLinePunct w:val="0"/>
        <w:autoSpaceDE/>
        <w:autoSpaceDN/>
        <w:bidi w:val="0"/>
        <w:adjustRightInd w:val="0"/>
        <w:snapToGrid w:val="0"/>
        <w:spacing w:before="0" w:after="0" w:line="240" w:lineRule="auto"/>
        <w:ind w:right="0"/>
        <w:jc w:val="center"/>
        <w:rPr>
          <w:rFonts w:hint="default" w:ascii="Times New Roman" w:hAnsi="Times New Roman" w:eastAsia="宋体" w:cs="Times New Roman"/>
          <w:color w:val="auto"/>
          <w:sz w:val="24"/>
          <w:lang w:eastAsia="zh-CN" w:bidi="ar"/>
        </w:rPr>
      </w:pPr>
      <w:r>
        <w:rPr>
          <w:rFonts w:hint="default" w:ascii="Times New Roman" w:hAnsi="Times New Roman" w:eastAsia="宋体" w:cs="Times New Roman"/>
          <w:color w:val="auto"/>
          <w:sz w:val="24"/>
          <w:lang w:eastAsia="zh-CN" w:bidi="ar"/>
        </w:rPr>
        <w:drawing>
          <wp:inline distT="0" distB="0" distL="114300" distR="114300">
            <wp:extent cx="5269865" cy="2461260"/>
            <wp:effectExtent l="0" t="0" r="6985" b="15240"/>
            <wp:docPr id="27" name="图片 27" descr="工频电场图 110kV水平排列 6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工频电场图 110kV水平排列 6m"/>
                    <pic:cNvPicPr>
                      <a:picLocks noChangeAspect="1"/>
                    </pic:cNvPicPr>
                  </pic:nvPicPr>
                  <pic:blipFill>
                    <a:blip r:embed="rId71"/>
                    <a:stretch>
                      <a:fillRect/>
                    </a:stretch>
                  </pic:blipFill>
                  <pic:spPr>
                    <a:xfrm>
                      <a:off x="0" y="0"/>
                      <a:ext cx="5269865" cy="2461260"/>
                    </a:xfrm>
                    <a:prstGeom prst="rect">
                      <a:avLst/>
                    </a:prstGeom>
                  </pic:spPr>
                </pic:pic>
              </a:graphicData>
            </a:graphic>
          </wp:inline>
        </w:drawing>
      </w:r>
    </w:p>
    <w:p w14:paraId="3C9E49A8">
      <w:pPr>
        <w:keepNext w:val="0"/>
        <w:keepLines w:val="0"/>
        <w:pageBreakBefore w:val="0"/>
        <w:kinsoku/>
        <w:wordWrap/>
        <w:overflowPunct/>
        <w:topLinePunct w:val="0"/>
        <w:autoSpaceDE/>
        <w:autoSpaceDN/>
        <w:bidi w:val="0"/>
        <w:adjustRightInd w:val="0"/>
        <w:snapToGrid w:val="0"/>
        <w:spacing w:line="240" w:lineRule="auto"/>
        <w:ind w:right="0"/>
        <w:jc w:val="center"/>
        <w:rPr>
          <w:rFonts w:hint="default" w:ascii="Times New Roman" w:hAnsi="Times New Roman" w:eastAsia="宋体" w:cs="Times New Roman"/>
          <w:b/>
          <w:bCs/>
          <w:color w:val="auto"/>
          <w:sz w:val="24"/>
          <w:lang w:eastAsia="zh-CN" w:bidi="ar"/>
        </w:rPr>
      </w:pPr>
      <w:r>
        <w:rPr>
          <w:rFonts w:hint="default" w:ascii="Times New Roman" w:hAnsi="Times New Roman" w:eastAsia="宋体" w:cs="Times New Roman"/>
          <w:b/>
          <w:bCs/>
          <w:color w:val="auto"/>
          <w:sz w:val="24"/>
          <w:lang w:bidi="ar"/>
        </w:rPr>
        <w:t>图5-</w:t>
      </w:r>
      <w:r>
        <w:rPr>
          <w:rFonts w:hint="default" w:ascii="Times New Roman" w:hAnsi="Times New Roman" w:eastAsia="宋体" w:cs="Times New Roman"/>
          <w:b/>
          <w:bCs/>
          <w:color w:val="auto"/>
          <w:sz w:val="24"/>
          <w:lang w:val="en-US" w:eastAsia="zh-CN" w:bidi="ar"/>
        </w:rPr>
        <w:t>11</w:t>
      </w:r>
      <w:r>
        <w:rPr>
          <w:rFonts w:hint="default" w:ascii="Times New Roman" w:hAnsi="Times New Roman" w:eastAsia="宋体" w:cs="Times New Roman"/>
          <w:b/>
          <w:bCs/>
          <w:color w:val="auto"/>
          <w:sz w:val="24"/>
          <w:lang w:bidi="ar"/>
        </w:rPr>
        <w:t xml:space="preserve"> </w:t>
      </w:r>
      <w:r>
        <w:rPr>
          <w:rFonts w:hint="default" w:ascii="Times New Roman" w:hAnsi="Times New Roman" w:eastAsia="宋体" w:cs="Times New Roman"/>
          <w:b/>
          <w:bCs/>
          <w:color w:val="auto"/>
          <w:sz w:val="24"/>
          <w:lang w:val="en-US" w:eastAsia="zh-CN" w:bidi="ar"/>
        </w:rPr>
        <w:t>非</w:t>
      </w:r>
      <w:r>
        <w:rPr>
          <w:rFonts w:hint="default" w:ascii="Times New Roman" w:hAnsi="Times New Roman" w:eastAsia="宋体" w:cs="Times New Roman"/>
          <w:b/>
          <w:bCs/>
          <w:color w:val="auto"/>
          <w:sz w:val="24"/>
          <w:lang w:bidi="ar"/>
        </w:rPr>
        <w:t>居民区</w:t>
      </w:r>
      <w:r>
        <w:rPr>
          <w:rFonts w:hint="default" w:ascii="Times New Roman" w:hAnsi="Times New Roman" w:eastAsia="宋体" w:cs="Times New Roman"/>
          <w:b/>
          <w:bCs/>
          <w:color w:val="auto"/>
          <w:sz w:val="24"/>
          <w:lang w:val="en-US" w:eastAsia="zh-CN" w:bidi="ar"/>
        </w:rPr>
        <w:t>水平</w:t>
      </w:r>
      <w:r>
        <w:rPr>
          <w:rFonts w:hint="default" w:ascii="Times New Roman" w:hAnsi="Times New Roman" w:eastAsia="宋体" w:cs="Times New Roman"/>
          <w:b/>
          <w:bCs/>
          <w:color w:val="auto"/>
          <w:sz w:val="24"/>
          <w:lang w:bidi="ar"/>
        </w:rPr>
        <w:t>排列高</w:t>
      </w:r>
      <w:r>
        <w:rPr>
          <w:rFonts w:hint="default" w:ascii="Times New Roman" w:hAnsi="Times New Roman" w:eastAsia="宋体" w:cs="Times New Roman"/>
          <w:b/>
          <w:bCs/>
          <w:color w:val="auto"/>
          <w:sz w:val="24"/>
          <w:lang w:val="en-US" w:eastAsia="zh-CN" w:bidi="ar"/>
        </w:rPr>
        <w:t>6</w:t>
      </w:r>
      <w:r>
        <w:rPr>
          <w:rFonts w:hint="default" w:ascii="Times New Roman" w:hAnsi="Times New Roman" w:eastAsia="宋体" w:cs="Times New Roman"/>
          <w:b/>
          <w:bCs/>
          <w:color w:val="auto"/>
          <w:sz w:val="24"/>
          <w:lang w:bidi="ar"/>
        </w:rPr>
        <w:t>m</w:t>
      </w:r>
      <w:r>
        <w:rPr>
          <w:rFonts w:hint="default" w:ascii="Times New Roman" w:hAnsi="Times New Roman" w:eastAsia="宋体" w:cs="Times New Roman"/>
          <w:b/>
          <w:bCs/>
          <w:color w:val="auto"/>
          <w:sz w:val="24"/>
          <w:lang w:val="en-US" w:eastAsia="zh-CN" w:bidi="ar"/>
        </w:rPr>
        <w:t>电场强度</w:t>
      </w:r>
      <w:r>
        <w:rPr>
          <w:rFonts w:hint="default" w:ascii="Times New Roman" w:hAnsi="Times New Roman" w:eastAsia="宋体" w:cs="Times New Roman"/>
          <w:b/>
          <w:bCs/>
          <w:color w:val="auto"/>
          <w:sz w:val="24"/>
          <w:lang w:bidi="ar"/>
        </w:rPr>
        <w:t>综合量的分布情况</w:t>
      </w:r>
      <w:r>
        <w:rPr>
          <w:rFonts w:hint="default" w:ascii="Times New Roman" w:hAnsi="Times New Roman" w:eastAsia="宋体" w:cs="Times New Roman"/>
          <w:b/>
          <w:bCs/>
          <w:color w:val="auto"/>
          <w:sz w:val="24"/>
          <w:lang w:eastAsia="zh-CN" w:bidi="ar"/>
        </w:rPr>
        <w:drawing>
          <wp:inline distT="0" distB="0" distL="114300" distR="114300">
            <wp:extent cx="5271135" cy="2839720"/>
            <wp:effectExtent l="0" t="0" r="5715" b="17780"/>
            <wp:docPr id="25" name="图片 25" descr="电场等值线图 110kV水平排列 6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电场等值线图 110kV水平排列 6m"/>
                    <pic:cNvPicPr>
                      <a:picLocks noChangeAspect="1"/>
                    </pic:cNvPicPr>
                  </pic:nvPicPr>
                  <pic:blipFill>
                    <a:blip r:embed="rId72"/>
                    <a:stretch>
                      <a:fillRect/>
                    </a:stretch>
                  </pic:blipFill>
                  <pic:spPr>
                    <a:xfrm>
                      <a:off x="0" y="0"/>
                      <a:ext cx="5271135" cy="2839720"/>
                    </a:xfrm>
                    <a:prstGeom prst="rect">
                      <a:avLst/>
                    </a:prstGeom>
                  </pic:spPr>
                </pic:pic>
              </a:graphicData>
            </a:graphic>
          </wp:inline>
        </w:drawing>
      </w:r>
    </w:p>
    <w:p w14:paraId="48762EDA">
      <w:pPr>
        <w:keepNext w:val="0"/>
        <w:keepLines w:val="0"/>
        <w:pageBreakBefore w:val="0"/>
        <w:kinsoku/>
        <w:wordWrap/>
        <w:overflowPunct/>
        <w:topLinePunct w:val="0"/>
        <w:autoSpaceDE/>
        <w:autoSpaceDN/>
        <w:bidi w:val="0"/>
        <w:adjustRightInd w:val="0"/>
        <w:snapToGrid w:val="0"/>
        <w:spacing w:line="240" w:lineRule="auto"/>
        <w:ind w:right="0"/>
        <w:jc w:val="center"/>
        <w:rPr>
          <w:rFonts w:hint="default" w:ascii="Times New Roman" w:hAnsi="Times New Roman" w:eastAsia="宋体" w:cs="Times New Roman"/>
          <w:b/>
          <w:bCs/>
          <w:color w:val="auto"/>
          <w:sz w:val="24"/>
          <w:lang w:eastAsia="zh-CN" w:bidi="ar"/>
        </w:rPr>
      </w:pPr>
      <w:r>
        <w:rPr>
          <w:rFonts w:hint="default" w:ascii="Times New Roman" w:hAnsi="Times New Roman" w:eastAsia="宋体" w:cs="Times New Roman"/>
          <w:b/>
          <w:bCs/>
          <w:color w:val="auto"/>
          <w:sz w:val="24"/>
          <w:lang w:bidi="ar"/>
        </w:rPr>
        <w:t>图5-</w:t>
      </w:r>
      <w:r>
        <w:rPr>
          <w:rFonts w:hint="default" w:ascii="Times New Roman" w:hAnsi="Times New Roman" w:eastAsia="宋体" w:cs="Times New Roman"/>
          <w:b/>
          <w:bCs/>
          <w:color w:val="auto"/>
          <w:sz w:val="24"/>
          <w:lang w:val="en-US" w:eastAsia="zh-CN" w:bidi="ar"/>
        </w:rPr>
        <w:t>12</w:t>
      </w:r>
      <w:r>
        <w:rPr>
          <w:rFonts w:hint="default" w:ascii="Times New Roman" w:hAnsi="Times New Roman" w:eastAsia="宋体" w:cs="Times New Roman"/>
          <w:b/>
          <w:bCs/>
          <w:color w:val="auto"/>
          <w:sz w:val="24"/>
          <w:lang w:bidi="ar"/>
        </w:rPr>
        <w:t xml:space="preserve"> </w:t>
      </w:r>
      <w:r>
        <w:rPr>
          <w:rFonts w:hint="default" w:ascii="Times New Roman" w:hAnsi="Times New Roman" w:eastAsia="宋体" w:cs="Times New Roman"/>
          <w:b/>
          <w:bCs/>
          <w:color w:val="auto"/>
          <w:sz w:val="24"/>
          <w:lang w:val="en-US" w:eastAsia="zh-CN" w:bidi="ar"/>
        </w:rPr>
        <w:t>非</w:t>
      </w:r>
      <w:r>
        <w:rPr>
          <w:rFonts w:hint="default" w:ascii="Times New Roman" w:hAnsi="Times New Roman" w:eastAsia="宋体" w:cs="Times New Roman"/>
          <w:b/>
          <w:bCs/>
          <w:color w:val="auto"/>
          <w:sz w:val="24"/>
          <w:lang w:bidi="ar"/>
        </w:rPr>
        <w:t>居民区</w:t>
      </w:r>
      <w:r>
        <w:rPr>
          <w:rFonts w:hint="default" w:ascii="Times New Roman" w:hAnsi="Times New Roman" w:eastAsia="宋体" w:cs="Times New Roman"/>
          <w:b/>
          <w:bCs/>
          <w:color w:val="auto"/>
          <w:sz w:val="24"/>
          <w:lang w:val="en-US" w:eastAsia="zh-CN" w:bidi="ar"/>
        </w:rPr>
        <w:t>水平</w:t>
      </w:r>
      <w:r>
        <w:rPr>
          <w:rFonts w:hint="default" w:ascii="Times New Roman" w:hAnsi="Times New Roman" w:eastAsia="宋体" w:cs="Times New Roman"/>
          <w:b/>
          <w:bCs/>
          <w:color w:val="auto"/>
          <w:sz w:val="24"/>
          <w:lang w:bidi="ar"/>
        </w:rPr>
        <w:t>排列高</w:t>
      </w:r>
      <w:r>
        <w:rPr>
          <w:rFonts w:hint="default" w:ascii="Times New Roman" w:hAnsi="Times New Roman" w:eastAsia="宋体" w:cs="Times New Roman"/>
          <w:b/>
          <w:bCs/>
          <w:color w:val="auto"/>
          <w:sz w:val="24"/>
          <w:lang w:val="en-US" w:eastAsia="zh-CN" w:bidi="ar"/>
        </w:rPr>
        <w:t>6</w:t>
      </w:r>
      <w:r>
        <w:rPr>
          <w:rFonts w:hint="default" w:ascii="Times New Roman" w:hAnsi="Times New Roman" w:eastAsia="宋体" w:cs="Times New Roman"/>
          <w:b/>
          <w:bCs/>
          <w:color w:val="auto"/>
          <w:sz w:val="24"/>
          <w:lang w:bidi="ar"/>
        </w:rPr>
        <w:t>m</w:t>
      </w:r>
      <w:r>
        <w:rPr>
          <w:rFonts w:hint="default" w:ascii="Times New Roman" w:hAnsi="Times New Roman" w:eastAsia="宋体" w:cs="Times New Roman"/>
          <w:b/>
          <w:bCs/>
          <w:color w:val="auto"/>
          <w:sz w:val="24"/>
          <w:lang w:val="en-US" w:eastAsia="zh-CN" w:bidi="ar"/>
        </w:rPr>
        <w:t>电场强度等值线图</w:t>
      </w:r>
    </w:p>
    <w:p w14:paraId="1A165320">
      <w:pPr>
        <w:keepNext w:val="0"/>
        <w:keepLines w:val="0"/>
        <w:pageBreakBefore w:val="0"/>
        <w:kinsoku/>
        <w:wordWrap/>
        <w:overflowPunct/>
        <w:topLinePunct w:val="0"/>
        <w:autoSpaceDE/>
        <w:autoSpaceDN/>
        <w:bidi w:val="0"/>
        <w:adjustRightInd w:val="0"/>
        <w:snapToGrid w:val="0"/>
        <w:spacing w:line="240" w:lineRule="auto"/>
        <w:ind w:right="0"/>
        <w:jc w:val="center"/>
        <w:rPr>
          <w:rFonts w:hint="default" w:ascii="Times New Roman" w:hAnsi="Times New Roman" w:eastAsia="宋体" w:cs="Times New Roman"/>
          <w:b/>
          <w:bCs/>
          <w:color w:val="auto"/>
          <w:sz w:val="24"/>
          <w:lang w:bidi="ar"/>
        </w:rPr>
      </w:pPr>
    </w:p>
    <w:p w14:paraId="2195EC6D">
      <w:pPr>
        <w:pStyle w:val="2"/>
        <w:keepNext w:val="0"/>
        <w:keepLines w:val="0"/>
        <w:pageBreakBefore w:val="0"/>
        <w:kinsoku/>
        <w:wordWrap/>
        <w:overflowPunct/>
        <w:topLinePunct w:val="0"/>
        <w:autoSpaceDE/>
        <w:autoSpaceDN/>
        <w:bidi w:val="0"/>
        <w:adjustRightInd w:val="0"/>
        <w:snapToGrid w:val="0"/>
        <w:spacing w:before="0" w:after="0" w:line="240" w:lineRule="auto"/>
        <w:ind w:right="0"/>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drawing>
          <wp:inline distT="0" distB="0" distL="114300" distR="114300">
            <wp:extent cx="5269230" cy="2729230"/>
            <wp:effectExtent l="0" t="0" r="7620" b="13970"/>
            <wp:docPr id="28" name="图片 28" descr="工频磁场图 110kV水平排列 7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工频磁场图 110kV水平排列 7m"/>
                    <pic:cNvPicPr>
                      <a:picLocks noChangeAspect="1"/>
                    </pic:cNvPicPr>
                  </pic:nvPicPr>
                  <pic:blipFill>
                    <a:blip r:embed="rId73"/>
                    <a:stretch>
                      <a:fillRect/>
                    </a:stretch>
                  </pic:blipFill>
                  <pic:spPr>
                    <a:xfrm>
                      <a:off x="0" y="0"/>
                      <a:ext cx="5269230" cy="2729230"/>
                    </a:xfrm>
                    <a:prstGeom prst="rect">
                      <a:avLst/>
                    </a:prstGeom>
                  </pic:spPr>
                </pic:pic>
              </a:graphicData>
            </a:graphic>
          </wp:inline>
        </w:drawing>
      </w:r>
    </w:p>
    <w:p w14:paraId="19749E29">
      <w:pPr>
        <w:keepNext w:val="0"/>
        <w:keepLines w:val="0"/>
        <w:pageBreakBefore w:val="0"/>
        <w:kinsoku/>
        <w:wordWrap/>
        <w:overflowPunct/>
        <w:topLinePunct w:val="0"/>
        <w:autoSpaceDE/>
        <w:autoSpaceDN/>
        <w:bidi w:val="0"/>
        <w:adjustRightInd w:val="0"/>
        <w:snapToGrid w:val="0"/>
        <w:spacing w:line="240" w:lineRule="auto"/>
        <w:ind w:right="0"/>
        <w:jc w:val="center"/>
        <w:rPr>
          <w:rFonts w:hint="default" w:ascii="Times New Roman" w:hAnsi="Times New Roman" w:eastAsia="宋体" w:cs="Times New Roman"/>
          <w:b/>
          <w:bCs/>
          <w:color w:val="auto"/>
          <w:sz w:val="24"/>
          <w:lang w:bidi="ar"/>
        </w:rPr>
      </w:pPr>
      <w:r>
        <w:rPr>
          <w:rFonts w:hint="default" w:ascii="Times New Roman" w:hAnsi="Times New Roman" w:eastAsia="宋体" w:cs="Times New Roman"/>
          <w:b/>
          <w:bCs/>
          <w:color w:val="auto"/>
          <w:sz w:val="24"/>
          <w:lang w:bidi="ar"/>
        </w:rPr>
        <w:t>图5-</w:t>
      </w:r>
      <w:r>
        <w:rPr>
          <w:rFonts w:hint="default" w:ascii="Times New Roman" w:hAnsi="Times New Roman" w:eastAsia="宋体" w:cs="Times New Roman"/>
          <w:b/>
          <w:bCs/>
          <w:color w:val="auto"/>
          <w:sz w:val="24"/>
          <w:lang w:val="en-US" w:eastAsia="zh-CN" w:bidi="ar"/>
        </w:rPr>
        <w:t>13</w:t>
      </w:r>
      <w:r>
        <w:rPr>
          <w:rFonts w:hint="default" w:ascii="Times New Roman" w:hAnsi="Times New Roman" w:eastAsia="宋体" w:cs="Times New Roman"/>
          <w:b/>
          <w:bCs/>
          <w:color w:val="auto"/>
          <w:sz w:val="24"/>
          <w:lang w:bidi="ar"/>
        </w:rPr>
        <w:t xml:space="preserve"> 居民区</w:t>
      </w:r>
      <w:r>
        <w:rPr>
          <w:rFonts w:hint="default" w:ascii="Times New Roman" w:hAnsi="Times New Roman" w:eastAsia="宋体" w:cs="Times New Roman"/>
          <w:b/>
          <w:bCs/>
          <w:color w:val="auto"/>
          <w:sz w:val="24"/>
          <w:lang w:val="en-US" w:eastAsia="zh-CN" w:bidi="ar"/>
        </w:rPr>
        <w:t>水平</w:t>
      </w:r>
      <w:r>
        <w:rPr>
          <w:rFonts w:hint="default" w:ascii="Times New Roman" w:hAnsi="Times New Roman" w:eastAsia="宋体" w:cs="Times New Roman"/>
          <w:b/>
          <w:bCs/>
          <w:color w:val="auto"/>
          <w:sz w:val="24"/>
          <w:lang w:bidi="ar"/>
        </w:rPr>
        <w:t>排列高</w:t>
      </w:r>
      <w:r>
        <w:rPr>
          <w:rFonts w:hint="default" w:ascii="Times New Roman" w:hAnsi="Times New Roman" w:eastAsia="宋体" w:cs="Times New Roman"/>
          <w:b/>
          <w:bCs/>
          <w:color w:val="auto"/>
          <w:sz w:val="24"/>
          <w:lang w:val="en-US" w:eastAsia="zh-CN" w:bidi="ar"/>
        </w:rPr>
        <w:t>7</w:t>
      </w:r>
      <w:r>
        <w:rPr>
          <w:rFonts w:hint="default" w:ascii="Times New Roman" w:hAnsi="Times New Roman" w:eastAsia="宋体" w:cs="Times New Roman"/>
          <w:b/>
          <w:bCs/>
          <w:color w:val="auto"/>
          <w:sz w:val="24"/>
          <w:lang w:bidi="ar"/>
        </w:rPr>
        <w:t>m磁场强度综合量的分布情况</w:t>
      </w:r>
    </w:p>
    <w:p w14:paraId="7CA8E225">
      <w:pPr>
        <w:pStyle w:val="29"/>
        <w:keepNext w:val="0"/>
        <w:keepLines w:val="0"/>
        <w:pageBreakBefore w:val="0"/>
        <w:tabs>
          <w:tab w:val="center" w:pos="4153"/>
          <w:tab w:val="right" w:pos="8306"/>
        </w:tabs>
        <w:kinsoku/>
        <w:wordWrap/>
        <w:overflowPunct/>
        <w:topLinePunct w:val="0"/>
        <w:autoSpaceDE/>
        <w:autoSpaceDN/>
        <w:bidi w:val="0"/>
        <w:adjustRightInd w:val="0"/>
        <w:snapToGrid w:val="0"/>
        <w:spacing w:before="0" w:after="0" w:line="240" w:lineRule="auto"/>
        <w:ind w:left="0" w:leftChars="0" w:right="0" w:firstLine="0" w:firstLineChars="0"/>
        <w:jc w:val="center"/>
        <w:rPr>
          <w:rFonts w:hint="default" w:ascii="Times New Roman" w:hAnsi="Times New Roman" w:eastAsia="宋体" w:cs="Times New Roman"/>
          <w:b/>
          <w:bCs/>
          <w:color w:val="auto"/>
          <w:sz w:val="24"/>
          <w:lang w:eastAsia="zh-CN" w:bidi="ar"/>
        </w:rPr>
      </w:pPr>
      <w:r>
        <w:rPr>
          <w:rFonts w:hint="default" w:ascii="Times New Roman" w:hAnsi="Times New Roman" w:eastAsia="宋体" w:cs="Times New Roman"/>
          <w:b/>
          <w:bCs/>
          <w:color w:val="auto"/>
          <w:sz w:val="24"/>
          <w:lang w:eastAsia="zh-CN" w:bidi="ar"/>
        </w:rPr>
        <w:drawing>
          <wp:inline distT="0" distB="0" distL="114300" distR="114300">
            <wp:extent cx="5271135" cy="2854325"/>
            <wp:effectExtent l="0" t="0" r="5715" b="3175"/>
            <wp:docPr id="34" name="图片 34" descr="磁场等值线图 110kV水平排列 7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磁场等值线图 110kV水平排列 7m"/>
                    <pic:cNvPicPr>
                      <a:picLocks noChangeAspect="1"/>
                    </pic:cNvPicPr>
                  </pic:nvPicPr>
                  <pic:blipFill>
                    <a:blip r:embed="rId74"/>
                    <a:stretch>
                      <a:fillRect/>
                    </a:stretch>
                  </pic:blipFill>
                  <pic:spPr>
                    <a:xfrm>
                      <a:off x="0" y="0"/>
                      <a:ext cx="5271135" cy="2854325"/>
                    </a:xfrm>
                    <a:prstGeom prst="rect">
                      <a:avLst/>
                    </a:prstGeom>
                  </pic:spPr>
                </pic:pic>
              </a:graphicData>
            </a:graphic>
          </wp:inline>
        </w:drawing>
      </w:r>
    </w:p>
    <w:p w14:paraId="21B2EF14">
      <w:pPr>
        <w:keepNext w:val="0"/>
        <w:keepLines w:val="0"/>
        <w:pageBreakBefore w:val="0"/>
        <w:kinsoku/>
        <w:wordWrap/>
        <w:overflowPunct/>
        <w:topLinePunct w:val="0"/>
        <w:autoSpaceDE/>
        <w:autoSpaceDN/>
        <w:bidi w:val="0"/>
        <w:adjustRightInd w:val="0"/>
        <w:snapToGrid w:val="0"/>
        <w:spacing w:line="240" w:lineRule="auto"/>
        <w:ind w:right="0"/>
        <w:jc w:val="center"/>
        <w:rPr>
          <w:rFonts w:hint="default" w:ascii="Times New Roman" w:hAnsi="Times New Roman" w:eastAsia="宋体" w:cs="Times New Roman"/>
          <w:b/>
          <w:bCs/>
          <w:color w:val="auto"/>
          <w:sz w:val="24"/>
          <w:lang w:val="en-US" w:eastAsia="zh-CN" w:bidi="ar"/>
        </w:rPr>
      </w:pPr>
      <w:r>
        <w:rPr>
          <w:rFonts w:hint="default" w:ascii="Times New Roman" w:hAnsi="Times New Roman" w:eastAsia="宋体" w:cs="Times New Roman"/>
          <w:b/>
          <w:bCs/>
          <w:color w:val="auto"/>
          <w:sz w:val="24"/>
          <w:lang w:bidi="ar"/>
        </w:rPr>
        <w:t>图5-</w:t>
      </w:r>
      <w:r>
        <w:rPr>
          <w:rFonts w:hint="default" w:ascii="Times New Roman" w:hAnsi="Times New Roman" w:eastAsia="宋体" w:cs="Times New Roman"/>
          <w:b/>
          <w:bCs/>
          <w:color w:val="auto"/>
          <w:sz w:val="24"/>
          <w:lang w:val="en-US" w:eastAsia="zh-CN" w:bidi="ar"/>
        </w:rPr>
        <w:t>14</w:t>
      </w:r>
      <w:r>
        <w:rPr>
          <w:rFonts w:hint="default" w:ascii="Times New Roman" w:hAnsi="Times New Roman" w:eastAsia="宋体" w:cs="Times New Roman"/>
          <w:b/>
          <w:bCs/>
          <w:color w:val="auto"/>
          <w:sz w:val="24"/>
          <w:lang w:bidi="ar"/>
        </w:rPr>
        <w:t xml:space="preserve"> 居民区</w:t>
      </w:r>
      <w:r>
        <w:rPr>
          <w:rFonts w:hint="default" w:ascii="Times New Roman" w:hAnsi="Times New Roman" w:eastAsia="宋体" w:cs="Times New Roman"/>
          <w:b/>
          <w:bCs/>
          <w:color w:val="auto"/>
          <w:sz w:val="24"/>
          <w:lang w:val="en-US" w:eastAsia="zh-CN" w:bidi="ar"/>
        </w:rPr>
        <w:t>水平</w:t>
      </w:r>
      <w:r>
        <w:rPr>
          <w:rFonts w:hint="default" w:ascii="Times New Roman" w:hAnsi="Times New Roman" w:eastAsia="宋体" w:cs="Times New Roman"/>
          <w:b/>
          <w:bCs/>
          <w:color w:val="auto"/>
          <w:sz w:val="24"/>
          <w:lang w:bidi="ar"/>
        </w:rPr>
        <w:t>排列高</w:t>
      </w:r>
      <w:r>
        <w:rPr>
          <w:rFonts w:hint="default" w:ascii="Times New Roman" w:hAnsi="Times New Roman" w:eastAsia="宋体" w:cs="Times New Roman"/>
          <w:b/>
          <w:bCs/>
          <w:color w:val="auto"/>
          <w:sz w:val="24"/>
          <w:lang w:val="en-US" w:eastAsia="zh-CN" w:bidi="ar"/>
        </w:rPr>
        <w:t>7</w:t>
      </w:r>
      <w:r>
        <w:rPr>
          <w:rFonts w:hint="default" w:ascii="Times New Roman" w:hAnsi="Times New Roman" w:eastAsia="宋体" w:cs="Times New Roman"/>
          <w:b/>
          <w:bCs/>
          <w:color w:val="auto"/>
          <w:sz w:val="24"/>
          <w:lang w:bidi="ar"/>
        </w:rPr>
        <w:t>m磁</w:t>
      </w:r>
      <w:r>
        <w:rPr>
          <w:rFonts w:hint="default" w:ascii="Times New Roman" w:hAnsi="Times New Roman" w:eastAsia="宋体" w:cs="Times New Roman"/>
          <w:b/>
          <w:bCs/>
          <w:color w:val="auto"/>
          <w:sz w:val="24"/>
          <w:lang w:val="en-US" w:eastAsia="zh-CN" w:bidi="ar"/>
        </w:rPr>
        <w:t>感应</w:t>
      </w:r>
      <w:r>
        <w:rPr>
          <w:rFonts w:hint="default" w:ascii="Times New Roman" w:hAnsi="Times New Roman" w:eastAsia="宋体" w:cs="Times New Roman"/>
          <w:b/>
          <w:bCs/>
          <w:color w:val="auto"/>
          <w:sz w:val="24"/>
          <w:lang w:bidi="ar"/>
        </w:rPr>
        <w:t>强度</w:t>
      </w:r>
      <w:r>
        <w:rPr>
          <w:rFonts w:hint="default" w:ascii="Times New Roman" w:hAnsi="Times New Roman" w:eastAsia="宋体" w:cs="Times New Roman"/>
          <w:b/>
          <w:bCs/>
          <w:color w:val="auto"/>
          <w:sz w:val="24"/>
          <w:lang w:val="en-US" w:eastAsia="zh-CN" w:bidi="ar"/>
        </w:rPr>
        <w:t>等值线图</w:t>
      </w:r>
    </w:p>
    <w:p w14:paraId="765168B9">
      <w:pPr>
        <w:pStyle w:val="2"/>
        <w:keepNext w:val="0"/>
        <w:keepLines w:val="0"/>
        <w:pageBreakBefore w:val="0"/>
        <w:kinsoku/>
        <w:wordWrap/>
        <w:overflowPunct/>
        <w:topLinePunct w:val="0"/>
        <w:autoSpaceDE/>
        <w:autoSpaceDN/>
        <w:bidi w:val="0"/>
        <w:adjustRightInd w:val="0"/>
        <w:snapToGrid w:val="0"/>
        <w:spacing w:before="0" w:after="0" w:line="240" w:lineRule="auto"/>
        <w:ind w:right="0"/>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drawing>
          <wp:inline distT="0" distB="0" distL="114300" distR="114300">
            <wp:extent cx="5269865" cy="2553970"/>
            <wp:effectExtent l="0" t="0" r="6985" b="17780"/>
            <wp:docPr id="33" name="图片 33" descr="工频电场图 110kV水平排列 7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工频电场图 110kV水平排列 7m"/>
                    <pic:cNvPicPr>
                      <a:picLocks noChangeAspect="1"/>
                    </pic:cNvPicPr>
                  </pic:nvPicPr>
                  <pic:blipFill>
                    <a:blip r:embed="rId75"/>
                    <a:stretch>
                      <a:fillRect/>
                    </a:stretch>
                  </pic:blipFill>
                  <pic:spPr>
                    <a:xfrm>
                      <a:off x="0" y="0"/>
                      <a:ext cx="5269865" cy="2553970"/>
                    </a:xfrm>
                    <a:prstGeom prst="rect">
                      <a:avLst/>
                    </a:prstGeom>
                  </pic:spPr>
                </pic:pic>
              </a:graphicData>
            </a:graphic>
          </wp:inline>
        </w:drawing>
      </w:r>
    </w:p>
    <w:p w14:paraId="0E35660C">
      <w:pPr>
        <w:keepNext w:val="0"/>
        <w:keepLines w:val="0"/>
        <w:pageBreakBefore w:val="0"/>
        <w:kinsoku/>
        <w:wordWrap/>
        <w:overflowPunct/>
        <w:topLinePunct w:val="0"/>
        <w:autoSpaceDE/>
        <w:autoSpaceDN/>
        <w:bidi w:val="0"/>
        <w:adjustRightInd w:val="0"/>
        <w:snapToGrid w:val="0"/>
        <w:spacing w:line="240" w:lineRule="auto"/>
        <w:ind w:right="0"/>
        <w:jc w:val="center"/>
        <w:rPr>
          <w:rFonts w:hint="default" w:ascii="Times New Roman" w:hAnsi="Times New Roman" w:eastAsia="宋体" w:cs="Times New Roman"/>
          <w:b/>
          <w:bCs/>
          <w:color w:val="auto"/>
          <w:sz w:val="24"/>
          <w:lang w:bidi="ar"/>
        </w:rPr>
      </w:pPr>
      <w:r>
        <w:rPr>
          <w:rFonts w:hint="default" w:ascii="Times New Roman" w:hAnsi="Times New Roman" w:eastAsia="宋体" w:cs="Times New Roman"/>
          <w:b/>
          <w:bCs/>
          <w:color w:val="auto"/>
          <w:sz w:val="24"/>
          <w:lang w:bidi="ar"/>
        </w:rPr>
        <w:t>图5-</w:t>
      </w:r>
      <w:r>
        <w:rPr>
          <w:rFonts w:hint="default" w:ascii="Times New Roman" w:hAnsi="Times New Roman" w:eastAsia="宋体" w:cs="Times New Roman"/>
          <w:b/>
          <w:bCs/>
          <w:color w:val="auto"/>
          <w:sz w:val="24"/>
          <w:lang w:val="en-US" w:eastAsia="zh-CN" w:bidi="ar"/>
        </w:rPr>
        <w:t>15</w:t>
      </w:r>
      <w:r>
        <w:rPr>
          <w:rFonts w:hint="default" w:ascii="Times New Roman" w:hAnsi="Times New Roman" w:eastAsia="宋体" w:cs="Times New Roman"/>
          <w:b/>
          <w:bCs/>
          <w:color w:val="auto"/>
          <w:sz w:val="24"/>
          <w:lang w:bidi="ar"/>
        </w:rPr>
        <w:t xml:space="preserve"> 居民区</w:t>
      </w:r>
      <w:r>
        <w:rPr>
          <w:rFonts w:hint="default" w:ascii="Times New Roman" w:hAnsi="Times New Roman" w:eastAsia="宋体" w:cs="Times New Roman"/>
          <w:b/>
          <w:bCs/>
          <w:color w:val="auto"/>
          <w:sz w:val="24"/>
          <w:lang w:val="en-US" w:eastAsia="zh-CN" w:bidi="ar"/>
        </w:rPr>
        <w:t>水平</w:t>
      </w:r>
      <w:r>
        <w:rPr>
          <w:rFonts w:hint="default" w:ascii="Times New Roman" w:hAnsi="Times New Roman" w:eastAsia="宋体" w:cs="Times New Roman"/>
          <w:b/>
          <w:bCs/>
          <w:color w:val="auto"/>
          <w:sz w:val="24"/>
          <w:lang w:bidi="ar"/>
        </w:rPr>
        <w:t>排列高</w:t>
      </w:r>
      <w:r>
        <w:rPr>
          <w:rFonts w:hint="default" w:ascii="Times New Roman" w:hAnsi="Times New Roman" w:eastAsia="宋体" w:cs="Times New Roman"/>
          <w:b/>
          <w:bCs/>
          <w:color w:val="auto"/>
          <w:sz w:val="24"/>
          <w:lang w:val="en-US" w:eastAsia="zh-CN" w:bidi="ar"/>
        </w:rPr>
        <w:t>7</w:t>
      </w:r>
      <w:r>
        <w:rPr>
          <w:rFonts w:hint="default" w:ascii="Times New Roman" w:hAnsi="Times New Roman" w:eastAsia="宋体" w:cs="Times New Roman"/>
          <w:b/>
          <w:bCs/>
          <w:color w:val="auto"/>
          <w:sz w:val="24"/>
          <w:lang w:bidi="ar"/>
        </w:rPr>
        <w:t>m</w:t>
      </w:r>
      <w:r>
        <w:rPr>
          <w:rFonts w:hint="default" w:ascii="Times New Roman" w:hAnsi="Times New Roman" w:eastAsia="宋体" w:cs="Times New Roman"/>
          <w:b/>
          <w:bCs/>
          <w:color w:val="auto"/>
          <w:sz w:val="24"/>
          <w:lang w:val="en-US" w:eastAsia="zh-CN" w:bidi="ar"/>
        </w:rPr>
        <w:t>电场强度</w:t>
      </w:r>
      <w:r>
        <w:rPr>
          <w:rFonts w:hint="default" w:ascii="Times New Roman" w:hAnsi="Times New Roman" w:eastAsia="宋体" w:cs="Times New Roman"/>
          <w:b/>
          <w:bCs/>
          <w:color w:val="auto"/>
          <w:sz w:val="24"/>
          <w:lang w:bidi="ar"/>
        </w:rPr>
        <w:t>综合量的分布情况</w:t>
      </w:r>
    </w:p>
    <w:p w14:paraId="6A90EF3C">
      <w:pPr>
        <w:pStyle w:val="29"/>
        <w:keepNext w:val="0"/>
        <w:keepLines w:val="0"/>
        <w:pageBreakBefore w:val="0"/>
        <w:tabs>
          <w:tab w:val="center" w:pos="4153"/>
          <w:tab w:val="right" w:pos="8306"/>
        </w:tabs>
        <w:kinsoku/>
        <w:wordWrap/>
        <w:overflowPunct/>
        <w:topLinePunct w:val="0"/>
        <w:autoSpaceDE/>
        <w:autoSpaceDN/>
        <w:bidi w:val="0"/>
        <w:adjustRightInd w:val="0"/>
        <w:snapToGrid w:val="0"/>
        <w:spacing w:before="0" w:after="0" w:line="240" w:lineRule="auto"/>
        <w:ind w:left="0" w:leftChars="0" w:right="0" w:firstLine="0" w:firstLineChars="0"/>
        <w:jc w:val="center"/>
        <w:rPr>
          <w:rFonts w:hint="default" w:ascii="Times New Roman" w:hAnsi="Times New Roman" w:eastAsia="宋体" w:cs="Times New Roman"/>
          <w:b/>
          <w:bCs/>
          <w:color w:val="auto"/>
          <w:sz w:val="24"/>
          <w:lang w:eastAsia="zh-CN" w:bidi="ar"/>
        </w:rPr>
      </w:pPr>
      <w:r>
        <w:rPr>
          <w:rFonts w:hint="default" w:ascii="Times New Roman" w:hAnsi="Times New Roman" w:eastAsia="宋体" w:cs="Times New Roman"/>
          <w:b/>
          <w:bCs/>
          <w:color w:val="auto"/>
          <w:sz w:val="24"/>
          <w:lang w:eastAsia="zh-CN" w:bidi="ar"/>
        </w:rPr>
        <w:drawing>
          <wp:inline distT="0" distB="0" distL="114300" distR="114300">
            <wp:extent cx="5271135" cy="2811145"/>
            <wp:effectExtent l="0" t="0" r="5715" b="8255"/>
            <wp:docPr id="35" name="图片 35" descr="电场等值线图 110kV水平排列 7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电场等值线图 110kV水平排列 7m"/>
                    <pic:cNvPicPr>
                      <a:picLocks noChangeAspect="1"/>
                    </pic:cNvPicPr>
                  </pic:nvPicPr>
                  <pic:blipFill>
                    <a:blip r:embed="rId76"/>
                    <a:stretch>
                      <a:fillRect/>
                    </a:stretch>
                  </pic:blipFill>
                  <pic:spPr>
                    <a:xfrm>
                      <a:off x="0" y="0"/>
                      <a:ext cx="5271135" cy="2811145"/>
                    </a:xfrm>
                    <a:prstGeom prst="rect">
                      <a:avLst/>
                    </a:prstGeom>
                  </pic:spPr>
                </pic:pic>
              </a:graphicData>
            </a:graphic>
          </wp:inline>
        </w:drawing>
      </w:r>
    </w:p>
    <w:p w14:paraId="64F59B37">
      <w:pPr>
        <w:keepNext w:val="0"/>
        <w:keepLines w:val="0"/>
        <w:pageBreakBefore w:val="0"/>
        <w:kinsoku/>
        <w:wordWrap/>
        <w:overflowPunct/>
        <w:topLinePunct w:val="0"/>
        <w:autoSpaceDE/>
        <w:autoSpaceDN/>
        <w:bidi w:val="0"/>
        <w:adjustRightInd w:val="0"/>
        <w:snapToGrid w:val="0"/>
        <w:spacing w:line="240" w:lineRule="auto"/>
        <w:ind w:right="0"/>
        <w:jc w:val="center"/>
        <w:rPr>
          <w:rFonts w:hint="default" w:ascii="Times New Roman" w:hAnsi="Times New Roman" w:eastAsia="宋体" w:cs="Times New Roman"/>
          <w:b/>
          <w:bCs/>
          <w:color w:val="auto"/>
          <w:sz w:val="24"/>
          <w:lang w:val="en-US" w:eastAsia="zh-CN" w:bidi="ar"/>
        </w:rPr>
      </w:pPr>
      <w:r>
        <w:rPr>
          <w:rFonts w:hint="default" w:ascii="Times New Roman" w:hAnsi="Times New Roman" w:eastAsia="宋体" w:cs="Times New Roman"/>
          <w:b/>
          <w:bCs/>
          <w:color w:val="auto"/>
          <w:sz w:val="24"/>
          <w:lang w:bidi="ar"/>
        </w:rPr>
        <w:t>图5-</w:t>
      </w:r>
      <w:r>
        <w:rPr>
          <w:rFonts w:hint="default" w:ascii="Times New Roman" w:hAnsi="Times New Roman" w:eastAsia="宋体" w:cs="Times New Roman"/>
          <w:b/>
          <w:bCs/>
          <w:color w:val="auto"/>
          <w:sz w:val="24"/>
          <w:lang w:val="en-US" w:eastAsia="zh-CN" w:bidi="ar"/>
        </w:rPr>
        <w:t>16</w:t>
      </w:r>
      <w:r>
        <w:rPr>
          <w:rFonts w:hint="default" w:ascii="Times New Roman" w:hAnsi="Times New Roman" w:eastAsia="宋体" w:cs="Times New Roman"/>
          <w:b/>
          <w:bCs/>
          <w:color w:val="auto"/>
          <w:sz w:val="24"/>
          <w:lang w:bidi="ar"/>
        </w:rPr>
        <w:t xml:space="preserve"> 居民区</w:t>
      </w:r>
      <w:r>
        <w:rPr>
          <w:rFonts w:hint="default" w:ascii="Times New Roman" w:hAnsi="Times New Roman" w:eastAsia="宋体" w:cs="Times New Roman"/>
          <w:b/>
          <w:bCs/>
          <w:color w:val="auto"/>
          <w:sz w:val="24"/>
          <w:lang w:val="en-US" w:eastAsia="zh-CN" w:bidi="ar"/>
        </w:rPr>
        <w:t>水平</w:t>
      </w:r>
      <w:r>
        <w:rPr>
          <w:rFonts w:hint="default" w:ascii="Times New Roman" w:hAnsi="Times New Roman" w:eastAsia="宋体" w:cs="Times New Roman"/>
          <w:b/>
          <w:bCs/>
          <w:color w:val="auto"/>
          <w:sz w:val="24"/>
          <w:lang w:bidi="ar"/>
        </w:rPr>
        <w:t>排列高</w:t>
      </w:r>
      <w:r>
        <w:rPr>
          <w:rFonts w:hint="default" w:ascii="Times New Roman" w:hAnsi="Times New Roman" w:eastAsia="宋体" w:cs="Times New Roman"/>
          <w:b/>
          <w:bCs/>
          <w:color w:val="auto"/>
          <w:sz w:val="24"/>
          <w:lang w:val="en-US" w:eastAsia="zh-CN" w:bidi="ar"/>
        </w:rPr>
        <w:t>7</w:t>
      </w:r>
      <w:r>
        <w:rPr>
          <w:rFonts w:hint="default" w:ascii="Times New Roman" w:hAnsi="Times New Roman" w:eastAsia="宋体" w:cs="Times New Roman"/>
          <w:b/>
          <w:bCs/>
          <w:color w:val="auto"/>
          <w:sz w:val="24"/>
          <w:lang w:bidi="ar"/>
        </w:rPr>
        <w:t>m</w:t>
      </w:r>
      <w:r>
        <w:rPr>
          <w:rFonts w:hint="default" w:ascii="Times New Roman" w:hAnsi="Times New Roman" w:eastAsia="宋体" w:cs="Times New Roman"/>
          <w:b/>
          <w:bCs/>
          <w:color w:val="auto"/>
          <w:sz w:val="24"/>
          <w:lang w:val="en-US" w:eastAsia="zh-CN" w:bidi="ar"/>
        </w:rPr>
        <w:t>电场强度等值线图</w:t>
      </w:r>
    </w:p>
    <w:p w14:paraId="254C7B5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bidi="ar"/>
        </w:rPr>
        <w:t>由预测结果可知，线路</w:t>
      </w:r>
      <w:r>
        <w:rPr>
          <w:rFonts w:hint="default" w:ascii="Times New Roman" w:hAnsi="Times New Roman" w:eastAsia="宋体" w:cs="Times New Roman"/>
          <w:color w:val="auto"/>
          <w:sz w:val="24"/>
          <w:lang w:val="en-US" w:eastAsia="zh-CN" w:bidi="ar"/>
        </w:rPr>
        <w:t>三角排列</w:t>
      </w:r>
      <w:r>
        <w:rPr>
          <w:rFonts w:hint="default" w:ascii="Times New Roman" w:hAnsi="Times New Roman" w:eastAsia="宋体" w:cs="Times New Roman"/>
          <w:color w:val="auto"/>
          <w:sz w:val="24"/>
          <w:lang w:bidi="ar"/>
        </w:rPr>
        <w:t>在非居民区导线最低允许高度为6m时，在最不利塔型段（2D1R7-J2）线下1.5m高处最大工频电场强度为</w:t>
      </w:r>
      <w:r>
        <w:rPr>
          <w:rFonts w:hint="default" w:ascii="Times New Roman" w:hAnsi="Times New Roman" w:eastAsia="宋体" w:cs="Times New Roman"/>
          <w:color w:val="auto"/>
          <w:sz w:val="24"/>
          <w:lang w:val="en-US" w:eastAsia="zh-CN"/>
        </w:rPr>
        <w:t>2.8939</w:t>
      </w:r>
      <w:r>
        <w:rPr>
          <w:rFonts w:hint="default" w:ascii="Times New Roman" w:hAnsi="Times New Roman" w:eastAsia="宋体" w:cs="Times New Roman"/>
          <w:color w:val="auto"/>
          <w:sz w:val="24"/>
          <w:lang w:bidi="ar"/>
        </w:rPr>
        <w:t>kV/m，满足《电磁环境控制限值》</w:t>
      </w:r>
      <w:r>
        <w:rPr>
          <w:rFonts w:hint="default"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GB8702-2014</w:t>
      </w:r>
      <w:r>
        <w:rPr>
          <w:rFonts w:hint="default"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中耕地、园地、牧草地、畜禽饲养地、养殖水面、道路等场所10kV/m的控制限值要求；从衰减规律可看出，工频电场强度在距离线路中心地面投影附近达到最大值后，随着与线路中心距离的增大，呈快速减小的趋势。线路三角排列在居民区导线最低允许高度为</w:t>
      </w:r>
      <w:r>
        <w:rPr>
          <w:rFonts w:hint="default" w:ascii="Times New Roman" w:hAnsi="Times New Roman" w:eastAsia="宋体" w:cs="Times New Roman"/>
          <w:color w:val="auto"/>
          <w:sz w:val="24"/>
          <w:lang w:val="en-US" w:eastAsia="zh-CN" w:bidi="ar"/>
        </w:rPr>
        <w:t>7</w:t>
      </w:r>
      <w:r>
        <w:rPr>
          <w:rFonts w:hint="default" w:ascii="Times New Roman" w:hAnsi="Times New Roman" w:eastAsia="宋体" w:cs="Times New Roman"/>
          <w:color w:val="auto"/>
          <w:sz w:val="24"/>
          <w:lang w:bidi="ar"/>
        </w:rPr>
        <w:t>m时，线下距地1.5m高处工频电场强度最大值为</w:t>
      </w:r>
      <w:r>
        <w:rPr>
          <w:rFonts w:hint="default" w:ascii="Times New Roman" w:hAnsi="Times New Roman" w:eastAsia="宋体" w:cs="Times New Roman"/>
          <w:color w:val="auto"/>
          <w:sz w:val="24"/>
        </w:rPr>
        <w:t>2.</w:t>
      </w:r>
      <w:r>
        <w:rPr>
          <w:rFonts w:hint="default" w:ascii="Times New Roman" w:hAnsi="Times New Roman" w:eastAsia="宋体" w:cs="Times New Roman"/>
          <w:color w:val="auto"/>
          <w:sz w:val="24"/>
          <w:lang w:val="en-US" w:eastAsia="zh-CN"/>
        </w:rPr>
        <w:t>2587</w:t>
      </w:r>
      <w:r>
        <w:rPr>
          <w:rFonts w:hint="default" w:ascii="Times New Roman" w:hAnsi="Times New Roman" w:eastAsia="宋体" w:cs="Times New Roman"/>
          <w:color w:val="auto"/>
          <w:sz w:val="24"/>
          <w:lang w:bidi="ar"/>
        </w:rPr>
        <w:t>kV/m，能满足居民区评价标准限值4kV/m(4000V/m</w:t>
      </w:r>
      <w:r>
        <w:rPr>
          <w:rFonts w:hint="default"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的要求。</w:t>
      </w:r>
    </w:p>
    <w:p w14:paraId="01BE98F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bidi="ar"/>
        </w:rPr>
      </w:pPr>
      <w:r>
        <w:rPr>
          <w:rFonts w:hint="default" w:ascii="Times New Roman" w:hAnsi="Times New Roman" w:eastAsia="宋体" w:cs="Times New Roman"/>
          <w:color w:val="auto"/>
          <w:sz w:val="24"/>
          <w:lang w:bidi="ar"/>
        </w:rPr>
        <w:t>由预测结果可知，线路</w:t>
      </w:r>
      <w:r>
        <w:rPr>
          <w:rFonts w:hint="default" w:ascii="Times New Roman" w:hAnsi="Times New Roman" w:eastAsia="宋体" w:cs="Times New Roman"/>
          <w:color w:val="auto"/>
          <w:sz w:val="24"/>
          <w:lang w:val="en-US" w:eastAsia="zh-CN" w:bidi="ar"/>
        </w:rPr>
        <w:t>水平排列</w:t>
      </w:r>
      <w:r>
        <w:rPr>
          <w:rFonts w:hint="default" w:ascii="Times New Roman" w:hAnsi="Times New Roman" w:eastAsia="宋体" w:cs="Times New Roman"/>
          <w:color w:val="auto"/>
          <w:sz w:val="24"/>
          <w:lang w:bidi="ar"/>
        </w:rPr>
        <w:t>在非居民区导线最低允许高度为6m时，在最不利塔型段（2D1R8-JB3）线下1.5m高处最大工频电场强度为</w:t>
      </w:r>
      <w:r>
        <w:rPr>
          <w:rFonts w:hint="default" w:ascii="Times New Roman" w:hAnsi="Times New Roman" w:eastAsia="宋体" w:cs="Times New Roman"/>
          <w:color w:val="auto"/>
          <w:sz w:val="24"/>
          <w:lang w:val="en-US" w:eastAsia="zh-CN"/>
        </w:rPr>
        <w:t>3.1135</w:t>
      </w:r>
      <w:r>
        <w:rPr>
          <w:rFonts w:hint="default" w:ascii="Times New Roman" w:hAnsi="Times New Roman" w:eastAsia="宋体" w:cs="Times New Roman"/>
          <w:color w:val="auto"/>
          <w:sz w:val="24"/>
          <w:lang w:bidi="ar"/>
        </w:rPr>
        <w:t>kV/m，满足《电磁环境控制限值》</w:t>
      </w:r>
      <w:r>
        <w:rPr>
          <w:rFonts w:hint="default"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GB8702-2014</w:t>
      </w:r>
      <w:r>
        <w:rPr>
          <w:rFonts w:hint="default"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中耕地、园地、牧草地、畜禽饲养地、养殖水面、道路等场所10kV/m的控制限值要求；从衰减规律可看出，工频电场强度在距离线路中心地面投影附近达到最大值后，随着与线路中心距离的增大，呈快速减小的趋势。线路</w:t>
      </w:r>
      <w:r>
        <w:rPr>
          <w:rFonts w:hint="default" w:ascii="Times New Roman" w:hAnsi="Times New Roman" w:eastAsia="宋体" w:cs="Times New Roman"/>
          <w:color w:val="auto"/>
          <w:sz w:val="24"/>
          <w:lang w:val="en-US" w:eastAsia="zh-CN" w:bidi="ar"/>
        </w:rPr>
        <w:t>水平</w:t>
      </w:r>
      <w:r>
        <w:rPr>
          <w:rFonts w:hint="default" w:ascii="Times New Roman" w:hAnsi="Times New Roman" w:eastAsia="宋体" w:cs="Times New Roman"/>
          <w:color w:val="auto"/>
          <w:sz w:val="24"/>
          <w:lang w:bidi="ar"/>
        </w:rPr>
        <w:t>排列在居民区导线最低允许高度为</w:t>
      </w:r>
      <w:r>
        <w:rPr>
          <w:rFonts w:hint="default" w:ascii="Times New Roman" w:hAnsi="Times New Roman" w:eastAsia="宋体" w:cs="Times New Roman"/>
          <w:color w:val="auto"/>
          <w:sz w:val="24"/>
          <w:lang w:val="en-US" w:eastAsia="zh-CN" w:bidi="ar"/>
        </w:rPr>
        <w:t>7</w:t>
      </w:r>
      <w:r>
        <w:rPr>
          <w:rFonts w:hint="default" w:ascii="Times New Roman" w:hAnsi="Times New Roman" w:eastAsia="宋体" w:cs="Times New Roman"/>
          <w:color w:val="auto"/>
          <w:sz w:val="24"/>
          <w:lang w:bidi="ar"/>
        </w:rPr>
        <w:t>m时，线下距地1.5m高处工频电场强度最大值为</w:t>
      </w:r>
      <w:r>
        <w:rPr>
          <w:rFonts w:hint="default" w:ascii="Times New Roman" w:hAnsi="Times New Roman" w:eastAsia="宋体" w:cs="Times New Roman"/>
          <w:color w:val="auto"/>
          <w:sz w:val="24"/>
        </w:rPr>
        <w:t>2.4876</w:t>
      </w:r>
      <w:r>
        <w:rPr>
          <w:rFonts w:hint="default" w:ascii="Times New Roman" w:hAnsi="Times New Roman" w:eastAsia="宋体" w:cs="Times New Roman"/>
          <w:color w:val="auto"/>
          <w:sz w:val="24"/>
          <w:lang w:bidi="ar"/>
        </w:rPr>
        <w:t>kV/m，能满足居民区评价标准限值4kV/m(4000V/m</w:t>
      </w:r>
      <w:r>
        <w:rPr>
          <w:rFonts w:hint="default"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的要求。</w:t>
      </w:r>
    </w:p>
    <w:p w14:paraId="2095517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bidi="ar"/>
        </w:rPr>
      </w:pPr>
      <w:r>
        <w:rPr>
          <w:rFonts w:hint="default" w:ascii="Times New Roman" w:hAnsi="Times New Roman" w:eastAsia="宋体" w:cs="Times New Roman"/>
          <w:color w:val="auto"/>
          <w:sz w:val="24"/>
          <w:lang w:bidi="ar"/>
        </w:rPr>
        <w:t>由预测结果可知，线路</w:t>
      </w:r>
      <w:r>
        <w:rPr>
          <w:rFonts w:hint="default" w:ascii="Times New Roman" w:hAnsi="Times New Roman" w:eastAsia="宋体" w:cs="Times New Roman"/>
          <w:color w:val="auto"/>
          <w:sz w:val="24"/>
          <w:lang w:val="en-US" w:eastAsia="zh-CN" w:bidi="ar"/>
        </w:rPr>
        <w:t>三角排列</w:t>
      </w:r>
      <w:r>
        <w:rPr>
          <w:rFonts w:hint="default" w:ascii="Times New Roman" w:hAnsi="Times New Roman" w:eastAsia="宋体" w:cs="Times New Roman"/>
          <w:color w:val="auto"/>
          <w:sz w:val="24"/>
          <w:lang w:bidi="ar"/>
        </w:rPr>
        <w:t>在非居民区导线最低允许高度为6m时，在最不利塔型段（2D1R7-J2）线下1.5m高处最大工频磁感应强度为</w:t>
      </w:r>
      <w:r>
        <w:rPr>
          <w:rFonts w:hint="default" w:ascii="Times New Roman" w:hAnsi="Times New Roman" w:eastAsia="宋体" w:cs="Times New Roman"/>
          <w:color w:val="auto"/>
          <w:sz w:val="24"/>
        </w:rPr>
        <w:t>26.3279</w:t>
      </w:r>
      <w:r>
        <w:rPr>
          <w:rFonts w:hint="default" w:ascii="Times New Roman" w:hAnsi="Times New Roman" w:eastAsia="宋体" w:cs="Times New Roman"/>
          <w:color w:val="auto"/>
          <w:sz w:val="24"/>
          <w:lang w:bidi="ar"/>
        </w:rPr>
        <w:t>μT，</w:t>
      </w:r>
      <w:bookmarkStart w:id="180" w:name="OLE_LINK3"/>
      <w:r>
        <w:rPr>
          <w:rFonts w:hint="default" w:ascii="Times New Roman" w:hAnsi="Times New Roman" w:eastAsia="宋体" w:cs="Times New Roman"/>
          <w:color w:val="auto"/>
          <w:sz w:val="24"/>
          <w:lang w:bidi="ar"/>
        </w:rPr>
        <w:t>满足《电磁环境控制限值》</w:t>
      </w:r>
      <w:r>
        <w:rPr>
          <w:rFonts w:hint="default"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GB8702-2014</w:t>
      </w:r>
      <w:r>
        <w:rPr>
          <w:rFonts w:hint="default"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中工频磁感应强度100μT的评价标准限值要求</w:t>
      </w:r>
      <w:bookmarkEnd w:id="180"/>
      <w:r>
        <w:rPr>
          <w:rFonts w:hint="default" w:ascii="Times New Roman" w:hAnsi="Times New Roman" w:eastAsia="宋体" w:cs="Times New Roman"/>
          <w:color w:val="auto"/>
          <w:sz w:val="24"/>
          <w:lang w:bidi="ar"/>
        </w:rPr>
        <w:t>；线路</w:t>
      </w:r>
      <w:r>
        <w:rPr>
          <w:rFonts w:hint="default" w:ascii="Times New Roman" w:hAnsi="Times New Roman" w:eastAsia="宋体" w:cs="Times New Roman"/>
          <w:color w:val="auto"/>
          <w:sz w:val="24"/>
          <w:lang w:val="en-US" w:eastAsia="zh-CN" w:bidi="ar"/>
        </w:rPr>
        <w:t>三角排列</w:t>
      </w:r>
      <w:r>
        <w:rPr>
          <w:rFonts w:hint="default" w:ascii="Times New Roman" w:hAnsi="Times New Roman" w:eastAsia="宋体" w:cs="Times New Roman"/>
          <w:color w:val="auto"/>
          <w:sz w:val="24"/>
          <w:lang w:bidi="ar"/>
        </w:rPr>
        <w:t>在居民区导线最低允许高度为</w:t>
      </w:r>
      <w:r>
        <w:rPr>
          <w:rFonts w:hint="default" w:ascii="Times New Roman" w:hAnsi="Times New Roman" w:eastAsia="宋体" w:cs="Times New Roman"/>
          <w:color w:val="auto"/>
          <w:sz w:val="24"/>
          <w:lang w:val="en-US" w:eastAsia="zh-CN" w:bidi="ar"/>
        </w:rPr>
        <w:t>7</w:t>
      </w:r>
      <w:r>
        <w:rPr>
          <w:rFonts w:hint="default" w:ascii="Times New Roman" w:hAnsi="Times New Roman" w:eastAsia="宋体" w:cs="Times New Roman"/>
          <w:color w:val="auto"/>
          <w:sz w:val="24"/>
          <w:lang w:bidi="ar"/>
        </w:rPr>
        <w:t>m时，在最不利塔型段（2D1R7-J2）线下1.5m高处最大工频磁感应强度为</w:t>
      </w:r>
      <w:r>
        <w:rPr>
          <w:rFonts w:hint="default" w:ascii="Times New Roman" w:hAnsi="Times New Roman" w:eastAsia="宋体" w:cs="Times New Roman"/>
          <w:color w:val="auto"/>
          <w:sz w:val="24"/>
        </w:rPr>
        <w:t>21.223</w:t>
      </w:r>
      <w:r>
        <w:rPr>
          <w:rFonts w:hint="default" w:ascii="Times New Roman" w:hAnsi="Times New Roman" w:eastAsia="宋体" w:cs="Times New Roman"/>
          <w:color w:val="auto"/>
          <w:sz w:val="24"/>
          <w:lang w:bidi="ar"/>
        </w:rPr>
        <w:t>μT，满足《电磁环境控制限值》</w:t>
      </w:r>
      <w:r>
        <w:rPr>
          <w:rFonts w:hint="default"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GB8702-2014</w:t>
      </w:r>
      <w:r>
        <w:rPr>
          <w:rFonts w:hint="default"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中工频磁感应强度100μT的评价标准限值要求</w:t>
      </w:r>
    </w:p>
    <w:p w14:paraId="2B083A1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bidi="ar"/>
        </w:rPr>
      </w:pPr>
      <w:r>
        <w:rPr>
          <w:rFonts w:hint="default" w:ascii="Times New Roman" w:hAnsi="Times New Roman" w:eastAsia="宋体" w:cs="Times New Roman"/>
          <w:color w:val="auto"/>
          <w:sz w:val="24"/>
          <w:lang w:bidi="ar"/>
        </w:rPr>
        <w:t>由预测结果可知，线路</w:t>
      </w:r>
      <w:r>
        <w:rPr>
          <w:rFonts w:hint="default" w:ascii="Times New Roman" w:hAnsi="Times New Roman" w:eastAsia="宋体" w:cs="Times New Roman"/>
          <w:color w:val="auto"/>
          <w:sz w:val="24"/>
          <w:lang w:val="en-US" w:eastAsia="zh-CN" w:bidi="ar"/>
        </w:rPr>
        <w:t>水平排列</w:t>
      </w:r>
      <w:r>
        <w:rPr>
          <w:rFonts w:hint="default" w:ascii="Times New Roman" w:hAnsi="Times New Roman" w:eastAsia="宋体" w:cs="Times New Roman"/>
          <w:color w:val="auto"/>
          <w:sz w:val="24"/>
          <w:lang w:bidi="ar"/>
        </w:rPr>
        <w:t>在非居民区导线最低允许高度为6m时，在最不利塔型段（2D1R8-JB3）线下1.5m高处最大工频磁感应强度为</w:t>
      </w:r>
      <w:r>
        <w:rPr>
          <w:rFonts w:hint="default" w:ascii="Times New Roman" w:hAnsi="Times New Roman" w:eastAsia="宋体" w:cs="Times New Roman"/>
          <w:color w:val="auto"/>
          <w:sz w:val="24"/>
        </w:rPr>
        <w:t>30.8893</w:t>
      </w:r>
      <w:r>
        <w:rPr>
          <w:rFonts w:hint="default" w:ascii="Times New Roman" w:hAnsi="Times New Roman" w:eastAsia="宋体" w:cs="Times New Roman"/>
          <w:color w:val="auto"/>
          <w:sz w:val="24"/>
          <w:lang w:bidi="ar"/>
        </w:rPr>
        <w:t>μT，满足《电磁环境控制限值》</w:t>
      </w:r>
      <w:r>
        <w:rPr>
          <w:rFonts w:hint="default"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GB8702-2014</w:t>
      </w:r>
      <w:r>
        <w:rPr>
          <w:rFonts w:hint="default"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中工频磁感应强度100μT的评价标准限值要求；线路</w:t>
      </w:r>
      <w:r>
        <w:rPr>
          <w:rFonts w:hint="default" w:ascii="Times New Roman" w:hAnsi="Times New Roman" w:eastAsia="宋体" w:cs="Times New Roman"/>
          <w:color w:val="auto"/>
          <w:sz w:val="24"/>
          <w:lang w:val="en-US" w:eastAsia="zh-CN" w:bidi="ar"/>
        </w:rPr>
        <w:t>水平排列</w:t>
      </w:r>
      <w:r>
        <w:rPr>
          <w:rFonts w:hint="default" w:ascii="Times New Roman" w:hAnsi="Times New Roman" w:eastAsia="宋体" w:cs="Times New Roman"/>
          <w:color w:val="auto"/>
          <w:sz w:val="24"/>
          <w:lang w:bidi="ar"/>
        </w:rPr>
        <w:t>在居民区导线最低允许高度为</w:t>
      </w:r>
      <w:r>
        <w:rPr>
          <w:rFonts w:hint="default" w:ascii="Times New Roman" w:hAnsi="Times New Roman" w:eastAsia="宋体" w:cs="Times New Roman"/>
          <w:color w:val="auto"/>
          <w:sz w:val="24"/>
          <w:lang w:val="en-US" w:eastAsia="zh-CN" w:bidi="ar"/>
        </w:rPr>
        <w:t>7</w:t>
      </w:r>
      <w:r>
        <w:rPr>
          <w:rFonts w:hint="default" w:ascii="Times New Roman" w:hAnsi="Times New Roman" w:eastAsia="宋体" w:cs="Times New Roman"/>
          <w:color w:val="auto"/>
          <w:sz w:val="24"/>
          <w:lang w:bidi="ar"/>
        </w:rPr>
        <w:t>m时，在最不利塔型段（2D1R8-JB3）线下1.5m高处最大工频磁感应强度为</w:t>
      </w:r>
      <w:r>
        <w:rPr>
          <w:rFonts w:hint="default" w:ascii="Times New Roman" w:hAnsi="Times New Roman" w:eastAsia="宋体" w:cs="Times New Roman"/>
          <w:color w:val="auto"/>
          <w:sz w:val="24"/>
          <w:lang w:val="en-US" w:eastAsia="zh-CN" w:bidi="ar"/>
        </w:rPr>
        <w:t>25.4379</w:t>
      </w:r>
      <w:r>
        <w:rPr>
          <w:rFonts w:hint="default" w:ascii="Times New Roman" w:hAnsi="Times New Roman" w:eastAsia="宋体" w:cs="Times New Roman"/>
          <w:color w:val="auto"/>
          <w:sz w:val="24"/>
          <w:lang w:bidi="ar"/>
        </w:rPr>
        <w:t>μT，满足《电磁环境控制限值》</w:t>
      </w:r>
      <w:r>
        <w:rPr>
          <w:rFonts w:hint="default"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GB8702-2014</w:t>
      </w:r>
      <w:r>
        <w:rPr>
          <w:rFonts w:hint="default"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中工频磁感应强度100μT的评价标准限值要求。</w:t>
      </w:r>
    </w:p>
    <w:p w14:paraId="442F212A">
      <w:pPr>
        <w:adjustRightInd w:val="0"/>
        <w:snapToGrid w:val="0"/>
        <w:spacing w:before="156" w:beforeLines="50" w:after="156" w:afterLines="50"/>
        <w:outlineLvl w:val="2"/>
        <w:rPr>
          <w:rFonts w:hint="default" w:ascii="Times New Roman" w:hAnsi="Times New Roman" w:eastAsia="宋体" w:cs="Times New Roman"/>
          <w:b/>
          <w:color w:val="auto"/>
          <w:sz w:val="24"/>
          <w:szCs w:val="20"/>
          <w:lang w:bidi="ar"/>
        </w:rPr>
      </w:pPr>
      <w:r>
        <w:rPr>
          <w:rFonts w:hint="default" w:ascii="Times New Roman" w:hAnsi="Times New Roman" w:eastAsia="宋体" w:cs="Times New Roman"/>
          <w:b/>
          <w:color w:val="auto"/>
          <w:sz w:val="24"/>
          <w:szCs w:val="20"/>
          <w:lang w:bidi="ar"/>
        </w:rPr>
        <w:t>5.6.1敏感点工频电磁场预测</w:t>
      </w:r>
    </w:p>
    <w:p w14:paraId="7D59177E">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根据项目输电线路路径走向设计及现场调查，项目输电线路边导线地面投影外两侧各</w:t>
      </w:r>
      <w:r>
        <w:rPr>
          <w:rFonts w:hint="default" w:ascii="Times New Roman" w:hAnsi="Times New Roman" w:eastAsia="宋体" w:cs="Times New Roman"/>
          <w:color w:val="auto"/>
          <w:sz w:val="24"/>
          <w:lang w:val="en-US" w:eastAsia="zh-CN"/>
        </w:rPr>
        <w:t>3</w:t>
      </w:r>
      <w:r>
        <w:rPr>
          <w:rFonts w:hint="default" w:ascii="Times New Roman" w:hAnsi="Times New Roman" w:eastAsia="宋体" w:cs="Times New Roman"/>
          <w:color w:val="auto"/>
          <w:sz w:val="24"/>
        </w:rPr>
        <w:t>0m的电磁环境评价范围内有</w:t>
      </w:r>
      <w:r>
        <w:rPr>
          <w:rFonts w:hint="default" w:ascii="Times New Roman" w:hAnsi="Times New Roman" w:eastAsia="宋体" w:cs="Times New Roman"/>
          <w:color w:val="auto"/>
          <w:sz w:val="24"/>
          <w:lang w:val="en-US" w:eastAsia="zh-CN"/>
        </w:rPr>
        <w:t>2</w:t>
      </w:r>
      <w:r>
        <w:rPr>
          <w:rFonts w:hint="default" w:ascii="Times New Roman" w:hAnsi="Times New Roman" w:eastAsia="宋体" w:cs="Times New Roman"/>
          <w:color w:val="auto"/>
          <w:sz w:val="24"/>
        </w:rPr>
        <w:t>处环境敏感目标。</w:t>
      </w:r>
    </w:p>
    <w:p w14:paraId="5DE7375B">
      <w:pPr>
        <w:spacing w:line="360" w:lineRule="auto"/>
        <w:ind w:firstLine="480"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 w:val="24"/>
        </w:rPr>
        <w:t>本工程沿线环</w:t>
      </w:r>
      <w:r>
        <w:rPr>
          <w:rFonts w:hint="default" w:ascii="Times New Roman" w:hAnsi="Times New Roman" w:eastAsia="宋体" w:cs="Times New Roman"/>
          <w:color w:val="auto"/>
          <w:sz w:val="24"/>
          <w:lang w:eastAsia="zh-CN"/>
        </w:rPr>
        <w:t>境</w:t>
      </w:r>
      <w:r>
        <w:rPr>
          <w:rFonts w:hint="default" w:ascii="Times New Roman" w:hAnsi="Times New Roman" w:eastAsia="宋体" w:cs="Times New Roman"/>
          <w:color w:val="auto"/>
          <w:sz w:val="24"/>
        </w:rPr>
        <w:t>敏感目标的电场强度、磁感应强度取项目输电线路最不利塔型相应距离处（导线最低高度</w:t>
      </w:r>
      <w:r>
        <w:rPr>
          <w:rFonts w:hint="default" w:ascii="Times New Roman" w:hAnsi="Times New Roman" w:eastAsia="宋体" w:cs="Times New Roman"/>
          <w:color w:val="auto"/>
          <w:sz w:val="24"/>
          <w:lang w:val="en-US" w:eastAsia="zh-CN"/>
        </w:rPr>
        <w:t>7</w:t>
      </w:r>
      <w:r>
        <w:rPr>
          <w:rFonts w:hint="default" w:ascii="Times New Roman" w:hAnsi="Times New Roman" w:eastAsia="宋体" w:cs="Times New Roman"/>
          <w:color w:val="auto"/>
          <w:sz w:val="24"/>
        </w:rPr>
        <w:t>m）电场强度、磁感应强度预测值，对环境敏感目标的影响采用现状值叠加预测值；具体数值及预测结果见下表5-</w:t>
      </w:r>
      <w:r>
        <w:rPr>
          <w:rFonts w:hint="default" w:ascii="Times New Roman" w:hAnsi="Times New Roman" w:eastAsia="宋体" w:cs="Times New Roman"/>
          <w:color w:val="auto"/>
          <w:sz w:val="24"/>
          <w:lang w:val="en-US" w:eastAsia="zh-CN"/>
        </w:rPr>
        <w:t>4</w:t>
      </w:r>
      <w:r>
        <w:rPr>
          <w:rFonts w:hint="default" w:ascii="Times New Roman" w:hAnsi="Times New Roman" w:eastAsia="宋体" w:cs="Times New Roman"/>
          <w:color w:val="auto"/>
          <w:sz w:val="24"/>
        </w:rPr>
        <w:t>。</w:t>
      </w:r>
    </w:p>
    <w:p w14:paraId="0A437E32">
      <w:pPr>
        <w:widowControl/>
        <w:adjustRightInd w:val="0"/>
        <w:snapToGrid w:val="0"/>
        <w:jc w:val="center"/>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表5-</w:t>
      </w:r>
      <w:r>
        <w:rPr>
          <w:rFonts w:hint="default" w:ascii="Times New Roman" w:hAnsi="Times New Roman" w:eastAsia="宋体" w:cs="Times New Roman"/>
          <w:b/>
          <w:color w:val="auto"/>
          <w:sz w:val="24"/>
          <w:lang w:val="en-US" w:eastAsia="zh-CN"/>
        </w:rPr>
        <w:t>4</w:t>
      </w:r>
      <w:r>
        <w:rPr>
          <w:rFonts w:hint="default" w:ascii="Times New Roman" w:hAnsi="Times New Roman" w:eastAsia="宋体" w:cs="Times New Roman"/>
          <w:b/>
          <w:color w:val="auto"/>
          <w:sz w:val="24"/>
        </w:rPr>
        <w:t xml:space="preserve"> </w:t>
      </w:r>
      <w:r>
        <w:rPr>
          <w:rFonts w:hint="default" w:ascii="Times New Roman" w:hAnsi="Times New Roman" w:eastAsia="宋体" w:cs="Times New Roman"/>
          <w:b/>
          <w:color w:val="auto"/>
          <w:sz w:val="24"/>
          <w:lang w:val="en-US" w:eastAsia="zh-CN"/>
        </w:rPr>
        <w:t xml:space="preserve"> </w:t>
      </w:r>
      <w:r>
        <w:rPr>
          <w:rFonts w:hint="default" w:ascii="Times New Roman" w:hAnsi="Times New Roman" w:eastAsia="宋体" w:cs="Times New Roman"/>
          <w:b/>
          <w:color w:val="auto"/>
          <w:sz w:val="24"/>
        </w:rPr>
        <w:t>环境保护目标的电磁环境影响预测结果表</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6"/>
        <w:gridCol w:w="642"/>
        <w:gridCol w:w="1819"/>
        <w:gridCol w:w="782"/>
        <w:gridCol w:w="874"/>
        <w:gridCol w:w="955"/>
        <w:gridCol w:w="943"/>
        <w:gridCol w:w="955"/>
        <w:gridCol w:w="943"/>
      </w:tblGrid>
      <w:tr w14:paraId="5A60F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jc w:val="center"/>
        </w:trPr>
        <w:tc>
          <w:tcPr>
            <w:tcW w:w="357" w:type="pct"/>
            <w:vMerge w:val="restart"/>
            <w:noWrap w:val="0"/>
            <w:tcMar>
              <w:top w:w="-1" w:type="dxa"/>
              <w:left w:w="-1" w:type="dxa"/>
              <w:bottom w:w="-1" w:type="dxa"/>
              <w:right w:w="-1" w:type="dxa"/>
            </w:tcMar>
            <w:vAlign w:val="center"/>
          </w:tcPr>
          <w:p w14:paraId="56073D46">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环境敏感目标</w:t>
            </w:r>
          </w:p>
        </w:tc>
        <w:tc>
          <w:tcPr>
            <w:tcW w:w="366" w:type="pct"/>
            <w:vMerge w:val="restart"/>
            <w:noWrap w:val="0"/>
            <w:tcMar>
              <w:top w:w="-1" w:type="dxa"/>
              <w:left w:w="-1" w:type="dxa"/>
              <w:bottom w:w="-1" w:type="dxa"/>
              <w:right w:w="-1" w:type="dxa"/>
            </w:tcMar>
            <w:vAlign w:val="center"/>
          </w:tcPr>
          <w:p w14:paraId="6EC6941F">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预测点位离地高度</w:t>
            </w:r>
          </w:p>
        </w:tc>
        <w:tc>
          <w:tcPr>
            <w:tcW w:w="1068" w:type="pct"/>
            <w:vMerge w:val="restart"/>
            <w:noWrap w:val="0"/>
            <w:tcMar>
              <w:top w:w="-1" w:type="dxa"/>
              <w:left w:w="-1" w:type="dxa"/>
              <w:bottom w:w="-1" w:type="dxa"/>
              <w:right w:w="-1" w:type="dxa"/>
            </w:tcMar>
            <w:vAlign w:val="center"/>
          </w:tcPr>
          <w:p w14:paraId="532D6677">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Cs w:val="21"/>
                <w:lang w:val="en-US" w:eastAsia="zh-CN"/>
              </w:rPr>
            </w:pPr>
            <w:r>
              <w:rPr>
                <w:rFonts w:hint="default" w:ascii="Times New Roman" w:hAnsi="Times New Roman" w:eastAsia="宋体" w:cs="Times New Roman"/>
                <w:b/>
                <w:bCs/>
                <w:color w:val="auto"/>
                <w:szCs w:val="21"/>
                <w:lang w:val="en-US" w:eastAsia="zh-CN"/>
              </w:rPr>
              <w:t>位置及距离</w:t>
            </w:r>
          </w:p>
        </w:tc>
        <w:tc>
          <w:tcPr>
            <w:tcW w:w="974" w:type="pct"/>
            <w:gridSpan w:val="2"/>
            <w:noWrap w:val="0"/>
            <w:tcMar>
              <w:top w:w="-1" w:type="dxa"/>
              <w:left w:w="-1" w:type="dxa"/>
              <w:bottom w:w="-1" w:type="dxa"/>
              <w:right w:w="-1" w:type="dxa"/>
            </w:tcMar>
            <w:vAlign w:val="center"/>
          </w:tcPr>
          <w:p w14:paraId="0FC0D127">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现状监测值</w:t>
            </w:r>
          </w:p>
        </w:tc>
        <w:tc>
          <w:tcPr>
            <w:tcW w:w="1115" w:type="pct"/>
            <w:gridSpan w:val="2"/>
            <w:noWrap w:val="0"/>
            <w:tcMar>
              <w:top w:w="-1" w:type="dxa"/>
              <w:left w:w="-1" w:type="dxa"/>
              <w:bottom w:w="-1" w:type="dxa"/>
              <w:right w:w="-1" w:type="dxa"/>
            </w:tcMar>
            <w:vAlign w:val="center"/>
          </w:tcPr>
          <w:p w14:paraId="73248A8C">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输电线路预测值</w:t>
            </w:r>
          </w:p>
        </w:tc>
        <w:tc>
          <w:tcPr>
            <w:tcW w:w="1115" w:type="pct"/>
            <w:gridSpan w:val="2"/>
            <w:noWrap w:val="0"/>
            <w:tcMar>
              <w:top w:w="-1" w:type="dxa"/>
              <w:left w:w="-1" w:type="dxa"/>
              <w:bottom w:w="-1" w:type="dxa"/>
              <w:right w:w="-1" w:type="dxa"/>
            </w:tcMar>
            <w:vAlign w:val="center"/>
          </w:tcPr>
          <w:p w14:paraId="5BE424B4">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对保护目标的影响</w:t>
            </w:r>
          </w:p>
        </w:tc>
      </w:tr>
      <w:tr w14:paraId="3F6DE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357" w:type="pct"/>
            <w:vMerge w:val="continue"/>
            <w:noWrap w:val="0"/>
            <w:tcMar>
              <w:top w:w="-1" w:type="dxa"/>
              <w:left w:w="-1" w:type="dxa"/>
              <w:bottom w:w="-1" w:type="dxa"/>
              <w:right w:w="-1" w:type="dxa"/>
            </w:tcMar>
            <w:vAlign w:val="center"/>
          </w:tcPr>
          <w:p w14:paraId="4B34AB7C">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Cs w:val="21"/>
              </w:rPr>
            </w:pPr>
          </w:p>
        </w:tc>
        <w:tc>
          <w:tcPr>
            <w:tcW w:w="366" w:type="pct"/>
            <w:vMerge w:val="continue"/>
            <w:noWrap w:val="0"/>
            <w:tcMar>
              <w:top w:w="-1" w:type="dxa"/>
              <w:left w:w="-1" w:type="dxa"/>
              <w:bottom w:w="-1" w:type="dxa"/>
              <w:right w:w="-1" w:type="dxa"/>
            </w:tcMar>
            <w:vAlign w:val="center"/>
          </w:tcPr>
          <w:p w14:paraId="3EA3989A">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Cs w:val="21"/>
              </w:rPr>
            </w:pPr>
          </w:p>
        </w:tc>
        <w:tc>
          <w:tcPr>
            <w:tcW w:w="1068" w:type="pct"/>
            <w:vMerge w:val="continue"/>
            <w:noWrap w:val="0"/>
            <w:tcMar>
              <w:top w:w="-1" w:type="dxa"/>
              <w:left w:w="-1" w:type="dxa"/>
              <w:bottom w:w="-1" w:type="dxa"/>
              <w:right w:w="-1" w:type="dxa"/>
            </w:tcMar>
            <w:vAlign w:val="center"/>
          </w:tcPr>
          <w:p w14:paraId="25221CA5">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Cs w:val="21"/>
              </w:rPr>
            </w:pPr>
          </w:p>
        </w:tc>
        <w:tc>
          <w:tcPr>
            <w:tcW w:w="460" w:type="pct"/>
            <w:noWrap w:val="0"/>
            <w:tcMar>
              <w:top w:w="-1" w:type="dxa"/>
              <w:left w:w="-1" w:type="dxa"/>
              <w:bottom w:w="-1" w:type="dxa"/>
              <w:right w:w="-1" w:type="dxa"/>
            </w:tcMar>
            <w:vAlign w:val="center"/>
          </w:tcPr>
          <w:p w14:paraId="16F8402D">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工频电场强度</w:t>
            </w:r>
          </w:p>
          <w:p w14:paraId="28B1B179">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eastAsia="zh-CN"/>
              </w:rPr>
              <w:t>(</w:t>
            </w:r>
            <w:r>
              <w:rPr>
                <w:rFonts w:hint="default" w:ascii="Times New Roman" w:hAnsi="Times New Roman" w:eastAsia="宋体" w:cs="Times New Roman"/>
                <w:b/>
                <w:bCs/>
                <w:color w:val="auto"/>
                <w:szCs w:val="21"/>
              </w:rPr>
              <w:t>V/m</w:t>
            </w:r>
            <w:r>
              <w:rPr>
                <w:rFonts w:hint="default" w:ascii="Times New Roman" w:hAnsi="Times New Roman" w:eastAsia="宋体" w:cs="Times New Roman"/>
                <w:b/>
                <w:bCs/>
                <w:color w:val="auto"/>
                <w:szCs w:val="21"/>
                <w:lang w:eastAsia="zh-CN"/>
              </w:rPr>
              <w:t>)</w:t>
            </w:r>
          </w:p>
        </w:tc>
        <w:tc>
          <w:tcPr>
            <w:tcW w:w="514" w:type="pct"/>
            <w:noWrap w:val="0"/>
            <w:tcMar>
              <w:top w:w="-1" w:type="dxa"/>
              <w:left w:w="-1" w:type="dxa"/>
              <w:bottom w:w="-1" w:type="dxa"/>
              <w:right w:w="-1" w:type="dxa"/>
            </w:tcMar>
            <w:vAlign w:val="center"/>
          </w:tcPr>
          <w:p w14:paraId="45C39DF2">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工频磁感应强度</w:t>
            </w:r>
          </w:p>
          <w:p w14:paraId="43F22608">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eastAsia="zh-CN"/>
              </w:rPr>
              <w:t>(</w:t>
            </w:r>
            <w:r>
              <w:rPr>
                <w:rFonts w:hint="default" w:ascii="Times New Roman" w:hAnsi="Times New Roman" w:eastAsia="宋体" w:cs="Times New Roman"/>
                <w:b/>
                <w:bCs/>
                <w:color w:val="auto"/>
                <w:szCs w:val="21"/>
              </w:rPr>
              <w:t>μT</w:t>
            </w:r>
            <w:r>
              <w:rPr>
                <w:rFonts w:hint="default" w:ascii="Times New Roman" w:hAnsi="Times New Roman" w:eastAsia="宋体" w:cs="Times New Roman"/>
                <w:b/>
                <w:bCs/>
                <w:color w:val="auto"/>
                <w:szCs w:val="21"/>
                <w:lang w:eastAsia="zh-CN"/>
              </w:rPr>
              <w:t>)</w:t>
            </w:r>
          </w:p>
        </w:tc>
        <w:tc>
          <w:tcPr>
            <w:tcW w:w="561" w:type="pct"/>
            <w:noWrap w:val="0"/>
            <w:tcMar>
              <w:top w:w="-1" w:type="dxa"/>
              <w:left w:w="-1" w:type="dxa"/>
              <w:bottom w:w="-1" w:type="dxa"/>
              <w:right w:w="-1" w:type="dxa"/>
            </w:tcMar>
            <w:vAlign w:val="center"/>
          </w:tcPr>
          <w:p w14:paraId="3CE15E68">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工频电场强度</w:t>
            </w:r>
          </w:p>
          <w:p w14:paraId="3BA9C7CA">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eastAsia="zh-CN"/>
              </w:rPr>
              <w:t>(</w:t>
            </w:r>
            <w:r>
              <w:rPr>
                <w:rFonts w:hint="default" w:ascii="Times New Roman" w:hAnsi="Times New Roman" w:eastAsia="宋体" w:cs="Times New Roman"/>
                <w:b/>
                <w:bCs/>
                <w:color w:val="auto"/>
                <w:szCs w:val="21"/>
              </w:rPr>
              <w:t>V/m</w:t>
            </w:r>
            <w:r>
              <w:rPr>
                <w:rFonts w:hint="default" w:ascii="Times New Roman" w:hAnsi="Times New Roman" w:eastAsia="宋体" w:cs="Times New Roman"/>
                <w:b/>
                <w:bCs/>
                <w:color w:val="auto"/>
                <w:szCs w:val="21"/>
                <w:lang w:eastAsia="zh-CN"/>
              </w:rPr>
              <w:t>)</w:t>
            </w:r>
          </w:p>
        </w:tc>
        <w:tc>
          <w:tcPr>
            <w:tcW w:w="554" w:type="pct"/>
            <w:noWrap w:val="0"/>
            <w:tcMar>
              <w:top w:w="-1" w:type="dxa"/>
              <w:left w:w="-1" w:type="dxa"/>
              <w:bottom w:w="-1" w:type="dxa"/>
              <w:right w:w="-1" w:type="dxa"/>
            </w:tcMar>
            <w:vAlign w:val="center"/>
          </w:tcPr>
          <w:p w14:paraId="3560B2CB">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工频磁感应强度</w:t>
            </w:r>
          </w:p>
          <w:p w14:paraId="7B6263C6">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eastAsia="zh-CN"/>
              </w:rPr>
              <w:t>(</w:t>
            </w:r>
            <w:r>
              <w:rPr>
                <w:rFonts w:hint="default" w:ascii="Times New Roman" w:hAnsi="Times New Roman" w:eastAsia="宋体" w:cs="Times New Roman"/>
                <w:b/>
                <w:bCs/>
                <w:color w:val="auto"/>
                <w:szCs w:val="21"/>
              </w:rPr>
              <w:t>μT</w:t>
            </w:r>
            <w:r>
              <w:rPr>
                <w:rFonts w:hint="default" w:ascii="Times New Roman" w:hAnsi="Times New Roman" w:eastAsia="宋体" w:cs="Times New Roman"/>
                <w:b/>
                <w:bCs/>
                <w:color w:val="auto"/>
                <w:szCs w:val="21"/>
                <w:lang w:eastAsia="zh-CN"/>
              </w:rPr>
              <w:t>)</w:t>
            </w:r>
          </w:p>
        </w:tc>
        <w:tc>
          <w:tcPr>
            <w:tcW w:w="561" w:type="pct"/>
            <w:noWrap w:val="0"/>
            <w:tcMar>
              <w:top w:w="-1" w:type="dxa"/>
              <w:left w:w="-1" w:type="dxa"/>
              <w:bottom w:w="-1" w:type="dxa"/>
              <w:right w:w="-1" w:type="dxa"/>
            </w:tcMar>
            <w:vAlign w:val="center"/>
          </w:tcPr>
          <w:p w14:paraId="25A0D006">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工频电场强度</w:t>
            </w:r>
          </w:p>
          <w:p w14:paraId="089AA981">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eastAsia="zh-CN"/>
              </w:rPr>
              <w:t>(</w:t>
            </w:r>
            <w:r>
              <w:rPr>
                <w:rFonts w:hint="default" w:ascii="Times New Roman" w:hAnsi="Times New Roman" w:eastAsia="宋体" w:cs="Times New Roman"/>
                <w:b/>
                <w:bCs/>
                <w:color w:val="auto"/>
                <w:szCs w:val="21"/>
              </w:rPr>
              <w:t>V/m</w:t>
            </w:r>
            <w:r>
              <w:rPr>
                <w:rFonts w:hint="default" w:ascii="Times New Roman" w:hAnsi="Times New Roman" w:eastAsia="宋体" w:cs="Times New Roman"/>
                <w:b/>
                <w:bCs/>
                <w:color w:val="auto"/>
                <w:szCs w:val="21"/>
                <w:lang w:eastAsia="zh-CN"/>
              </w:rPr>
              <w:t>)</w:t>
            </w:r>
          </w:p>
        </w:tc>
        <w:tc>
          <w:tcPr>
            <w:tcW w:w="554" w:type="pct"/>
            <w:noWrap w:val="0"/>
            <w:tcMar>
              <w:top w:w="-1" w:type="dxa"/>
              <w:left w:w="-1" w:type="dxa"/>
              <w:bottom w:w="-1" w:type="dxa"/>
              <w:right w:w="-1" w:type="dxa"/>
            </w:tcMar>
            <w:vAlign w:val="center"/>
          </w:tcPr>
          <w:p w14:paraId="4FA4325D">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工频磁感应强度</w:t>
            </w:r>
          </w:p>
          <w:p w14:paraId="30657608">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eastAsia="zh-CN"/>
              </w:rPr>
              <w:t>(</w:t>
            </w:r>
            <w:r>
              <w:rPr>
                <w:rFonts w:hint="default" w:ascii="Times New Roman" w:hAnsi="Times New Roman" w:eastAsia="宋体" w:cs="Times New Roman"/>
                <w:b/>
                <w:bCs/>
                <w:color w:val="auto"/>
                <w:szCs w:val="21"/>
              </w:rPr>
              <w:t>μT</w:t>
            </w:r>
            <w:r>
              <w:rPr>
                <w:rFonts w:hint="default" w:ascii="Times New Roman" w:hAnsi="Times New Roman" w:eastAsia="宋体" w:cs="Times New Roman"/>
                <w:b/>
                <w:bCs/>
                <w:color w:val="auto"/>
                <w:szCs w:val="21"/>
                <w:lang w:eastAsia="zh-CN"/>
              </w:rPr>
              <w:t>)</w:t>
            </w:r>
          </w:p>
        </w:tc>
      </w:tr>
      <w:tr w14:paraId="41E70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7" w:type="pct"/>
            <w:vMerge w:val="restart"/>
            <w:noWrap w:val="0"/>
            <w:tcMar>
              <w:top w:w="-1" w:type="dxa"/>
              <w:left w:w="-1" w:type="dxa"/>
              <w:bottom w:w="-1" w:type="dxa"/>
              <w:right w:w="-1" w:type="dxa"/>
            </w:tcMar>
            <w:vAlign w:val="center"/>
          </w:tcPr>
          <w:p w14:paraId="36DDADD2">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红地丫口散户</w:t>
            </w:r>
          </w:p>
        </w:tc>
        <w:tc>
          <w:tcPr>
            <w:tcW w:w="366" w:type="pct"/>
            <w:noWrap w:val="0"/>
            <w:tcMar>
              <w:top w:w="-1" w:type="dxa"/>
              <w:left w:w="-1" w:type="dxa"/>
              <w:bottom w:w="-1" w:type="dxa"/>
              <w:right w:w="-1" w:type="dxa"/>
            </w:tcMar>
            <w:vAlign w:val="center"/>
          </w:tcPr>
          <w:p w14:paraId="71622A87">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1.5</w:t>
            </w:r>
            <w:r>
              <w:rPr>
                <w:rFonts w:hint="default" w:ascii="Times New Roman" w:hAnsi="Times New Roman" w:eastAsia="宋体" w:cs="Times New Roman"/>
                <w:color w:val="auto"/>
                <w:sz w:val="21"/>
                <w:szCs w:val="21"/>
              </w:rPr>
              <w:t>m</w:t>
            </w:r>
          </w:p>
        </w:tc>
        <w:tc>
          <w:tcPr>
            <w:tcW w:w="1068" w:type="pct"/>
            <w:vMerge w:val="restart"/>
            <w:noWrap w:val="0"/>
            <w:tcMar>
              <w:top w:w="-1" w:type="dxa"/>
              <w:left w:w="-1" w:type="dxa"/>
              <w:bottom w:w="-1" w:type="dxa"/>
              <w:right w:w="-1" w:type="dxa"/>
            </w:tcMar>
            <w:vAlign w:val="center"/>
          </w:tcPr>
          <w:p w14:paraId="5E0663B1">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位于N21塔基东北侧约133m，N21--N22塔间线路东侧，中心线地面投影外36m（边导线地面投影外29m）</w:t>
            </w:r>
          </w:p>
        </w:tc>
        <w:tc>
          <w:tcPr>
            <w:tcW w:w="460" w:type="pct"/>
            <w:vMerge w:val="restart"/>
            <w:noWrap w:val="0"/>
            <w:tcMar>
              <w:top w:w="-1" w:type="dxa"/>
              <w:left w:w="-1" w:type="dxa"/>
              <w:bottom w:w="-1" w:type="dxa"/>
              <w:right w:w="-1" w:type="dxa"/>
            </w:tcMar>
            <w:vAlign w:val="center"/>
          </w:tcPr>
          <w:p w14:paraId="362B77CF">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7.42</w:t>
            </w:r>
          </w:p>
        </w:tc>
        <w:tc>
          <w:tcPr>
            <w:tcW w:w="514" w:type="pct"/>
            <w:vMerge w:val="restart"/>
            <w:noWrap w:val="0"/>
            <w:tcMar>
              <w:top w:w="-1" w:type="dxa"/>
              <w:left w:w="-1" w:type="dxa"/>
              <w:bottom w:w="-1" w:type="dxa"/>
              <w:right w:w="-1" w:type="dxa"/>
            </w:tcMar>
            <w:vAlign w:val="center"/>
          </w:tcPr>
          <w:p w14:paraId="3CA0195D">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0.0</w:t>
            </w:r>
            <w:r>
              <w:rPr>
                <w:rFonts w:hint="default" w:ascii="Times New Roman" w:hAnsi="Times New Roman" w:eastAsia="宋体" w:cs="Times New Roman"/>
                <w:color w:val="auto"/>
                <w:sz w:val="21"/>
                <w:szCs w:val="21"/>
                <w:lang w:val="en-US" w:eastAsia="zh-CN"/>
              </w:rPr>
              <w:t>3</w:t>
            </w:r>
          </w:p>
        </w:tc>
        <w:tc>
          <w:tcPr>
            <w:tcW w:w="561" w:type="pct"/>
            <w:noWrap w:val="0"/>
            <w:tcMar>
              <w:top w:w="-1" w:type="dxa"/>
              <w:left w:w="-1" w:type="dxa"/>
              <w:bottom w:w="-1" w:type="dxa"/>
              <w:right w:w="-1" w:type="dxa"/>
            </w:tcMar>
            <w:vAlign w:val="center"/>
          </w:tcPr>
          <w:p w14:paraId="64F9E477">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76.9</w:t>
            </w:r>
          </w:p>
        </w:tc>
        <w:tc>
          <w:tcPr>
            <w:tcW w:w="554" w:type="pct"/>
            <w:noWrap w:val="0"/>
            <w:tcMar>
              <w:top w:w="-1" w:type="dxa"/>
              <w:left w:w="-1" w:type="dxa"/>
              <w:bottom w:w="-1" w:type="dxa"/>
              <w:right w:w="-1" w:type="dxa"/>
            </w:tcMar>
            <w:vAlign w:val="center"/>
          </w:tcPr>
          <w:p w14:paraId="61BEA7B5">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1.2216</w:t>
            </w:r>
          </w:p>
        </w:tc>
        <w:tc>
          <w:tcPr>
            <w:tcW w:w="561" w:type="pct"/>
            <w:noWrap w:val="0"/>
            <w:tcMar>
              <w:top w:w="-1" w:type="dxa"/>
              <w:left w:w="-1" w:type="dxa"/>
              <w:bottom w:w="-1" w:type="dxa"/>
              <w:right w:w="-1" w:type="dxa"/>
            </w:tcMar>
            <w:vAlign w:val="center"/>
          </w:tcPr>
          <w:p w14:paraId="6A34BBF8">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77.257</w:t>
            </w:r>
          </w:p>
        </w:tc>
        <w:tc>
          <w:tcPr>
            <w:tcW w:w="554" w:type="pct"/>
            <w:noWrap w:val="0"/>
            <w:tcMar>
              <w:top w:w="-1" w:type="dxa"/>
              <w:left w:w="-1" w:type="dxa"/>
              <w:bottom w:w="-1" w:type="dxa"/>
              <w:right w:w="-1" w:type="dxa"/>
            </w:tcMar>
            <w:vAlign w:val="center"/>
          </w:tcPr>
          <w:p w14:paraId="041C048B">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1.222</w:t>
            </w:r>
          </w:p>
        </w:tc>
      </w:tr>
      <w:tr w14:paraId="115C9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7" w:type="pct"/>
            <w:vMerge w:val="continue"/>
            <w:noWrap w:val="0"/>
            <w:tcMar>
              <w:top w:w="-1" w:type="dxa"/>
              <w:left w:w="-1" w:type="dxa"/>
              <w:bottom w:w="-1" w:type="dxa"/>
              <w:right w:w="-1" w:type="dxa"/>
            </w:tcMar>
            <w:vAlign w:val="center"/>
          </w:tcPr>
          <w:p w14:paraId="16D7489B">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color w:val="auto"/>
                <w:sz w:val="21"/>
                <w:szCs w:val="21"/>
              </w:rPr>
            </w:pPr>
          </w:p>
        </w:tc>
        <w:tc>
          <w:tcPr>
            <w:tcW w:w="366" w:type="pct"/>
            <w:noWrap w:val="0"/>
            <w:tcMar>
              <w:top w:w="-1" w:type="dxa"/>
              <w:left w:w="-1" w:type="dxa"/>
              <w:bottom w:w="-1" w:type="dxa"/>
              <w:right w:w="-1" w:type="dxa"/>
            </w:tcMar>
            <w:vAlign w:val="center"/>
          </w:tcPr>
          <w:p w14:paraId="50C46B44">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4.5m</w:t>
            </w:r>
          </w:p>
        </w:tc>
        <w:tc>
          <w:tcPr>
            <w:tcW w:w="1068" w:type="pct"/>
            <w:vMerge w:val="continue"/>
            <w:noWrap w:val="0"/>
            <w:tcMar>
              <w:top w:w="-1" w:type="dxa"/>
              <w:left w:w="-1" w:type="dxa"/>
              <w:bottom w:w="-1" w:type="dxa"/>
              <w:right w:w="-1" w:type="dxa"/>
            </w:tcMar>
            <w:vAlign w:val="center"/>
          </w:tcPr>
          <w:p w14:paraId="154C0F85">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color w:val="auto"/>
                <w:sz w:val="21"/>
                <w:szCs w:val="21"/>
              </w:rPr>
            </w:pPr>
          </w:p>
        </w:tc>
        <w:tc>
          <w:tcPr>
            <w:tcW w:w="460" w:type="pct"/>
            <w:vMerge w:val="continue"/>
            <w:noWrap w:val="0"/>
            <w:tcMar>
              <w:top w:w="-1" w:type="dxa"/>
              <w:left w:w="-1" w:type="dxa"/>
              <w:bottom w:w="-1" w:type="dxa"/>
              <w:right w:w="-1" w:type="dxa"/>
            </w:tcMar>
            <w:vAlign w:val="center"/>
          </w:tcPr>
          <w:p w14:paraId="1D53D5AC">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color w:val="auto"/>
                <w:sz w:val="21"/>
                <w:szCs w:val="21"/>
              </w:rPr>
            </w:pPr>
          </w:p>
        </w:tc>
        <w:tc>
          <w:tcPr>
            <w:tcW w:w="514" w:type="pct"/>
            <w:vMerge w:val="continue"/>
            <w:noWrap w:val="0"/>
            <w:tcMar>
              <w:top w:w="-1" w:type="dxa"/>
              <w:left w:w="-1" w:type="dxa"/>
              <w:bottom w:w="-1" w:type="dxa"/>
              <w:right w:w="-1" w:type="dxa"/>
            </w:tcMar>
            <w:vAlign w:val="center"/>
          </w:tcPr>
          <w:p w14:paraId="21BB1C26">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color w:val="auto"/>
                <w:sz w:val="21"/>
                <w:szCs w:val="21"/>
              </w:rPr>
            </w:pPr>
          </w:p>
        </w:tc>
        <w:tc>
          <w:tcPr>
            <w:tcW w:w="561" w:type="pct"/>
            <w:noWrap w:val="0"/>
            <w:tcMar>
              <w:top w:w="-1" w:type="dxa"/>
              <w:left w:w="-1" w:type="dxa"/>
              <w:bottom w:w="-1" w:type="dxa"/>
              <w:right w:w="-1" w:type="dxa"/>
            </w:tcMar>
            <w:vAlign w:val="center"/>
          </w:tcPr>
          <w:p w14:paraId="1ED10B55">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76.1</w:t>
            </w:r>
          </w:p>
        </w:tc>
        <w:tc>
          <w:tcPr>
            <w:tcW w:w="554" w:type="pct"/>
            <w:noWrap w:val="0"/>
            <w:tcMar>
              <w:top w:w="-1" w:type="dxa"/>
              <w:left w:w="-1" w:type="dxa"/>
              <w:bottom w:w="-1" w:type="dxa"/>
              <w:right w:w="-1" w:type="dxa"/>
            </w:tcMar>
            <w:vAlign w:val="center"/>
          </w:tcPr>
          <w:p w14:paraId="550EB72E">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1.2515</w:t>
            </w:r>
          </w:p>
        </w:tc>
        <w:tc>
          <w:tcPr>
            <w:tcW w:w="561" w:type="pct"/>
            <w:noWrap w:val="0"/>
            <w:tcMar>
              <w:top w:w="-1" w:type="dxa"/>
              <w:left w:w="-1" w:type="dxa"/>
              <w:bottom w:w="-1" w:type="dxa"/>
              <w:right w:w="-1" w:type="dxa"/>
            </w:tcMar>
            <w:vAlign w:val="center"/>
          </w:tcPr>
          <w:p w14:paraId="50C2637B">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b/>
                <w:bCs/>
                <w:i w:val="0"/>
                <w:iCs w:val="0"/>
                <w:color w:val="auto"/>
                <w:kern w:val="0"/>
                <w:sz w:val="21"/>
                <w:szCs w:val="21"/>
                <w:u w:val="none"/>
                <w:lang w:val="en-US" w:eastAsia="zh-CN" w:bidi="ar"/>
              </w:rPr>
              <w:t>76.461</w:t>
            </w:r>
          </w:p>
        </w:tc>
        <w:tc>
          <w:tcPr>
            <w:tcW w:w="554" w:type="pct"/>
            <w:noWrap w:val="0"/>
            <w:tcMar>
              <w:top w:w="-1" w:type="dxa"/>
              <w:left w:w="-1" w:type="dxa"/>
              <w:bottom w:w="-1" w:type="dxa"/>
              <w:right w:w="-1" w:type="dxa"/>
            </w:tcMar>
            <w:vAlign w:val="center"/>
          </w:tcPr>
          <w:p w14:paraId="62F102AA">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b/>
                <w:bCs/>
                <w:i w:val="0"/>
                <w:iCs w:val="0"/>
                <w:color w:val="auto"/>
                <w:kern w:val="0"/>
                <w:sz w:val="21"/>
                <w:szCs w:val="21"/>
                <w:u w:val="none"/>
                <w:lang w:val="en-US" w:eastAsia="zh-CN" w:bidi="ar"/>
              </w:rPr>
              <w:t>1.252</w:t>
            </w:r>
          </w:p>
        </w:tc>
      </w:tr>
      <w:tr w14:paraId="55338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7" w:type="pct"/>
            <w:vMerge w:val="restart"/>
            <w:noWrap w:val="0"/>
            <w:tcMar>
              <w:top w:w="-1" w:type="dxa"/>
              <w:left w:w="-1" w:type="dxa"/>
              <w:bottom w:w="-1" w:type="dxa"/>
              <w:right w:w="-1" w:type="dxa"/>
            </w:tcMar>
            <w:vAlign w:val="center"/>
          </w:tcPr>
          <w:p w14:paraId="35BD1EB9">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石碓窝居民楼</w:t>
            </w:r>
          </w:p>
        </w:tc>
        <w:tc>
          <w:tcPr>
            <w:tcW w:w="366" w:type="pct"/>
            <w:noWrap w:val="0"/>
            <w:tcMar>
              <w:top w:w="-1" w:type="dxa"/>
              <w:left w:w="-1" w:type="dxa"/>
              <w:bottom w:w="-1" w:type="dxa"/>
              <w:right w:w="-1" w:type="dxa"/>
            </w:tcMar>
            <w:vAlign w:val="center"/>
          </w:tcPr>
          <w:p w14:paraId="79B78F94">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1.5m</w:t>
            </w:r>
          </w:p>
        </w:tc>
        <w:tc>
          <w:tcPr>
            <w:tcW w:w="1068" w:type="pct"/>
            <w:vMerge w:val="restart"/>
            <w:noWrap w:val="0"/>
            <w:tcMar>
              <w:top w:w="-1" w:type="dxa"/>
              <w:left w:w="-1" w:type="dxa"/>
              <w:bottom w:w="-1" w:type="dxa"/>
              <w:right w:w="-1" w:type="dxa"/>
            </w:tcMar>
            <w:vAlign w:val="center"/>
          </w:tcPr>
          <w:p w14:paraId="7C3D80E7">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rPr>
              <w:t>位于N10塔基东北侧约235m，N10-N11塔间线路西侧中心线地面投影外30m（边导线地面投影外23m</w:t>
            </w:r>
          </w:p>
        </w:tc>
        <w:tc>
          <w:tcPr>
            <w:tcW w:w="460" w:type="pct"/>
            <w:vMerge w:val="restart"/>
            <w:noWrap w:val="0"/>
            <w:tcMar>
              <w:top w:w="-1" w:type="dxa"/>
              <w:left w:w="-1" w:type="dxa"/>
              <w:bottom w:w="-1" w:type="dxa"/>
              <w:right w:w="-1" w:type="dxa"/>
            </w:tcMar>
            <w:vAlign w:val="center"/>
          </w:tcPr>
          <w:p w14:paraId="50670454">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15.71</w:t>
            </w:r>
          </w:p>
        </w:tc>
        <w:tc>
          <w:tcPr>
            <w:tcW w:w="514" w:type="pct"/>
            <w:vMerge w:val="restart"/>
            <w:noWrap w:val="0"/>
            <w:tcMar>
              <w:top w:w="-1" w:type="dxa"/>
              <w:left w:w="-1" w:type="dxa"/>
              <w:bottom w:w="-1" w:type="dxa"/>
              <w:right w:w="-1" w:type="dxa"/>
            </w:tcMar>
            <w:vAlign w:val="center"/>
          </w:tcPr>
          <w:p w14:paraId="29AB4394">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0.07</w:t>
            </w:r>
          </w:p>
        </w:tc>
        <w:tc>
          <w:tcPr>
            <w:tcW w:w="561" w:type="pct"/>
            <w:noWrap w:val="0"/>
            <w:tcMar>
              <w:top w:w="-1" w:type="dxa"/>
              <w:left w:w="-1" w:type="dxa"/>
              <w:bottom w:w="-1" w:type="dxa"/>
              <w:right w:w="-1" w:type="dxa"/>
            </w:tcMar>
            <w:vAlign w:val="center"/>
          </w:tcPr>
          <w:p w14:paraId="190D10AA">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119.2</w:t>
            </w:r>
          </w:p>
        </w:tc>
        <w:tc>
          <w:tcPr>
            <w:tcW w:w="554" w:type="pct"/>
            <w:noWrap w:val="0"/>
            <w:tcMar>
              <w:top w:w="-1" w:type="dxa"/>
              <w:left w:w="-1" w:type="dxa"/>
              <w:bottom w:w="-1" w:type="dxa"/>
              <w:right w:w="-1" w:type="dxa"/>
            </w:tcMar>
            <w:vAlign w:val="center"/>
          </w:tcPr>
          <w:p w14:paraId="5B9DA248">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1.7491</w:t>
            </w:r>
          </w:p>
        </w:tc>
        <w:tc>
          <w:tcPr>
            <w:tcW w:w="561" w:type="pct"/>
            <w:noWrap w:val="0"/>
            <w:tcMar>
              <w:top w:w="-1" w:type="dxa"/>
              <w:left w:w="-1" w:type="dxa"/>
              <w:bottom w:w="-1" w:type="dxa"/>
              <w:right w:w="-1" w:type="dxa"/>
            </w:tcMar>
            <w:vAlign w:val="center"/>
          </w:tcPr>
          <w:p w14:paraId="4938E186">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b/>
                <w:bCs/>
                <w:i w:val="0"/>
                <w:iCs w:val="0"/>
                <w:color w:val="auto"/>
                <w:kern w:val="0"/>
                <w:sz w:val="21"/>
                <w:szCs w:val="21"/>
                <w:u w:val="none"/>
                <w:lang w:val="en-US" w:eastAsia="zh-CN" w:bidi="ar"/>
              </w:rPr>
              <w:t>120.231</w:t>
            </w:r>
          </w:p>
        </w:tc>
        <w:tc>
          <w:tcPr>
            <w:tcW w:w="554" w:type="pct"/>
            <w:noWrap w:val="0"/>
            <w:tcMar>
              <w:top w:w="-1" w:type="dxa"/>
              <w:left w:w="-1" w:type="dxa"/>
              <w:bottom w:w="-1" w:type="dxa"/>
              <w:right w:w="-1" w:type="dxa"/>
            </w:tcMar>
            <w:vAlign w:val="center"/>
          </w:tcPr>
          <w:p w14:paraId="0705AE19">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b/>
                <w:bCs/>
                <w:i w:val="0"/>
                <w:iCs w:val="0"/>
                <w:color w:val="auto"/>
                <w:kern w:val="0"/>
                <w:sz w:val="21"/>
                <w:szCs w:val="21"/>
                <w:u w:val="none"/>
                <w:lang w:val="en-US" w:eastAsia="zh-CN" w:bidi="ar"/>
              </w:rPr>
              <w:t>1.751</w:t>
            </w:r>
          </w:p>
        </w:tc>
      </w:tr>
      <w:tr w14:paraId="23FAE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7" w:type="pct"/>
            <w:vMerge w:val="continue"/>
            <w:noWrap w:val="0"/>
            <w:tcMar>
              <w:top w:w="-1" w:type="dxa"/>
              <w:left w:w="-1" w:type="dxa"/>
              <w:bottom w:w="-1" w:type="dxa"/>
              <w:right w:w="-1" w:type="dxa"/>
            </w:tcMar>
            <w:vAlign w:val="center"/>
          </w:tcPr>
          <w:p w14:paraId="756ACA47">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color w:val="auto"/>
                <w:sz w:val="21"/>
                <w:szCs w:val="21"/>
              </w:rPr>
            </w:pPr>
          </w:p>
        </w:tc>
        <w:tc>
          <w:tcPr>
            <w:tcW w:w="366" w:type="pct"/>
            <w:noWrap w:val="0"/>
            <w:tcMar>
              <w:top w:w="-1" w:type="dxa"/>
              <w:left w:w="-1" w:type="dxa"/>
              <w:bottom w:w="-1" w:type="dxa"/>
              <w:right w:w="-1" w:type="dxa"/>
            </w:tcMar>
            <w:vAlign w:val="center"/>
          </w:tcPr>
          <w:p w14:paraId="4529C62B">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4.5m</w:t>
            </w:r>
          </w:p>
        </w:tc>
        <w:tc>
          <w:tcPr>
            <w:tcW w:w="1068" w:type="pct"/>
            <w:vMerge w:val="continue"/>
            <w:noWrap w:val="0"/>
            <w:tcMar>
              <w:top w:w="-1" w:type="dxa"/>
              <w:left w:w="-1" w:type="dxa"/>
              <w:bottom w:w="-1" w:type="dxa"/>
              <w:right w:w="-1" w:type="dxa"/>
            </w:tcMar>
            <w:vAlign w:val="center"/>
          </w:tcPr>
          <w:p w14:paraId="32601FAB">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color w:val="auto"/>
                <w:sz w:val="21"/>
                <w:szCs w:val="21"/>
              </w:rPr>
            </w:pPr>
          </w:p>
        </w:tc>
        <w:tc>
          <w:tcPr>
            <w:tcW w:w="460" w:type="pct"/>
            <w:vMerge w:val="continue"/>
            <w:noWrap w:val="0"/>
            <w:tcMar>
              <w:top w:w="-1" w:type="dxa"/>
              <w:left w:w="-1" w:type="dxa"/>
              <w:bottom w:w="-1" w:type="dxa"/>
              <w:right w:w="-1" w:type="dxa"/>
            </w:tcMar>
            <w:vAlign w:val="center"/>
          </w:tcPr>
          <w:p w14:paraId="59BC7BDC">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color w:val="auto"/>
                <w:sz w:val="21"/>
                <w:szCs w:val="21"/>
              </w:rPr>
            </w:pPr>
          </w:p>
        </w:tc>
        <w:tc>
          <w:tcPr>
            <w:tcW w:w="514" w:type="pct"/>
            <w:vMerge w:val="continue"/>
            <w:noWrap w:val="0"/>
            <w:tcMar>
              <w:top w:w="-1" w:type="dxa"/>
              <w:left w:w="-1" w:type="dxa"/>
              <w:bottom w:w="-1" w:type="dxa"/>
              <w:right w:w="-1" w:type="dxa"/>
            </w:tcMar>
            <w:vAlign w:val="center"/>
          </w:tcPr>
          <w:p w14:paraId="34FF82A6">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color w:val="auto"/>
                <w:sz w:val="21"/>
                <w:szCs w:val="21"/>
              </w:rPr>
            </w:pPr>
          </w:p>
        </w:tc>
        <w:tc>
          <w:tcPr>
            <w:tcW w:w="561" w:type="pct"/>
            <w:noWrap w:val="0"/>
            <w:tcMar>
              <w:top w:w="-1" w:type="dxa"/>
              <w:left w:w="-1" w:type="dxa"/>
              <w:bottom w:w="-1" w:type="dxa"/>
              <w:right w:w="-1" w:type="dxa"/>
            </w:tcMar>
            <w:vAlign w:val="center"/>
          </w:tcPr>
          <w:p w14:paraId="1D0B8FAF">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117.6</w:t>
            </w:r>
          </w:p>
        </w:tc>
        <w:tc>
          <w:tcPr>
            <w:tcW w:w="554" w:type="pct"/>
            <w:noWrap w:val="0"/>
            <w:tcMar>
              <w:top w:w="-1" w:type="dxa"/>
              <w:left w:w="-1" w:type="dxa"/>
              <w:bottom w:w="-1" w:type="dxa"/>
              <w:right w:w="-1" w:type="dxa"/>
            </w:tcMar>
            <w:vAlign w:val="center"/>
          </w:tcPr>
          <w:p w14:paraId="5E3DDFC0">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1.812</w:t>
            </w:r>
          </w:p>
        </w:tc>
        <w:tc>
          <w:tcPr>
            <w:tcW w:w="561" w:type="pct"/>
            <w:noWrap w:val="0"/>
            <w:tcMar>
              <w:top w:w="-1" w:type="dxa"/>
              <w:left w:w="-1" w:type="dxa"/>
              <w:bottom w:w="-1" w:type="dxa"/>
              <w:right w:w="-1" w:type="dxa"/>
            </w:tcMar>
            <w:vAlign w:val="center"/>
          </w:tcPr>
          <w:p w14:paraId="0B13AE44">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b/>
                <w:bCs/>
                <w:i w:val="0"/>
                <w:iCs w:val="0"/>
                <w:color w:val="auto"/>
                <w:kern w:val="0"/>
                <w:sz w:val="21"/>
                <w:szCs w:val="21"/>
                <w:u w:val="none"/>
                <w:lang w:val="en-US" w:eastAsia="zh-CN" w:bidi="ar"/>
              </w:rPr>
              <w:t>118.645</w:t>
            </w:r>
          </w:p>
        </w:tc>
        <w:tc>
          <w:tcPr>
            <w:tcW w:w="554" w:type="pct"/>
            <w:noWrap w:val="0"/>
            <w:tcMar>
              <w:top w:w="-1" w:type="dxa"/>
              <w:left w:w="-1" w:type="dxa"/>
              <w:bottom w:w="-1" w:type="dxa"/>
              <w:right w:w="-1" w:type="dxa"/>
            </w:tcMar>
            <w:vAlign w:val="center"/>
          </w:tcPr>
          <w:p w14:paraId="5BFFC548">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b/>
                <w:bCs/>
                <w:i w:val="0"/>
                <w:iCs w:val="0"/>
                <w:color w:val="auto"/>
                <w:kern w:val="0"/>
                <w:sz w:val="21"/>
                <w:szCs w:val="21"/>
                <w:u w:val="none"/>
                <w:lang w:val="en-US" w:eastAsia="zh-CN" w:bidi="ar"/>
              </w:rPr>
              <w:t>1.813</w:t>
            </w:r>
          </w:p>
        </w:tc>
      </w:tr>
    </w:tbl>
    <w:p w14:paraId="5814F1D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auto"/>
          <w:sz w:val="24"/>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default" w:ascii="Times New Roman" w:hAnsi="Times New Roman" w:eastAsia="宋体" w:cs="Times New Roman"/>
          <w:bCs/>
          <w:color w:val="auto"/>
          <w:sz w:val="24"/>
        </w:rPr>
        <w:t>根据上表5-</w:t>
      </w:r>
      <w:r>
        <w:rPr>
          <w:rFonts w:hint="default" w:ascii="Times New Roman" w:hAnsi="Times New Roman" w:eastAsia="宋体" w:cs="Times New Roman"/>
          <w:bCs/>
          <w:color w:val="auto"/>
          <w:sz w:val="24"/>
          <w:lang w:val="en-US" w:eastAsia="zh-CN"/>
        </w:rPr>
        <w:t>4</w:t>
      </w:r>
      <w:r>
        <w:rPr>
          <w:rFonts w:hint="default" w:ascii="Times New Roman" w:hAnsi="Times New Roman" w:eastAsia="宋体" w:cs="Times New Roman"/>
          <w:bCs/>
          <w:color w:val="auto"/>
          <w:sz w:val="24"/>
        </w:rPr>
        <w:t>可知，项目输电线路对电磁环境评价范围内的最近环境敏感目标的工频电场强度值为</w:t>
      </w:r>
      <w:r>
        <w:rPr>
          <w:rFonts w:hint="default" w:ascii="Times New Roman" w:hAnsi="Times New Roman" w:eastAsia="宋体" w:cs="Times New Roman"/>
          <w:bCs/>
          <w:color w:val="auto"/>
          <w:sz w:val="24"/>
          <w:lang w:val="en-US" w:eastAsia="zh-CN"/>
        </w:rPr>
        <w:t>76.461—120.231</w:t>
      </w:r>
      <w:r>
        <w:rPr>
          <w:rFonts w:hint="default" w:ascii="Times New Roman" w:hAnsi="Times New Roman" w:eastAsia="宋体" w:cs="Times New Roman"/>
          <w:bCs/>
          <w:color w:val="auto"/>
          <w:sz w:val="24"/>
        </w:rPr>
        <w:t>V/m、工频磁感应强度值为</w:t>
      </w:r>
      <w:r>
        <w:rPr>
          <w:rFonts w:hint="default" w:ascii="Times New Roman" w:hAnsi="Times New Roman" w:eastAsia="宋体" w:cs="Times New Roman"/>
          <w:bCs/>
          <w:color w:val="auto"/>
          <w:sz w:val="24"/>
          <w:lang w:val="en-US" w:eastAsia="zh-CN"/>
        </w:rPr>
        <w:t>1.222-1.813</w:t>
      </w:r>
      <w:r>
        <w:rPr>
          <w:rFonts w:hint="default" w:ascii="Times New Roman" w:hAnsi="Times New Roman" w:eastAsia="宋体" w:cs="Times New Roman"/>
          <w:bCs/>
          <w:color w:val="auto"/>
          <w:sz w:val="24"/>
        </w:rPr>
        <w:t>3μT，均满足《电磁环境控制限值》（GB8702-2014）中工频电场强度4kV/m的限值要求和工频磁感应强度100μT的限值要求。根据计算结果，可以预测本项目输电线路建成投运后，评价范围内环境保护目标处工频电场强度值、工频磁感应强度值将远小于《电磁环境控制限值》（GB8702-2014）中工频电场强度4kV/m的限值要求和工频磁感应强度100μT的限值要求；项目运营对周围环境保护目标的电磁环境影响很小。</w:t>
      </w:r>
    </w:p>
    <w:p w14:paraId="070527A2">
      <w:pPr>
        <w:widowControl/>
        <w:kinsoku w:val="0"/>
        <w:autoSpaceDE w:val="0"/>
        <w:autoSpaceDN w:val="0"/>
        <w:adjustRightInd w:val="0"/>
        <w:snapToGrid w:val="0"/>
        <w:spacing w:before="156" w:beforeLines="50" w:after="156" w:afterLines="50"/>
        <w:outlineLvl w:val="0"/>
        <w:rPr>
          <w:rFonts w:hint="default" w:ascii="Times New Roman" w:hAnsi="Times New Roman" w:eastAsia="宋体" w:cs="Times New Roman"/>
          <w:b/>
          <w:bCs/>
          <w:color w:val="auto"/>
          <w:spacing w:val="-4"/>
          <w:kern w:val="0"/>
          <w:sz w:val="30"/>
          <w:szCs w:val="30"/>
          <w:lang w:bidi="ar"/>
        </w:rPr>
      </w:pPr>
      <w:bookmarkStart w:id="181" w:name="_Toc13388"/>
      <w:bookmarkStart w:id="182" w:name="_Toc21350"/>
      <w:r>
        <w:rPr>
          <w:rFonts w:hint="default" w:ascii="Times New Roman" w:hAnsi="Times New Roman" w:eastAsia="宋体" w:cs="Times New Roman"/>
          <w:b/>
          <w:bCs/>
          <w:color w:val="auto"/>
          <w:spacing w:val="-4"/>
          <w:kern w:val="0"/>
          <w:sz w:val="30"/>
          <w:szCs w:val="30"/>
          <w:lang w:bidi="ar"/>
        </w:rPr>
        <w:t>6.电磁防治措施</w:t>
      </w:r>
      <w:bookmarkEnd w:id="181"/>
      <w:bookmarkEnd w:id="182"/>
    </w:p>
    <w:p w14:paraId="7AFEF8D0">
      <w:pPr>
        <w:pStyle w:val="2"/>
        <w:keepNext w:val="0"/>
        <w:keepLines w:val="0"/>
        <w:pageBreakBefore w:val="0"/>
        <w:widowControl w:val="0"/>
        <w:kinsoku/>
        <w:wordWrap/>
        <w:overflowPunct/>
        <w:topLinePunct w:val="0"/>
        <w:autoSpaceDE w:val="0"/>
        <w:autoSpaceDN w:val="0"/>
        <w:bidi w:val="0"/>
        <w:adjustRightInd w:val="0"/>
        <w:snapToGrid w:val="0"/>
        <w:spacing w:before="0" w:after="0" w:line="360" w:lineRule="auto"/>
        <w:ind w:right="0"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为尽可能减小本项目输电线路对周边电磁环境的影响，本评价提出以下措施：</w:t>
      </w:r>
    </w:p>
    <w:p w14:paraId="4148BBA1">
      <w:pPr>
        <w:pStyle w:val="2"/>
        <w:keepNext w:val="0"/>
        <w:keepLines w:val="0"/>
        <w:pageBreakBefore w:val="0"/>
        <w:widowControl w:val="0"/>
        <w:kinsoku/>
        <w:wordWrap/>
        <w:overflowPunct/>
        <w:topLinePunct w:val="0"/>
        <w:autoSpaceDE w:val="0"/>
        <w:autoSpaceDN w:val="0"/>
        <w:bidi w:val="0"/>
        <w:adjustRightInd w:val="0"/>
        <w:snapToGrid w:val="0"/>
        <w:spacing w:before="0" w:after="0" w:line="360" w:lineRule="auto"/>
        <w:ind w:right="0"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（1）安全警示标志：依据</w:t>
      </w:r>
      <w:r>
        <w:rPr>
          <w:rFonts w:hint="default" w:ascii="Times New Roman" w:hAnsi="Times New Roman" w:eastAsia="宋体" w:cs="Times New Roman"/>
          <w:color w:val="auto"/>
          <w:sz w:val="24"/>
          <w:szCs w:val="24"/>
          <w:lang w:val="en-US" w:eastAsia="zh-CN" w:bidi="zh-CN"/>
        </w:rPr>
        <w:t>《电力安全设施配置技术规范 第2部分：线路》（GB/T 36291.2-2018）及《架空输电线路标识配置及制作安装规范》（Q/GDW11451-2025）</w:t>
      </w:r>
      <w:r>
        <w:rPr>
          <w:rFonts w:hint="default" w:ascii="Times New Roman" w:hAnsi="Times New Roman" w:eastAsia="宋体" w:cs="Times New Roman"/>
          <w:color w:val="auto"/>
          <w:sz w:val="24"/>
          <w:szCs w:val="24"/>
          <w:lang w:val="en-US" w:eastAsia="zh-CN"/>
        </w:rPr>
        <w:t>执行。</w:t>
      </w:r>
    </w:p>
    <w:p w14:paraId="244B637A">
      <w:pPr>
        <w:pStyle w:val="2"/>
        <w:keepNext w:val="0"/>
        <w:keepLines w:val="0"/>
        <w:pageBreakBefore w:val="0"/>
        <w:widowControl w:val="0"/>
        <w:kinsoku/>
        <w:wordWrap/>
        <w:overflowPunct/>
        <w:topLinePunct w:val="0"/>
        <w:autoSpaceDE w:val="0"/>
        <w:autoSpaceDN w:val="0"/>
        <w:bidi w:val="0"/>
        <w:adjustRightInd w:val="0"/>
        <w:snapToGrid w:val="0"/>
        <w:spacing w:before="0" w:after="0" w:line="360" w:lineRule="auto"/>
        <w:ind w:right="0"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（2）净空距离：线路在与其他电力线、通信线、公路、建筑物等交叉跨越时，净空距离严格执行《110kV～750kV架空输电线路设计规范》（GB 50545-2010）及《35kV及以下架空电力线路设计规范》（GB 50061-2010）的规定要求。</w:t>
      </w:r>
    </w:p>
    <w:p w14:paraId="469EEE43">
      <w:pPr>
        <w:pStyle w:val="2"/>
        <w:keepNext w:val="0"/>
        <w:keepLines w:val="0"/>
        <w:pageBreakBefore w:val="0"/>
        <w:widowControl w:val="0"/>
        <w:kinsoku/>
        <w:wordWrap/>
        <w:overflowPunct/>
        <w:topLinePunct w:val="0"/>
        <w:autoSpaceDE w:val="0"/>
        <w:autoSpaceDN w:val="0"/>
        <w:bidi w:val="0"/>
        <w:adjustRightInd w:val="0"/>
        <w:snapToGrid w:val="0"/>
        <w:spacing w:before="0" w:after="0" w:line="360" w:lineRule="auto"/>
        <w:ind w:right="0"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（3）依据《国家电网有限公司输变电工程通用设计35～110kV输电线路绝缘子及金具分册（2024年版）》及相关行业规范执行。结合输电线路外绝缘配置及所经区域的污秽等级，选择适宜的绝缘子串型。</w:t>
      </w:r>
    </w:p>
    <w:p w14:paraId="0FE0DA4D">
      <w:pPr>
        <w:pStyle w:val="2"/>
        <w:keepNext w:val="0"/>
        <w:keepLines w:val="0"/>
        <w:pageBreakBefore w:val="0"/>
        <w:widowControl w:val="0"/>
        <w:kinsoku/>
        <w:wordWrap/>
        <w:overflowPunct/>
        <w:topLinePunct w:val="0"/>
        <w:autoSpaceDE w:val="0"/>
        <w:autoSpaceDN w:val="0"/>
        <w:bidi w:val="0"/>
        <w:adjustRightInd w:val="0"/>
        <w:snapToGrid w:val="0"/>
        <w:spacing w:before="0" w:after="0" w:line="360" w:lineRule="auto"/>
        <w:ind w:right="0"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（4）接地设计：依据GB/T 50065-2011《交流电气装置的接地设计规范》和GB 50169-2016《电气装置安装工程接地装置施工及验收规范》执行。</w:t>
      </w:r>
    </w:p>
    <w:p w14:paraId="56F494D0">
      <w:pPr>
        <w:pStyle w:val="2"/>
        <w:keepNext w:val="0"/>
        <w:keepLines w:val="0"/>
        <w:pageBreakBefore w:val="0"/>
        <w:widowControl w:val="0"/>
        <w:kinsoku/>
        <w:wordWrap/>
        <w:overflowPunct/>
        <w:topLinePunct w:val="0"/>
        <w:autoSpaceDE w:val="0"/>
        <w:autoSpaceDN w:val="0"/>
        <w:bidi w:val="0"/>
        <w:adjustRightInd w:val="0"/>
        <w:snapToGrid w:val="0"/>
        <w:spacing w:before="0" w:after="0" w:line="360" w:lineRule="auto"/>
        <w:ind w:right="0"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5）导线排列优化：平行跨导线的相序排列避免同相布置，减少同相母线交叉与相同转角布置，以降低线路下方的工频电场强度和工频磁感应强度。设计阶段由设计单位出具相序排列方案图，经校核签字确认后实施。</w:t>
      </w:r>
    </w:p>
    <w:p w14:paraId="5E87F800">
      <w:pPr>
        <w:pStyle w:val="2"/>
        <w:keepNext w:val="0"/>
        <w:keepLines w:val="0"/>
        <w:pageBreakBefore w:val="0"/>
        <w:widowControl w:val="0"/>
        <w:kinsoku/>
        <w:wordWrap/>
        <w:overflowPunct/>
        <w:topLinePunct w:val="0"/>
        <w:autoSpaceDE w:val="0"/>
        <w:autoSpaceDN w:val="0"/>
        <w:bidi w:val="0"/>
        <w:adjustRightInd w:val="0"/>
        <w:snapToGrid w:val="0"/>
        <w:spacing w:before="0" w:after="0" w:line="360" w:lineRule="auto"/>
        <w:ind w:right="0"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6）巡检及违建管控：运行期委托专业巡线单位按DL/T741-2019《架空输电线路运行规程》要求，110kV及35kV线路巡视频次一月一次、10kV线路一季度一次，重点检查线路通道内是否存在新建违章建筑，一经发现应立即通知当事人整改并报告当地电力管理部门。同步建立巡线巡查台账，保存影像资料备查。</w:t>
      </w:r>
    </w:p>
    <w:p w14:paraId="1AE54DB2">
      <w:pPr>
        <w:pStyle w:val="5"/>
        <w:keepNext w:val="0"/>
        <w:keepLines w:val="0"/>
        <w:pageBreakBefore w:val="0"/>
        <w:widowControl w:val="0"/>
        <w:numPr>
          <w:ilvl w:val="0"/>
          <w:numId w:val="0"/>
        </w:numPr>
        <w:tabs>
          <w:tab w:val="left" w:pos="1013"/>
        </w:tabs>
        <w:kinsoku/>
        <w:wordWrap/>
        <w:overflowPunct/>
        <w:topLinePunct w:val="0"/>
        <w:autoSpaceDE w:val="0"/>
        <w:autoSpaceDN w:val="0"/>
        <w:bidi w:val="0"/>
        <w:adjustRightInd/>
        <w:snapToGrid/>
        <w:spacing w:before="0" w:beforeLines="50" w:after="0" w:line="360" w:lineRule="auto"/>
        <w:ind w:right="0" w:rightChars="0"/>
        <w:jc w:val="left"/>
        <w:textAlignment w:val="auto"/>
        <w:outlineLvl w:val="1"/>
        <w:rPr>
          <w:rFonts w:hint="default" w:ascii="Times New Roman" w:hAnsi="Times New Roman" w:eastAsia="宋体" w:cs="Times New Roman"/>
          <w:color w:val="auto"/>
          <w:sz w:val="28"/>
          <w:szCs w:val="28"/>
          <w:lang w:val="en-US" w:eastAsia="zh-CN"/>
        </w:rPr>
      </w:pPr>
      <w:bookmarkStart w:id="183" w:name="_Toc26044"/>
      <w:r>
        <w:rPr>
          <w:rFonts w:hint="default" w:ascii="Times New Roman" w:hAnsi="Times New Roman" w:eastAsia="宋体" w:cs="Times New Roman"/>
          <w:color w:val="auto"/>
          <w:sz w:val="28"/>
          <w:szCs w:val="28"/>
          <w:lang w:val="en-US" w:eastAsia="zh-CN"/>
        </w:rPr>
        <w:t>6.1运营期电磁环境监测计划</w:t>
      </w:r>
      <w:bookmarkEnd w:id="183"/>
    </w:p>
    <w:p w14:paraId="4F31E06D">
      <w:pPr>
        <w:adjustRightInd w:val="0"/>
        <w:snapToGrid w:val="0"/>
        <w:spacing w:before="156" w:beforeLines="50" w:after="156" w:afterLines="50"/>
        <w:outlineLvl w:val="2"/>
        <w:rPr>
          <w:rFonts w:hint="default" w:ascii="Times New Roman" w:hAnsi="Times New Roman" w:eastAsia="宋体" w:cs="Times New Roman"/>
          <w:b/>
          <w:color w:val="auto"/>
          <w:sz w:val="24"/>
          <w:szCs w:val="20"/>
          <w:lang w:val="en-US" w:eastAsia="zh-CN" w:bidi="ar"/>
        </w:rPr>
      </w:pPr>
      <w:r>
        <w:rPr>
          <w:rFonts w:hint="default" w:ascii="Times New Roman" w:hAnsi="Times New Roman" w:eastAsia="宋体" w:cs="Times New Roman"/>
          <w:b/>
          <w:color w:val="auto"/>
          <w:sz w:val="24"/>
          <w:szCs w:val="20"/>
          <w:lang w:val="en-US" w:eastAsia="zh-CN" w:bidi="ar"/>
        </w:rPr>
        <w:t>6.1.1监测依据与因子</w:t>
      </w:r>
    </w:p>
    <w:p w14:paraId="75EF975F">
      <w:pPr>
        <w:pStyle w:val="2"/>
        <w:keepNext w:val="0"/>
        <w:keepLines w:val="0"/>
        <w:pageBreakBefore w:val="0"/>
        <w:widowControl w:val="0"/>
        <w:kinsoku/>
        <w:wordWrap/>
        <w:overflowPunct/>
        <w:topLinePunct w:val="0"/>
        <w:autoSpaceDE w:val="0"/>
        <w:autoSpaceDN w:val="0"/>
        <w:bidi w:val="0"/>
        <w:adjustRightInd w:val="0"/>
        <w:snapToGrid w:val="0"/>
        <w:spacing w:before="0" w:after="0" w:line="360" w:lineRule="auto"/>
        <w:ind w:right="0"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依据HJ 681-2013《交流输变电工程电磁环境监测方法（试行）》及GB 8702-2014《电磁环境控制限值》执行。监测因子为工频电场强度（V/m）和工频磁感应强度（μT）。</w:t>
      </w:r>
    </w:p>
    <w:p w14:paraId="0ED8F970">
      <w:pPr>
        <w:adjustRightInd w:val="0"/>
        <w:snapToGrid w:val="0"/>
        <w:spacing w:before="156" w:beforeLines="50" w:after="156" w:afterLines="50"/>
        <w:outlineLvl w:val="2"/>
        <w:rPr>
          <w:rFonts w:hint="default" w:ascii="Times New Roman" w:hAnsi="Times New Roman" w:eastAsia="宋体" w:cs="Times New Roman"/>
          <w:b/>
          <w:color w:val="auto"/>
          <w:sz w:val="24"/>
          <w:szCs w:val="20"/>
          <w:lang w:val="en-US" w:eastAsia="zh-CN" w:bidi="ar"/>
        </w:rPr>
      </w:pPr>
      <w:r>
        <w:rPr>
          <w:rFonts w:hint="default" w:ascii="Times New Roman" w:hAnsi="Times New Roman" w:eastAsia="宋体" w:cs="Times New Roman"/>
          <w:b/>
          <w:color w:val="auto"/>
          <w:sz w:val="24"/>
          <w:szCs w:val="20"/>
          <w:lang w:val="en-US" w:eastAsia="zh-CN" w:bidi="ar"/>
        </w:rPr>
        <w:t>6.1.2监测点位布设</w:t>
      </w:r>
    </w:p>
    <w:p w14:paraId="3C667E71">
      <w:pPr>
        <w:pStyle w:val="2"/>
        <w:keepNext w:val="0"/>
        <w:keepLines w:val="0"/>
        <w:pageBreakBefore w:val="0"/>
        <w:widowControl w:val="0"/>
        <w:kinsoku/>
        <w:wordWrap/>
        <w:overflowPunct/>
        <w:topLinePunct w:val="0"/>
        <w:autoSpaceDE w:val="0"/>
        <w:autoSpaceDN w:val="0"/>
        <w:bidi w:val="0"/>
        <w:adjustRightInd/>
        <w:snapToGrid/>
        <w:spacing w:before="0"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在工程正常运行工况下，布设以下监测点位：</w:t>
      </w:r>
    </w:p>
    <w:p w14:paraId="710C79B0">
      <w:pPr>
        <w:pStyle w:val="2"/>
        <w:keepNext w:val="0"/>
        <w:keepLines w:val="0"/>
        <w:pageBreakBefore w:val="0"/>
        <w:widowControl w:val="0"/>
        <w:kinsoku/>
        <w:wordWrap/>
        <w:overflowPunct/>
        <w:topLinePunct w:val="0"/>
        <w:autoSpaceDE w:val="0"/>
        <w:autoSpaceDN w:val="0"/>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color w:val="auto"/>
          <w:sz w:val="24"/>
          <w:szCs w:val="24"/>
          <w:lang w:val="en-US" w:eastAsia="zh-CN"/>
        </w:rPr>
      </w:pPr>
    </w:p>
    <w:p w14:paraId="2698CDA2">
      <w:pPr>
        <w:pStyle w:val="2"/>
        <w:keepNext w:val="0"/>
        <w:keepLines w:val="0"/>
        <w:pageBreakBefore w:val="0"/>
        <w:widowControl w:val="0"/>
        <w:kinsoku/>
        <w:wordWrap/>
        <w:overflowPunct/>
        <w:topLinePunct w:val="0"/>
        <w:autoSpaceDE w:val="0"/>
        <w:autoSpaceDN w:val="0"/>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表6-1  运营期监测计划一览表</w:t>
      </w:r>
    </w:p>
    <w:tbl>
      <w:tblPr>
        <w:tblStyle w:val="30"/>
        <w:tblW w:w="829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93"/>
        <w:gridCol w:w="1105"/>
        <w:gridCol w:w="2751"/>
        <w:gridCol w:w="1386"/>
        <w:gridCol w:w="2361"/>
      </w:tblGrid>
      <w:tr w14:paraId="5EF146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vAlign w:val="center"/>
          </w:tcPr>
          <w:p w14:paraId="61E766A7">
            <w:pPr>
              <w:adjustRightInd w:val="0"/>
              <w:snapToGrid w:val="0"/>
              <w:ind w:left="0" w:leftChars="0" w:right="0" w:rightChars="0" w:firstLine="0" w:firstLineChars="0"/>
              <w:jc w:val="center"/>
              <w:rPr>
                <w:rFonts w:hint="eastAsia" w:ascii="Times New Roman" w:hAnsi="Times New Roman" w:cs="Times New Roman"/>
                <w:b/>
                <w:color w:val="auto"/>
                <w:szCs w:val="21"/>
              </w:rPr>
            </w:pPr>
            <w:r>
              <w:rPr>
                <w:rFonts w:ascii="Times New Roman" w:hAnsi="Times New Roman" w:cs="Times New Roman"/>
                <w:b/>
                <w:color w:val="auto"/>
                <w:szCs w:val="21"/>
              </w:rPr>
              <w:t>时段</w:t>
            </w:r>
          </w:p>
        </w:tc>
        <w:tc>
          <w:tcPr>
            <w:tcW w:w="1105" w:type="dxa"/>
            <w:vAlign w:val="center"/>
          </w:tcPr>
          <w:p w14:paraId="46D77EAA">
            <w:pPr>
              <w:adjustRightInd w:val="0"/>
              <w:snapToGrid w:val="0"/>
              <w:ind w:left="0" w:leftChars="0" w:right="0" w:rightChars="0" w:firstLine="0" w:firstLineChars="0"/>
              <w:jc w:val="center"/>
              <w:rPr>
                <w:rFonts w:hint="eastAsia" w:ascii="Times New Roman" w:hAnsi="Times New Roman" w:cs="Times New Roman"/>
                <w:b/>
                <w:color w:val="auto"/>
                <w:szCs w:val="21"/>
              </w:rPr>
            </w:pPr>
            <w:r>
              <w:rPr>
                <w:rFonts w:ascii="Times New Roman" w:hAnsi="Times New Roman" w:cs="Times New Roman"/>
                <w:b/>
                <w:color w:val="auto"/>
                <w:szCs w:val="21"/>
              </w:rPr>
              <w:t>项目</w:t>
            </w:r>
          </w:p>
        </w:tc>
        <w:tc>
          <w:tcPr>
            <w:tcW w:w="2751" w:type="dxa"/>
            <w:vAlign w:val="center"/>
          </w:tcPr>
          <w:p w14:paraId="7A5E53A6">
            <w:pPr>
              <w:adjustRightInd w:val="0"/>
              <w:snapToGrid w:val="0"/>
              <w:ind w:left="0" w:leftChars="0" w:right="0" w:rightChars="0" w:firstLine="0" w:firstLineChars="0"/>
              <w:jc w:val="center"/>
              <w:rPr>
                <w:rFonts w:hint="eastAsia" w:ascii="Times New Roman" w:hAnsi="Times New Roman" w:cs="Times New Roman"/>
                <w:b/>
                <w:color w:val="auto"/>
                <w:szCs w:val="21"/>
              </w:rPr>
            </w:pPr>
            <w:r>
              <w:rPr>
                <w:rFonts w:ascii="Times New Roman" w:hAnsi="Times New Roman" w:cs="Times New Roman"/>
                <w:b/>
                <w:color w:val="auto"/>
                <w:szCs w:val="21"/>
              </w:rPr>
              <w:t>工程减缓措施</w:t>
            </w:r>
          </w:p>
        </w:tc>
        <w:tc>
          <w:tcPr>
            <w:tcW w:w="1386" w:type="dxa"/>
            <w:vAlign w:val="center"/>
          </w:tcPr>
          <w:p w14:paraId="24A4957C">
            <w:pPr>
              <w:adjustRightInd w:val="0"/>
              <w:snapToGrid w:val="0"/>
              <w:ind w:left="0" w:leftChars="0" w:right="0" w:rightChars="0" w:firstLine="0" w:firstLineChars="0"/>
              <w:jc w:val="center"/>
              <w:rPr>
                <w:rFonts w:hint="eastAsia" w:ascii="Times New Roman" w:hAnsi="Times New Roman" w:cs="Times New Roman"/>
                <w:b/>
                <w:color w:val="auto"/>
                <w:szCs w:val="21"/>
              </w:rPr>
            </w:pPr>
            <w:r>
              <w:rPr>
                <w:rFonts w:ascii="Times New Roman" w:hAnsi="Times New Roman" w:cs="Times New Roman"/>
                <w:b/>
                <w:color w:val="auto"/>
                <w:szCs w:val="21"/>
              </w:rPr>
              <w:t>监测项目</w:t>
            </w:r>
          </w:p>
        </w:tc>
        <w:tc>
          <w:tcPr>
            <w:tcW w:w="2361" w:type="dxa"/>
            <w:vAlign w:val="center"/>
          </w:tcPr>
          <w:p w14:paraId="1CFB700B">
            <w:pPr>
              <w:adjustRightInd w:val="0"/>
              <w:snapToGrid w:val="0"/>
              <w:ind w:left="0" w:leftChars="0" w:right="0" w:rightChars="0" w:firstLine="0" w:firstLineChars="0"/>
              <w:jc w:val="center"/>
              <w:rPr>
                <w:rFonts w:hint="eastAsia" w:ascii="Times New Roman" w:hAnsi="Times New Roman" w:cs="Times New Roman"/>
                <w:b/>
                <w:color w:val="auto"/>
                <w:szCs w:val="21"/>
              </w:rPr>
            </w:pPr>
            <w:r>
              <w:rPr>
                <w:rFonts w:ascii="Times New Roman" w:hAnsi="Times New Roman" w:cs="Times New Roman"/>
                <w:b/>
                <w:color w:val="auto"/>
                <w:szCs w:val="21"/>
              </w:rPr>
              <w:t>监测时间</w:t>
            </w:r>
          </w:p>
        </w:tc>
      </w:tr>
      <w:tr w14:paraId="602264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3DB0959F">
            <w:pPr>
              <w:adjustRightInd w:val="0"/>
              <w:snapToGrid w:val="0"/>
              <w:ind w:left="0" w:leftChars="0" w:right="0" w:rightChars="0" w:firstLine="0" w:firstLineChars="0"/>
              <w:jc w:val="center"/>
              <w:rPr>
                <w:rFonts w:hint="eastAsia" w:ascii="Times New Roman" w:hAnsi="Times New Roman" w:cs="Times New Roman"/>
                <w:color w:val="auto"/>
                <w:szCs w:val="21"/>
              </w:rPr>
            </w:pPr>
            <w:r>
              <w:rPr>
                <w:rFonts w:ascii="Times New Roman" w:hAnsi="Times New Roman" w:cs="Times New Roman"/>
                <w:color w:val="auto"/>
                <w:szCs w:val="21"/>
              </w:rPr>
              <w:t>运行期</w:t>
            </w:r>
          </w:p>
        </w:tc>
        <w:tc>
          <w:tcPr>
            <w:tcW w:w="1105" w:type="dxa"/>
            <w:vAlign w:val="center"/>
          </w:tcPr>
          <w:p w14:paraId="5C20685D">
            <w:pPr>
              <w:adjustRightInd w:val="0"/>
              <w:snapToGrid w:val="0"/>
              <w:ind w:left="0" w:leftChars="0" w:right="0" w:rightChars="0" w:firstLine="0" w:firstLineChars="0"/>
              <w:jc w:val="center"/>
              <w:rPr>
                <w:rFonts w:hint="eastAsia" w:ascii="Times New Roman" w:hAnsi="Times New Roman" w:cs="Times New Roman"/>
                <w:color w:val="auto"/>
                <w:szCs w:val="21"/>
              </w:rPr>
            </w:pPr>
            <w:r>
              <w:rPr>
                <w:rFonts w:ascii="Times New Roman" w:hAnsi="Times New Roman" w:cs="Times New Roman"/>
                <w:color w:val="auto"/>
                <w:szCs w:val="21"/>
              </w:rPr>
              <w:t>工频电、磁场</w:t>
            </w:r>
          </w:p>
        </w:tc>
        <w:tc>
          <w:tcPr>
            <w:tcW w:w="2751" w:type="dxa"/>
            <w:vAlign w:val="center"/>
          </w:tcPr>
          <w:p w14:paraId="49210B94">
            <w:pPr>
              <w:adjustRightInd w:val="0"/>
              <w:snapToGrid w:val="0"/>
              <w:ind w:left="0" w:leftChars="0" w:right="0" w:rightChars="0" w:firstLine="0" w:firstLineChars="0"/>
              <w:jc w:val="center"/>
              <w:rPr>
                <w:rFonts w:hint="eastAsia" w:ascii="Times New Roman" w:hAnsi="Times New Roman" w:cs="Times New Roman"/>
                <w:color w:val="auto"/>
                <w:szCs w:val="21"/>
              </w:rPr>
            </w:pPr>
            <w:r>
              <w:rPr>
                <w:rFonts w:ascii="Times New Roman" w:hAnsi="Times New Roman" w:cs="Times New Roman"/>
                <w:color w:val="auto"/>
                <w:szCs w:val="21"/>
              </w:rPr>
              <w:t>采用良好的屏蔽防护，牢固各接头。控制架线高度。</w:t>
            </w:r>
          </w:p>
        </w:tc>
        <w:tc>
          <w:tcPr>
            <w:tcW w:w="1386" w:type="dxa"/>
            <w:vAlign w:val="center"/>
          </w:tcPr>
          <w:p w14:paraId="711EEDA7">
            <w:pPr>
              <w:adjustRightInd w:val="0"/>
              <w:snapToGrid w:val="0"/>
              <w:ind w:left="0" w:leftChars="0" w:right="0" w:rightChars="0" w:firstLine="0" w:firstLineChars="0"/>
              <w:jc w:val="center"/>
              <w:rPr>
                <w:rFonts w:hint="eastAsia" w:ascii="Times New Roman" w:hAnsi="Times New Roman" w:cs="Times New Roman"/>
                <w:color w:val="auto"/>
                <w:szCs w:val="21"/>
              </w:rPr>
            </w:pPr>
            <w:r>
              <w:rPr>
                <w:rFonts w:ascii="Times New Roman" w:hAnsi="Times New Roman" w:cs="Times New Roman"/>
                <w:color w:val="auto"/>
                <w:szCs w:val="21"/>
              </w:rPr>
              <w:t>工频电场、磁感应强度</w:t>
            </w:r>
          </w:p>
        </w:tc>
        <w:tc>
          <w:tcPr>
            <w:tcW w:w="2361" w:type="dxa"/>
            <w:vAlign w:val="center"/>
          </w:tcPr>
          <w:p w14:paraId="43F7D436">
            <w:pPr>
              <w:adjustRightInd w:val="0"/>
              <w:snapToGrid w:val="0"/>
              <w:ind w:left="0" w:leftChars="0" w:right="0" w:rightChars="0" w:firstLine="0" w:firstLineChars="0"/>
              <w:jc w:val="center"/>
              <w:rPr>
                <w:rFonts w:hint="eastAsia" w:ascii="Times New Roman" w:hAnsi="Times New Roman" w:cs="Times New Roman"/>
                <w:color w:val="auto"/>
                <w:szCs w:val="21"/>
              </w:rPr>
            </w:pPr>
            <w:r>
              <w:rPr>
                <w:rFonts w:ascii="Times New Roman" w:hAnsi="Times New Roman" w:cs="Times New Roman"/>
                <w:color w:val="auto"/>
                <w:szCs w:val="21"/>
              </w:rPr>
              <w:t>本工程建成试运行投产后，结合竣工环境保护验收监测一次。正常运行后主要针对环保投诉情况和工程运行工况的变化进行监测。</w:t>
            </w:r>
          </w:p>
        </w:tc>
      </w:tr>
      <w:tr w14:paraId="26F957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05" w:type="dxa"/>
            <w:gridSpan w:val="2"/>
            <w:vAlign w:val="center"/>
          </w:tcPr>
          <w:p w14:paraId="1EB99C9F">
            <w:pPr>
              <w:adjustRightInd w:val="0"/>
              <w:snapToGrid w:val="0"/>
              <w:ind w:left="0" w:leftChars="0" w:right="0" w:rightChars="0" w:firstLine="0" w:firstLineChars="0"/>
              <w:jc w:val="center"/>
              <w:rPr>
                <w:rFonts w:hint="eastAsia" w:ascii="Times New Roman" w:hAnsi="Times New Roman" w:cs="Times New Roman"/>
                <w:color w:val="auto"/>
                <w:szCs w:val="21"/>
              </w:rPr>
            </w:pPr>
            <w:r>
              <w:rPr>
                <w:rFonts w:ascii="Times New Roman" w:hAnsi="Times New Roman" w:cs="Times New Roman"/>
                <w:color w:val="auto"/>
                <w:szCs w:val="21"/>
              </w:rPr>
              <w:t>监测布点位置及频次</w:t>
            </w:r>
          </w:p>
        </w:tc>
        <w:tc>
          <w:tcPr>
            <w:tcW w:w="2361" w:type="dxa"/>
            <w:gridSpan w:val="3"/>
            <w:vAlign w:val="center"/>
          </w:tcPr>
          <w:p w14:paraId="51D96751">
            <w:pPr>
              <w:adjustRightInd w:val="0"/>
              <w:snapToGrid w:val="0"/>
              <w:ind w:left="0" w:leftChars="0" w:right="0" w:rightChars="0" w:firstLine="0" w:firstLineChars="0"/>
              <w:jc w:val="left"/>
              <w:rPr>
                <w:rFonts w:hint="eastAsia" w:ascii="Times New Roman" w:hAnsi="Times New Roman" w:cs="Times New Roman"/>
                <w:color w:val="auto"/>
              </w:rPr>
            </w:pPr>
            <w:r>
              <w:rPr>
                <w:rFonts w:ascii="Times New Roman" w:hAnsi="Times New Roman" w:cs="Times New Roman"/>
                <w:color w:val="auto"/>
              </w:rPr>
              <w:t>监测点位：运行期，线路起点</w:t>
            </w:r>
            <w:r>
              <w:rPr>
                <w:rFonts w:hint="eastAsia" w:ascii="Times New Roman" w:hAnsi="Times New Roman" w:cs="Times New Roman"/>
                <w:color w:val="auto"/>
              </w:rPr>
              <w:t>、终点</w:t>
            </w:r>
            <w:r>
              <w:rPr>
                <w:rFonts w:ascii="Times New Roman" w:hAnsi="Times New Roman" w:cs="Times New Roman"/>
                <w:color w:val="auto"/>
              </w:rPr>
              <w:t>处，监测高度在1.5m，测量工频电场及磁场，布置</w:t>
            </w:r>
            <w:r>
              <w:rPr>
                <w:rFonts w:hint="eastAsia" w:ascii="Times New Roman" w:hAnsi="Times New Roman" w:cs="Times New Roman"/>
                <w:color w:val="auto"/>
              </w:rPr>
              <w:t>2</w:t>
            </w:r>
            <w:r>
              <w:rPr>
                <w:rFonts w:ascii="Times New Roman" w:hAnsi="Times New Roman" w:cs="Times New Roman"/>
                <w:color w:val="auto"/>
              </w:rPr>
              <w:t>个点。</w:t>
            </w:r>
          </w:p>
          <w:p w14:paraId="5A76F5F9">
            <w:pPr>
              <w:adjustRightInd w:val="0"/>
              <w:snapToGrid w:val="0"/>
              <w:ind w:left="0" w:leftChars="0" w:right="0" w:rightChars="0" w:firstLine="0" w:firstLineChars="0"/>
              <w:jc w:val="left"/>
              <w:rPr>
                <w:rFonts w:hint="eastAsia" w:ascii="Times New Roman" w:hAnsi="Times New Roman" w:eastAsia="宋体" w:cs="Times New Roman"/>
                <w:color w:val="auto"/>
              </w:rPr>
            </w:pPr>
            <w:r>
              <w:rPr>
                <w:rFonts w:hint="eastAsia" w:ascii="Times New Roman" w:hAnsi="Times New Roman" w:eastAsia="宋体" w:cs="Times New Roman"/>
                <w:color w:val="auto"/>
              </w:rPr>
              <w:t>架空线路边导线垂线下</w:t>
            </w:r>
            <w:r>
              <w:rPr>
                <w:rFonts w:hint="eastAsia" w:ascii="Times New Roman" w:hAnsi="Times New Roman" w:cs="Times New Roman"/>
                <w:color w:val="auto"/>
                <w:lang w:val="en-US" w:eastAsia="zh-CN"/>
              </w:rPr>
              <w:t>布置断面监测</w:t>
            </w:r>
            <w:r>
              <w:rPr>
                <w:rFonts w:hint="eastAsia" w:ascii="Times New Roman" w:hAnsi="Times New Roman" w:eastAsia="宋体" w:cs="Times New Roman"/>
                <w:color w:val="auto"/>
              </w:rPr>
              <w:t>，布置1个点，各测点监测高度在1.5m，测量工频电场及磁场。</w:t>
            </w:r>
          </w:p>
          <w:p w14:paraId="50303504">
            <w:pPr>
              <w:adjustRightInd w:val="0"/>
              <w:snapToGrid w:val="0"/>
              <w:ind w:left="0" w:leftChars="0" w:right="0" w:rightChars="0" w:firstLine="0" w:firstLineChars="0"/>
              <w:jc w:val="left"/>
              <w:rPr>
                <w:rFonts w:hint="eastAsia" w:ascii="Times New Roman" w:hAnsi="Times New Roman" w:eastAsia="宋体" w:cs="Times New Roman"/>
                <w:color w:val="auto"/>
              </w:rPr>
            </w:pPr>
            <w:r>
              <w:rPr>
                <w:rFonts w:hint="eastAsia" w:ascii="Times New Roman" w:hAnsi="Times New Roman" w:eastAsia="宋体" w:cs="Times New Roman"/>
                <w:color w:val="auto"/>
              </w:rPr>
              <w:t>输电线路运行期，评价范围内环境敏感点</w:t>
            </w:r>
            <w:r>
              <w:rPr>
                <w:rFonts w:hint="default" w:ascii="Times New Roman" w:hAnsi="Times New Roman" w:eastAsia="宋体" w:cs="Times New Roman"/>
                <w:color w:val="auto"/>
                <w:lang w:val="en-US" w:eastAsia="zh-CN"/>
              </w:rPr>
              <w:t>红地丫口散户</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石碓窝居民</w:t>
            </w:r>
            <w:r>
              <w:rPr>
                <w:rFonts w:hint="eastAsia" w:ascii="Times New Roman" w:hAnsi="Times New Roman" w:eastAsia="宋体" w:cs="Times New Roman"/>
                <w:color w:val="auto"/>
              </w:rPr>
              <w:t>等布置</w:t>
            </w:r>
            <w:r>
              <w:rPr>
                <w:rFonts w:hint="eastAsia" w:ascii="Times New Roman" w:hAnsi="Times New Roman" w:eastAsia="宋体" w:cs="Times New Roman"/>
                <w:color w:val="auto"/>
                <w:lang w:val="en-US" w:eastAsia="zh-CN"/>
              </w:rPr>
              <w:t>2</w:t>
            </w:r>
            <w:r>
              <w:rPr>
                <w:rFonts w:hint="eastAsia" w:ascii="Times New Roman" w:hAnsi="Times New Roman" w:eastAsia="宋体" w:cs="Times New Roman"/>
                <w:color w:val="auto"/>
              </w:rPr>
              <w:t>个点，各测点的监测高度1.5m，测量工频电场及磁场。</w:t>
            </w:r>
          </w:p>
          <w:p w14:paraId="28AAF45F">
            <w:pPr>
              <w:adjustRightInd w:val="0"/>
              <w:snapToGrid w:val="0"/>
              <w:ind w:left="0" w:leftChars="0" w:right="0" w:rightChars="0" w:firstLine="0" w:firstLineChars="0"/>
              <w:jc w:val="left"/>
              <w:rPr>
                <w:rFonts w:hint="eastAsia" w:ascii="Times New Roman" w:hAnsi="Times New Roman" w:cs="Times New Roman"/>
                <w:color w:val="auto"/>
                <w:szCs w:val="21"/>
              </w:rPr>
            </w:pPr>
            <w:r>
              <w:rPr>
                <w:rFonts w:hint="eastAsia" w:ascii="Times New Roman" w:hAnsi="Times New Roman" w:eastAsia="宋体" w:cs="Times New Roman"/>
                <w:color w:val="auto"/>
              </w:rPr>
              <w:t>监测频率：工频电场及磁场各测点监测1次。</w:t>
            </w:r>
          </w:p>
        </w:tc>
      </w:tr>
    </w:tbl>
    <w:p w14:paraId="5BA72F2A">
      <w:pPr>
        <w:adjustRightInd w:val="0"/>
        <w:snapToGrid w:val="0"/>
        <w:spacing w:before="156" w:beforeLines="50" w:after="156" w:afterLines="50"/>
        <w:outlineLvl w:val="2"/>
        <w:rPr>
          <w:rFonts w:hint="default" w:ascii="Times New Roman" w:hAnsi="Times New Roman" w:eastAsia="宋体" w:cs="Times New Roman"/>
          <w:b/>
          <w:color w:val="auto"/>
          <w:sz w:val="24"/>
          <w:szCs w:val="20"/>
          <w:lang w:val="en-US" w:eastAsia="zh-CN" w:bidi="ar"/>
        </w:rPr>
      </w:pPr>
      <w:r>
        <w:rPr>
          <w:rFonts w:hint="default" w:ascii="Times New Roman" w:hAnsi="Times New Roman" w:eastAsia="宋体" w:cs="Times New Roman"/>
          <w:b/>
          <w:color w:val="auto"/>
          <w:sz w:val="24"/>
          <w:szCs w:val="20"/>
          <w:lang w:val="en-US" w:eastAsia="zh-CN" w:bidi="ar"/>
        </w:rPr>
        <w:t>6.1.3监测频次</w:t>
      </w:r>
    </w:p>
    <w:p w14:paraId="2655E16D">
      <w:pPr>
        <w:pStyle w:val="2"/>
        <w:keepNext w:val="0"/>
        <w:keepLines w:val="0"/>
        <w:pageBreakBefore w:val="0"/>
        <w:widowControl w:val="0"/>
        <w:kinsoku/>
        <w:wordWrap/>
        <w:overflowPunct/>
        <w:topLinePunct w:val="0"/>
        <w:autoSpaceDE w:val="0"/>
        <w:autoSpaceDN w:val="0"/>
        <w:bidi w:val="0"/>
        <w:adjustRightInd w:val="0"/>
        <w:snapToGrid w:val="0"/>
        <w:spacing w:before="0" w:after="0" w:line="360" w:lineRule="auto"/>
        <w:ind w:right="0"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竣工环保验收时监测1次；如线路沿线增加新的敏感点或收到相关环保投诉，应加密监测频次。每次监测委托具有CMA资质的第三方检测机构实施，出具正式检测报告。</w:t>
      </w:r>
    </w:p>
    <w:p w14:paraId="136AB473">
      <w:pPr>
        <w:adjustRightInd w:val="0"/>
        <w:snapToGrid w:val="0"/>
        <w:spacing w:before="156" w:beforeLines="50" w:after="156" w:afterLines="50"/>
        <w:outlineLvl w:val="2"/>
        <w:rPr>
          <w:rFonts w:hint="default" w:ascii="Times New Roman" w:hAnsi="Times New Roman" w:eastAsia="宋体" w:cs="Times New Roman"/>
          <w:b/>
          <w:color w:val="auto"/>
          <w:sz w:val="24"/>
          <w:szCs w:val="20"/>
          <w:lang w:val="en-US" w:eastAsia="zh-CN" w:bidi="ar"/>
        </w:rPr>
      </w:pPr>
      <w:r>
        <w:rPr>
          <w:rFonts w:hint="default" w:ascii="Times New Roman" w:hAnsi="Times New Roman" w:eastAsia="宋体" w:cs="Times New Roman"/>
          <w:b/>
          <w:color w:val="auto"/>
          <w:sz w:val="24"/>
          <w:szCs w:val="20"/>
          <w:lang w:val="en-US" w:eastAsia="zh-CN" w:bidi="ar"/>
        </w:rPr>
        <w:t>6.1.4监测质量管理</w:t>
      </w:r>
    </w:p>
    <w:p w14:paraId="69D0B679">
      <w:pPr>
        <w:pStyle w:val="2"/>
        <w:keepNext w:val="0"/>
        <w:keepLines w:val="0"/>
        <w:pageBreakBefore w:val="0"/>
        <w:widowControl w:val="0"/>
        <w:kinsoku/>
        <w:wordWrap/>
        <w:overflowPunct/>
        <w:topLinePunct w:val="0"/>
        <w:autoSpaceDE w:val="0"/>
        <w:autoSpaceDN w:val="0"/>
        <w:bidi w:val="0"/>
        <w:adjustRightInd w:val="0"/>
        <w:snapToGrid w:val="0"/>
        <w:spacing w:before="0" w:after="0" w:line="360" w:lineRule="auto"/>
        <w:ind w:right="0"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监测仪器应经计量检定合格，在有效期内使用，灵敏度及量程满足实际测量需求。按HJ 681-2013要求保证足够的测量读数，每次取5个读数的算术平均值作为测量结果。</w:t>
      </w:r>
    </w:p>
    <w:p w14:paraId="21C21D69">
      <w:pPr>
        <w:adjustRightInd w:val="0"/>
        <w:snapToGrid w:val="0"/>
        <w:spacing w:before="156" w:beforeLines="50" w:after="156" w:afterLines="50"/>
        <w:outlineLvl w:val="2"/>
        <w:rPr>
          <w:rFonts w:hint="default" w:ascii="Times New Roman" w:hAnsi="Times New Roman" w:eastAsia="宋体" w:cs="Times New Roman"/>
          <w:b/>
          <w:color w:val="auto"/>
          <w:sz w:val="24"/>
          <w:szCs w:val="20"/>
          <w:lang w:val="en-US" w:eastAsia="zh-CN" w:bidi="ar"/>
        </w:rPr>
      </w:pPr>
      <w:r>
        <w:rPr>
          <w:rFonts w:hint="default" w:ascii="Times New Roman" w:hAnsi="Times New Roman" w:eastAsia="宋体" w:cs="Times New Roman"/>
          <w:b/>
          <w:color w:val="auto"/>
          <w:sz w:val="24"/>
          <w:szCs w:val="20"/>
          <w:lang w:val="en-US" w:eastAsia="zh-CN" w:bidi="ar"/>
        </w:rPr>
        <w:t>6.1.5数据管理及达标控制</w:t>
      </w:r>
    </w:p>
    <w:p w14:paraId="36D5970C">
      <w:pPr>
        <w:pStyle w:val="2"/>
        <w:keepNext w:val="0"/>
        <w:keepLines w:val="0"/>
        <w:pageBreakBefore w:val="0"/>
        <w:widowControl w:val="0"/>
        <w:kinsoku/>
        <w:wordWrap/>
        <w:overflowPunct/>
        <w:topLinePunct w:val="0"/>
        <w:autoSpaceDE w:val="0"/>
        <w:autoSpaceDN w:val="0"/>
        <w:bidi w:val="0"/>
        <w:adjustRightInd/>
        <w:snapToGrid/>
        <w:spacing w:before="0" w:line="360" w:lineRule="auto"/>
        <w:ind w:firstLine="480" w:firstLineChars="200"/>
        <w:jc w:val="both"/>
        <w:textAlignment w:val="auto"/>
        <w:rPr>
          <w:rFonts w:hint="default" w:ascii="Times New Roman" w:hAnsi="Times New Roman" w:eastAsia="宋体" w:cs="Times New Roman"/>
          <w:color w:val="auto"/>
          <w:sz w:val="24"/>
          <w:szCs w:val="24"/>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default" w:ascii="Times New Roman" w:hAnsi="Times New Roman" w:eastAsia="宋体" w:cs="Times New Roman"/>
          <w:color w:val="auto"/>
          <w:sz w:val="24"/>
          <w:szCs w:val="24"/>
          <w:lang w:val="en-US" w:eastAsia="zh-CN"/>
        </w:rPr>
        <w:t>线路运行产生的工频电场强度和工频磁感应强度应满足GB 8702-2014中公众曝露控制限值（工频电场强度≤4kV/m，工频磁感应强度≤100μT）。建立电磁环境监测档案，定期将监测数据报送生态环境主管部门备案。如发现排放超标，应立即查找原因并采取整改措施（如优化运行方式或增加屏蔽等），整改完成后重新监测直至达标。</w:t>
      </w:r>
    </w:p>
    <w:p w14:paraId="597583DE">
      <w:pPr>
        <w:widowControl/>
        <w:kinsoku w:val="0"/>
        <w:autoSpaceDE w:val="0"/>
        <w:autoSpaceDN w:val="0"/>
        <w:adjustRightInd w:val="0"/>
        <w:snapToGrid w:val="0"/>
        <w:spacing w:before="156" w:beforeLines="50" w:after="156" w:afterLines="50"/>
        <w:outlineLvl w:val="0"/>
        <w:rPr>
          <w:rFonts w:hint="default" w:ascii="Times New Roman" w:hAnsi="Times New Roman" w:eastAsia="宋体" w:cs="Times New Roman"/>
          <w:b/>
          <w:bCs/>
          <w:color w:val="auto"/>
          <w:sz w:val="30"/>
          <w:szCs w:val="30"/>
        </w:rPr>
      </w:pPr>
      <w:bookmarkStart w:id="184" w:name="_Toc23488"/>
      <w:bookmarkStart w:id="185" w:name="_Toc5315"/>
      <w:bookmarkStart w:id="186" w:name="_Toc26849"/>
      <w:r>
        <w:rPr>
          <w:rFonts w:hint="default" w:ascii="Times New Roman" w:hAnsi="Times New Roman" w:eastAsia="宋体" w:cs="Times New Roman"/>
          <w:b/>
          <w:bCs/>
          <w:color w:val="auto"/>
          <w:spacing w:val="-4"/>
          <w:kern w:val="0"/>
          <w:sz w:val="30"/>
          <w:szCs w:val="30"/>
          <w:lang w:bidi="ar"/>
        </w:rPr>
        <w:t>7.结论与建议</w:t>
      </w:r>
      <w:bookmarkEnd w:id="184"/>
      <w:bookmarkEnd w:id="185"/>
      <w:bookmarkEnd w:id="186"/>
    </w:p>
    <w:p w14:paraId="0C50D376">
      <w:pPr>
        <w:adjustRightInd w:val="0"/>
        <w:snapToGrid w:val="0"/>
        <w:spacing w:before="156" w:beforeLines="50" w:after="156" w:afterLines="50"/>
        <w:outlineLvl w:val="1"/>
        <w:rPr>
          <w:rFonts w:hint="default" w:ascii="Times New Roman" w:hAnsi="Times New Roman" w:eastAsia="宋体" w:cs="Times New Roman"/>
          <w:b/>
          <w:bCs/>
          <w:color w:val="auto"/>
          <w:sz w:val="28"/>
          <w:szCs w:val="28"/>
          <w:lang w:bidi="ar"/>
        </w:rPr>
      </w:pPr>
      <w:bookmarkStart w:id="187" w:name="_Toc20120"/>
      <w:bookmarkStart w:id="188" w:name="_Toc26129"/>
      <w:bookmarkStart w:id="189" w:name="_Toc18212"/>
      <w:r>
        <w:rPr>
          <w:rFonts w:hint="default" w:ascii="Times New Roman" w:hAnsi="Times New Roman" w:eastAsia="宋体" w:cs="Times New Roman"/>
          <w:b/>
          <w:bCs/>
          <w:color w:val="auto"/>
          <w:sz w:val="28"/>
          <w:szCs w:val="28"/>
          <w:lang w:bidi="ar"/>
        </w:rPr>
        <w:t>7.1结论</w:t>
      </w:r>
      <w:bookmarkEnd w:id="187"/>
      <w:bookmarkEnd w:id="188"/>
      <w:bookmarkEnd w:id="189"/>
    </w:p>
    <w:p w14:paraId="2DCDEAC7">
      <w:pPr>
        <w:adjustRightInd w:val="0"/>
        <w:snapToGrid w:val="0"/>
        <w:spacing w:before="156" w:beforeLines="50" w:after="156" w:afterLines="50"/>
        <w:outlineLvl w:val="2"/>
        <w:rPr>
          <w:rFonts w:hint="default" w:ascii="Times New Roman" w:hAnsi="Times New Roman" w:eastAsia="宋体" w:cs="Times New Roman"/>
          <w:b/>
          <w:color w:val="auto"/>
          <w:sz w:val="24"/>
          <w:szCs w:val="20"/>
          <w:lang w:val="en-US" w:eastAsia="zh-CN" w:bidi="ar"/>
        </w:rPr>
      </w:pPr>
      <w:r>
        <w:rPr>
          <w:rFonts w:hint="default" w:ascii="Times New Roman" w:hAnsi="Times New Roman" w:eastAsia="宋体" w:cs="Times New Roman"/>
          <w:b/>
          <w:color w:val="auto"/>
          <w:sz w:val="24"/>
          <w:szCs w:val="20"/>
          <w:lang w:val="en-US" w:eastAsia="zh-CN" w:bidi="ar"/>
        </w:rPr>
        <w:t>7.1.1 电磁环境质量现状</w:t>
      </w:r>
    </w:p>
    <w:p w14:paraId="6255D49D">
      <w:pPr>
        <w:keepNext w:val="0"/>
        <w:keepLines w:val="0"/>
        <w:pageBreakBefore w:val="0"/>
        <w:widowControl/>
        <w:kinsoku/>
        <w:wordWrap/>
        <w:overflowPunct/>
        <w:topLinePunct w:val="0"/>
        <w:bidi w:val="0"/>
        <w:adjustRightInd w:val="0"/>
        <w:snapToGrid w:val="0"/>
        <w:spacing w:line="360" w:lineRule="auto"/>
        <w:ind w:firstLine="480" w:firstLineChars="200"/>
        <w:textAlignment w:val="auto"/>
        <w:rPr>
          <w:rStyle w:val="144"/>
          <w:rFonts w:hint="default" w:ascii="Times New Roman" w:hAnsi="Times New Roman" w:eastAsia="宋体" w:cs="Times New Roman"/>
          <w:color w:val="auto"/>
        </w:rPr>
      </w:pPr>
      <w:r>
        <w:rPr>
          <w:rFonts w:hint="default" w:ascii="Times New Roman" w:hAnsi="Times New Roman" w:eastAsia="宋体" w:cs="Times New Roman"/>
          <w:color w:val="auto"/>
          <w:sz w:val="24"/>
          <w:lang w:bidi="ar"/>
        </w:rPr>
        <w:t>根据监测结果，本项目</w:t>
      </w:r>
      <w:r>
        <w:rPr>
          <w:rStyle w:val="144"/>
          <w:rFonts w:hint="default" w:ascii="Times New Roman" w:hAnsi="Times New Roman" w:eastAsia="宋体" w:cs="Times New Roman"/>
          <w:color w:val="auto"/>
        </w:rPr>
        <w:t>输电线路沿线监测点的工频电场强度满足工频电场强度公众曝露控制限值（4000V/m）要求，工频磁感应强度满足工频磁感应强度公众曝露控制限值（100μT）要求。</w:t>
      </w:r>
    </w:p>
    <w:p w14:paraId="655A0410">
      <w:pPr>
        <w:adjustRightInd w:val="0"/>
        <w:snapToGrid w:val="0"/>
        <w:spacing w:before="156" w:beforeLines="50" w:after="156" w:afterLines="50"/>
        <w:outlineLvl w:val="2"/>
        <w:rPr>
          <w:rFonts w:hint="default" w:ascii="Times New Roman" w:hAnsi="Times New Roman" w:eastAsia="宋体" w:cs="Times New Roman"/>
          <w:b/>
          <w:color w:val="auto"/>
          <w:sz w:val="24"/>
          <w:szCs w:val="20"/>
          <w:lang w:val="en-US" w:eastAsia="zh-CN" w:bidi="ar"/>
        </w:rPr>
      </w:pPr>
      <w:r>
        <w:rPr>
          <w:rFonts w:hint="default" w:ascii="Times New Roman" w:hAnsi="Times New Roman" w:eastAsia="宋体" w:cs="Times New Roman"/>
          <w:b/>
          <w:color w:val="auto"/>
          <w:sz w:val="24"/>
          <w:szCs w:val="20"/>
          <w:lang w:val="en-US" w:eastAsia="zh-CN" w:bidi="ar"/>
        </w:rPr>
        <w:t>7.1.2 电磁环境预测结果</w:t>
      </w:r>
    </w:p>
    <w:p w14:paraId="654B7C1E">
      <w:pPr>
        <w:keepNext w:val="0"/>
        <w:keepLines w:val="0"/>
        <w:pageBreakBefore w:val="0"/>
        <w:widowControl/>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bidi="ar"/>
        </w:rPr>
      </w:pPr>
      <w:r>
        <w:rPr>
          <w:rFonts w:hint="default" w:ascii="Times New Roman" w:hAnsi="Times New Roman" w:eastAsia="宋体" w:cs="Times New Roman"/>
          <w:color w:val="auto"/>
          <w:sz w:val="24"/>
          <w:lang w:bidi="ar"/>
        </w:rPr>
        <w:t>根据输电线路模式预测结果，在严格按照《110kV～750kV架空输电线路设计规范》（GB50545-2010）进行设计的基础上，本项目</w:t>
      </w:r>
      <w:r>
        <w:rPr>
          <w:rFonts w:hint="default" w:ascii="Times New Roman" w:hAnsi="Times New Roman" w:eastAsia="宋体" w:cs="Times New Roman"/>
          <w:color w:val="auto"/>
          <w:sz w:val="24"/>
          <w:lang w:val="en-US" w:eastAsia="zh-CN" w:bidi="ar"/>
        </w:rPr>
        <w:t>11</w:t>
      </w:r>
      <w:r>
        <w:rPr>
          <w:rFonts w:hint="default" w:ascii="Times New Roman" w:hAnsi="Times New Roman" w:eastAsia="宋体" w:cs="Times New Roman"/>
          <w:color w:val="auto"/>
          <w:sz w:val="24"/>
          <w:lang w:bidi="ar"/>
        </w:rPr>
        <w:t>0kV线路下相导线与非居民区地面的最小距离为6m时，耕地、园地、牧草地、畜禽饲养地、养殖水面、道路等场所处地面1.5m高度工频电场强度、工频磁感应强度满足《电磁环境控制限值》（GB8702-2014）中10kV/m和100μT的限值要求；与地面的最小距离为</w:t>
      </w:r>
      <w:r>
        <w:rPr>
          <w:rFonts w:hint="default" w:ascii="Times New Roman" w:hAnsi="Times New Roman" w:eastAsia="宋体" w:cs="Times New Roman"/>
          <w:color w:val="auto"/>
          <w:sz w:val="24"/>
          <w:lang w:val="en-US" w:eastAsia="zh-CN" w:bidi="ar"/>
        </w:rPr>
        <w:t>7</w:t>
      </w:r>
      <w:r>
        <w:rPr>
          <w:rFonts w:hint="default" w:ascii="Times New Roman" w:hAnsi="Times New Roman" w:eastAsia="宋体" w:cs="Times New Roman"/>
          <w:color w:val="auto"/>
          <w:sz w:val="24"/>
          <w:lang w:bidi="ar"/>
        </w:rPr>
        <w:t>m时，地面1.5m高度处工频电场强度、工频磁感应强度满足《电磁环境控制限值》（GB8702-2014）中4kV/m和100μT的公众曝露限值要求。</w:t>
      </w:r>
    </w:p>
    <w:p w14:paraId="5CB67741">
      <w:pPr>
        <w:adjustRightInd w:val="0"/>
        <w:snapToGrid w:val="0"/>
        <w:spacing w:before="156" w:beforeLines="50" w:after="156" w:afterLines="50"/>
        <w:outlineLvl w:val="2"/>
        <w:rPr>
          <w:rFonts w:hint="default" w:ascii="Times New Roman" w:hAnsi="Times New Roman" w:eastAsia="宋体" w:cs="Times New Roman"/>
          <w:b/>
          <w:color w:val="auto"/>
          <w:sz w:val="24"/>
          <w:szCs w:val="20"/>
          <w:lang w:val="en-US" w:eastAsia="zh-CN" w:bidi="ar"/>
        </w:rPr>
      </w:pPr>
      <w:r>
        <w:rPr>
          <w:rFonts w:hint="default" w:ascii="Times New Roman" w:hAnsi="Times New Roman" w:eastAsia="宋体" w:cs="Times New Roman"/>
          <w:b/>
          <w:color w:val="auto"/>
          <w:sz w:val="24"/>
          <w:szCs w:val="20"/>
          <w:lang w:val="en-US" w:eastAsia="zh-CN" w:bidi="ar"/>
        </w:rPr>
        <w:t>7.1.3 评价结论</w:t>
      </w:r>
    </w:p>
    <w:p w14:paraId="3E78C949">
      <w:pPr>
        <w:keepNext w:val="0"/>
        <w:keepLines w:val="0"/>
        <w:pageBreakBefore w:val="0"/>
        <w:widowControl/>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bidi="ar"/>
        </w:rPr>
        <w:t>本项目输电线路电磁环境现状良好，运行期间电磁环境影响不大，满足相关限值要求，从环境保护的角度，本项目是可行的。</w:t>
      </w:r>
    </w:p>
    <w:p w14:paraId="3ACEC026">
      <w:pPr>
        <w:adjustRightInd w:val="0"/>
        <w:snapToGrid w:val="0"/>
        <w:spacing w:before="156" w:beforeLines="50" w:after="156" w:afterLines="50"/>
        <w:outlineLvl w:val="1"/>
        <w:rPr>
          <w:rFonts w:hint="default" w:ascii="Times New Roman" w:hAnsi="Times New Roman" w:eastAsia="宋体" w:cs="Times New Roman"/>
          <w:b/>
          <w:bCs/>
          <w:color w:val="auto"/>
          <w:sz w:val="28"/>
          <w:szCs w:val="28"/>
        </w:rPr>
      </w:pPr>
      <w:bookmarkStart w:id="190" w:name="_Toc26549"/>
      <w:bookmarkStart w:id="191" w:name="_Toc135"/>
      <w:bookmarkStart w:id="192" w:name="_Toc11864"/>
      <w:r>
        <w:rPr>
          <w:rFonts w:hint="default" w:ascii="Times New Roman" w:hAnsi="Times New Roman" w:eastAsia="宋体" w:cs="Times New Roman"/>
          <w:b/>
          <w:bCs/>
          <w:color w:val="auto"/>
          <w:sz w:val="28"/>
          <w:szCs w:val="28"/>
        </w:rPr>
        <w:t>7.2建议</w:t>
      </w:r>
      <w:bookmarkEnd w:id="190"/>
      <w:bookmarkEnd w:id="191"/>
      <w:bookmarkEnd w:id="192"/>
    </w:p>
    <w:p w14:paraId="28AE485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eastAsia="zh-CN" w:bidi="ar"/>
        </w:rPr>
        <w:t>（</w:t>
      </w:r>
      <w:r>
        <w:rPr>
          <w:rFonts w:hint="eastAsia" w:ascii="Times New Roman" w:hAnsi="Times New Roman" w:eastAsia="宋体" w:cs="Times New Roman"/>
          <w:color w:val="auto"/>
          <w:sz w:val="24"/>
          <w:lang w:val="en-US" w:eastAsia="zh-CN" w:bidi="ar"/>
        </w:rPr>
        <w:t>1</w:t>
      </w:r>
      <w:r>
        <w:rPr>
          <w:rFonts w:hint="eastAsia"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加强对线路两侧保护区的巡视，如在保护区内发现违章建筑物应及时上报相关管理部门，避免相关事件的发生。</w:t>
      </w:r>
    </w:p>
    <w:p w14:paraId="411A504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eastAsia="zh-CN" w:bidi="ar"/>
        </w:rPr>
        <w:t>（</w:t>
      </w:r>
      <w:r>
        <w:rPr>
          <w:rFonts w:hint="eastAsia" w:ascii="Times New Roman" w:hAnsi="Times New Roman" w:eastAsia="宋体" w:cs="Times New Roman"/>
          <w:color w:val="auto"/>
          <w:sz w:val="24"/>
          <w:lang w:val="en-US" w:eastAsia="zh-CN" w:bidi="ar"/>
        </w:rPr>
        <w:t>2</w:t>
      </w:r>
      <w:r>
        <w:rPr>
          <w:rFonts w:hint="eastAsia"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在有重大跨越（电力线路、公路）的杆塔，建议使用双绝缘子串，减轻安全事故发生的概率。</w:t>
      </w:r>
    </w:p>
    <w:p w14:paraId="29878F3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eastAsia="zh-CN" w:bidi="ar"/>
        </w:rPr>
        <w:t>（</w:t>
      </w:r>
      <w:r>
        <w:rPr>
          <w:rFonts w:hint="eastAsia" w:ascii="Times New Roman" w:hAnsi="Times New Roman" w:eastAsia="宋体" w:cs="Times New Roman"/>
          <w:color w:val="auto"/>
          <w:sz w:val="24"/>
          <w:lang w:val="en-US" w:eastAsia="zh-CN" w:bidi="ar"/>
        </w:rPr>
        <w:t>3</w:t>
      </w:r>
      <w:r>
        <w:rPr>
          <w:rFonts w:hint="eastAsia"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建设单位在工程设计、施工及运行过程中，应随时听取及收集公众对本项工程建设的意见，充分理解公众对电磁环境影响的担心，及时进行科学宣传和客观解释，积极妥善地处理好各类公众意见，避免有关纠纷事件的发生。</w:t>
      </w:r>
    </w:p>
    <w:p w14:paraId="295DFAE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auto"/>
          <w:sz w:val="24"/>
        </w:rPr>
      </w:pPr>
      <w:r>
        <w:rPr>
          <w:rFonts w:hint="eastAsia" w:ascii="Times New Roman" w:hAnsi="Times New Roman" w:eastAsia="宋体" w:cs="Times New Roman"/>
          <w:color w:val="auto"/>
          <w:sz w:val="24"/>
          <w:lang w:eastAsia="zh-CN" w:bidi="ar"/>
        </w:rPr>
        <w:t>（</w:t>
      </w:r>
      <w:r>
        <w:rPr>
          <w:rFonts w:hint="eastAsia" w:ascii="Times New Roman" w:hAnsi="Times New Roman" w:eastAsia="宋体" w:cs="Times New Roman"/>
          <w:color w:val="auto"/>
          <w:sz w:val="24"/>
          <w:lang w:val="en-US" w:eastAsia="zh-CN" w:bidi="ar"/>
        </w:rPr>
        <w:t>4</w:t>
      </w:r>
      <w:r>
        <w:rPr>
          <w:rFonts w:hint="eastAsia" w:ascii="Times New Roman" w:hAnsi="Times New Roman" w:eastAsia="宋体" w:cs="Times New Roman"/>
          <w:color w:val="auto"/>
          <w:sz w:val="24"/>
          <w:lang w:eastAsia="zh-CN" w:bidi="ar"/>
        </w:rPr>
        <w:t>）</w:t>
      </w:r>
      <w:r>
        <w:rPr>
          <w:rFonts w:hint="default" w:ascii="Times New Roman" w:hAnsi="Times New Roman" w:eastAsia="宋体" w:cs="Times New Roman"/>
          <w:color w:val="auto"/>
          <w:sz w:val="24"/>
          <w:lang w:bidi="ar"/>
        </w:rPr>
        <w:t>建设单位应加强高压线及电磁辐射相关安全宣传，如出现居民投诉等问题，建设单位应委托有资质单位对电磁场强度进行监测。</w:t>
      </w:r>
    </w:p>
    <w:p w14:paraId="76A80CD2">
      <w:pPr>
        <w:widowControl/>
        <w:adjustRightInd w:val="0"/>
        <w:snapToGrid w:val="0"/>
        <w:spacing w:before="249" w:beforeLines="80" w:after="0" w:line="240" w:lineRule="auto"/>
        <w:ind w:firstLine="0" w:firstLineChars="0"/>
        <w:jc w:val="center"/>
        <w:rPr>
          <w:rFonts w:hint="default" w:ascii="Times New Roman" w:hAnsi="Times New Roman" w:eastAsia="宋体" w:cs="Times New Roman"/>
          <w:color w:val="auto"/>
          <w:sz w:val="44"/>
          <w:szCs w:val="44"/>
        </w:rPr>
      </w:pPr>
    </w:p>
    <w:p w14:paraId="2800DE62">
      <w:pPr>
        <w:widowControl/>
        <w:adjustRightInd w:val="0"/>
        <w:snapToGrid w:val="0"/>
        <w:spacing w:before="249" w:beforeLines="80" w:after="0" w:line="240" w:lineRule="auto"/>
        <w:ind w:firstLine="0" w:firstLineChars="0"/>
        <w:jc w:val="center"/>
        <w:rPr>
          <w:rFonts w:hint="default" w:ascii="Times New Roman" w:hAnsi="Times New Roman" w:eastAsia="宋体" w:cs="Times New Roman"/>
          <w:color w:val="auto"/>
          <w:sz w:val="48"/>
          <w:szCs w:val="44"/>
        </w:rPr>
      </w:pPr>
    </w:p>
    <w:p w14:paraId="44602673">
      <w:pPr>
        <w:widowControl/>
        <w:adjustRightInd w:val="0"/>
        <w:snapToGrid w:val="0"/>
        <w:spacing w:before="249" w:beforeLines="80" w:after="0" w:line="240" w:lineRule="auto"/>
        <w:ind w:firstLine="0" w:firstLineChars="0"/>
        <w:jc w:val="center"/>
        <w:rPr>
          <w:rFonts w:hint="default" w:ascii="Times New Roman" w:hAnsi="Times New Roman" w:eastAsia="宋体" w:cs="Times New Roman"/>
          <w:b/>
          <w:bCs/>
          <w:color w:val="auto"/>
          <w:sz w:val="32"/>
          <w:szCs w:val="30"/>
        </w:rPr>
      </w:pPr>
      <w:r>
        <w:rPr>
          <w:rFonts w:hint="default" w:ascii="Times New Roman" w:hAnsi="Times New Roman" w:eastAsia="宋体" w:cs="Times New Roman"/>
          <w:b/>
          <w:bCs/>
          <w:color w:val="auto"/>
          <w:sz w:val="48"/>
          <w:szCs w:val="44"/>
        </w:rPr>
        <w:t>大草房至六合一110kV送出线路工程</w:t>
      </w:r>
    </w:p>
    <w:p w14:paraId="37AFE33E">
      <w:pPr>
        <w:widowControl/>
        <w:adjustRightInd w:val="0"/>
        <w:snapToGrid w:val="0"/>
        <w:spacing w:before="249" w:beforeLines="80" w:after="0" w:line="240" w:lineRule="auto"/>
        <w:ind w:firstLine="0" w:firstLineChars="0"/>
        <w:jc w:val="center"/>
        <w:rPr>
          <w:rFonts w:hint="default" w:ascii="Times New Roman" w:hAnsi="Times New Roman" w:eastAsia="宋体" w:cs="Times New Roman"/>
          <w:b/>
          <w:bCs/>
          <w:color w:val="auto"/>
          <w:sz w:val="32"/>
          <w:szCs w:val="30"/>
        </w:rPr>
      </w:pPr>
    </w:p>
    <w:p w14:paraId="71AD96B7">
      <w:pPr>
        <w:widowControl/>
        <w:adjustRightInd w:val="0"/>
        <w:snapToGrid w:val="0"/>
        <w:spacing w:before="249" w:beforeLines="80" w:after="0" w:line="240" w:lineRule="auto"/>
        <w:ind w:firstLine="0" w:firstLineChars="0"/>
        <w:jc w:val="center"/>
        <w:rPr>
          <w:rFonts w:hint="default" w:ascii="Times New Roman" w:hAnsi="Times New Roman" w:eastAsia="宋体" w:cs="Times New Roman"/>
          <w:b/>
          <w:bCs/>
          <w:color w:val="auto"/>
          <w:sz w:val="32"/>
          <w:szCs w:val="30"/>
        </w:rPr>
      </w:pPr>
    </w:p>
    <w:p w14:paraId="2B7BD87A">
      <w:pPr>
        <w:widowControl/>
        <w:adjustRightInd w:val="0"/>
        <w:snapToGrid w:val="0"/>
        <w:spacing w:before="249" w:beforeLines="80" w:after="0" w:line="240" w:lineRule="auto"/>
        <w:ind w:firstLine="0" w:firstLineChars="0"/>
        <w:jc w:val="center"/>
        <w:rPr>
          <w:rFonts w:hint="default" w:ascii="Times New Roman" w:hAnsi="Times New Roman" w:eastAsia="宋体" w:cs="Times New Roman"/>
          <w:b/>
          <w:bCs/>
          <w:color w:val="auto"/>
          <w:sz w:val="32"/>
          <w:szCs w:val="30"/>
        </w:rPr>
      </w:pPr>
    </w:p>
    <w:p w14:paraId="492C8CAC">
      <w:pPr>
        <w:widowControl/>
        <w:adjustRightInd w:val="0"/>
        <w:snapToGrid w:val="0"/>
        <w:spacing w:before="249" w:beforeLines="80" w:after="0" w:line="240" w:lineRule="auto"/>
        <w:ind w:firstLine="0" w:firstLineChars="0"/>
        <w:jc w:val="center"/>
        <w:rPr>
          <w:rFonts w:hint="default" w:ascii="Times New Roman" w:hAnsi="Times New Roman" w:eastAsia="宋体" w:cs="Times New Roman"/>
          <w:b/>
          <w:bCs/>
          <w:color w:val="auto"/>
          <w:sz w:val="32"/>
          <w:szCs w:val="30"/>
        </w:rPr>
      </w:pPr>
    </w:p>
    <w:p w14:paraId="4D1D7FD8">
      <w:pPr>
        <w:widowControl/>
        <w:adjustRightInd w:val="0"/>
        <w:snapToGrid w:val="0"/>
        <w:spacing w:before="249" w:beforeLines="80" w:after="0" w:line="240" w:lineRule="auto"/>
        <w:ind w:firstLine="0" w:firstLineChars="0"/>
        <w:jc w:val="center"/>
        <w:rPr>
          <w:rFonts w:hint="default" w:ascii="Times New Roman" w:hAnsi="Times New Roman" w:eastAsia="宋体" w:cs="Times New Roman"/>
          <w:b/>
          <w:bCs/>
          <w:color w:val="auto"/>
          <w:sz w:val="32"/>
          <w:szCs w:val="30"/>
        </w:rPr>
      </w:pPr>
    </w:p>
    <w:p w14:paraId="7FBE67BE">
      <w:pPr>
        <w:ind w:firstLine="0" w:firstLineChars="0"/>
        <w:jc w:val="center"/>
        <w:outlineLvl w:val="0"/>
        <w:rPr>
          <w:rFonts w:hint="default" w:ascii="Times New Roman" w:hAnsi="Times New Roman" w:eastAsia="宋体" w:cs="Times New Roman"/>
          <w:b/>
          <w:bCs w:val="0"/>
          <w:color w:val="auto"/>
          <w:sz w:val="48"/>
          <w:szCs w:val="44"/>
        </w:rPr>
        <w:sectPr>
          <w:headerReference r:id="rId11" w:type="default"/>
          <w:footerReference r:id="rId12" w:type="default"/>
          <w:pgSz w:w="11906" w:h="16838"/>
          <w:pgMar w:top="1440" w:right="1684" w:bottom="1440" w:left="1684" w:header="794" w:footer="851" w:gutter="0"/>
          <w:pgBorders>
            <w:top w:val="none" w:sz="0" w:space="0"/>
            <w:left w:val="none" w:sz="0" w:space="0"/>
            <w:bottom w:val="none" w:sz="0" w:space="0"/>
            <w:right w:val="none" w:sz="0" w:space="0"/>
          </w:pgBorders>
          <w:pgNumType w:fmt="decimal"/>
          <w:cols w:space="720" w:num="1"/>
          <w:docGrid w:linePitch="312" w:charSpace="0"/>
        </w:sectPr>
      </w:pPr>
      <w:bookmarkStart w:id="193" w:name="_Toc21371"/>
      <w:r>
        <w:rPr>
          <w:rFonts w:hint="default" w:ascii="Times New Roman" w:hAnsi="Times New Roman" w:eastAsia="宋体" w:cs="Times New Roman"/>
          <w:b/>
          <w:bCs w:val="0"/>
          <w:color w:val="auto"/>
          <w:sz w:val="48"/>
          <w:szCs w:val="44"/>
        </w:rPr>
        <w:t>生态环境影响专项评价</w:t>
      </w:r>
      <w:bookmarkEnd w:id="193"/>
    </w:p>
    <w:sdt>
      <w:sdtPr>
        <w:rPr>
          <w:rFonts w:hint="default" w:ascii="Times New Roman" w:hAnsi="Times New Roman" w:eastAsia="宋体" w:cs="Times New Roman"/>
          <w:b/>
          <w:bCs/>
          <w:color w:val="auto"/>
          <w:sz w:val="28"/>
          <w:szCs w:val="28"/>
        </w:rPr>
        <w:id w:val="147459914"/>
        <w15:color w:val="DBDBDB"/>
        <w:docPartObj>
          <w:docPartGallery w:val="Table of Contents"/>
          <w:docPartUnique/>
        </w:docPartObj>
      </w:sdtPr>
      <w:sdtEndPr>
        <w:rPr>
          <w:rFonts w:hint="default" w:ascii="Times New Roman" w:hAnsi="Times New Roman" w:eastAsia="宋体" w:cs="Times New Roman"/>
          <w:b/>
          <w:bCs/>
          <w:color w:val="auto"/>
          <w:sz w:val="28"/>
          <w:szCs w:val="28"/>
        </w:rPr>
      </w:sdtEndPr>
      <w:sdtContent>
        <w:p w14:paraId="469EE1E7">
          <w:pPr>
            <w:spacing w:after="0" w:line="240" w:lineRule="auto"/>
            <w:ind w:firstLine="0" w:firstLineChars="0"/>
            <w:jc w:val="center"/>
            <w:rPr>
              <w:rFonts w:hint="default" w:ascii="Times New Roman" w:hAnsi="Times New Roman" w:eastAsia="宋体" w:cs="Times New Roman"/>
              <w:color w:val="auto"/>
            </w:rPr>
          </w:pPr>
          <w:r>
            <w:rPr>
              <w:rFonts w:hint="default" w:ascii="Times New Roman" w:hAnsi="Times New Roman" w:eastAsia="宋体" w:cs="Times New Roman"/>
              <w:b/>
              <w:bCs/>
              <w:color w:val="auto"/>
              <w:sz w:val="28"/>
              <w:szCs w:val="28"/>
            </w:rPr>
            <w:t>目</w:t>
          </w:r>
          <w:r>
            <w:rPr>
              <w:rFonts w:hint="eastAsia" w:ascii="Times New Roman" w:hAnsi="Times New Roman" w:eastAsia="宋体" w:cs="Times New Roman"/>
              <w:b/>
              <w:bCs/>
              <w:color w:val="auto"/>
              <w:sz w:val="28"/>
              <w:szCs w:val="28"/>
              <w:lang w:val="en-US" w:eastAsia="zh-CN"/>
            </w:rPr>
            <w:t xml:space="preserve"> </w:t>
          </w:r>
          <w:r>
            <w:rPr>
              <w:rFonts w:hint="default" w:ascii="Times New Roman" w:hAnsi="Times New Roman" w:eastAsia="宋体" w:cs="Times New Roman"/>
              <w:b/>
              <w:bCs/>
              <w:color w:val="auto"/>
              <w:sz w:val="28"/>
              <w:szCs w:val="28"/>
            </w:rPr>
            <w:t>录</w:t>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TOC \o "1-2" \h \u </w:instrText>
          </w:r>
          <w:r>
            <w:rPr>
              <w:rFonts w:hint="default" w:ascii="Times New Roman" w:hAnsi="Times New Roman" w:eastAsia="宋体" w:cs="Times New Roman"/>
              <w:color w:val="auto"/>
            </w:rPr>
            <w:fldChar w:fldCharType="separate"/>
          </w:r>
        </w:p>
        <w:p w14:paraId="584D3AC0">
          <w:pPr>
            <w:pStyle w:val="20"/>
            <w:tabs>
              <w:tab w:val="right" w:leader="dot" w:pos="8306"/>
              <w:tab w:val="clear" w:pos="8302"/>
            </w:tabs>
            <w:ind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"_Toc32380"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kern w:val="44"/>
              <w:szCs w:val="30"/>
              <w:lang w:val="zh-CN"/>
            </w:rPr>
            <w:t>1</w:t>
          </w:r>
          <w:r>
            <w:rPr>
              <w:rFonts w:hint="default" w:ascii="Times New Roman" w:hAnsi="Times New Roman" w:eastAsia="宋体" w:cs="Times New Roman"/>
              <w:color w:val="auto"/>
              <w:kern w:val="44"/>
              <w:szCs w:val="30"/>
            </w:rPr>
            <w:t xml:space="preserve"> </w:t>
          </w:r>
          <w:r>
            <w:rPr>
              <w:rFonts w:hint="default" w:ascii="Times New Roman" w:hAnsi="Times New Roman" w:eastAsia="宋体" w:cs="Times New Roman"/>
              <w:color w:val="auto"/>
              <w:kern w:val="44"/>
              <w:szCs w:val="30"/>
              <w:lang w:val="zh-CN"/>
            </w:rPr>
            <w:t>总则</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_Toc32380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25D3BDCE">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"_Toc32638"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kern w:val="0"/>
              <w:szCs w:val="28"/>
              <w:lang w:val="zh-CN"/>
            </w:rPr>
            <w:t>1.2.</w:t>
          </w:r>
          <w:r>
            <w:rPr>
              <w:rFonts w:hint="default" w:ascii="Times New Roman" w:hAnsi="Times New Roman" w:eastAsia="宋体" w:cs="Times New Roman"/>
              <w:color w:val="auto"/>
              <w:kern w:val="0"/>
              <w:szCs w:val="28"/>
              <w:lang w:val="zh-CN"/>
            </w:rPr>
            <w:t>编制依据</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_Toc32638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3</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47254A72">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"_Toc3738"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kern w:val="0"/>
              <w:szCs w:val="28"/>
              <w:lang w:val="zh-CN"/>
            </w:rPr>
            <w:t>1.3.</w:t>
          </w:r>
          <w:r>
            <w:rPr>
              <w:rFonts w:hint="default" w:ascii="Times New Roman" w:hAnsi="Times New Roman" w:eastAsia="宋体" w:cs="Times New Roman"/>
              <w:color w:val="auto"/>
              <w:kern w:val="0"/>
              <w:szCs w:val="28"/>
              <w:lang w:val="zh-CN"/>
            </w:rPr>
            <w:t>评价工作等级</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_Toc3738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4</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7CA5E39B">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"_Toc11111"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kern w:val="0"/>
              <w:szCs w:val="28"/>
              <w:lang w:val="zh-CN"/>
            </w:rPr>
            <w:t>1.4.</w:t>
          </w:r>
          <w:r>
            <w:rPr>
              <w:rFonts w:hint="default" w:ascii="Times New Roman" w:hAnsi="Times New Roman" w:eastAsia="宋体" w:cs="Times New Roman"/>
              <w:color w:val="auto"/>
              <w:kern w:val="0"/>
              <w:szCs w:val="28"/>
              <w:lang w:val="zh-CN"/>
            </w:rPr>
            <w:t>评价范围</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_Toc11111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6</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0319BC9B">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"_Toc8976"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kern w:val="0"/>
              <w:szCs w:val="28"/>
              <w:lang w:val="zh-CN"/>
            </w:rPr>
            <w:t>1.5.</w:t>
          </w:r>
          <w:r>
            <w:rPr>
              <w:rFonts w:hint="default" w:ascii="Times New Roman" w:hAnsi="Times New Roman" w:eastAsia="宋体" w:cs="Times New Roman"/>
              <w:color w:val="auto"/>
              <w:kern w:val="0"/>
              <w:szCs w:val="28"/>
              <w:lang w:val="zh-CN"/>
            </w:rPr>
            <w:t>生态保护目标</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_Toc8976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6</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0D652D33">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"_Toc3223"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kern w:val="0"/>
              <w:szCs w:val="28"/>
              <w:lang w:val="zh-CN"/>
            </w:rPr>
            <w:t>1.6.</w:t>
          </w:r>
          <w:r>
            <w:rPr>
              <w:rFonts w:hint="default" w:ascii="Times New Roman" w:hAnsi="Times New Roman" w:eastAsia="宋体" w:cs="Times New Roman"/>
              <w:color w:val="auto"/>
              <w:kern w:val="0"/>
              <w:szCs w:val="28"/>
            </w:rPr>
            <w:t>生态</w:t>
          </w:r>
          <w:r>
            <w:rPr>
              <w:rFonts w:hint="default" w:ascii="Times New Roman" w:hAnsi="Times New Roman" w:eastAsia="宋体" w:cs="Times New Roman"/>
              <w:color w:val="auto"/>
              <w:kern w:val="0"/>
              <w:szCs w:val="28"/>
              <w:lang w:val="zh-CN"/>
            </w:rPr>
            <w:t>环境影响要素识别及评价因子</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_Toc3223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7</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7D83BB6B">
          <w:pPr>
            <w:pStyle w:val="20"/>
            <w:tabs>
              <w:tab w:val="right" w:leader="dot" w:pos="8306"/>
              <w:tab w:val="clear" w:pos="8302"/>
            </w:tabs>
            <w:ind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"_Toc28265"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rPr>
            <w:t>2</w:t>
          </w:r>
          <w:r>
            <w:rPr>
              <w:rFonts w:hint="default" w:ascii="Times New Roman" w:hAnsi="Times New Roman" w:eastAsia="宋体" w:cs="Times New Roman"/>
              <w:color w:val="auto"/>
              <w:lang w:val="zh-CN"/>
            </w:rPr>
            <w:t>生态环境现状调查及评价</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_Toc28265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9</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41B9EA10">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"_Toc32241"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szCs w:val="32"/>
            </w:rPr>
            <w:t>2</w:t>
          </w:r>
          <w:r>
            <w:rPr>
              <w:rFonts w:hint="default" w:ascii="Times New Roman" w:hAnsi="Times New Roman" w:eastAsia="宋体" w:cs="Times New Roman"/>
              <w:bCs/>
              <w:color w:val="auto"/>
              <w:szCs w:val="32"/>
              <w:lang w:val="zh-CN"/>
            </w:rPr>
            <w:t>.1.</w:t>
          </w:r>
          <w:r>
            <w:rPr>
              <w:rFonts w:hint="default" w:ascii="Times New Roman" w:hAnsi="Times New Roman" w:eastAsia="宋体" w:cs="Times New Roman"/>
              <w:color w:val="auto"/>
              <w:lang w:val="zh-CN"/>
            </w:rPr>
            <w:t>地理位置</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_Toc32241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9</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14553AC3">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"_Toc16336"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lang w:val="zh-CN"/>
            </w:rPr>
            <w:t>2.</w:t>
          </w:r>
          <w:r>
            <w:rPr>
              <w:rFonts w:hint="default" w:ascii="Times New Roman" w:hAnsi="Times New Roman" w:eastAsia="宋体" w:cs="Times New Roman"/>
              <w:color w:val="auto"/>
            </w:rPr>
            <w:t>2</w:t>
          </w:r>
          <w:r>
            <w:rPr>
              <w:rFonts w:hint="default" w:ascii="Times New Roman" w:hAnsi="Times New Roman" w:eastAsia="宋体" w:cs="Times New Roman"/>
              <w:color w:val="auto"/>
              <w:lang w:val="zh-CN"/>
            </w:rPr>
            <w:t xml:space="preserve"> 地形、地貌</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_Toc16336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9</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24BC013D">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"_Toc14969"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kern w:val="0"/>
              <w:szCs w:val="28"/>
              <w:lang w:val="zh-CN"/>
            </w:rPr>
            <w:t>2.</w:t>
          </w:r>
          <w:r>
            <w:rPr>
              <w:rFonts w:hint="default" w:ascii="Times New Roman" w:hAnsi="Times New Roman" w:eastAsia="宋体" w:cs="Times New Roman"/>
              <w:color w:val="auto"/>
              <w:kern w:val="0"/>
              <w:szCs w:val="28"/>
            </w:rPr>
            <w:t>3</w:t>
          </w:r>
          <w:r>
            <w:rPr>
              <w:rFonts w:hint="default" w:ascii="Times New Roman" w:hAnsi="Times New Roman" w:eastAsia="宋体" w:cs="Times New Roman"/>
              <w:color w:val="auto"/>
              <w:kern w:val="0"/>
              <w:szCs w:val="28"/>
              <w:lang w:val="zh-CN"/>
            </w:rPr>
            <w:t xml:space="preserve"> </w:t>
          </w:r>
          <w:r>
            <w:rPr>
              <w:rFonts w:hint="default" w:ascii="Times New Roman" w:hAnsi="Times New Roman" w:eastAsia="宋体" w:cs="Times New Roman"/>
              <w:color w:val="auto"/>
              <w:kern w:val="0"/>
              <w:szCs w:val="28"/>
            </w:rPr>
            <w:t>陆生</w:t>
          </w:r>
          <w:r>
            <w:rPr>
              <w:rFonts w:hint="default" w:ascii="Times New Roman" w:hAnsi="Times New Roman" w:eastAsia="宋体" w:cs="Times New Roman"/>
              <w:color w:val="auto"/>
              <w:kern w:val="0"/>
              <w:szCs w:val="28"/>
              <w:lang w:val="zh-CN"/>
            </w:rPr>
            <w:t>植被</w:t>
          </w:r>
          <w:r>
            <w:rPr>
              <w:rFonts w:hint="default" w:ascii="Times New Roman" w:hAnsi="Times New Roman" w:eastAsia="宋体" w:cs="Times New Roman"/>
              <w:color w:val="auto"/>
              <w:kern w:val="0"/>
              <w:szCs w:val="28"/>
            </w:rPr>
            <w:t>和</w:t>
          </w:r>
          <w:r>
            <w:rPr>
              <w:rFonts w:hint="default" w:ascii="Times New Roman" w:hAnsi="Times New Roman" w:eastAsia="宋体" w:cs="Times New Roman"/>
              <w:color w:val="auto"/>
              <w:kern w:val="0"/>
              <w:szCs w:val="28"/>
              <w:lang w:val="zh-CN"/>
            </w:rPr>
            <w:t>植物资源现状</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_Toc14969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10</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B88560D">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"_Toc5276"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kern w:val="0"/>
              <w:szCs w:val="28"/>
            </w:rPr>
            <w:t>2.4</w:t>
          </w:r>
          <w:r>
            <w:rPr>
              <w:rFonts w:hint="default" w:ascii="Times New Roman" w:hAnsi="Times New Roman" w:eastAsia="宋体" w:cs="Times New Roman"/>
              <w:color w:val="auto"/>
              <w:kern w:val="0"/>
              <w:szCs w:val="28"/>
              <w:lang w:val="zh-CN"/>
            </w:rPr>
            <w:t xml:space="preserve"> 陆生脊椎动物</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_Toc5276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185A2936">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"_Toc18185"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kern w:val="0"/>
              <w:szCs w:val="28"/>
            </w:rPr>
            <w:t>2.5鱼类</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_Toc18185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5EBB317">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"_Toc20402"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kern w:val="0"/>
              <w:szCs w:val="28"/>
            </w:rPr>
            <w:t>2.6 土地利用现状</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_Toc20402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4E425538">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"_Toc28315"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kern w:val="0"/>
              <w:szCs w:val="28"/>
            </w:rPr>
            <w:t>2.7 景观及生态系统环境现状</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_Toc28315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19</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61CC1358">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"_Toc23841"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kern w:val="0"/>
              <w:szCs w:val="28"/>
            </w:rPr>
            <w:t>2.8</w:t>
          </w:r>
          <w:r>
            <w:rPr>
              <w:rFonts w:hint="default" w:ascii="Times New Roman" w:hAnsi="Times New Roman" w:eastAsia="宋体" w:cs="Times New Roman"/>
              <w:color w:val="auto"/>
            </w:rPr>
            <w:t>生物多样性现状</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_Toc23841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27</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6D0EF42D">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"_Toc3579"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kern w:val="0"/>
              <w:szCs w:val="28"/>
            </w:rPr>
            <w:t>2.9 生态保护红线</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_Toc3579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28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71BA610C">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"_Toc11165"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kern w:val="0"/>
              <w:szCs w:val="28"/>
            </w:rPr>
            <w:t>2.10公益林的概况</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_Toc11165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42</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162A0F8F">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"_Toc4567"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kern w:val="0"/>
              <w:szCs w:val="28"/>
            </w:rPr>
            <w:t>2.11评价区主要环境问题</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_Toc4567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43</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66A3A0B6">
          <w:pPr>
            <w:pStyle w:val="20"/>
            <w:tabs>
              <w:tab w:val="right" w:leader="dot" w:pos="8306"/>
              <w:tab w:val="clear" w:pos="8302"/>
            </w:tabs>
            <w:ind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"_Toc29371"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lang w:val="zh-CN"/>
            </w:rPr>
            <w:t>3 生态环境影响分析与评价</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_Toc29371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44</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2E595610">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"_Toc25225"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kern w:val="0"/>
              <w:szCs w:val="28"/>
              <w:lang w:val="zh-CN"/>
            </w:rPr>
            <w:t>3.1</w:t>
          </w:r>
          <w:r>
            <w:rPr>
              <w:rFonts w:hint="default" w:ascii="Times New Roman" w:hAnsi="Times New Roman" w:eastAsia="宋体" w:cs="Times New Roman"/>
              <w:color w:val="auto"/>
              <w:kern w:val="0"/>
              <w:szCs w:val="28"/>
            </w:rPr>
            <w:t xml:space="preserve"> 对土地利用的影响</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_Toc25225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44</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34476587">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"_Toc13340"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kern w:val="0"/>
              <w:szCs w:val="28"/>
              <w:lang w:val="zh-CN"/>
            </w:rPr>
            <w:t>3.2对植被的影响预测</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_Toc13340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45</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320EAAFC">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"_Toc4890"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kern w:val="0"/>
              <w:szCs w:val="28"/>
              <w:lang w:val="zh-CN"/>
            </w:rPr>
            <w:t>3.3对陆生植物的影响</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_Toc4890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46</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77C24F33">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"_Toc5869"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kern w:val="0"/>
              <w:szCs w:val="28"/>
              <w:lang w:val="zh-CN"/>
            </w:rPr>
            <w:t>3.4对生态系统影响</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_Toc5869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48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74654691">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"_Toc5438"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kern w:val="0"/>
              <w:szCs w:val="28"/>
              <w:lang w:val="zh-CN"/>
            </w:rPr>
            <w:t>3.</w:t>
          </w:r>
          <w:r>
            <w:rPr>
              <w:rFonts w:hint="default" w:ascii="Times New Roman" w:hAnsi="Times New Roman" w:eastAsia="宋体" w:cs="Times New Roman"/>
              <w:color w:val="auto"/>
              <w:kern w:val="0"/>
              <w:szCs w:val="28"/>
            </w:rPr>
            <w:t xml:space="preserve">5 </w:t>
          </w:r>
          <w:r>
            <w:rPr>
              <w:rFonts w:hint="default" w:ascii="Times New Roman" w:hAnsi="Times New Roman" w:eastAsia="宋体" w:cs="Times New Roman"/>
              <w:color w:val="auto"/>
              <w:kern w:val="0"/>
              <w:szCs w:val="28"/>
              <w:lang w:val="zh-CN"/>
            </w:rPr>
            <w:t>对</w:t>
          </w:r>
          <w:r>
            <w:rPr>
              <w:rFonts w:hint="default" w:ascii="Times New Roman" w:hAnsi="Times New Roman" w:eastAsia="宋体" w:cs="Times New Roman"/>
              <w:color w:val="auto"/>
              <w:kern w:val="0"/>
              <w:szCs w:val="28"/>
            </w:rPr>
            <w:t>陆生</w:t>
          </w:r>
          <w:r>
            <w:rPr>
              <w:rFonts w:hint="default" w:ascii="Times New Roman" w:hAnsi="Times New Roman" w:eastAsia="宋体" w:cs="Times New Roman"/>
              <w:color w:val="auto"/>
              <w:kern w:val="0"/>
              <w:szCs w:val="28"/>
              <w:lang w:val="zh-CN"/>
            </w:rPr>
            <w:t>脊椎动物的影响</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_Toc5438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50</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6C51305E">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"_Toc30817"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rPr>
            <w:t>3.6</w:t>
          </w:r>
          <w:r>
            <w:rPr>
              <w:rFonts w:hint="default" w:ascii="Times New Roman" w:hAnsi="Times New Roman" w:eastAsia="宋体" w:cs="Times New Roman"/>
              <w:color w:val="auto"/>
              <w:lang w:val="zh-CN"/>
            </w:rPr>
            <w:t>项目对农业生态的影响分析</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_Toc30817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52</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01B9848E">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"_Toc608"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rPr>
            <w:t>3.7对鱼类的影响分析</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_Toc608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53</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451EFF8C">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"_Toc8473"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rPr>
            <w:t>3.8 景观生态结构、质量和稳定性变化影响预测</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_Toc8473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53</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13E6E09">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"_Toc18943"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rPr>
            <w:t>3.9 生物多样性影响分析</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_Toc18943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55</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63102762">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"_Toc20107"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rPr>
            <w:t>3.10项目对当地生态系统的影响</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_Toc20107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56</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7DC3CBD1">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"_Toc22496"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rPr>
            <w:t>3.11 项目对评价区内生态保护红线的影响分析</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_Toc22496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56</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B6EFC5F">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"_Toc30953"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rPr>
            <w:t>3.12对生态公益林影响</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_Toc30953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59</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4BD4B4A2">
          <w:pPr>
            <w:pStyle w:val="20"/>
            <w:tabs>
              <w:tab w:val="right" w:leader="dot" w:pos="8306"/>
              <w:tab w:val="clear" w:pos="8302"/>
            </w:tabs>
            <w:ind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"_Toc6371"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lang w:val="zh-CN"/>
            </w:rPr>
            <w:t>4 生态环境影响减缓措施</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_Toc6371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61</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3A2288D0">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"_Toc16676"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rPr>
            <w:t>4.1施工期生态环境保护措施</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_Toc16676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61</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9E764DC">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"_Toc15235"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rPr>
            <w:t>4.2运营期生态环境保护措施</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_Toc15235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63</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1D1528D6">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"_Toc4078"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rPr>
            <w:t>4.3 生态保护红线</w:t>
          </w:r>
          <w:r>
            <w:rPr>
              <w:rFonts w:hint="default" w:ascii="Times New Roman" w:hAnsi="Times New Roman" w:eastAsia="宋体" w:cs="Times New Roman"/>
              <w:color w:val="auto"/>
              <w:lang w:val="zh-CN"/>
            </w:rPr>
            <w:t>保护措施</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_Toc4078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64</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4FCC5635">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"_Toc12613"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rPr>
            <w:t>4.4公益林保护措施</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_Toc12613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65</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6D141F7E">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"_Toc30190"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rPr>
            <w:t>4.5生态监测计划</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_Toc30190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66</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380928B9">
          <w:pPr>
            <w:pStyle w:val="20"/>
            <w:tabs>
              <w:tab w:val="right" w:leader="dot" w:pos="8306"/>
              <w:tab w:val="clear" w:pos="8302"/>
            </w:tabs>
            <w:ind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"_Toc24731"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lang w:val="zh-CN"/>
            </w:rPr>
            <w:t>5 生态环境专项评价结论</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_Toc24731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68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26C161A">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"_Toc7815"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kern w:val="0"/>
              <w:szCs w:val="28"/>
              <w:lang w:val="zh-CN"/>
            </w:rPr>
            <w:t>5.1</w:t>
          </w:r>
          <w:r>
            <w:rPr>
              <w:rFonts w:hint="default" w:ascii="Times New Roman" w:hAnsi="Times New Roman" w:eastAsia="宋体" w:cs="Times New Roman"/>
              <w:color w:val="auto"/>
              <w:kern w:val="0"/>
              <w:szCs w:val="28"/>
            </w:rPr>
            <w:t xml:space="preserve"> </w:t>
          </w:r>
          <w:r>
            <w:rPr>
              <w:rFonts w:hint="default" w:ascii="Times New Roman" w:hAnsi="Times New Roman" w:eastAsia="宋体" w:cs="Times New Roman"/>
              <w:color w:val="auto"/>
              <w:kern w:val="0"/>
              <w:szCs w:val="28"/>
              <w:lang w:val="zh-CN"/>
            </w:rPr>
            <w:t>生态环境现状评价结论</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_Toc7815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68</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1798B592">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"_Toc13079"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lang w:val="zh-CN"/>
            </w:rPr>
            <w:t>5.2</w:t>
          </w:r>
          <w:r>
            <w:rPr>
              <w:rFonts w:hint="default" w:ascii="Times New Roman" w:hAnsi="Times New Roman" w:eastAsia="宋体" w:cs="Times New Roman"/>
              <w:color w:val="auto"/>
            </w:rPr>
            <w:t xml:space="preserve"> </w:t>
          </w:r>
          <w:r>
            <w:rPr>
              <w:rFonts w:hint="default" w:ascii="Times New Roman" w:hAnsi="Times New Roman" w:eastAsia="宋体" w:cs="Times New Roman"/>
              <w:color w:val="auto"/>
              <w:lang w:val="zh-CN"/>
            </w:rPr>
            <w:t>生态环境影响评价结论</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_Toc13079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70</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87A5883">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"_Toc29151"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lang w:val="zh-CN"/>
            </w:rPr>
            <w:t>5.3</w:t>
          </w:r>
          <w:r>
            <w:rPr>
              <w:rFonts w:hint="default" w:ascii="Times New Roman" w:hAnsi="Times New Roman" w:eastAsia="宋体" w:cs="Times New Roman"/>
              <w:color w:val="auto"/>
            </w:rPr>
            <w:t xml:space="preserve"> </w:t>
          </w:r>
          <w:r>
            <w:rPr>
              <w:rFonts w:hint="default" w:ascii="Times New Roman" w:hAnsi="Times New Roman" w:eastAsia="宋体" w:cs="Times New Roman"/>
              <w:color w:val="auto"/>
              <w:lang w:val="zh-CN"/>
            </w:rPr>
            <w:t>总结论</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_Toc29151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74</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68A27573">
          <w:pPr>
            <w:pStyle w:val="23"/>
            <w:tabs>
              <w:tab w:val="right" w:leader="dot" w:pos="8306"/>
            </w:tabs>
            <w:ind w:left="480"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"_Toc18898"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lang w:val="zh-CN"/>
            </w:rPr>
            <w:t>5.4 要求和建议</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_Toc18898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75</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3B80B124">
          <w:pPr>
            <w:pStyle w:val="20"/>
            <w:tabs>
              <w:tab w:val="right" w:leader="dot" w:pos="8306"/>
              <w:tab w:val="clear" w:pos="8302"/>
            </w:tabs>
            <w:ind w:firstLine="480"/>
            <w:rPr>
              <w:rFonts w:hint="default" w:ascii="Times New Roman" w:hAnsi="Times New Roman" w:eastAsia="宋体"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"_Toc10245"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rPr>
            <w:t>附表1  生态环境影响自查表</w:t>
          </w:r>
          <w:r>
            <w:rPr>
              <w:rFonts w:hint="default" w:ascii="Times New Roman" w:hAnsi="Times New Roman" w:eastAsia="宋体" w:cs="Times New Roman"/>
              <w:color w:val="auto"/>
            </w:rPr>
            <w:tab/>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PAGEREF _Toc10245 \h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76</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fldChar w:fldCharType="end"/>
          </w:r>
        </w:p>
        <w:p w14:paraId="53188F4A">
          <w:pPr>
            <w:ind w:firstLine="480"/>
            <w:rPr>
              <w:rFonts w:hint="default" w:ascii="Times New Roman" w:hAnsi="Times New Roman" w:cs="Times New Roman"/>
              <w:color w:val="auto"/>
            </w:rPr>
          </w:pPr>
          <w:r>
            <w:rPr>
              <w:rFonts w:hint="default" w:ascii="Times New Roman" w:hAnsi="Times New Roman" w:eastAsia="宋体" w:cs="Times New Roman"/>
              <w:color w:val="auto"/>
            </w:rPr>
            <w:fldChar w:fldCharType="end"/>
          </w:r>
        </w:p>
      </w:sdtContent>
    </w:sdt>
    <w:p w14:paraId="703DE238">
      <w:pPr>
        <w:ind w:firstLine="480"/>
        <w:rPr>
          <w:rFonts w:hint="default" w:ascii="Times New Roman" w:hAnsi="Times New Roman" w:cs="Times New Roman"/>
          <w:color w:val="auto"/>
        </w:rPr>
        <w:sectPr>
          <w:footerReference r:id="rId1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11C8478">
      <w:pPr>
        <w:pStyle w:val="3"/>
        <w:numPr>
          <w:ilvl w:val="0"/>
          <w:numId w:val="0"/>
        </w:numPr>
        <w:adjustRightInd w:val="0"/>
        <w:spacing w:before="0" w:after="0"/>
        <w:jc w:val="left"/>
        <w:textAlignment w:val="baseline"/>
        <w:rPr>
          <w:rFonts w:hint="default" w:ascii="Times New Roman" w:hAnsi="Times New Roman" w:eastAsia="宋体" w:cs="Times New Roman"/>
          <w:snapToGrid/>
          <w:color w:val="auto"/>
          <w:kern w:val="44"/>
          <w:sz w:val="32"/>
          <w:szCs w:val="32"/>
          <w:lang w:val="zh-CN"/>
        </w:rPr>
      </w:pPr>
      <w:bookmarkStart w:id="194" w:name="_Toc32380"/>
      <w:r>
        <w:rPr>
          <w:rFonts w:hint="default" w:ascii="Times New Roman" w:hAnsi="Times New Roman" w:eastAsia="宋体" w:cs="Times New Roman"/>
          <w:snapToGrid/>
          <w:color w:val="auto"/>
          <w:kern w:val="44"/>
          <w:sz w:val="32"/>
          <w:szCs w:val="32"/>
          <w:lang w:val="zh-CN"/>
        </w:rPr>
        <w:t>1</w:t>
      </w:r>
      <w:r>
        <w:rPr>
          <w:rFonts w:hint="default" w:ascii="Times New Roman" w:hAnsi="Times New Roman" w:eastAsia="宋体" w:cs="Times New Roman"/>
          <w:snapToGrid/>
          <w:color w:val="auto"/>
          <w:kern w:val="44"/>
          <w:sz w:val="32"/>
          <w:szCs w:val="32"/>
        </w:rPr>
        <w:t xml:space="preserve"> </w:t>
      </w:r>
      <w:r>
        <w:rPr>
          <w:rFonts w:hint="default" w:ascii="Times New Roman" w:hAnsi="Times New Roman" w:eastAsia="宋体" w:cs="Times New Roman"/>
          <w:snapToGrid/>
          <w:color w:val="auto"/>
          <w:kern w:val="44"/>
          <w:sz w:val="32"/>
          <w:szCs w:val="32"/>
          <w:lang w:val="zh-CN"/>
        </w:rPr>
        <w:t>总则</w:t>
      </w:r>
      <w:bookmarkEnd w:id="194"/>
    </w:p>
    <w:p w14:paraId="0E12A878">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rPr>
      </w:pPr>
      <w:bookmarkStart w:id="195" w:name="_Toc11589"/>
      <w:r>
        <w:rPr>
          <w:rFonts w:hint="default" w:ascii="Times New Roman" w:hAnsi="Times New Roman" w:eastAsia="宋体" w:cs="Times New Roman"/>
          <w:bCs w:val="0"/>
          <w:color w:val="auto"/>
          <w:kern w:val="0"/>
          <w:sz w:val="28"/>
          <w:szCs w:val="28"/>
        </w:rPr>
        <w:t>1.1工程概况</w:t>
      </w:r>
      <w:bookmarkEnd w:id="195"/>
    </w:p>
    <w:p w14:paraId="7CD5B1E5">
      <w:pPr>
        <w:keepNext w:val="0"/>
        <w:keepLines w:val="0"/>
        <w:pageBreakBefore w:val="0"/>
        <w:widowControl w:val="0"/>
        <w:kinsoku/>
        <w:wordWrap/>
        <w:overflowPunct/>
        <w:topLinePunct w:val="0"/>
        <w:autoSpaceDE/>
        <w:autoSpaceDN/>
        <w:bidi w:val="0"/>
        <w:adjustRightInd w:val="0"/>
        <w:snapToGrid w:val="0"/>
        <w:spacing w:after="0" w:line="440" w:lineRule="exact"/>
        <w:ind w:firstLine="420" w:firstLineChars="200"/>
        <w:jc w:val="both"/>
        <w:textAlignment w:val="auto"/>
        <w:rPr>
          <w:rFonts w:hint="default" w:ascii="Times New Roman" w:hAnsi="Times New Roman" w:cs="Times New Roman"/>
          <w:color w:val="auto"/>
          <w:lang w:val="zh-CN"/>
        </w:rPr>
      </w:pPr>
      <w:r>
        <w:rPr>
          <w:rFonts w:hint="default" w:ascii="Times New Roman" w:hAnsi="Times New Roman" w:cs="Times New Roman"/>
          <w:color w:val="auto"/>
          <w:szCs w:val="24"/>
        </w:rPr>
        <w:t>项目110kV线路位于会泽县</w:t>
      </w:r>
      <w:r>
        <w:rPr>
          <w:rFonts w:hint="default" w:ascii="Times New Roman" w:hAnsi="Times New Roman" w:cs="Times New Roman"/>
          <w:color w:val="auto"/>
          <w:spacing w:val="-4"/>
          <w:szCs w:val="24"/>
        </w:rPr>
        <w:t>宝云街道、乐业镇、五星乡境内</w:t>
      </w:r>
      <w:r>
        <w:rPr>
          <w:rFonts w:hint="default" w:ascii="Times New Roman" w:hAnsi="Times New Roman" w:cs="Times New Roman"/>
          <w:color w:val="auto"/>
          <w:szCs w:val="24"/>
        </w:rPr>
        <w:t>，单回路架设，起于大草山光伏变电站间隔处，讫于六合一光伏变电站，线路全长16km。项目新建杆塔45基。新建线路导线（10mm、20mm冰区）采用JNRLH1/LB20A-400/50型铝包钢芯耐热铝合金绞线，导线（30mm冰区）采用JNRLH1/LB20A-400/65型铝包钢芯耐热铝合金绞线；10、20mm冰区地线采用2根OPGW-100光缆（24芯G.652D），30mm冰区地线采用2根OPGW-120光缆（24芯G.652D）。</w:t>
      </w:r>
      <w:r>
        <w:rPr>
          <w:rFonts w:hint="default" w:ascii="Times New Roman" w:hAnsi="Times New Roman" w:cs="Times New Roman"/>
          <w:color w:val="auto"/>
          <w:lang w:val="zh-CN"/>
        </w:rPr>
        <w:t>新建铁塔</w:t>
      </w:r>
      <w:r>
        <w:rPr>
          <w:rFonts w:hint="default" w:ascii="Times New Roman" w:hAnsi="Times New Roman" w:cs="Times New Roman"/>
          <w:color w:val="auto"/>
        </w:rPr>
        <w:t>45</w:t>
      </w:r>
      <w:r>
        <w:rPr>
          <w:rFonts w:hint="default" w:ascii="Times New Roman" w:hAnsi="Times New Roman" w:cs="Times New Roman"/>
          <w:color w:val="auto"/>
          <w:lang w:val="zh-CN"/>
        </w:rPr>
        <w:t>基（其中</w:t>
      </w:r>
      <w:r>
        <w:rPr>
          <w:rFonts w:hint="default" w:ascii="Times New Roman" w:hAnsi="Times New Roman" w:cs="Times New Roman"/>
          <w:color w:val="auto"/>
        </w:rPr>
        <w:t>单回</w:t>
      </w:r>
      <w:r>
        <w:rPr>
          <w:rFonts w:hint="default" w:ascii="Times New Roman" w:hAnsi="Times New Roman" w:cs="Times New Roman"/>
          <w:color w:val="auto"/>
          <w:lang w:val="zh-CN"/>
        </w:rPr>
        <w:t>耐张塔</w:t>
      </w:r>
      <w:r>
        <w:rPr>
          <w:rFonts w:hint="default" w:ascii="Times New Roman" w:hAnsi="Times New Roman" w:cs="Times New Roman"/>
          <w:color w:val="auto"/>
        </w:rPr>
        <w:t>17</w:t>
      </w:r>
      <w:r>
        <w:rPr>
          <w:rFonts w:hint="default" w:ascii="Times New Roman" w:hAnsi="Times New Roman" w:cs="Times New Roman"/>
          <w:color w:val="auto"/>
          <w:lang w:val="zh-CN"/>
        </w:rPr>
        <w:t>基，</w:t>
      </w:r>
      <w:r>
        <w:rPr>
          <w:rFonts w:hint="default" w:ascii="Times New Roman" w:hAnsi="Times New Roman" w:cs="Times New Roman"/>
          <w:color w:val="auto"/>
        </w:rPr>
        <w:t>单回塔基</w:t>
      </w:r>
      <w:r>
        <w:rPr>
          <w:rFonts w:hint="default" w:ascii="Times New Roman" w:hAnsi="Times New Roman" w:cs="Times New Roman"/>
          <w:color w:val="auto"/>
          <w:lang w:val="zh-CN"/>
        </w:rPr>
        <w:t>直线塔</w:t>
      </w:r>
      <w:r>
        <w:rPr>
          <w:rFonts w:hint="default" w:ascii="Times New Roman" w:hAnsi="Times New Roman" w:cs="Times New Roman"/>
          <w:color w:val="auto"/>
        </w:rPr>
        <w:t>28</w:t>
      </w:r>
      <w:r>
        <w:rPr>
          <w:rFonts w:hint="default" w:ascii="Times New Roman" w:hAnsi="Times New Roman" w:cs="Times New Roman"/>
          <w:color w:val="auto"/>
          <w:lang w:val="zh-CN"/>
        </w:rPr>
        <w:t>基），耐张比：</w:t>
      </w:r>
      <w:r>
        <w:rPr>
          <w:rFonts w:hint="default" w:ascii="Times New Roman" w:hAnsi="Times New Roman" w:cs="Times New Roman"/>
          <w:color w:val="auto"/>
        </w:rPr>
        <w:t>37.78</w:t>
      </w:r>
      <w:r>
        <w:rPr>
          <w:rFonts w:hint="default" w:ascii="Times New Roman" w:hAnsi="Times New Roman" w:cs="Times New Roman"/>
          <w:color w:val="auto"/>
          <w:lang w:val="zh-CN"/>
        </w:rPr>
        <w:t>%。</w:t>
      </w:r>
      <w:r>
        <w:rPr>
          <w:rFonts w:hint="eastAsia"/>
          <w:color w:val="auto"/>
          <w:sz w:val="24"/>
          <w:lang w:val="en-US" w:eastAsia="zh-CN"/>
        </w:rPr>
        <w:t>采用三角排列、水平排列，</w:t>
      </w:r>
      <w:r>
        <w:rPr>
          <w:rFonts w:hint="eastAsia" w:ascii="Times New Roman" w:hAnsi="Times New Roman"/>
          <w:color w:val="auto"/>
          <w:sz w:val="24"/>
          <w:szCs w:val="24"/>
        </w:rPr>
        <w:t>其中线路塔基N</w:t>
      </w:r>
      <w:r>
        <w:rPr>
          <w:rFonts w:hint="eastAsia" w:ascii="Times New Roman" w:hAnsi="Times New Roman"/>
          <w:color w:val="auto"/>
          <w:sz w:val="24"/>
          <w:szCs w:val="24"/>
          <w:lang w:val="en-US" w:eastAsia="zh-CN"/>
        </w:rPr>
        <w:t>1</w:t>
      </w:r>
      <w:r>
        <w:rPr>
          <w:rFonts w:hint="eastAsia" w:ascii="Times New Roman" w:hAnsi="Times New Roman"/>
          <w:color w:val="auto"/>
          <w:sz w:val="24"/>
          <w:szCs w:val="24"/>
        </w:rPr>
        <w:t>-N</w:t>
      </w:r>
      <w:r>
        <w:rPr>
          <w:rFonts w:hint="eastAsia" w:ascii="Times New Roman" w:hAnsi="Times New Roman"/>
          <w:color w:val="auto"/>
          <w:sz w:val="24"/>
          <w:szCs w:val="24"/>
          <w:lang w:val="en-US" w:eastAsia="zh-CN"/>
        </w:rPr>
        <w:t>28</w:t>
      </w:r>
      <w:r>
        <w:rPr>
          <w:rFonts w:hint="eastAsia" w:ascii="Times New Roman" w:hAnsi="Times New Roman"/>
          <w:color w:val="auto"/>
          <w:sz w:val="24"/>
          <w:szCs w:val="24"/>
        </w:rPr>
        <w:t>共2</w:t>
      </w:r>
      <w:r>
        <w:rPr>
          <w:rFonts w:hint="eastAsia" w:ascii="Times New Roman" w:hAnsi="Times New Roman"/>
          <w:color w:val="auto"/>
          <w:sz w:val="24"/>
          <w:szCs w:val="24"/>
          <w:lang w:val="en-US" w:eastAsia="zh-CN"/>
        </w:rPr>
        <w:t>8</w:t>
      </w:r>
      <w:r>
        <w:rPr>
          <w:rFonts w:hint="eastAsia" w:ascii="Times New Roman" w:hAnsi="Times New Roman"/>
          <w:color w:val="auto"/>
          <w:sz w:val="24"/>
          <w:szCs w:val="24"/>
        </w:rPr>
        <w:t>基水平排列，长度</w:t>
      </w:r>
      <w:r>
        <w:rPr>
          <w:rFonts w:hint="eastAsia" w:ascii="Times New Roman" w:hAnsi="Times New Roman"/>
          <w:color w:val="auto"/>
          <w:sz w:val="24"/>
          <w:szCs w:val="24"/>
          <w:lang w:val="en-US" w:eastAsia="zh-CN"/>
        </w:rPr>
        <w:t>7.77</w:t>
      </w:r>
      <w:r>
        <w:rPr>
          <w:rFonts w:hint="eastAsia" w:ascii="Times New Roman" w:hAnsi="Times New Roman"/>
          <w:color w:val="auto"/>
          <w:sz w:val="24"/>
          <w:szCs w:val="24"/>
        </w:rPr>
        <w:t>km；其余</w:t>
      </w:r>
      <w:r>
        <w:rPr>
          <w:rFonts w:ascii="Times New Roman" w:hAnsi="Times New Roman"/>
          <w:color w:val="auto"/>
          <w:sz w:val="24"/>
          <w:szCs w:val="24"/>
        </w:rPr>
        <w:t>线路导线架设为三角排列，长度</w:t>
      </w:r>
      <w:r>
        <w:rPr>
          <w:rFonts w:hint="eastAsia" w:ascii="Times New Roman" w:hAnsi="Times New Roman"/>
          <w:color w:val="auto"/>
          <w:sz w:val="24"/>
          <w:szCs w:val="24"/>
          <w:lang w:val="en-US" w:eastAsia="zh-CN"/>
        </w:rPr>
        <w:t>8.23</w:t>
      </w:r>
      <w:r>
        <w:rPr>
          <w:rFonts w:ascii="Times New Roman" w:hAnsi="Times New Roman"/>
          <w:color w:val="auto"/>
          <w:sz w:val="24"/>
          <w:szCs w:val="24"/>
        </w:rPr>
        <w:t>km，共</w:t>
      </w:r>
      <w:r>
        <w:rPr>
          <w:rFonts w:hint="eastAsia" w:ascii="Times New Roman" w:hAnsi="Times New Roman"/>
          <w:color w:val="auto"/>
          <w:sz w:val="24"/>
          <w:szCs w:val="24"/>
          <w:lang w:val="en-US" w:eastAsia="zh-CN"/>
        </w:rPr>
        <w:t>17</w:t>
      </w:r>
      <w:r>
        <w:rPr>
          <w:rFonts w:ascii="Times New Roman" w:hAnsi="Times New Roman"/>
          <w:color w:val="auto"/>
          <w:sz w:val="24"/>
          <w:szCs w:val="24"/>
        </w:rPr>
        <w:t>基塔。</w:t>
      </w:r>
    </w:p>
    <w:p w14:paraId="2D16A823">
      <w:pPr>
        <w:keepNext w:val="0"/>
        <w:keepLines w:val="0"/>
        <w:pageBreakBefore w:val="0"/>
        <w:widowControl w:val="0"/>
        <w:kinsoku/>
        <w:wordWrap/>
        <w:overflowPunct/>
        <w:topLinePunct w:val="0"/>
        <w:autoSpaceDE/>
        <w:autoSpaceDN/>
        <w:bidi w:val="0"/>
        <w:adjustRightInd w:val="0"/>
        <w:snapToGrid w:val="0"/>
        <w:spacing w:after="0" w:line="440" w:lineRule="exact"/>
        <w:ind w:firstLine="42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项目不涉及</w:t>
      </w:r>
      <w:r>
        <w:rPr>
          <w:rFonts w:hint="default" w:ascii="Times New Roman" w:hAnsi="Times New Roman" w:cs="Times New Roman"/>
          <w:color w:val="auto"/>
          <w:szCs w:val="24"/>
        </w:rPr>
        <w:t>大草山光伏变电站</w:t>
      </w:r>
      <w:r>
        <w:rPr>
          <w:rFonts w:hint="default" w:ascii="Times New Roman" w:hAnsi="Times New Roman" w:cs="Times New Roman"/>
          <w:color w:val="auto"/>
        </w:rPr>
        <w:t>、六合一光伏变电站建设工程。</w:t>
      </w:r>
    </w:p>
    <w:p w14:paraId="593D09A0">
      <w:pPr>
        <w:spacing w:line="440" w:lineRule="exact"/>
        <w:ind w:firstLine="480"/>
        <w:jc w:val="center"/>
        <w:rPr>
          <w:rFonts w:hint="default" w:ascii="Times New Roman" w:hAnsi="Times New Roman" w:cs="Times New Roman"/>
          <w:b/>
          <w:bCs/>
          <w:color w:val="auto"/>
          <w:szCs w:val="24"/>
        </w:rPr>
      </w:pPr>
      <w:bookmarkStart w:id="196" w:name="_Toc20074"/>
      <w:r>
        <w:rPr>
          <w:rFonts w:hint="default" w:ascii="Times New Roman" w:hAnsi="Times New Roman" w:cs="Times New Roman"/>
          <w:b/>
          <w:bCs/>
          <w:color w:val="auto"/>
          <w:szCs w:val="24"/>
        </w:rPr>
        <w:t>表1.1-1  工程建设规模一览表</w:t>
      </w:r>
      <w:bookmarkEnd w:id="196"/>
    </w:p>
    <w:tbl>
      <w:tblPr>
        <w:tblStyle w:val="30"/>
        <w:tblW w:w="499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1533"/>
        <w:gridCol w:w="4998"/>
        <w:gridCol w:w="1158"/>
      </w:tblGrid>
      <w:tr w14:paraId="032367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15A720D6">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b/>
                <w:bCs/>
                <w:color w:val="auto"/>
                <w:spacing w:val="0"/>
                <w:sz w:val="21"/>
                <w:szCs w:val="21"/>
              </w:rPr>
            </w:pPr>
            <w:r>
              <w:rPr>
                <w:rFonts w:hint="default" w:ascii="Times New Roman" w:hAnsi="Times New Roman" w:eastAsia="宋体" w:cs="Times New Roman"/>
                <w:b/>
                <w:bCs/>
                <w:color w:val="auto"/>
                <w:spacing w:val="0"/>
                <w:sz w:val="21"/>
                <w:szCs w:val="21"/>
              </w:rPr>
              <w:t>工程类别</w:t>
            </w:r>
          </w:p>
        </w:tc>
        <w:tc>
          <w:tcPr>
            <w:tcW w:w="900" w:type="pct"/>
            <w:vAlign w:val="center"/>
          </w:tcPr>
          <w:p w14:paraId="47A35FD3">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b/>
                <w:bCs/>
                <w:color w:val="auto"/>
                <w:spacing w:val="0"/>
                <w:sz w:val="21"/>
                <w:szCs w:val="21"/>
              </w:rPr>
            </w:pPr>
            <w:r>
              <w:rPr>
                <w:rFonts w:hint="default" w:ascii="Times New Roman" w:hAnsi="Times New Roman" w:eastAsia="宋体" w:cs="Times New Roman"/>
                <w:b/>
                <w:bCs/>
                <w:color w:val="auto"/>
                <w:spacing w:val="0"/>
                <w:sz w:val="21"/>
                <w:szCs w:val="21"/>
              </w:rPr>
              <w:t>项目</w:t>
            </w:r>
          </w:p>
        </w:tc>
        <w:tc>
          <w:tcPr>
            <w:tcW w:w="2934" w:type="pct"/>
            <w:vAlign w:val="center"/>
          </w:tcPr>
          <w:p w14:paraId="619FF053">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b/>
                <w:bCs/>
                <w:color w:val="auto"/>
                <w:spacing w:val="0"/>
                <w:sz w:val="21"/>
                <w:szCs w:val="21"/>
              </w:rPr>
            </w:pPr>
            <w:r>
              <w:rPr>
                <w:rFonts w:hint="default" w:ascii="Times New Roman" w:hAnsi="Times New Roman" w:eastAsia="宋体" w:cs="Times New Roman"/>
                <w:b/>
                <w:bCs/>
                <w:color w:val="auto"/>
                <w:spacing w:val="0"/>
                <w:sz w:val="21"/>
                <w:szCs w:val="21"/>
              </w:rPr>
              <w:t>主要建设内容</w:t>
            </w:r>
          </w:p>
        </w:tc>
        <w:tc>
          <w:tcPr>
            <w:tcW w:w="680" w:type="pct"/>
            <w:vAlign w:val="center"/>
          </w:tcPr>
          <w:p w14:paraId="4FD395B7">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b/>
                <w:bCs/>
                <w:color w:val="auto"/>
                <w:spacing w:val="0"/>
                <w:sz w:val="21"/>
                <w:szCs w:val="21"/>
              </w:rPr>
            </w:pPr>
            <w:r>
              <w:rPr>
                <w:rFonts w:hint="default" w:ascii="Times New Roman" w:hAnsi="Times New Roman" w:eastAsia="宋体" w:cs="Times New Roman"/>
                <w:b/>
                <w:bCs/>
                <w:color w:val="auto"/>
                <w:spacing w:val="0"/>
                <w:sz w:val="21"/>
                <w:szCs w:val="21"/>
              </w:rPr>
              <w:t>备注</w:t>
            </w:r>
          </w:p>
        </w:tc>
      </w:tr>
      <w:tr w14:paraId="2DCD85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restart"/>
            <w:vAlign w:val="center"/>
          </w:tcPr>
          <w:p w14:paraId="0036E6DA">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主体工程</w:t>
            </w:r>
          </w:p>
        </w:tc>
        <w:tc>
          <w:tcPr>
            <w:tcW w:w="900" w:type="pct"/>
            <w:vAlign w:val="center"/>
          </w:tcPr>
          <w:p w14:paraId="5542F896">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架空</w:t>
            </w:r>
            <w:r>
              <w:rPr>
                <w:rFonts w:hint="default" w:ascii="Times New Roman" w:hAnsi="Times New Roman" w:eastAsia="宋体" w:cs="Times New Roman"/>
                <w:color w:val="auto"/>
                <w:spacing w:val="0"/>
                <w:sz w:val="21"/>
                <w:szCs w:val="21"/>
                <w:lang w:val="zh-CN"/>
              </w:rPr>
              <w:t>线路</w:t>
            </w:r>
            <w:r>
              <w:rPr>
                <w:rFonts w:hint="default" w:ascii="Times New Roman" w:hAnsi="Times New Roman" w:eastAsia="宋体" w:cs="Times New Roman"/>
                <w:color w:val="auto"/>
                <w:spacing w:val="0"/>
                <w:sz w:val="21"/>
                <w:szCs w:val="21"/>
              </w:rPr>
              <w:t>段</w:t>
            </w:r>
          </w:p>
        </w:tc>
        <w:tc>
          <w:tcPr>
            <w:tcW w:w="2934" w:type="pct"/>
            <w:vAlign w:val="center"/>
          </w:tcPr>
          <w:p w14:paraId="05477698">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新建1回110kV架空输电线路，</w:t>
            </w:r>
            <w:r>
              <w:rPr>
                <w:rFonts w:hint="default" w:ascii="Times New Roman" w:hAnsi="Times New Roman" w:eastAsia="宋体" w:cs="Times New Roman"/>
                <w:color w:val="auto"/>
                <w:spacing w:val="0"/>
                <w:sz w:val="21"/>
                <w:szCs w:val="21"/>
                <w:lang w:val="zh-CN"/>
              </w:rPr>
              <w:t>起于大草山光伏变电站间隔处，止于六合一光伏变电站，</w:t>
            </w:r>
            <w:r>
              <w:rPr>
                <w:rFonts w:hint="default" w:ascii="Times New Roman" w:hAnsi="Times New Roman" w:eastAsia="宋体" w:cs="Times New Roman"/>
                <w:color w:val="auto"/>
                <w:spacing w:val="0"/>
                <w:sz w:val="21"/>
                <w:szCs w:val="21"/>
              </w:rPr>
              <w:t>长16km，采用单回路架设，</w:t>
            </w:r>
            <w:r>
              <w:rPr>
                <w:rFonts w:hint="default" w:ascii="Times New Roman" w:hAnsi="Times New Roman" w:eastAsia="宋体" w:cs="Times New Roman"/>
                <w:color w:val="auto"/>
                <w:spacing w:val="0"/>
                <w:sz w:val="21"/>
                <w:szCs w:val="21"/>
                <w:lang w:val="zh-CN"/>
              </w:rPr>
              <w:t>新建线路导线（10mm、20mm冰区）采用JNRLH1/LB20A-400/50型铝包钢芯耐热铝合金绞线，导线（30mm冰区）采用JNRLH1/LB20A-400/</w:t>
            </w:r>
            <w:r>
              <w:rPr>
                <w:rFonts w:hint="default" w:ascii="Times New Roman" w:hAnsi="Times New Roman" w:eastAsia="宋体" w:cs="Times New Roman"/>
                <w:color w:val="auto"/>
                <w:spacing w:val="0"/>
                <w:sz w:val="21"/>
                <w:szCs w:val="21"/>
              </w:rPr>
              <w:t>65</w:t>
            </w:r>
            <w:r>
              <w:rPr>
                <w:rFonts w:hint="default" w:ascii="Times New Roman" w:hAnsi="Times New Roman" w:eastAsia="宋体" w:cs="Times New Roman"/>
                <w:color w:val="auto"/>
                <w:spacing w:val="0"/>
                <w:sz w:val="21"/>
                <w:szCs w:val="21"/>
                <w:lang w:val="zh-CN"/>
              </w:rPr>
              <w:t>型铝包钢芯耐热铝合金绞线；10、20mm冰区地线采用2根OPGW-100光缆（24芯G.652D），30mm冰区地线采用2根OPGW-120光缆（24芯G.652D）</w:t>
            </w:r>
            <w:r>
              <w:rPr>
                <w:rFonts w:hint="default" w:ascii="Times New Roman" w:hAnsi="Times New Roman" w:eastAsia="宋体" w:cs="Times New Roman"/>
                <w:color w:val="auto"/>
                <w:spacing w:val="0"/>
                <w:sz w:val="21"/>
                <w:szCs w:val="21"/>
              </w:rPr>
              <w:t>。</w:t>
            </w:r>
          </w:p>
        </w:tc>
        <w:tc>
          <w:tcPr>
            <w:tcW w:w="680" w:type="pct"/>
            <w:vAlign w:val="center"/>
          </w:tcPr>
          <w:p w14:paraId="219D6236">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新建</w:t>
            </w:r>
          </w:p>
        </w:tc>
      </w:tr>
      <w:tr w14:paraId="4806B0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continue"/>
            <w:vAlign w:val="center"/>
          </w:tcPr>
          <w:p w14:paraId="409722BF">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p>
        </w:tc>
        <w:tc>
          <w:tcPr>
            <w:tcW w:w="900" w:type="pct"/>
            <w:vAlign w:val="center"/>
          </w:tcPr>
          <w:p w14:paraId="011CD0D5">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塔基</w:t>
            </w:r>
          </w:p>
        </w:tc>
        <w:tc>
          <w:tcPr>
            <w:tcW w:w="2934" w:type="pct"/>
            <w:vAlign w:val="center"/>
          </w:tcPr>
          <w:p w14:paraId="49842DE1">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项目采用典设塔型，110kV线路选用1D1Y1、2D1Z5、2D1R7、2D1R8模块。</w:t>
            </w:r>
            <w:r>
              <w:rPr>
                <w:rFonts w:hint="default" w:ascii="Times New Roman" w:hAnsi="Times New Roman" w:eastAsia="宋体" w:cs="Times New Roman"/>
                <w:color w:val="auto"/>
                <w:spacing w:val="0"/>
                <w:sz w:val="21"/>
                <w:szCs w:val="21"/>
                <w:lang w:val="zh-CN"/>
              </w:rPr>
              <w:t>新建铁塔</w:t>
            </w:r>
            <w:r>
              <w:rPr>
                <w:rFonts w:hint="default" w:ascii="Times New Roman" w:hAnsi="Times New Roman" w:eastAsia="宋体" w:cs="Times New Roman"/>
                <w:color w:val="auto"/>
                <w:spacing w:val="0"/>
                <w:sz w:val="21"/>
                <w:szCs w:val="21"/>
              </w:rPr>
              <w:t>45</w:t>
            </w:r>
            <w:r>
              <w:rPr>
                <w:rFonts w:hint="default" w:ascii="Times New Roman" w:hAnsi="Times New Roman" w:eastAsia="宋体" w:cs="Times New Roman"/>
                <w:color w:val="auto"/>
                <w:spacing w:val="0"/>
                <w:sz w:val="21"/>
                <w:szCs w:val="21"/>
                <w:lang w:val="zh-CN"/>
              </w:rPr>
              <w:t>基（其中单回耐张塔1</w:t>
            </w:r>
            <w:r>
              <w:rPr>
                <w:rFonts w:hint="default" w:ascii="Times New Roman" w:hAnsi="Times New Roman" w:eastAsia="宋体" w:cs="Times New Roman"/>
                <w:color w:val="auto"/>
                <w:spacing w:val="0"/>
                <w:sz w:val="21"/>
                <w:szCs w:val="21"/>
              </w:rPr>
              <w:t>7</w:t>
            </w:r>
            <w:r>
              <w:rPr>
                <w:rFonts w:hint="default" w:ascii="Times New Roman" w:hAnsi="Times New Roman" w:eastAsia="宋体" w:cs="Times New Roman"/>
                <w:color w:val="auto"/>
                <w:spacing w:val="0"/>
                <w:sz w:val="21"/>
                <w:szCs w:val="21"/>
                <w:lang w:val="zh-CN"/>
              </w:rPr>
              <w:t>基，单回塔基直线塔2</w:t>
            </w:r>
            <w:r>
              <w:rPr>
                <w:rFonts w:hint="default" w:ascii="Times New Roman" w:hAnsi="Times New Roman" w:eastAsia="宋体" w:cs="Times New Roman"/>
                <w:color w:val="auto"/>
                <w:spacing w:val="0"/>
                <w:sz w:val="21"/>
                <w:szCs w:val="21"/>
              </w:rPr>
              <w:t>8</w:t>
            </w:r>
            <w:r>
              <w:rPr>
                <w:rFonts w:hint="default" w:ascii="Times New Roman" w:hAnsi="Times New Roman" w:eastAsia="宋体" w:cs="Times New Roman"/>
                <w:color w:val="auto"/>
                <w:spacing w:val="0"/>
                <w:sz w:val="21"/>
                <w:szCs w:val="21"/>
                <w:lang w:val="zh-CN"/>
              </w:rPr>
              <w:t>基），耐张比：</w:t>
            </w:r>
            <w:r>
              <w:rPr>
                <w:rFonts w:hint="default" w:ascii="Times New Roman" w:hAnsi="Times New Roman" w:eastAsia="宋体" w:cs="Times New Roman"/>
                <w:color w:val="auto"/>
                <w:spacing w:val="0"/>
                <w:sz w:val="21"/>
                <w:szCs w:val="21"/>
              </w:rPr>
              <w:t>37.78%。</w:t>
            </w:r>
            <w:r>
              <w:rPr>
                <w:rFonts w:hint="default" w:ascii="Times New Roman" w:hAnsi="Times New Roman" w:eastAsia="宋体" w:cs="Times New Roman"/>
                <w:color w:val="auto"/>
                <w:spacing w:val="0"/>
                <w:sz w:val="21"/>
                <w:szCs w:val="21"/>
                <w:lang w:val="en-US" w:eastAsia="zh-CN"/>
              </w:rPr>
              <w:t>采用三角排列、水平排列，</w:t>
            </w:r>
            <w:r>
              <w:rPr>
                <w:rFonts w:hint="default" w:ascii="Times New Roman" w:hAnsi="Times New Roman" w:eastAsia="宋体" w:cs="Times New Roman"/>
                <w:color w:val="auto"/>
                <w:spacing w:val="0"/>
                <w:sz w:val="21"/>
                <w:szCs w:val="21"/>
              </w:rPr>
              <w:t>其中线路塔基N</w:t>
            </w:r>
            <w:r>
              <w:rPr>
                <w:rFonts w:hint="default" w:ascii="Times New Roman" w:hAnsi="Times New Roman" w:eastAsia="宋体" w:cs="Times New Roman"/>
                <w:color w:val="auto"/>
                <w:spacing w:val="0"/>
                <w:sz w:val="21"/>
                <w:szCs w:val="21"/>
                <w:lang w:val="en-US" w:eastAsia="zh-CN"/>
              </w:rPr>
              <w:t>1</w:t>
            </w:r>
            <w:r>
              <w:rPr>
                <w:rFonts w:hint="default" w:ascii="Times New Roman" w:hAnsi="Times New Roman" w:eastAsia="宋体" w:cs="Times New Roman"/>
                <w:color w:val="auto"/>
                <w:spacing w:val="0"/>
                <w:sz w:val="21"/>
                <w:szCs w:val="21"/>
              </w:rPr>
              <w:t>-N</w:t>
            </w:r>
            <w:r>
              <w:rPr>
                <w:rFonts w:hint="default" w:ascii="Times New Roman" w:hAnsi="Times New Roman" w:eastAsia="宋体" w:cs="Times New Roman"/>
                <w:color w:val="auto"/>
                <w:spacing w:val="0"/>
                <w:sz w:val="21"/>
                <w:szCs w:val="21"/>
                <w:lang w:val="en-US" w:eastAsia="zh-CN"/>
              </w:rPr>
              <w:t>28</w:t>
            </w:r>
            <w:r>
              <w:rPr>
                <w:rFonts w:hint="default" w:ascii="Times New Roman" w:hAnsi="Times New Roman" w:eastAsia="宋体" w:cs="Times New Roman"/>
                <w:color w:val="auto"/>
                <w:spacing w:val="0"/>
                <w:sz w:val="21"/>
                <w:szCs w:val="21"/>
              </w:rPr>
              <w:t>共2</w:t>
            </w:r>
            <w:r>
              <w:rPr>
                <w:rFonts w:hint="default" w:ascii="Times New Roman" w:hAnsi="Times New Roman" w:eastAsia="宋体" w:cs="Times New Roman"/>
                <w:color w:val="auto"/>
                <w:spacing w:val="0"/>
                <w:sz w:val="21"/>
                <w:szCs w:val="21"/>
                <w:lang w:val="en-US" w:eastAsia="zh-CN"/>
              </w:rPr>
              <w:t>8</w:t>
            </w:r>
            <w:r>
              <w:rPr>
                <w:rFonts w:hint="default" w:ascii="Times New Roman" w:hAnsi="Times New Roman" w:eastAsia="宋体" w:cs="Times New Roman"/>
                <w:color w:val="auto"/>
                <w:spacing w:val="0"/>
                <w:sz w:val="21"/>
                <w:szCs w:val="21"/>
              </w:rPr>
              <w:t>基水平排列，长度</w:t>
            </w:r>
            <w:r>
              <w:rPr>
                <w:rFonts w:hint="default" w:ascii="Times New Roman" w:hAnsi="Times New Roman" w:eastAsia="宋体" w:cs="Times New Roman"/>
                <w:color w:val="auto"/>
                <w:spacing w:val="0"/>
                <w:sz w:val="21"/>
                <w:szCs w:val="21"/>
                <w:lang w:val="en-US" w:eastAsia="zh-CN"/>
              </w:rPr>
              <w:t>7.77</w:t>
            </w:r>
            <w:r>
              <w:rPr>
                <w:rFonts w:hint="default" w:ascii="Times New Roman" w:hAnsi="Times New Roman" w:eastAsia="宋体" w:cs="Times New Roman"/>
                <w:color w:val="auto"/>
                <w:spacing w:val="0"/>
                <w:sz w:val="21"/>
                <w:szCs w:val="21"/>
              </w:rPr>
              <w:t>km；其余线路导线架设为三角排列，长度</w:t>
            </w:r>
            <w:r>
              <w:rPr>
                <w:rFonts w:hint="default" w:ascii="Times New Roman" w:hAnsi="Times New Roman" w:eastAsia="宋体" w:cs="Times New Roman"/>
                <w:color w:val="auto"/>
                <w:spacing w:val="0"/>
                <w:sz w:val="21"/>
                <w:szCs w:val="21"/>
                <w:lang w:val="en-US" w:eastAsia="zh-CN"/>
              </w:rPr>
              <w:t>8.23</w:t>
            </w:r>
            <w:r>
              <w:rPr>
                <w:rFonts w:hint="default" w:ascii="Times New Roman" w:hAnsi="Times New Roman" w:eastAsia="宋体" w:cs="Times New Roman"/>
                <w:color w:val="auto"/>
                <w:spacing w:val="0"/>
                <w:sz w:val="21"/>
                <w:szCs w:val="21"/>
              </w:rPr>
              <w:t>km，共</w:t>
            </w:r>
            <w:r>
              <w:rPr>
                <w:rFonts w:hint="default" w:ascii="Times New Roman" w:hAnsi="Times New Roman" w:eastAsia="宋体" w:cs="Times New Roman"/>
                <w:color w:val="auto"/>
                <w:spacing w:val="0"/>
                <w:sz w:val="21"/>
                <w:szCs w:val="21"/>
                <w:lang w:val="en-US" w:eastAsia="zh-CN"/>
              </w:rPr>
              <w:t>17</w:t>
            </w:r>
            <w:r>
              <w:rPr>
                <w:rFonts w:hint="default" w:ascii="Times New Roman" w:hAnsi="Times New Roman" w:eastAsia="宋体" w:cs="Times New Roman"/>
                <w:color w:val="auto"/>
                <w:spacing w:val="0"/>
                <w:sz w:val="21"/>
                <w:szCs w:val="21"/>
              </w:rPr>
              <w:t>基塔。</w:t>
            </w:r>
          </w:p>
        </w:tc>
        <w:tc>
          <w:tcPr>
            <w:tcW w:w="680" w:type="pct"/>
            <w:vAlign w:val="center"/>
          </w:tcPr>
          <w:p w14:paraId="6EE0FAE9">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新建</w:t>
            </w:r>
          </w:p>
        </w:tc>
      </w:tr>
      <w:tr w14:paraId="28B0A6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continue"/>
            <w:vAlign w:val="center"/>
          </w:tcPr>
          <w:p w14:paraId="43B5F788">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p>
        </w:tc>
        <w:tc>
          <w:tcPr>
            <w:tcW w:w="900" w:type="pct"/>
            <w:vAlign w:val="center"/>
          </w:tcPr>
          <w:p w14:paraId="36E5E5D6">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路径走向</w:t>
            </w:r>
          </w:p>
        </w:tc>
        <w:tc>
          <w:tcPr>
            <w:tcW w:w="2934" w:type="pct"/>
            <w:vAlign w:val="center"/>
          </w:tcPr>
          <w:p w14:paraId="2CAF1CE2">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本工程新建线路从大草房光伏电站出线构架架空出线后，向北出线后右转从大山沟北面山脊走线，到达鲁珠河前右转，跨过鲁珠河，在山脊上跨过生态保护红线，在石堆窝北面跨过铜沟河到达水井湾和荒沟中间山顶，左转从水井湾和荒沟之间走线到荒沟北面，右转沿山脊到达马家田北面山脊，左转到达北面山脊，右转穿过500kV铜永甲线；到达上寨，右转在上寨、丁家塘、唐家小脑包、箐门前北面走线，在冷水沟前右转，从箐里头和包谷箐之间穿过到达六合一光伏电站西北面，连续右转和六合至乐业变220kV送出线路并排进入六合一光伏电站。曲折系数1.25。线路长度16km。</w:t>
            </w:r>
          </w:p>
        </w:tc>
        <w:tc>
          <w:tcPr>
            <w:tcW w:w="680" w:type="pct"/>
            <w:vAlign w:val="center"/>
          </w:tcPr>
          <w:p w14:paraId="54F3D148">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新建</w:t>
            </w:r>
          </w:p>
        </w:tc>
      </w:tr>
      <w:tr w14:paraId="51E1E3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484" w:type="pct"/>
            <w:vAlign w:val="center"/>
          </w:tcPr>
          <w:p w14:paraId="1BED7353">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光缆通信工程</w:t>
            </w:r>
          </w:p>
        </w:tc>
        <w:tc>
          <w:tcPr>
            <w:tcW w:w="3835" w:type="pct"/>
            <w:gridSpan w:val="2"/>
            <w:vAlign w:val="center"/>
          </w:tcPr>
          <w:p w14:paraId="7F6DF4D1">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lang w:val="zh-CN"/>
              </w:rPr>
              <w:t>采用OPGW-24B1-120光缆</w:t>
            </w:r>
            <w:r>
              <w:rPr>
                <w:rFonts w:hint="default" w:ascii="Times New Roman" w:hAnsi="Times New Roman" w:eastAsia="宋体" w:cs="Times New Roman"/>
                <w:color w:val="auto"/>
                <w:spacing w:val="0"/>
                <w:sz w:val="21"/>
                <w:szCs w:val="21"/>
              </w:rPr>
              <w:t>和OPGW-24B1-100光缆</w:t>
            </w:r>
          </w:p>
        </w:tc>
        <w:tc>
          <w:tcPr>
            <w:tcW w:w="680" w:type="pct"/>
            <w:vAlign w:val="center"/>
          </w:tcPr>
          <w:p w14:paraId="3855E293">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新建</w:t>
            </w:r>
          </w:p>
        </w:tc>
      </w:tr>
      <w:tr w14:paraId="43FC8A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4" w:type="pct"/>
            <w:vMerge w:val="restart"/>
            <w:vAlign w:val="center"/>
          </w:tcPr>
          <w:p w14:paraId="61E3F40F">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依托工程</w:t>
            </w:r>
          </w:p>
        </w:tc>
        <w:tc>
          <w:tcPr>
            <w:tcW w:w="900" w:type="pct"/>
            <w:vAlign w:val="center"/>
          </w:tcPr>
          <w:p w14:paraId="0116E11C">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110kV大草房光伏变电站</w:t>
            </w:r>
          </w:p>
        </w:tc>
        <w:tc>
          <w:tcPr>
            <w:tcW w:w="2934" w:type="pct"/>
            <w:vAlign w:val="center"/>
          </w:tcPr>
          <w:p w14:paraId="65C693BC">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项目接入的110kV大草房光伏变电站</w:t>
            </w:r>
            <w:r>
              <w:rPr>
                <w:rFonts w:hint="default" w:ascii="Times New Roman" w:hAnsi="Times New Roman" w:eastAsia="宋体" w:cs="Times New Roman"/>
                <w:color w:val="auto"/>
                <w:sz w:val="21"/>
                <w:szCs w:val="21"/>
              </w:rPr>
              <w:t>有预留间隔通道，不涉及间隔工程扩建，依托站内前期建设的化粪池、垃圾桶、事故油池等</w:t>
            </w:r>
            <w:r>
              <w:rPr>
                <w:rFonts w:hint="default" w:ascii="Times New Roman" w:hAnsi="Times New Roman" w:eastAsia="宋体" w:cs="Times New Roman"/>
                <w:color w:val="auto"/>
                <w:spacing w:val="0"/>
                <w:sz w:val="21"/>
                <w:szCs w:val="21"/>
              </w:rPr>
              <w:t>。</w:t>
            </w:r>
          </w:p>
        </w:tc>
        <w:tc>
          <w:tcPr>
            <w:tcW w:w="680" w:type="pct"/>
            <w:vAlign w:val="center"/>
          </w:tcPr>
          <w:p w14:paraId="0E1E85B8">
            <w:pPr>
              <w:keepNext w:val="0"/>
              <w:keepLines w:val="0"/>
              <w:pageBreakBefore w:val="0"/>
              <w:widowControl w:val="0"/>
              <w:kinsoku/>
              <w:wordWrap/>
              <w:overflowPunct/>
              <w:topLinePunct w:val="0"/>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本次在预留位置安装设备</w:t>
            </w:r>
          </w:p>
        </w:tc>
      </w:tr>
      <w:tr w14:paraId="545B50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continue"/>
            <w:vAlign w:val="center"/>
          </w:tcPr>
          <w:p w14:paraId="4A578CB4">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p>
        </w:tc>
        <w:tc>
          <w:tcPr>
            <w:tcW w:w="900" w:type="pct"/>
            <w:vAlign w:val="center"/>
          </w:tcPr>
          <w:p w14:paraId="1BBDC111">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六合村一期光伏项目220kV升压站</w:t>
            </w:r>
          </w:p>
        </w:tc>
        <w:tc>
          <w:tcPr>
            <w:tcW w:w="2934" w:type="pct"/>
            <w:vAlign w:val="center"/>
          </w:tcPr>
          <w:p w14:paraId="59A45D53">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项目接入的六合村一期光伏项目220kV升压站</w:t>
            </w:r>
            <w:r>
              <w:rPr>
                <w:rFonts w:hint="default" w:ascii="Times New Roman" w:hAnsi="Times New Roman" w:eastAsia="宋体" w:cs="Times New Roman"/>
                <w:color w:val="auto"/>
                <w:sz w:val="21"/>
                <w:szCs w:val="21"/>
              </w:rPr>
              <w:t>有预留间隔通道，不涉及间隔工程扩建，依托站内前期建设的化粪池、垃圾桶、事故油池等</w:t>
            </w:r>
          </w:p>
        </w:tc>
        <w:tc>
          <w:tcPr>
            <w:tcW w:w="680" w:type="pct"/>
            <w:vAlign w:val="center"/>
          </w:tcPr>
          <w:p w14:paraId="119D232E">
            <w:pPr>
              <w:keepNext w:val="0"/>
              <w:keepLines w:val="0"/>
              <w:pageBreakBefore w:val="0"/>
              <w:widowControl w:val="0"/>
              <w:kinsoku/>
              <w:wordWrap/>
              <w:overflowPunct/>
              <w:topLinePunct w:val="0"/>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本次在预留位置安装设备</w:t>
            </w:r>
          </w:p>
        </w:tc>
      </w:tr>
      <w:tr w14:paraId="231064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restart"/>
            <w:vAlign w:val="center"/>
          </w:tcPr>
          <w:p w14:paraId="4E1954B0">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公用工程</w:t>
            </w:r>
          </w:p>
        </w:tc>
        <w:tc>
          <w:tcPr>
            <w:tcW w:w="900" w:type="pct"/>
            <w:vAlign w:val="center"/>
          </w:tcPr>
          <w:p w14:paraId="3CD2B65C">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供电</w:t>
            </w:r>
          </w:p>
        </w:tc>
        <w:tc>
          <w:tcPr>
            <w:tcW w:w="2934" w:type="pct"/>
            <w:vAlign w:val="center"/>
          </w:tcPr>
          <w:p w14:paraId="7AAAB9C4">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线路工程施工过程中用电根据周边设施情况安排，周围已有用电用户区，可按照安全用电规定引接用于施工用电</w:t>
            </w:r>
          </w:p>
        </w:tc>
        <w:tc>
          <w:tcPr>
            <w:tcW w:w="680" w:type="pct"/>
            <w:vAlign w:val="center"/>
          </w:tcPr>
          <w:p w14:paraId="02A585F3">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依托周边已有用电设施</w:t>
            </w:r>
          </w:p>
        </w:tc>
      </w:tr>
      <w:tr w14:paraId="2B46DC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continue"/>
            <w:vAlign w:val="center"/>
          </w:tcPr>
          <w:p w14:paraId="46EEC560">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p>
        </w:tc>
        <w:tc>
          <w:tcPr>
            <w:tcW w:w="900" w:type="pct"/>
            <w:vAlign w:val="center"/>
          </w:tcPr>
          <w:p w14:paraId="5116D548">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供水</w:t>
            </w:r>
          </w:p>
        </w:tc>
        <w:tc>
          <w:tcPr>
            <w:tcW w:w="2934" w:type="pct"/>
            <w:vAlign w:val="center"/>
          </w:tcPr>
          <w:p w14:paraId="74010A16">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线路工程每个塔基施工用水量较少，采用水车就近输送水源来满足施工用水。</w:t>
            </w:r>
          </w:p>
        </w:tc>
        <w:tc>
          <w:tcPr>
            <w:tcW w:w="680" w:type="pct"/>
            <w:vAlign w:val="center"/>
          </w:tcPr>
          <w:p w14:paraId="66ECF383">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新建</w:t>
            </w:r>
          </w:p>
        </w:tc>
      </w:tr>
      <w:tr w14:paraId="0606BB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continue"/>
            <w:vAlign w:val="center"/>
          </w:tcPr>
          <w:p w14:paraId="58919A1C">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p>
        </w:tc>
        <w:tc>
          <w:tcPr>
            <w:tcW w:w="900" w:type="pct"/>
            <w:vAlign w:val="center"/>
          </w:tcPr>
          <w:p w14:paraId="64D204C1">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排水</w:t>
            </w:r>
          </w:p>
        </w:tc>
        <w:tc>
          <w:tcPr>
            <w:tcW w:w="2934" w:type="pct"/>
            <w:vAlign w:val="center"/>
          </w:tcPr>
          <w:p w14:paraId="680D3F1F">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施工期废水不外排；运营期无废水产生。</w:t>
            </w:r>
          </w:p>
        </w:tc>
        <w:tc>
          <w:tcPr>
            <w:tcW w:w="680" w:type="pct"/>
            <w:vAlign w:val="center"/>
          </w:tcPr>
          <w:p w14:paraId="5F3B6E63">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w:t>
            </w:r>
          </w:p>
        </w:tc>
      </w:tr>
      <w:tr w14:paraId="4121D6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restart"/>
            <w:vAlign w:val="center"/>
          </w:tcPr>
          <w:p w14:paraId="4B639B5B">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临时工程</w:t>
            </w:r>
          </w:p>
        </w:tc>
        <w:tc>
          <w:tcPr>
            <w:tcW w:w="900" w:type="pct"/>
            <w:vAlign w:val="center"/>
          </w:tcPr>
          <w:p w14:paraId="474BD75D">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塔基施工场地</w:t>
            </w:r>
          </w:p>
        </w:tc>
        <w:tc>
          <w:tcPr>
            <w:tcW w:w="2934" w:type="pct"/>
            <w:vAlign w:val="center"/>
          </w:tcPr>
          <w:p w14:paraId="4391D471">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塔基施工场地布置在塔基附近，用于进行塔材堆放、工具堆放等以及进行施工作业的场地。每个塔位处均需设置施工场地，共设45个，每个占地约30m</w:t>
            </w:r>
            <w:r>
              <w:rPr>
                <w:rFonts w:hint="default" w:ascii="Times New Roman" w:hAnsi="Times New Roman" w:eastAsia="宋体" w:cs="Times New Roman"/>
                <w:color w:val="auto"/>
                <w:spacing w:val="0"/>
                <w:sz w:val="21"/>
                <w:szCs w:val="21"/>
                <w:vertAlign w:val="superscript"/>
              </w:rPr>
              <w:t>2</w:t>
            </w:r>
            <w:r>
              <w:rPr>
                <w:rFonts w:hint="default" w:ascii="Times New Roman" w:hAnsi="Times New Roman" w:eastAsia="宋体" w:cs="Times New Roman"/>
                <w:color w:val="auto"/>
                <w:spacing w:val="0"/>
                <w:sz w:val="21"/>
                <w:szCs w:val="21"/>
              </w:rPr>
              <w:t>，塔基施工临时占地面积共计约0.135hm</w:t>
            </w:r>
            <w:r>
              <w:rPr>
                <w:rFonts w:hint="default" w:ascii="Times New Roman" w:hAnsi="Times New Roman" w:eastAsia="宋体" w:cs="Times New Roman"/>
                <w:color w:val="auto"/>
                <w:spacing w:val="0"/>
                <w:sz w:val="21"/>
                <w:szCs w:val="21"/>
                <w:vertAlign w:val="superscript"/>
              </w:rPr>
              <w:t>2</w:t>
            </w:r>
            <w:r>
              <w:rPr>
                <w:rFonts w:hint="default" w:ascii="Times New Roman" w:hAnsi="Times New Roman" w:eastAsia="宋体" w:cs="Times New Roman"/>
                <w:color w:val="auto"/>
                <w:spacing w:val="0"/>
                <w:sz w:val="21"/>
                <w:szCs w:val="21"/>
              </w:rPr>
              <w:t>。塔基区剥离表土堆存于塔基占地红线范围内，采取临时覆盖，施工结束后回填恢复</w:t>
            </w:r>
          </w:p>
        </w:tc>
        <w:tc>
          <w:tcPr>
            <w:tcW w:w="680" w:type="pct"/>
            <w:vAlign w:val="center"/>
          </w:tcPr>
          <w:p w14:paraId="4C8FBBBB">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新建</w:t>
            </w:r>
          </w:p>
        </w:tc>
      </w:tr>
      <w:tr w14:paraId="053B67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continue"/>
            <w:vAlign w:val="center"/>
          </w:tcPr>
          <w:p w14:paraId="4A2006ED">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p>
        </w:tc>
        <w:tc>
          <w:tcPr>
            <w:tcW w:w="900" w:type="pct"/>
            <w:vAlign w:val="center"/>
          </w:tcPr>
          <w:p w14:paraId="49B69D9F">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人抬道路</w:t>
            </w:r>
          </w:p>
        </w:tc>
        <w:tc>
          <w:tcPr>
            <w:tcW w:w="2934" w:type="pct"/>
            <w:vAlign w:val="center"/>
          </w:tcPr>
          <w:p w14:paraId="7DC9A956">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工程沿线周边有银昆高速、国道G213及乡村道路等，基本满足工程需要，塔基施工区可利用现有村道、机耕道等将铁塔组件及其基础施工材料运抵铁塔附近或铁塔附近的山脚处，再通过人抬的方式运至铁塔下部施工场地内，</w:t>
            </w:r>
            <w:r>
              <w:rPr>
                <w:rFonts w:ascii="Times New Roman" w:hAnsi="Times New Roman" w:cs="Times New Roman"/>
                <w:color w:val="auto"/>
                <w:spacing w:val="0"/>
              </w:rPr>
              <w:t>需人抬道路约</w:t>
            </w:r>
            <w:r>
              <w:rPr>
                <w:rFonts w:hint="eastAsia" w:ascii="Times New Roman" w:hAnsi="Times New Roman" w:cs="Times New Roman"/>
                <w:color w:val="auto"/>
                <w:spacing w:val="0"/>
                <w:lang w:val="en-US" w:eastAsia="zh-CN"/>
              </w:rPr>
              <w:t>86</w:t>
            </w:r>
            <w:r>
              <w:rPr>
                <w:rFonts w:hint="eastAsia" w:ascii="Times New Roman" w:hAnsi="Times New Roman" w:cs="Times New Roman"/>
                <w:color w:val="auto"/>
                <w:spacing w:val="0"/>
              </w:rPr>
              <w:t>0</w:t>
            </w:r>
            <w:r>
              <w:rPr>
                <w:rFonts w:ascii="Times New Roman" w:hAnsi="Times New Roman" w:cs="Times New Roman"/>
                <w:color w:val="auto"/>
                <w:spacing w:val="0"/>
              </w:rPr>
              <w:t>m，宽1.</w:t>
            </w:r>
            <w:r>
              <w:rPr>
                <w:rFonts w:hint="eastAsia" w:ascii="Times New Roman" w:hAnsi="Times New Roman" w:cs="Times New Roman"/>
                <w:color w:val="auto"/>
                <w:spacing w:val="0"/>
              </w:rPr>
              <w:t>5</w:t>
            </w:r>
            <w:r>
              <w:rPr>
                <w:rFonts w:ascii="Times New Roman" w:hAnsi="Times New Roman" w:cs="Times New Roman"/>
                <w:color w:val="auto"/>
                <w:spacing w:val="0"/>
              </w:rPr>
              <w:t>m，总占地面积为</w:t>
            </w:r>
            <w:r>
              <w:rPr>
                <w:rFonts w:hint="eastAsia" w:ascii="Times New Roman" w:hAnsi="Times New Roman" w:cs="Times New Roman"/>
                <w:color w:val="auto"/>
                <w:spacing w:val="0"/>
                <w:lang w:val="en-US" w:eastAsia="zh-CN"/>
              </w:rPr>
              <w:t>0.129</w:t>
            </w:r>
            <w:r>
              <w:rPr>
                <w:rFonts w:ascii="Times New Roman" w:hAnsi="Times New Roman" w:cs="Times New Roman"/>
                <w:color w:val="auto"/>
                <w:spacing w:val="0"/>
              </w:rPr>
              <w:t>hm</w:t>
            </w:r>
            <w:r>
              <w:rPr>
                <w:rFonts w:ascii="Times New Roman" w:hAnsi="Times New Roman" w:cs="Times New Roman"/>
                <w:color w:val="auto"/>
                <w:spacing w:val="0"/>
                <w:vertAlign w:val="superscript"/>
              </w:rPr>
              <w:t>2</w:t>
            </w:r>
            <w:r>
              <w:rPr>
                <w:rFonts w:ascii="Times New Roman" w:hAnsi="Times New Roman" w:cs="Times New Roman"/>
                <w:color w:val="auto"/>
                <w:spacing w:val="0"/>
              </w:rPr>
              <w:t>。</w:t>
            </w:r>
            <w:r>
              <w:rPr>
                <w:rFonts w:hint="default" w:ascii="Times New Roman" w:hAnsi="Times New Roman" w:eastAsia="宋体" w:cs="Times New Roman"/>
                <w:color w:val="auto"/>
                <w:spacing w:val="0"/>
                <w:sz w:val="21"/>
                <w:szCs w:val="21"/>
              </w:rPr>
              <w:t>人抬道路不进行表土剥离，施工结束后撒草恢复。</w:t>
            </w:r>
          </w:p>
        </w:tc>
        <w:tc>
          <w:tcPr>
            <w:tcW w:w="680" w:type="pct"/>
            <w:vAlign w:val="center"/>
          </w:tcPr>
          <w:p w14:paraId="3C723A82">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依托</w:t>
            </w:r>
          </w:p>
        </w:tc>
      </w:tr>
      <w:tr w14:paraId="446561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continue"/>
            <w:vAlign w:val="center"/>
          </w:tcPr>
          <w:p w14:paraId="52F38897">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p>
        </w:tc>
        <w:tc>
          <w:tcPr>
            <w:tcW w:w="900" w:type="pct"/>
            <w:vAlign w:val="center"/>
          </w:tcPr>
          <w:p w14:paraId="63CBDA00">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跨越施工场地</w:t>
            </w:r>
          </w:p>
        </w:tc>
        <w:tc>
          <w:tcPr>
            <w:tcW w:w="2934" w:type="pct"/>
            <w:vAlign w:val="center"/>
          </w:tcPr>
          <w:p w14:paraId="1E772757">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线路下穿500kV铜永甲线1次，跨越35kV无名线2次，35kV集电线路1次，10kV线路2次，低压线3次，通信线3次，按要求，设置跨越施工场地12个，每处占地约25m</w:t>
            </w:r>
            <w:r>
              <w:rPr>
                <w:rFonts w:hint="default" w:ascii="Times New Roman" w:hAnsi="Times New Roman" w:eastAsia="宋体" w:cs="Times New Roman"/>
                <w:color w:val="auto"/>
                <w:spacing w:val="0"/>
                <w:sz w:val="21"/>
                <w:szCs w:val="21"/>
                <w:vertAlign w:val="superscript"/>
              </w:rPr>
              <w:t>2</w:t>
            </w:r>
            <w:r>
              <w:rPr>
                <w:rFonts w:hint="default" w:ascii="Times New Roman" w:hAnsi="Times New Roman" w:eastAsia="宋体" w:cs="Times New Roman"/>
                <w:color w:val="auto"/>
                <w:spacing w:val="0"/>
                <w:sz w:val="21"/>
                <w:szCs w:val="21"/>
              </w:rPr>
              <w:t>，总占地面积为0.03hm</w:t>
            </w:r>
            <w:r>
              <w:rPr>
                <w:rFonts w:hint="default" w:ascii="Times New Roman" w:hAnsi="Times New Roman" w:eastAsia="宋体" w:cs="Times New Roman"/>
                <w:color w:val="auto"/>
                <w:spacing w:val="0"/>
                <w:sz w:val="21"/>
                <w:szCs w:val="21"/>
                <w:vertAlign w:val="superscript"/>
              </w:rPr>
              <w:t>2</w:t>
            </w:r>
            <w:r>
              <w:rPr>
                <w:rFonts w:hint="default" w:ascii="Times New Roman" w:hAnsi="Times New Roman" w:eastAsia="宋体" w:cs="Times New Roman"/>
                <w:color w:val="auto"/>
                <w:spacing w:val="0"/>
                <w:sz w:val="21"/>
                <w:szCs w:val="21"/>
              </w:rPr>
              <w:t>。为临时占地，选择地形平缓的场地，用于摆放机械，不进行表土剥离。</w:t>
            </w:r>
          </w:p>
        </w:tc>
        <w:tc>
          <w:tcPr>
            <w:tcW w:w="680" w:type="pct"/>
            <w:vAlign w:val="center"/>
          </w:tcPr>
          <w:p w14:paraId="5C2CF950">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新建</w:t>
            </w:r>
          </w:p>
        </w:tc>
      </w:tr>
      <w:tr w14:paraId="0E7F2C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continue"/>
            <w:vAlign w:val="center"/>
          </w:tcPr>
          <w:p w14:paraId="005C6938">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p>
        </w:tc>
        <w:tc>
          <w:tcPr>
            <w:tcW w:w="900" w:type="pct"/>
            <w:vAlign w:val="center"/>
          </w:tcPr>
          <w:p w14:paraId="743D3AA5">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临时表土堆场</w:t>
            </w:r>
          </w:p>
        </w:tc>
        <w:tc>
          <w:tcPr>
            <w:tcW w:w="2934" w:type="pct"/>
            <w:vAlign w:val="center"/>
          </w:tcPr>
          <w:p w14:paraId="6BFFB9B6">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不单独设置表土堆场，施工期塔基区剥离表土堆存于塔基占地红线范围内，采取临时覆盖，施工结束后回填、整地恢复，撒草绿化等。</w:t>
            </w:r>
          </w:p>
        </w:tc>
        <w:tc>
          <w:tcPr>
            <w:tcW w:w="680" w:type="pct"/>
            <w:vAlign w:val="center"/>
          </w:tcPr>
          <w:p w14:paraId="4C846763">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新建</w:t>
            </w:r>
          </w:p>
        </w:tc>
      </w:tr>
      <w:tr w14:paraId="17664D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continue"/>
            <w:vAlign w:val="center"/>
          </w:tcPr>
          <w:p w14:paraId="3FEBC336">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p>
        </w:tc>
        <w:tc>
          <w:tcPr>
            <w:tcW w:w="900" w:type="pct"/>
            <w:vAlign w:val="center"/>
          </w:tcPr>
          <w:p w14:paraId="52ACC828">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牵张场</w:t>
            </w:r>
          </w:p>
        </w:tc>
        <w:tc>
          <w:tcPr>
            <w:tcW w:w="2934" w:type="pct"/>
            <w:vAlign w:val="center"/>
          </w:tcPr>
          <w:p w14:paraId="498782B1">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本项目沿线设置牵张场3处，分别设置于塔基N1、N17、N30处，每处牵张场占地约200m</w:t>
            </w:r>
            <w:r>
              <w:rPr>
                <w:rFonts w:hint="default" w:ascii="Times New Roman" w:hAnsi="Times New Roman" w:eastAsia="宋体" w:cs="Times New Roman"/>
                <w:color w:val="auto"/>
                <w:spacing w:val="0"/>
                <w:sz w:val="21"/>
                <w:szCs w:val="21"/>
                <w:vertAlign w:val="superscript"/>
              </w:rPr>
              <w:t>2</w:t>
            </w:r>
            <w:r>
              <w:rPr>
                <w:rFonts w:hint="default" w:ascii="Times New Roman" w:hAnsi="Times New Roman" w:eastAsia="宋体" w:cs="Times New Roman"/>
                <w:color w:val="auto"/>
                <w:spacing w:val="0"/>
                <w:sz w:val="21"/>
                <w:szCs w:val="21"/>
              </w:rPr>
              <w:t>，总占地面积为0.06hm</w:t>
            </w:r>
            <w:r>
              <w:rPr>
                <w:rFonts w:hint="default" w:ascii="Times New Roman" w:hAnsi="Times New Roman" w:eastAsia="宋体" w:cs="Times New Roman"/>
                <w:color w:val="auto"/>
                <w:spacing w:val="0"/>
                <w:sz w:val="21"/>
                <w:szCs w:val="21"/>
                <w:vertAlign w:val="superscript"/>
              </w:rPr>
              <w:t>2</w:t>
            </w:r>
            <w:r>
              <w:rPr>
                <w:rFonts w:hint="default" w:ascii="Times New Roman" w:hAnsi="Times New Roman" w:eastAsia="宋体" w:cs="Times New Roman"/>
                <w:color w:val="auto"/>
                <w:spacing w:val="0"/>
                <w:sz w:val="21"/>
                <w:szCs w:val="21"/>
              </w:rPr>
              <w:t>，全部为临时占地，选择地形平缓的场地，用于摆放牵引机械，不进行表土剥离，施工结束后及时整地、植被恢复等</w:t>
            </w:r>
          </w:p>
        </w:tc>
        <w:tc>
          <w:tcPr>
            <w:tcW w:w="680" w:type="pct"/>
            <w:vAlign w:val="center"/>
          </w:tcPr>
          <w:p w14:paraId="6EADAA2C">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新建</w:t>
            </w:r>
          </w:p>
        </w:tc>
      </w:tr>
      <w:tr w14:paraId="3010F6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restart"/>
            <w:vAlign w:val="center"/>
          </w:tcPr>
          <w:p w14:paraId="4AA7ABBE">
            <w:pPr>
              <w:pStyle w:val="87"/>
              <w:keepNext w:val="0"/>
              <w:keepLines w:val="0"/>
              <w:pageBreakBefore w:val="0"/>
              <w:widowControl w:val="0"/>
              <w:kinsoku/>
              <w:wordWrap/>
              <w:overflowPunct/>
              <w:topLinePunct w:val="0"/>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环保工程</w:t>
            </w:r>
          </w:p>
        </w:tc>
        <w:tc>
          <w:tcPr>
            <w:tcW w:w="900" w:type="pct"/>
            <w:vAlign w:val="center"/>
          </w:tcPr>
          <w:p w14:paraId="1D7469B3">
            <w:pPr>
              <w:pStyle w:val="87"/>
              <w:keepNext w:val="0"/>
              <w:keepLines w:val="0"/>
              <w:pageBreakBefore w:val="0"/>
              <w:widowControl w:val="0"/>
              <w:kinsoku/>
              <w:wordWrap/>
              <w:overflowPunct/>
              <w:topLinePunct w:val="0"/>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废气</w:t>
            </w:r>
          </w:p>
        </w:tc>
        <w:tc>
          <w:tcPr>
            <w:tcW w:w="2934" w:type="pct"/>
            <w:vAlign w:val="center"/>
          </w:tcPr>
          <w:p w14:paraId="1607AB0E">
            <w:pPr>
              <w:pStyle w:val="87"/>
              <w:keepNext w:val="0"/>
              <w:keepLines w:val="0"/>
              <w:pageBreakBefore w:val="0"/>
              <w:widowControl w:val="0"/>
              <w:kinsoku/>
              <w:wordWrap/>
              <w:overflowPunct/>
              <w:topLinePunct w:val="0"/>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施工期粉尘采取洒水降尘、篷布覆盖等措施；运营期不产生废气</w:t>
            </w:r>
          </w:p>
        </w:tc>
        <w:tc>
          <w:tcPr>
            <w:tcW w:w="680" w:type="pct"/>
            <w:vAlign w:val="center"/>
          </w:tcPr>
          <w:p w14:paraId="3F3A0650">
            <w:pPr>
              <w:pStyle w:val="87"/>
              <w:keepNext w:val="0"/>
              <w:keepLines w:val="0"/>
              <w:pageBreakBefore w:val="0"/>
              <w:widowControl w:val="0"/>
              <w:kinsoku/>
              <w:wordWrap/>
              <w:overflowPunct/>
              <w:topLinePunct w:val="0"/>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新建</w:t>
            </w:r>
          </w:p>
        </w:tc>
      </w:tr>
      <w:tr w14:paraId="2DA000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continue"/>
            <w:vAlign w:val="center"/>
          </w:tcPr>
          <w:p w14:paraId="15D97BE8">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p>
        </w:tc>
        <w:tc>
          <w:tcPr>
            <w:tcW w:w="900" w:type="pct"/>
            <w:vAlign w:val="center"/>
          </w:tcPr>
          <w:p w14:paraId="53732DCD">
            <w:pPr>
              <w:pStyle w:val="87"/>
              <w:keepNext w:val="0"/>
              <w:keepLines w:val="0"/>
              <w:pageBreakBefore w:val="0"/>
              <w:widowControl w:val="0"/>
              <w:kinsoku/>
              <w:wordWrap/>
              <w:overflowPunct/>
              <w:topLinePunct w:val="0"/>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废水</w:t>
            </w:r>
          </w:p>
        </w:tc>
        <w:tc>
          <w:tcPr>
            <w:tcW w:w="2934" w:type="pct"/>
            <w:vAlign w:val="center"/>
          </w:tcPr>
          <w:p w14:paraId="04B0E5FF">
            <w:pPr>
              <w:pStyle w:val="87"/>
              <w:keepNext w:val="0"/>
              <w:keepLines w:val="0"/>
              <w:pageBreakBefore w:val="0"/>
              <w:widowControl w:val="0"/>
              <w:kinsoku/>
              <w:wordWrap/>
              <w:overflowPunct/>
              <w:topLinePunct w:val="0"/>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施工期废水经临时沉淀池沉淀后全部回用，不外排。运营期无废水产生。</w:t>
            </w:r>
          </w:p>
        </w:tc>
        <w:tc>
          <w:tcPr>
            <w:tcW w:w="680" w:type="pct"/>
            <w:vAlign w:val="center"/>
          </w:tcPr>
          <w:p w14:paraId="117416EB">
            <w:pPr>
              <w:keepNext w:val="0"/>
              <w:keepLines w:val="0"/>
              <w:pageBreakBefore w:val="0"/>
              <w:widowControl w:val="0"/>
              <w:kinsoku/>
              <w:wordWrap/>
              <w:overflowPunct/>
              <w:topLinePunct w:val="0"/>
              <w:autoSpaceDE w:val="0"/>
              <w:autoSpaceDN w:val="0"/>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新建</w:t>
            </w:r>
          </w:p>
        </w:tc>
      </w:tr>
      <w:tr w14:paraId="7BB835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continue"/>
            <w:vAlign w:val="center"/>
          </w:tcPr>
          <w:p w14:paraId="6E3E15C4">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p>
        </w:tc>
        <w:tc>
          <w:tcPr>
            <w:tcW w:w="900" w:type="pct"/>
            <w:vAlign w:val="center"/>
          </w:tcPr>
          <w:p w14:paraId="5ED5DFCF">
            <w:pPr>
              <w:pStyle w:val="87"/>
              <w:keepNext w:val="0"/>
              <w:keepLines w:val="0"/>
              <w:pageBreakBefore w:val="0"/>
              <w:widowControl w:val="0"/>
              <w:kinsoku/>
              <w:wordWrap/>
              <w:overflowPunct/>
              <w:topLinePunct w:val="0"/>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噪声</w:t>
            </w:r>
          </w:p>
        </w:tc>
        <w:tc>
          <w:tcPr>
            <w:tcW w:w="2934" w:type="pct"/>
            <w:vAlign w:val="center"/>
          </w:tcPr>
          <w:p w14:paraId="4DF7FFB6">
            <w:pPr>
              <w:pStyle w:val="87"/>
              <w:keepNext w:val="0"/>
              <w:keepLines w:val="0"/>
              <w:pageBreakBefore w:val="0"/>
              <w:widowControl w:val="0"/>
              <w:kinsoku/>
              <w:wordWrap/>
              <w:overflowPunct/>
              <w:topLinePunct w:val="0"/>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施工期采用低噪声设备；运营期加强对设备的维护</w:t>
            </w:r>
          </w:p>
        </w:tc>
        <w:tc>
          <w:tcPr>
            <w:tcW w:w="680" w:type="pct"/>
            <w:vAlign w:val="center"/>
          </w:tcPr>
          <w:p w14:paraId="3E19B818">
            <w:pPr>
              <w:keepNext w:val="0"/>
              <w:keepLines w:val="0"/>
              <w:pageBreakBefore w:val="0"/>
              <w:widowControl w:val="0"/>
              <w:kinsoku/>
              <w:wordWrap/>
              <w:overflowPunct/>
              <w:topLinePunct w:val="0"/>
              <w:autoSpaceDE w:val="0"/>
              <w:autoSpaceDN w:val="0"/>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新建</w:t>
            </w:r>
          </w:p>
        </w:tc>
      </w:tr>
      <w:tr w14:paraId="794C0B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continue"/>
            <w:vAlign w:val="center"/>
          </w:tcPr>
          <w:p w14:paraId="64E68617">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p>
        </w:tc>
        <w:tc>
          <w:tcPr>
            <w:tcW w:w="900" w:type="pct"/>
            <w:vAlign w:val="center"/>
          </w:tcPr>
          <w:p w14:paraId="7AB304FB">
            <w:pPr>
              <w:pStyle w:val="87"/>
              <w:keepNext w:val="0"/>
              <w:keepLines w:val="0"/>
              <w:pageBreakBefore w:val="0"/>
              <w:widowControl w:val="0"/>
              <w:kinsoku/>
              <w:wordWrap/>
              <w:overflowPunct/>
              <w:topLinePunct w:val="0"/>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固体废物</w:t>
            </w:r>
          </w:p>
        </w:tc>
        <w:tc>
          <w:tcPr>
            <w:tcW w:w="2934" w:type="pct"/>
            <w:vAlign w:val="center"/>
          </w:tcPr>
          <w:p w14:paraId="40D30F37">
            <w:pPr>
              <w:pStyle w:val="87"/>
              <w:keepNext w:val="0"/>
              <w:keepLines w:val="0"/>
              <w:pageBreakBefore w:val="0"/>
              <w:widowControl w:val="0"/>
              <w:kinsoku/>
              <w:wordWrap/>
              <w:overflowPunct/>
              <w:topLinePunct w:val="0"/>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在施工点设置生活垃圾收集桶，对施工人员产生的生活垃圾统一收集后由施工单位定期运至周边村镇环卫部门指定地点堆放，由环卫部门负责清运处置；土石方全部回填，建筑垃圾收集后交由有资质单位处置；运营期更换的废旧绝缘子串、电气设备由建设单位物资部门回收处理。</w:t>
            </w:r>
          </w:p>
        </w:tc>
        <w:tc>
          <w:tcPr>
            <w:tcW w:w="680" w:type="pct"/>
            <w:vAlign w:val="center"/>
          </w:tcPr>
          <w:p w14:paraId="7BFB7889">
            <w:pPr>
              <w:keepNext w:val="0"/>
              <w:keepLines w:val="0"/>
              <w:pageBreakBefore w:val="0"/>
              <w:widowControl w:val="0"/>
              <w:kinsoku/>
              <w:wordWrap/>
              <w:overflowPunct/>
              <w:topLinePunct w:val="0"/>
              <w:autoSpaceDE w:val="0"/>
              <w:autoSpaceDN w:val="0"/>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新建</w:t>
            </w:r>
          </w:p>
        </w:tc>
      </w:tr>
      <w:tr w14:paraId="4E5579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continue"/>
            <w:vAlign w:val="center"/>
          </w:tcPr>
          <w:p w14:paraId="7562A895">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p>
        </w:tc>
        <w:tc>
          <w:tcPr>
            <w:tcW w:w="900" w:type="pct"/>
            <w:vAlign w:val="center"/>
          </w:tcPr>
          <w:p w14:paraId="64EA500B">
            <w:pPr>
              <w:pStyle w:val="87"/>
              <w:keepNext w:val="0"/>
              <w:keepLines w:val="0"/>
              <w:pageBreakBefore w:val="0"/>
              <w:widowControl w:val="0"/>
              <w:kinsoku/>
              <w:wordWrap/>
              <w:overflowPunct/>
              <w:topLinePunct w:val="0"/>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电磁环境</w:t>
            </w:r>
          </w:p>
        </w:tc>
        <w:tc>
          <w:tcPr>
            <w:tcW w:w="2934" w:type="pct"/>
            <w:vAlign w:val="center"/>
          </w:tcPr>
          <w:p w14:paraId="0C0D8FD7">
            <w:pPr>
              <w:pStyle w:val="87"/>
              <w:keepNext w:val="0"/>
              <w:keepLines w:val="0"/>
              <w:pageBreakBefore w:val="0"/>
              <w:widowControl w:val="0"/>
              <w:kinsoku/>
              <w:wordWrap/>
              <w:overflowPunct/>
              <w:topLinePunct w:val="0"/>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输电线路导线距地高度按照《110kV～750kV架空输电线路设计规范》（GB50545-2010）规定的110kV线路经过非居民区导线对地面最小距离6.0m，居民区导线对地面最小距离7.0m，交通困难区对地面最小距离5m的要求进行架设。则项目线路运行期产生的电磁环境影响均满足相应评价标准限值要求。塔基安全警示牌、电力设施保护标识牌。</w:t>
            </w:r>
          </w:p>
        </w:tc>
        <w:tc>
          <w:tcPr>
            <w:tcW w:w="680" w:type="pct"/>
            <w:vAlign w:val="center"/>
          </w:tcPr>
          <w:p w14:paraId="7F53D669">
            <w:pPr>
              <w:keepNext w:val="0"/>
              <w:keepLines w:val="0"/>
              <w:pageBreakBefore w:val="0"/>
              <w:widowControl w:val="0"/>
              <w:kinsoku/>
              <w:wordWrap/>
              <w:overflowPunct/>
              <w:topLinePunct w:val="0"/>
              <w:autoSpaceDE w:val="0"/>
              <w:autoSpaceDN w:val="0"/>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新建</w:t>
            </w:r>
          </w:p>
        </w:tc>
      </w:tr>
      <w:tr w14:paraId="3E10DB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continue"/>
            <w:vAlign w:val="center"/>
          </w:tcPr>
          <w:p w14:paraId="40323ADB">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p>
        </w:tc>
        <w:tc>
          <w:tcPr>
            <w:tcW w:w="900" w:type="pct"/>
            <w:vAlign w:val="center"/>
          </w:tcPr>
          <w:p w14:paraId="6208B647">
            <w:pPr>
              <w:pStyle w:val="87"/>
              <w:keepNext w:val="0"/>
              <w:keepLines w:val="0"/>
              <w:pageBreakBefore w:val="0"/>
              <w:widowControl w:val="0"/>
              <w:kinsoku/>
              <w:wordWrap/>
              <w:overflowPunct/>
              <w:topLinePunct w:val="0"/>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水土保持</w:t>
            </w:r>
          </w:p>
        </w:tc>
        <w:tc>
          <w:tcPr>
            <w:tcW w:w="2934" w:type="pct"/>
            <w:vAlign w:val="center"/>
          </w:tcPr>
          <w:p w14:paraId="0345B004">
            <w:pPr>
              <w:pStyle w:val="87"/>
              <w:keepNext w:val="0"/>
              <w:keepLines w:val="0"/>
              <w:pageBreakBefore w:val="0"/>
              <w:widowControl w:val="0"/>
              <w:kinsoku/>
              <w:wordWrap/>
              <w:overflowPunct/>
              <w:topLinePunct w:val="0"/>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施工物料采用篷布覆盖、遮挡；陡坡塔基设置的浆砌石挡土墙、护坡、排水沟等</w:t>
            </w:r>
          </w:p>
        </w:tc>
        <w:tc>
          <w:tcPr>
            <w:tcW w:w="680" w:type="pct"/>
            <w:vAlign w:val="center"/>
          </w:tcPr>
          <w:p w14:paraId="237E4459">
            <w:pPr>
              <w:pStyle w:val="87"/>
              <w:keepNext w:val="0"/>
              <w:keepLines w:val="0"/>
              <w:pageBreakBefore w:val="0"/>
              <w:widowControl w:val="0"/>
              <w:kinsoku/>
              <w:wordWrap/>
              <w:overflowPunct/>
              <w:topLinePunct w:val="0"/>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新建</w:t>
            </w:r>
          </w:p>
        </w:tc>
      </w:tr>
      <w:tr w14:paraId="1036F1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Merge w:val="continue"/>
            <w:vAlign w:val="center"/>
          </w:tcPr>
          <w:p w14:paraId="27BB23EC">
            <w:pPr>
              <w:pStyle w:val="87"/>
              <w:keepNext w:val="0"/>
              <w:keepLines w:val="0"/>
              <w:pageBreakBefore w:val="0"/>
              <w:widowControl w:val="0"/>
              <w:kinsoku/>
              <w:wordWrap/>
              <w:overflowPunct/>
              <w:topLinePunct w:val="0"/>
              <w:autoSpaceDE/>
              <w:autoSpaceDN/>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p>
        </w:tc>
        <w:tc>
          <w:tcPr>
            <w:tcW w:w="900" w:type="pct"/>
            <w:vAlign w:val="center"/>
          </w:tcPr>
          <w:p w14:paraId="515DD89E">
            <w:pPr>
              <w:pStyle w:val="87"/>
              <w:keepNext w:val="0"/>
              <w:keepLines w:val="0"/>
              <w:pageBreakBefore w:val="0"/>
              <w:widowControl w:val="0"/>
              <w:kinsoku/>
              <w:wordWrap/>
              <w:overflowPunct/>
              <w:topLinePunct w:val="0"/>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生态措施</w:t>
            </w:r>
          </w:p>
        </w:tc>
        <w:tc>
          <w:tcPr>
            <w:tcW w:w="2934" w:type="pct"/>
            <w:vAlign w:val="center"/>
          </w:tcPr>
          <w:p w14:paraId="184C14F8">
            <w:pPr>
              <w:pStyle w:val="87"/>
              <w:keepNext w:val="0"/>
              <w:keepLines w:val="0"/>
              <w:pageBreakBefore w:val="0"/>
              <w:widowControl w:val="0"/>
              <w:kinsoku/>
              <w:wordWrap/>
              <w:overflowPunct/>
              <w:topLinePunct w:val="0"/>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严格控制施工范围，塔基施工区、跨越施工场地等施工结束后进行植被恢复。</w:t>
            </w:r>
          </w:p>
        </w:tc>
        <w:tc>
          <w:tcPr>
            <w:tcW w:w="680" w:type="pct"/>
            <w:vAlign w:val="center"/>
          </w:tcPr>
          <w:p w14:paraId="39CD3354">
            <w:pPr>
              <w:pStyle w:val="87"/>
              <w:keepNext w:val="0"/>
              <w:keepLines w:val="0"/>
              <w:pageBreakBefore w:val="0"/>
              <w:widowControl w:val="0"/>
              <w:kinsoku/>
              <w:wordWrap/>
              <w:overflowPunct/>
              <w:topLinePunct w:val="0"/>
              <w:bidi w:val="0"/>
              <w:adjustRightInd w:val="0"/>
              <w:snapToGrid w:val="0"/>
              <w:spacing w:after="0"/>
              <w:ind w:firstLine="0" w:firstLineChars="0"/>
              <w:jc w:val="center"/>
              <w:textAlignment w:val="auto"/>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sz w:val="21"/>
                <w:szCs w:val="21"/>
              </w:rPr>
              <w:t>新建</w:t>
            </w:r>
          </w:p>
        </w:tc>
      </w:tr>
    </w:tbl>
    <w:p w14:paraId="4A653382">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197" w:name="_Toc16307"/>
      <w:bookmarkStart w:id="198" w:name="_Toc32638"/>
      <w:r>
        <w:rPr>
          <w:rFonts w:hint="default" w:ascii="Times New Roman" w:hAnsi="Times New Roman" w:eastAsia="宋体" w:cs="Times New Roman"/>
          <w:bCs w:val="0"/>
          <w:color w:val="auto"/>
          <w:kern w:val="0"/>
          <w:sz w:val="28"/>
          <w:szCs w:val="28"/>
          <w:lang w:val="zh-CN"/>
        </w:rPr>
        <w:t>1.2.编制依据</w:t>
      </w:r>
      <w:bookmarkEnd w:id="197"/>
      <w:bookmarkEnd w:id="198"/>
    </w:p>
    <w:p w14:paraId="2775D759">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bookmarkStart w:id="199" w:name="_Toc22160"/>
      <w:r>
        <w:rPr>
          <w:rFonts w:hint="default" w:ascii="Times New Roman" w:hAnsi="Times New Roman" w:cs="Times New Roman"/>
          <w:color w:val="auto"/>
          <w:szCs w:val="24"/>
          <w:lang w:val="zh-CN"/>
        </w:rPr>
        <w:t>（1）《中华人民共和国生态环境法典》（2026年3月12日第十四届全国人民代表大会第四次会议通过，2026年8月15日起实施）；</w:t>
      </w:r>
    </w:p>
    <w:p w14:paraId="6ED331FE">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（2）《中华人民共和国野生动物保护法》（中华人民共和国主席令 第一二六号，2022年12月30日修订，自2023年5月1日起施行）；</w:t>
      </w:r>
    </w:p>
    <w:p w14:paraId="3731D41C">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（3）《中华人民共和国野生植物保护条例》（1997年1月1日起施行，2017年10月7日修改）；</w:t>
      </w:r>
    </w:p>
    <w:p w14:paraId="0DA31350">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（4）《中华人民共和国陆生野生动物保护实施条例》（1992年2月12日批准，2016年2月6日修订）；</w:t>
      </w:r>
    </w:p>
    <w:p w14:paraId="44288F12">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（5）《建设项目环境影响评价技术导则  总纲》（HJ2.1-2016）；</w:t>
      </w:r>
    </w:p>
    <w:p w14:paraId="6305896B">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（6）《环境影响评价技术导则  生态影响》（HJ19-2022）；</w:t>
      </w:r>
    </w:p>
    <w:p w14:paraId="6675AC94">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（7）“关于印发《建设项目环境影响报告表》内容、格式及编制技术指南的通知”（环办环评〔2020〕33号）；</w:t>
      </w:r>
    </w:p>
    <w:p w14:paraId="4B6A9A62">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（8）《中华人民共和国野生植物保护条例》（2017年10月7日施行）；</w:t>
      </w:r>
    </w:p>
    <w:p w14:paraId="53B17BAA">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（9）国家林业和草原局 农业农村部公告2021年第15号文《国家重点保护野生植物名录》（2021年9月8日实施）；</w:t>
      </w:r>
    </w:p>
    <w:p w14:paraId="5AE20F55">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（10）国家林业和草原局 农业农村部公告2021年第3号文《国家重点保护野生动物名录》（2020年2月1日起实施）；</w:t>
      </w:r>
    </w:p>
    <w:p w14:paraId="2D732345">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（11）《濒危野生动植物种国际贸易公约附录物种名录》（2025年版）；</w:t>
      </w:r>
    </w:p>
    <w:p w14:paraId="351CDD6B">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（12）《云南植被》（主编：吴征镒、朱彦丞，副主编：姜汉侨）；</w:t>
      </w:r>
    </w:p>
    <w:p w14:paraId="2F67130F">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（13）《中国生物多样性红色名录——脊椎动物卷》（2020）；</w:t>
      </w:r>
    </w:p>
    <w:p w14:paraId="20530157">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（14）《中国生物多样性红色名录——高等植物卷》（2020）；</w:t>
      </w:r>
    </w:p>
    <w:p w14:paraId="2B6726BF">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（15）《云南省陆生野生动物保护条例》（2014年7月27日修正）；</w:t>
      </w:r>
    </w:p>
    <w:p w14:paraId="2F463372">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（16）《云南省重点保护野生植物名录》（云南省林业和草原 云南省农业 农村厅公告（2023年第11号））；</w:t>
      </w:r>
    </w:p>
    <w:p w14:paraId="33306FE3">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（17）《云南省重点保护陆生野生动物名录》（云南省林业和草原局公告（2023年 第9号））；</w:t>
      </w:r>
    </w:p>
    <w:p w14:paraId="64411847">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（18）《关于印发云南省古树名木名录的通知》（云林保护字〔1996〕65号）；</w:t>
      </w:r>
    </w:p>
    <w:p w14:paraId="304D3A34">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（19）《云南省重点保护陆生野生动物名录》（2023年）；</w:t>
      </w:r>
    </w:p>
    <w:p w14:paraId="1DBEB1A3">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（20）《云南省重点保护陆生野生植物名录》（2023年）；</w:t>
      </w:r>
    </w:p>
    <w:p w14:paraId="37B17E67">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（21）《云南省极小种群野生植物保护名录（2022年版）》（云南省林业和草原局，2022年12月）；</w:t>
      </w:r>
    </w:p>
    <w:p w14:paraId="2F4AF422">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（22）《云南省各州市分布的国家重点保护野生动植物名录（2021年）》（云南省林业和草原局，2022年10月12日）；</w:t>
      </w:r>
    </w:p>
    <w:p w14:paraId="69849776">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（23）《云南省生态功能区划（2009）》；</w:t>
      </w:r>
    </w:p>
    <w:p w14:paraId="1EB38547">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szCs w:val="24"/>
          <w:lang w:val="zh-CN"/>
        </w:rPr>
      </w:pPr>
      <w:r>
        <w:rPr>
          <w:rFonts w:hint="default" w:ascii="Times New Roman" w:hAnsi="Times New Roman" w:cs="Times New Roman"/>
          <w:color w:val="auto"/>
          <w:szCs w:val="24"/>
          <w:lang w:val="zh-CN"/>
        </w:rPr>
        <w:t>建设单位提供的其他有关资料。</w:t>
      </w:r>
    </w:p>
    <w:p w14:paraId="680CAE7C">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200" w:name="_Toc3738"/>
      <w:r>
        <w:rPr>
          <w:rFonts w:hint="default" w:ascii="Times New Roman" w:hAnsi="Times New Roman" w:eastAsia="宋体" w:cs="Times New Roman"/>
          <w:bCs w:val="0"/>
          <w:color w:val="auto"/>
          <w:kern w:val="0"/>
          <w:sz w:val="28"/>
          <w:szCs w:val="28"/>
          <w:lang w:val="zh-CN"/>
        </w:rPr>
        <w:t>1.3.评价工作等级</w:t>
      </w:r>
      <w:bookmarkEnd w:id="199"/>
      <w:bookmarkEnd w:id="200"/>
    </w:p>
    <w:p w14:paraId="498EC601">
      <w:pPr>
        <w:pStyle w:val="139"/>
        <w:adjustRightInd w:val="0"/>
        <w:snapToGrid w:val="0"/>
        <w:spacing w:line="440" w:lineRule="exact"/>
        <w:ind w:firstLine="470"/>
        <w:rPr>
          <w:rFonts w:hint="default" w:ascii="Times New Roman" w:hAnsi="Times New Roman" w:cs="Times New Roman"/>
          <w:color w:val="auto"/>
          <w:szCs w:val="24"/>
        </w:rPr>
      </w:pPr>
      <w:r>
        <w:rPr>
          <w:rFonts w:hint="default" w:ascii="Times New Roman" w:hAnsi="Times New Roman" w:cs="Times New Roman"/>
          <w:color w:val="auto"/>
          <w:szCs w:val="24"/>
        </w:rPr>
        <w:t>根据《环境影响评价技术导则  输变电》（HJ24-2020）和《环境影响评价技术导则  生态影响》（HJ19-2022）及有关生态环境影响评价工作等级划分原则，项目生态环境评价等级判定见下表。</w:t>
      </w:r>
    </w:p>
    <w:p w14:paraId="054EF0FB">
      <w:pPr>
        <w:spacing w:line="240" w:lineRule="auto"/>
        <w:ind w:firstLine="405" w:firstLineChars="192"/>
        <w:jc w:val="center"/>
        <w:rPr>
          <w:rFonts w:hint="default" w:ascii="Times New Roman" w:hAnsi="Times New Roman" w:eastAsia="宋体" w:cs="Times New Roman"/>
          <w:b/>
          <w:bCs/>
          <w:color w:val="auto"/>
          <w:szCs w:val="24"/>
        </w:rPr>
      </w:pPr>
      <w:r>
        <w:rPr>
          <w:rFonts w:hint="default" w:ascii="Times New Roman" w:hAnsi="Times New Roman" w:eastAsia="宋体" w:cs="Times New Roman"/>
          <w:b/>
          <w:bCs/>
          <w:color w:val="auto"/>
          <w:szCs w:val="24"/>
        </w:rPr>
        <w:t>表1.3-1  项目生态环境评价等级判定表</w:t>
      </w:r>
    </w:p>
    <w:tbl>
      <w:tblPr>
        <w:tblStyle w:val="91"/>
        <w:tblW w:w="4995"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483"/>
        <w:gridCol w:w="3955"/>
        <w:gridCol w:w="3096"/>
        <w:gridCol w:w="764"/>
      </w:tblGrid>
      <w:tr w14:paraId="3B5CBA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91" w:type="pct"/>
            <w:tcBorders>
              <w:tl2br w:val="nil"/>
              <w:tr2bl w:val="nil"/>
            </w:tcBorders>
            <w:textDirection w:val="tbRlV"/>
            <w:vAlign w:val="center"/>
          </w:tcPr>
          <w:p w14:paraId="407F6DC7">
            <w:pPr>
              <w:autoSpaceDE/>
              <w:autoSpaceDN/>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lang w:eastAsia="en-US"/>
              </w:rPr>
            </w:pPr>
            <w:r>
              <w:rPr>
                <w:rFonts w:hint="default" w:ascii="Times New Roman" w:hAnsi="Times New Roman" w:eastAsia="宋体" w:cs="Times New Roman"/>
                <w:b/>
                <w:bCs/>
                <w:color w:val="auto"/>
                <w:sz w:val="21"/>
                <w:szCs w:val="21"/>
                <w:lang w:eastAsia="en-US"/>
              </w:rPr>
              <w:t>序号</w:t>
            </w:r>
          </w:p>
        </w:tc>
        <w:tc>
          <w:tcPr>
            <w:tcW w:w="2382" w:type="pct"/>
            <w:tcBorders>
              <w:tl2br w:val="nil"/>
              <w:tr2bl w:val="nil"/>
            </w:tcBorders>
            <w:vAlign w:val="center"/>
          </w:tcPr>
          <w:p w14:paraId="73A345A7">
            <w:pPr>
              <w:autoSpaceDE/>
              <w:autoSpaceDN/>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lang w:eastAsia="en-US"/>
              </w:rPr>
            </w:pPr>
            <w:r>
              <w:rPr>
                <w:rFonts w:hint="default" w:ascii="Times New Roman" w:hAnsi="Times New Roman" w:eastAsia="宋体" w:cs="Times New Roman"/>
                <w:b/>
                <w:bCs/>
                <w:color w:val="auto"/>
                <w:sz w:val="21"/>
                <w:szCs w:val="21"/>
                <w:lang w:eastAsia="en-US"/>
              </w:rPr>
              <w:t>评价等级判定依据</w:t>
            </w:r>
          </w:p>
        </w:tc>
        <w:tc>
          <w:tcPr>
            <w:tcW w:w="1865" w:type="pct"/>
            <w:tcBorders>
              <w:tl2br w:val="nil"/>
              <w:tr2bl w:val="nil"/>
            </w:tcBorders>
            <w:vAlign w:val="center"/>
          </w:tcPr>
          <w:p w14:paraId="59B41A1E">
            <w:pPr>
              <w:autoSpaceDE/>
              <w:autoSpaceDN/>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lang w:eastAsia="en-US"/>
              </w:rPr>
            </w:pPr>
            <w:r>
              <w:rPr>
                <w:rFonts w:hint="default" w:ascii="Times New Roman" w:hAnsi="Times New Roman" w:eastAsia="宋体" w:cs="Times New Roman"/>
                <w:b/>
                <w:bCs/>
                <w:color w:val="auto"/>
                <w:sz w:val="21"/>
                <w:szCs w:val="21"/>
                <w:lang w:eastAsia="en-US"/>
              </w:rPr>
              <w:t>本项目情况</w:t>
            </w:r>
          </w:p>
        </w:tc>
        <w:tc>
          <w:tcPr>
            <w:tcW w:w="460" w:type="pct"/>
            <w:tcBorders>
              <w:tl2br w:val="nil"/>
              <w:tr2bl w:val="nil"/>
            </w:tcBorders>
            <w:vAlign w:val="center"/>
          </w:tcPr>
          <w:p w14:paraId="6D5AD3E0">
            <w:pPr>
              <w:autoSpaceDE/>
              <w:autoSpaceDN/>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lang w:eastAsia="en-US"/>
              </w:rPr>
            </w:pPr>
            <w:r>
              <w:rPr>
                <w:rFonts w:hint="default" w:ascii="Times New Roman" w:hAnsi="Times New Roman" w:eastAsia="宋体" w:cs="Times New Roman"/>
                <w:b/>
                <w:bCs/>
                <w:color w:val="auto"/>
                <w:sz w:val="21"/>
                <w:szCs w:val="21"/>
                <w:lang w:eastAsia="en-US"/>
              </w:rPr>
              <w:t>评价</w:t>
            </w:r>
          </w:p>
          <w:p w14:paraId="507F368E">
            <w:pPr>
              <w:autoSpaceDE/>
              <w:autoSpaceDN/>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lang w:eastAsia="en-US"/>
              </w:rPr>
            </w:pPr>
            <w:r>
              <w:rPr>
                <w:rFonts w:hint="default" w:ascii="Times New Roman" w:hAnsi="Times New Roman" w:eastAsia="宋体" w:cs="Times New Roman"/>
                <w:b/>
                <w:bCs/>
                <w:color w:val="auto"/>
                <w:sz w:val="21"/>
                <w:szCs w:val="21"/>
                <w:lang w:eastAsia="en-US"/>
              </w:rPr>
              <w:t>等级</w:t>
            </w:r>
          </w:p>
        </w:tc>
      </w:tr>
      <w:tr w14:paraId="2E31F46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91" w:type="pct"/>
            <w:tcBorders>
              <w:tl2br w:val="nil"/>
              <w:tr2bl w:val="nil"/>
            </w:tcBorders>
            <w:vAlign w:val="center"/>
          </w:tcPr>
          <w:p w14:paraId="6F7C1207">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1</w:t>
            </w:r>
          </w:p>
        </w:tc>
        <w:tc>
          <w:tcPr>
            <w:tcW w:w="2382" w:type="pct"/>
            <w:tcBorders>
              <w:tl2br w:val="nil"/>
              <w:tr2bl w:val="nil"/>
            </w:tcBorders>
            <w:vAlign w:val="center"/>
          </w:tcPr>
          <w:p w14:paraId="05CC8105">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a）涉及国家公园、自然保护区、世界自然遗产、重要生境时，评价等级为一级；</w:t>
            </w:r>
          </w:p>
        </w:tc>
        <w:tc>
          <w:tcPr>
            <w:tcW w:w="1865" w:type="pct"/>
            <w:tcBorders>
              <w:tl2br w:val="nil"/>
              <w:tr2bl w:val="nil"/>
            </w:tcBorders>
            <w:vAlign w:val="center"/>
          </w:tcPr>
          <w:p w14:paraId="117E54A4">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项目不占用，评价范围不涉及</w:t>
            </w:r>
          </w:p>
        </w:tc>
        <w:tc>
          <w:tcPr>
            <w:tcW w:w="460" w:type="pct"/>
            <w:tcBorders>
              <w:tl2br w:val="nil"/>
              <w:tr2bl w:val="nil"/>
            </w:tcBorders>
            <w:vAlign w:val="center"/>
          </w:tcPr>
          <w:p w14:paraId="3681D76B">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w:t>
            </w:r>
          </w:p>
        </w:tc>
      </w:tr>
      <w:tr w14:paraId="6E21161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91" w:type="pct"/>
            <w:tcBorders>
              <w:tl2br w:val="nil"/>
              <w:tr2bl w:val="nil"/>
            </w:tcBorders>
            <w:vAlign w:val="center"/>
          </w:tcPr>
          <w:p w14:paraId="4D7A90D3">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2</w:t>
            </w:r>
          </w:p>
        </w:tc>
        <w:tc>
          <w:tcPr>
            <w:tcW w:w="2382" w:type="pct"/>
            <w:tcBorders>
              <w:tl2br w:val="nil"/>
              <w:tr2bl w:val="nil"/>
            </w:tcBorders>
            <w:vAlign w:val="center"/>
          </w:tcPr>
          <w:p w14:paraId="7212D454">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b）涉及自然公园时，评价等级为二级；</w:t>
            </w:r>
          </w:p>
        </w:tc>
        <w:tc>
          <w:tcPr>
            <w:tcW w:w="1865" w:type="pct"/>
            <w:tcBorders>
              <w:tl2br w:val="nil"/>
              <w:tr2bl w:val="nil"/>
            </w:tcBorders>
            <w:vAlign w:val="center"/>
          </w:tcPr>
          <w:p w14:paraId="57688703">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项目不占用，评价范围</w:t>
            </w:r>
            <w:r>
              <w:rPr>
                <w:rFonts w:hint="default" w:ascii="Times New Roman" w:hAnsi="Times New Roman" w:eastAsia="宋体" w:cs="Times New Roman"/>
                <w:color w:val="auto"/>
                <w:sz w:val="21"/>
                <w:szCs w:val="21"/>
                <w:lang w:eastAsia="zh-CN"/>
              </w:rPr>
              <w:t>不涉及</w:t>
            </w:r>
          </w:p>
        </w:tc>
        <w:tc>
          <w:tcPr>
            <w:tcW w:w="460" w:type="pct"/>
            <w:tcBorders>
              <w:tl2br w:val="nil"/>
              <w:tr2bl w:val="nil"/>
            </w:tcBorders>
            <w:vAlign w:val="center"/>
          </w:tcPr>
          <w:p w14:paraId="60105887">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zh-CN"/>
              </w:rPr>
              <w:t>/</w:t>
            </w:r>
          </w:p>
        </w:tc>
      </w:tr>
      <w:tr w14:paraId="07754F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91" w:type="pct"/>
            <w:tcBorders>
              <w:tl2br w:val="nil"/>
              <w:tr2bl w:val="nil"/>
            </w:tcBorders>
            <w:vAlign w:val="center"/>
          </w:tcPr>
          <w:p w14:paraId="06599BDF">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3</w:t>
            </w:r>
          </w:p>
        </w:tc>
        <w:tc>
          <w:tcPr>
            <w:tcW w:w="2382" w:type="pct"/>
            <w:tcBorders>
              <w:tl2br w:val="nil"/>
              <w:tr2bl w:val="nil"/>
            </w:tcBorders>
            <w:vAlign w:val="center"/>
          </w:tcPr>
          <w:p w14:paraId="36BD64F2">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c）涉及生态保护红线时，评价等级不低于二级；</w:t>
            </w:r>
          </w:p>
        </w:tc>
        <w:tc>
          <w:tcPr>
            <w:tcW w:w="1865" w:type="pct"/>
            <w:tcBorders>
              <w:tl2br w:val="nil"/>
              <w:tr2bl w:val="nil"/>
            </w:tcBorders>
            <w:vAlign w:val="center"/>
          </w:tcPr>
          <w:p w14:paraId="1AD674D4">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项目输电线路</w:t>
            </w:r>
            <w:r>
              <w:rPr>
                <w:rFonts w:hint="default" w:ascii="Times New Roman" w:hAnsi="Times New Roman" w:eastAsia="宋体" w:cs="Times New Roman"/>
                <w:color w:val="auto"/>
                <w:sz w:val="21"/>
                <w:szCs w:val="21"/>
                <w:lang w:eastAsia="zh-CN"/>
              </w:rPr>
              <w:t>涉及跨越生态保护红线</w:t>
            </w:r>
          </w:p>
        </w:tc>
        <w:tc>
          <w:tcPr>
            <w:tcW w:w="460" w:type="pct"/>
            <w:tcBorders>
              <w:tl2br w:val="nil"/>
              <w:tr2bl w:val="nil"/>
            </w:tcBorders>
            <w:vAlign w:val="center"/>
          </w:tcPr>
          <w:p w14:paraId="304CA57C">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二级</w:t>
            </w:r>
          </w:p>
        </w:tc>
      </w:tr>
      <w:tr w14:paraId="09A4C31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91" w:type="pct"/>
            <w:tcBorders>
              <w:tl2br w:val="nil"/>
              <w:tr2bl w:val="nil"/>
            </w:tcBorders>
            <w:vAlign w:val="center"/>
          </w:tcPr>
          <w:p w14:paraId="3A8814AF">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4</w:t>
            </w:r>
          </w:p>
        </w:tc>
        <w:tc>
          <w:tcPr>
            <w:tcW w:w="2382" w:type="pct"/>
            <w:tcBorders>
              <w:tl2br w:val="nil"/>
              <w:tr2bl w:val="nil"/>
            </w:tcBorders>
            <w:vAlign w:val="center"/>
          </w:tcPr>
          <w:p w14:paraId="118E5265">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d）根据HJ2.3判断属于水文要素影响型且地表水评价等级不低于二级的建设项目，生态影响评价等级不低于二级</w:t>
            </w:r>
          </w:p>
        </w:tc>
        <w:tc>
          <w:tcPr>
            <w:tcW w:w="1865" w:type="pct"/>
            <w:tcBorders>
              <w:tl2br w:val="nil"/>
              <w:tr2bl w:val="nil"/>
            </w:tcBorders>
            <w:vAlign w:val="center"/>
          </w:tcPr>
          <w:p w14:paraId="1BFBB7D9">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项目不属于水文要素影响型</w:t>
            </w:r>
          </w:p>
        </w:tc>
        <w:tc>
          <w:tcPr>
            <w:tcW w:w="460" w:type="pct"/>
            <w:tcBorders>
              <w:tl2br w:val="nil"/>
              <w:tr2bl w:val="nil"/>
            </w:tcBorders>
            <w:vAlign w:val="center"/>
          </w:tcPr>
          <w:p w14:paraId="22C8BA6E">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w:t>
            </w:r>
          </w:p>
        </w:tc>
      </w:tr>
      <w:tr w14:paraId="6BDB09A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91" w:type="pct"/>
            <w:tcBorders>
              <w:tl2br w:val="nil"/>
              <w:tr2bl w:val="nil"/>
            </w:tcBorders>
            <w:vAlign w:val="center"/>
          </w:tcPr>
          <w:p w14:paraId="10DCF484">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5</w:t>
            </w:r>
          </w:p>
        </w:tc>
        <w:tc>
          <w:tcPr>
            <w:tcW w:w="2382" w:type="pct"/>
            <w:tcBorders>
              <w:tl2br w:val="nil"/>
              <w:tr2bl w:val="nil"/>
            </w:tcBorders>
            <w:vAlign w:val="center"/>
          </w:tcPr>
          <w:p w14:paraId="079D3769">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e）根据HJ610、HJ964判断地下水水位或土壤影响范围内分布有天然林、公益林、湿地等生态保护目标的建设项目，生态影响评价等级不低于二级</w:t>
            </w:r>
          </w:p>
        </w:tc>
        <w:tc>
          <w:tcPr>
            <w:tcW w:w="1865" w:type="pct"/>
            <w:tcBorders>
              <w:tl2br w:val="nil"/>
              <w:tr2bl w:val="nil"/>
            </w:tcBorders>
            <w:vAlign w:val="center"/>
          </w:tcPr>
          <w:p w14:paraId="35636740">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项目不是地下水和土壤影响型项目</w:t>
            </w:r>
          </w:p>
        </w:tc>
        <w:tc>
          <w:tcPr>
            <w:tcW w:w="460" w:type="pct"/>
            <w:tcBorders>
              <w:tl2br w:val="nil"/>
              <w:tr2bl w:val="nil"/>
            </w:tcBorders>
            <w:vAlign w:val="center"/>
          </w:tcPr>
          <w:p w14:paraId="417CCD41">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w:t>
            </w:r>
          </w:p>
        </w:tc>
      </w:tr>
      <w:tr w14:paraId="0109E8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91" w:type="pct"/>
            <w:tcBorders>
              <w:tl2br w:val="nil"/>
              <w:tr2bl w:val="nil"/>
            </w:tcBorders>
            <w:vAlign w:val="center"/>
          </w:tcPr>
          <w:p w14:paraId="4D0D6F95">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6</w:t>
            </w:r>
          </w:p>
        </w:tc>
        <w:tc>
          <w:tcPr>
            <w:tcW w:w="2382" w:type="pct"/>
            <w:tcBorders>
              <w:tl2br w:val="nil"/>
              <w:tr2bl w:val="nil"/>
            </w:tcBorders>
            <w:vAlign w:val="center"/>
          </w:tcPr>
          <w:p w14:paraId="177E77FB">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f）当工程占地规模大于20km</w:t>
            </w:r>
            <w:r>
              <w:rPr>
                <w:rFonts w:hint="default" w:ascii="Times New Roman" w:hAnsi="Times New Roman" w:eastAsia="宋体" w:cs="Times New Roman"/>
                <w:color w:val="auto"/>
                <w:sz w:val="21"/>
                <w:szCs w:val="21"/>
                <w:vertAlign w:val="superscript"/>
                <w:lang w:eastAsia="en-US"/>
              </w:rPr>
              <w:t>2</w:t>
            </w:r>
            <w:r>
              <w:rPr>
                <w:rFonts w:hint="default" w:ascii="Times New Roman" w:hAnsi="Times New Roman" w:eastAsia="宋体" w:cs="Times New Roman"/>
                <w:color w:val="auto"/>
                <w:sz w:val="21"/>
                <w:szCs w:val="21"/>
                <w:lang w:eastAsia="en-US"/>
              </w:rPr>
              <w:t>时（包括永久和临时占用陆域和水域），评价等级不低于二级；改扩建项目的占地范围以新增占地（包括陆域和水域）确定</w:t>
            </w:r>
          </w:p>
        </w:tc>
        <w:tc>
          <w:tcPr>
            <w:tcW w:w="1865" w:type="pct"/>
            <w:tcBorders>
              <w:tl2br w:val="nil"/>
              <w:tr2bl w:val="nil"/>
            </w:tcBorders>
            <w:vAlign w:val="center"/>
          </w:tcPr>
          <w:p w14:paraId="69CD8B48">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本项目总占地面积</w:t>
            </w:r>
            <w:r>
              <w:rPr>
                <w:rFonts w:hint="default" w:ascii="Times New Roman" w:hAnsi="Times New Roman" w:eastAsia="宋体" w:cs="Times New Roman"/>
                <w:color w:val="auto"/>
                <w:sz w:val="21"/>
                <w:szCs w:val="21"/>
                <w:lang w:eastAsia="zh-CN"/>
              </w:rPr>
              <w:t>0.47995</w:t>
            </w:r>
            <w:r>
              <w:rPr>
                <w:rFonts w:hint="default" w:ascii="Times New Roman" w:hAnsi="Times New Roman" w:eastAsia="宋体" w:cs="Times New Roman"/>
                <w:color w:val="auto"/>
                <w:sz w:val="21"/>
                <w:szCs w:val="21"/>
                <w:lang w:eastAsia="en-US"/>
              </w:rPr>
              <w:t>hm</w:t>
            </w:r>
            <w:r>
              <w:rPr>
                <w:rFonts w:hint="default" w:ascii="Times New Roman" w:hAnsi="Times New Roman" w:eastAsia="宋体" w:cs="Times New Roman"/>
                <w:color w:val="auto"/>
                <w:sz w:val="21"/>
                <w:szCs w:val="21"/>
                <w:vertAlign w:val="superscript"/>
                <w:lang w:eastAsia="en-US"/>
              </w:rPr>
              <w:t>2</w:t>
            </w:r>
            <w:r>
              <w:rPr>
                <w:rFonts w:hint="default" w:ascii="Times New Roman" w:hAnsi="Times New Roman" w:eastAsia="宋体" w:cs="Times New Roman"/>
                <w:color w:val="auto"/>
                <w:sz w:val="21"/>
                <w:szCs w:val="21"/>
                <w:lang w:eastAsia="en-US"/>
              </w:rPr>
              <w:t>，</w:t>
            </w:r>
            <w:r>
              <w:rPr>
                <w:rFonts w:hint="default" w:ascii="Times New Roman" w:hAnsi="Times New Roman" w:eastAsia="宋体" w:cs="Times New Roman"/>
                <w:color w:val="auto"/>
                <w:sz w:val="21"/>
                <w:szCs w:val="21"/>
                <w:lang w:eastAsia="zh-CN"/>
              </w:rPr>
              <w:t>线路长16km，</w:t>
            </w:r>
            <w:r>
              <w:rPr>
                <w:rFonts w:hint="default" w:ascii="Times New Roman" w:hAnsi="Times New Roman" w:eastAsia="宋体" w:cs="Times New Roman"/>
                <w:color w:val="auto"/>
                <w:sz w:val="21"/>
                <w:szCs w:val="21"/>
                <w:lang w:eastAsia="en-US"/>
              </w:rPr>
              <w:t>小于20km</w:t>
            </w:r>
            <w:r>
              <w:rPr>
                <w:rFonts w:hint="default" w:ascii="Times New Roman" w:hAnsi="Times New Roman" w:eastAsia="宋体" w:cs="Times New Roman"/>
                <w:color w:val="auto"/>
                <w:sz w:val="21"/>
                <w:szCs w:val="21"/>
                <w:vertAlign w:val="superscript"/>
                <w:lang w:eastAsia="en-US"/>
              </w:rPr>
              <w:t>2</w:t>
            </w:r>
          </w:p>
        </w:tc>
        <w:tc>
          <w:tcPr>
            <w:tcW w:w="460" w:type="pct"/>
            <w:tcBorders>
              <w:tl2br w:val="nil"/>
              <w:tr2bl w:val="nil"/>
            </w:tcBorders>
            <w:vAlign w:val="center"/>
          </w:tcPr>
          <w:p w14:paraId="0D6544B7">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zh-CN"/>
              </w:rPr>
              <w:t>三级</w:t>
            </w:r>
          </w:p>
        </w:tc>
      </w:tr>
      <w:tr w14:paraId="3A731BD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91" w:type="pct"/>
            <w:tcBorders>
              <w:tl2br w:val="nil"/>
              <w:tr2bl w:val="nil"/>
            </w:tcBorders>
            <w:vAlign w:val="center"/>
          </w:tcPr>
          <w:p w14:paraId="741A6CE2">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7</w:t>
            </w:r>
          </w:p>
        </w:tc>
        <w:tc>
          <w:tcPr>
            <w:tcW w:w="2382" w:type="pct"/>
            <w:tcBorders>
              <w:tl2br w:val="nil"/>
              <w:tr2bl w:val="nil"/>
            </w:tcBorders>
            <w:vAlign w:val="center"/>
          </w:tcPr>
          <w:p w14:paraId="34D01DD4">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h）当评价等级判定同时符合上述多种情况时，应采用其中最高的评价等级</w:t>
            </w:r>
          </w:p>
        </w:tc>
        <w:tc>
          <w:tcPr>
            <w:tcW w:w="1865" w:type="pct"/>
            <w:tcBorders>
              <w:tl2br w:val="nil"/>
              <w:tr2bl w:val="nil"/>
            </w:tcBorders>
            <w:vAlign w:val="center"/>
          </w:tcPr>
          <w:p w14:paraId="2F151978">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本项目采用最高评价等级</w:t>
            </w:r>
          </w:p>
        </w:tc>
        <w:tc>
          <w:tcPr>
            <w:tcW w:w="460" w:type="pct"/>
            <w:tcBorders>
              <w:tl2br w:val="nil"/>
              <w:tr2bl w:val="nil"/>
            </w:tcBorders>
            <w:vAlign w:val="center"/>
          </w:tcPr>
          <w:p w14:paraId="577EE70F">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二级</w:t>
            </w:r>
          </w:p>
        </w:tc>
      </w:tr>
      <w:tr w14:paraId="60FDC00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91" w:type="pct"/>
            <w:tcBorders>
              <w:tl2br w:val="nil"/>
              <w:tr2bl w:val="nil"/>
            </w:tcBorders>
            <w:vAlign w:val="center"/>
          </w:tcPr>
          <w:p w14:paraId="6CFEF3F2">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8</w:t>
            </w:r>
          </w:p>
        </w:tc>
        <w:tc>
          <w:tcPr>
            <w:tcW w:w="2382" w:type="pct"/>
            <w:tcBorders>
              <w:tl2br w:val="nil"/>
              <w:tr2bl w:val="nil"/>
            </w:tcBorders>
            <w:vAlign w:val="center"/>
          </w:tcPr>
          <w:p w14:paraId="0BE16EA6">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建设项目涉及经论证对保护生物多样性具有重要意义的区域时，可适当上调评价等级</w:t>
            </w:r>
          </w:p>
        </w:tc>
        <w:tc>
          <w:tcPr>
            <w:tcW w:w="1865" w:type="pct"/>
            <w:tcBorders>
              <w:tl2br w:val="nil"/>
              <w:tr2bl w:val="nil"/>
            </w:tcBorders>
            <w:vAlign w:val="center"/>
          </w:tcPr>
          <w:p w14:paraId="625E80CA">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zh-CN"/>
              </w:rPr>
              <w:t>经核对，项目不涉及云南省生物多样性保护优先区域，项目线路涉及跨越金沙江下游—小江流域水土流失控制生态保护红线，根据生态现状调查分析，生态保护红线范围内植被类型为暖温性针叶林，以次生生境常见种和广布种云南松林为主，无国家级和云南省级保护野生动物，无区域狭域分布物种，无鸟类关键迁徙通道，经论证项目建设不会降低生态保护红线的主导功能，不会破坏红线原生生态系统完整性，不阻断生物迁徙廊道，不会造成珍稀濒危物种种群衰退，原有生物多样性核心保护功能与生态意义可维持</w:t>
            </w:r>
          </w:p>
        </w:tc>
        <w:tc>
          <w:tcPr>
            <w:tcW w:w="460" w:type="pct"/>
            <w:tcBorders>
              <w:tl2br w:val="nil"/>
              <w:tr2bl w:val="nil"/>
            </w:tcBorders>
            <w:vAlign w:val="center"/>
          </w:tcPr>
          <w:p w14:paraId="5E7F9ED8">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zh-CN"/>
              </w:rPr>
              <w:t>不提级</w:t>
            </w:r>
          </w:p>
        </w:tc>
      </w:tr>
      <w:tr w14:paraId="584F9C5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91" w:type="pct"/>
            <w:tcBorders>
              <w:tl2br w:val="nil"/>
              <w:tr2bl w:val="nil"/>
            </w:tcBorders>
            <w:vAlign w:val="center"/>
          </w:tcPr>
          <w:p w14:paraId="01BC942E">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9</w:t>
            </w:r>
          </w:p>
        </w:tc>
        <w:tc>
          <w:tcPr>
            <w:tcW w:w="2382" w:type="pct"/>
            <w:tcBorders>
              <w:tl2br w:val="nil"/>
              <w:tr2bl w:val="nil"/>
            </w:tcBorders>
            <w:vAlign w:val="center"/>
          </w:tcPr>
          <w:p w14:paraId="3A8D4EB3">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建设项目同时涉及陆生、水生生态影响时，可针对陆生生态、水生生态分别判定评价等级</w:t>
            </w:r>
          </w:p>
        </w:tc>
        <w:tc>
          <w:tcPr>
            <w:tcW w:w="1865" w:type="pct"/>
            <w:tcBorders>
              <w:tl2br w:val="nil"/>
              <w:tr2bl w:val="nil"/>
            </w:tcBorders>
            <w:vAlign w:val="center"/>
          </w:tcPr>
          <w:p w14:paraId="5A110664">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不涉及</w:t>
            </w:r>
          </w:p>
        </w:tc>
        <w:tc>
          <w:tcPr>
            <w:tcW w:w="460" w:type="pct"/>
            <w:tcBorders>
              <w:tl2br w:val="nil"/>
              <w:tr2bl w:val="nil"/>
            </w:tcBorders>
            <w:vAlign w:val="center"/>
          </w:tcPr>
          <w:p w14:paraId="5A2F013E">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w:t>
            </w:r>
          </w:p>
        </w:tc>
      </w:tr>
      <w:tr w14:paraId="5DB2E6A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c>
          <w:tcPr>
            <w:tcW w:w="291" w:type="pct"/>
            <w:tcBorders>
              <w:tl2br w:val="nil"/>
              <w:tr2bl w:val="nil"/>
            </w:tcBorders>
            <w:vAlign w:val="center"/>
          </w:tcPr>
          <w:p w14:paraId="012D6FE7">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10</w:t>
            </w:r>
          </w:p>
        </w:tc>
        <w:tc>
          <w:tcPr>
            <w:tcW w:w="2382" w:type="pct"/>
            <w:tcBorders>
              <w:tl2br w:val="nil"/>
              <w:tr2bl w:val="nil"/>
            </w:tcBorders>
            <w:vAlign w:val="center"/>
          </w:tcPr>
          <w:p w14:paraId="472AB088">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线性工程可分段确定评价等级。线性工程地下穿越或地表跨越生态敏感区，在生态敏感区范围内无永久、临时占地时，评价等级可下调一级</w:t>
            </w:r>
          </w:p>
        </w:tc>
        <w:tc>
          <w:tcPr>
            <w:tcW w:w="1865" w:type="pct"/>
            <w:tcBorders>
              <w:tl2br w:val="nil"/>
              <w:tr2bl w:val="nil"/>
            </w:tcBorders>
            <w:vAlign w:val="center"/>
          </w:tcPr>
          <w:p w14:paraId="4BC3336A">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zh-CN"/>
              </w:rPr>
              <w:t>项目为线性工程，输电线路塔基N7~N8之间约89.2m跨越生态保护红线，项目跨越金沙江下游—小江流域水土流失控制生态保护红线约89.2米，不在生态保护红线内立塔</w:t>
            </w:r>
          </w:p>
        </w:tc>
        <w:tc>
          <w:tcPr>
            <w:tcW w:w="460" w:type="pct"/>
            <w:tcBorders>
              <w:tl2br w:val="nil"/>
              <w:tr2bl w:val="nil"/>
            </w:tcBorders>
            <w:vAlign w:val="center"/>
          </w:tcPr>
          <w:p w14:paraId="1A983EEE">
            <w:pPr>
              <w:autoSpaceDE/>
              <w:autoSpaceDN/>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zh-CN"/>
              </w:rPr>
              <w:t>/</w:t>
            </w:r>
          </w:p>
        </w:tc>
      </w:tr>
    </w:tbl>
    <w:p w14:paraId="3346BB34">
      <w:pPr>
        <w:widowControl/>
        <w:adjustRightInd w:val="0"/>
        <w:snapToGrid w:val="0"/>
        <w:spacing w:after="0" w:line="440" w:lineRule="exact"/>
        <w:ind w:firstLine="480"/>
        <w:rPr>
          <w:rFonts w:hint="default" w:ascii="Times New Roman" w:hAnsi="Times New Roman" w:cs="Times New Roman"/>
          <w:color w:val="auto"/>
        </w:rPr>
      </w:pPr>
      <w:r>
        <w:rPr>
          <w:rFonts w:hint="default" w:ascii="Times New Roman" w:hAnsi="Times New Roman" w:cs="Times New Roman"/>
          <w:color w:val="auto"/>
          <w:szCs w:val="24"/>
        </w:rPr>
        <w:t>工程总占地面积为</w:t>
      </w:r>
      <w:r>
        <w:rPr>
          <w:rFonts w:hint="eastAsia" w:ascii="Times New Roman" w:hAnsi="Times New Roman" w:cs="Times New Roman"/>
          <w:color w:val="auto"/>
          <w:szCs w:val="24"/>
          <w:lang w:val="en-US" w:eastAsia="zh-CN"/>
        </w:rPr>
        <w:t>0.60895</w:t>
      </w:r>
      <w:r>
        <w:rPr>
          <w:rFonts w:hint="default" w:ascii="Times New Roman" w:hAnsi="Times New Roman" w:cs="Times New Roman"/>
          <w:color w:val="auto"/>
          <w:szCs w:val="24"/>
        </w:rPr>
        <w:t>hm</w:t>
      </w:r>
      <w:r>
        <w:rPr>
          <w:rFonts w:hint="default" w:ascii="Times New Roman" w:hAnsi="Times New Roman" w:cs="Times New Roman"/>
          <w:color w:val="auto"/>
          <w:szCs w:val="24"/>
          <w:vertAlign w:val="superscript"/>
        </w:rPr>
        <w:t>2</w:t>
      </w:r>
      <w:r>
        <w:rPr>
          <w:rFonts w:hint="default" w:ascii="Times New Roman" w:hAnsi="Times New Roman" w:cs="Times New Roman"/>
          <w:color w:val="auto"/>
          <w:szCs w:val="24"/>
        </w:rPr>
        <w:t>，其中永久占地0.25495hm²，临时占地0.</w:t>
      </w:r>
      <w:r>
        <w:rPr>
          <w:rFonts w:hint="eastAsia" w:ascii="Times New Roman" w:hAnsi="Times New Roman" w:cs="Times New Roman"/>
          <w:color w:val="auto"/>
          <w:szCs w:val="24"/>
          <w:lang w:val="en-US" w:eastAsia="zh-CN"/>
        </w:rPr>
        <w:t>354</w:t>
      </w:r>
      <w:r>
        <w:rPr>
          <w:rFonts w:hint="default" w:ascii="Times New Roman" w:hAnsi="Times New Roman" w:cs="Times New Roman"/>
          <w:color w:val="auto"/>
          <w:szCs w:val="24"/>
        </w:rPr>
        <w:t>hm²</w:t>
      </w:r>
      <w:r>
        <w:rPr>
          <w:rFonts w:hint="default" w:ascii="Times New Roman" w:hAnsi="Times New Roman" w:eastAsia="宋体" w:cs="Times New Roman"/>
          <w:color w:val="auto"/>
          <w:szCs w:val="24"/>
        </w:rPr>
        <w:t>。</w:t>
      </w:r>
      <w:r>
        <w:rPr>
          <w:rFonts w:hint="default" w:ascii="Times New Roman" w:hAnsi="Times New Roman" w:cs="Times New Roman"/>
          <w:color w:val="auto"/>
        </w:rPr>
        <w:t>根据查询结果，项目占地范围内不</w:t>
      </w:r>
      <w:r>
        <w:rPr>
          <w:rFonts w:hint="default" w:ascii="Times New Roman" w:hAnsi="Times New Roman" w:cs="Times New Roman"/>
          <w:color w:val="auto"/>
          <w:szCs w:val="24"/>
        </w:rPr>
        <w:t>涉及重要生境，</w:t>
      </w:r>
      <w:r>
        <w:rPr>
          <w:rFonts w:hint="default" w:ascii="Times New Roman" w:hAnsi="Times New Roman" w:cs="Times New Roman"/>
          <w:color w:val="auto"/>
          <w:kern w:val="0"/>
        </w:rPr>
        <w:t>项目在进行工程布置过程中均已对其进行避让，</w:t>
      </w:r>
      <w:r>
        <w:rPr>
          <w:rFonts w:hint="default" w:ascii="Times New Roman" w:hAnsi="Times New Roman" w:cs="Times New Roman"/>
          <w:color w:val="auto"/>
        </w:rPr>
        <w:t>且本项目不涉</w:t>
      </w:r>
      <w:r>
        <w:rPr>
          <w:rFonts w:hint="default" w:ascii="Times New Roman" w:hAnsi="Times New Roman" w:eastAsia="宋体" w:cs="Times New Roman"/>
          <w:color w:val="auto"/>
          <w:szCs w:val="24"/>
        </w:rPr>
        <w:t>及地下水</w:t>
      </w:r>
      <w:r>
        <w:rPr>
          <w:rFonts w:hint="default" w:ascii="Times New Roman" w:hAnsi="Times New Roman" w:eastAsia="宋体" w:cs="Times New Roman"/>
          <w:color w:val="auto"/>
          <w:szCs w:val="24"/>
          <w:highlight w:val="none"/>
        </w:rPr>
        <w:t>污染及土壤污染（判断依据：项目均属于《</w:t>
      </w:r>
      <w:r>
        <w:rPr>
          <w:rFonts w:hint="default" w:ascii="Times New Roman" w:hAnsi="Times New Roman" w:eastAsia="宋体" w:cs="Times New Roman"/>
          <w:color w:val="auto"/>
          <w:szCs w:val="24"/>
          <w:highlight w:val="none"/>
          <w:u w:val="none"/>
        </w:rPr>
        <w:t>环境影响评价评价技术导则  地下水环境</w:t>
      </w:r>
      <w:r>
        <w:rPr>
          <w:rFonts w:hint="default" w:ascii="Times New Roman" w:hAnsi="Times New Roman" w:eastAsia="宋体" w:cs="Times New Roman"/>
          <w:color w:val="auto"/>
          <w:szCs w:val="24"/>
          <w:highlight w:val="none"/>
        </w:rPr>
        <w:t>》</w:t>
      </w:r>
      <w:r>
        <w:rPr>
          <w:rFonts w:hint="default" w:ascii="Times New Roman" w:hAnsi="Times New Roman" w:eastAsia="宋体" w:cs="Times New Roman"/>
          <w:color w:val="auto"/>
          <w:szCs w:val="24"/>
        </w:rPr>
        <w:t>（HJ610-2016）和《环境影响评价技术导则  土壤环境（试行）》（HJ964-2018）中附录A的Ⅳ类项目，无需进行地下水及土壤评价）。此外，根据相关部门查询意见，本项目占地范围不涉及占用国家公园、自然保护区、森林公园、风景名胜区、草原公园、世界自然遗产地等生态敏感区。</w:t>
      </w:r>
    </w:p>
    <w:p w14:paraId="3B889860">
      <w:pPr>
        <w:widowControl/>
        <w:adjustRightInd w:val="0"/>
        <w:snapToGrid w:val="0"/>
        <w:spacing w:after="0" w:line="440" w:lineRule="exact"/>
        <w:ind w:firstLine="480"/>
        <w:rPr>
          <w:rFonts w:hint="default" w:ascii="Times New Roman" w:hAnsi="Times New Roman" w:cs="Times New Roman"/>
          <w:color w:val="auto"/>
          <w:szCs w:val="24"/>
          <w:lang w:val="zh-CN"/>
        </w:rPr>
      </w:pPr>
      <w:r>
        <w:rPr>
          <w:rFonts w:hint="default" w:ascii="Times New Roman" w:hAnsi="Times New Roman" w:eastAsia="宋体" w:cs="Times New Roman"/>
          <w:color w:val="auto"/>
          <w:szCs w:val="24"/>
        </w:rPr>
        <w:t>根据《环境影响评价技术导则生态影响》（HJ19-2022）6.1评价等级判定：涉及生态保护红线时，评价等级不低于二级；本项目为输变电工程，属线性工程，线性工程可分段确定评价等级。项目</w:t>
      </w:r>
      <w:r>
        <w:rPr>
          <w:rFonts w:hint="default" w:ascii="Times New Roman" w:hAnsi="Times New Roman" w:eastAsia="宋体" w:cs="Times New Roman"/>
          <w:bCs/>
          <w:color w:val="auto"/>
        </w:rPr>
        <w:t>输电线路塔基N7~N8之间约89.2m跨越生态保护红线，跨越金沙江下游—小江流域水土流失控制生态保护红线段塔基N7~N8</w:t>
      </w:r>
      <w:r>
        <w:rPr>
          <w:rFonts w:hint="default" w:ascii="Times New Roman" w:hAnsi="Times New Roman" w:eastAsia="宋体" w:cs="Times New Roman"/>
          <w:color w:val="auto"/>
          <w:szCs w:val="24"/>
        </w:rPr>
        <w:t>生态影响评价工作等级判定为二级</w:t>
      </w:r>
      <w:r>
        <w:rPr>
          <w:rFonts w:hint="default" w:ascii="Times New Roman" w:hAnsi="Times New Roman" w:eastAsia="宋体" w:cs="Times New Roman"/>
          <w:bCs/>
          <w:color w:val="auto"/>
        </w:rPr>
        <w:t>，其他</w:t>
      </w:r>
      <w:r>
        <w:rPr>
          <w:rFonts w:hint="default" w:ascii="Times New Roman" w:hAnsi="Times New Roman" w:eastAsia="宋体" w:cs="Times New Roman"/>
          <w:color w:val="auto"/>
          <w:szCs w:val="24"/>
        </w:rPr>
        <w:t>生态影响评价工作等级为</w:t>
      </w:r>
      <w:r>
        <w:rPr>
          <w:rFonts w:hint="default" w:ascii="Times New Roman" w:hAnsi="Times New Roman" w:eastAsia="宋体" w:cs="Times New Roman"/>
          <w:bCs/>
          <w:color w:val="auto"/>
        </w:rPr>
        <w:t>三级。</w:t>
      </w:r>
    </w:p>
    <w:p w14:paraId="024A7697">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201" w:name="_Toc5151"/>
      <w:bookmarkStart w:id="202" w:name="_Toc11111"/>
      <w:r>
        <w:rPr>
          <w:rFonts w:hint="default" w:ascii="Times New Roman" w:hAnsi="Times New Roman" w:eastAsia="宋体" w:cs="Times New Roman"/>
          <w:bCs w:val="0"/>
          <w:color w:val="auto"/>
          <w:kern w:val="0"/>
          <w:sz w:val="28"/>
          <w:szCs w:val="28"/>
          <w:lang w:val="zh-CN"/>
        </w:rPr>
        <w:t>1.4评价范围</w:t>
      </w:r>
      <w:bookmarkEnd w:id="201"/>
      <w:bookmarkEnd w:id="202"/>
    </w:p>
    <w:p w14:paraId="7DB43EEA">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rPr>
      </w:pPr>
      <w:r>
        <w:rPr>
          <w:rFonts w:hint="default" w:ascii="Times New Roman" w:hAnsi="Times New Roman" w:cs="Times New Roman"/>
          <w:color w:val="auto"/>
        </w:rPr>
        <w:t xml:space="preserve">根据《环境影响评价技术导则 </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rPr>
        <w:t>生态影响》（HJ19-2022），结合本项目特点、周边生态环境情况以及影响区的自然地形，本次生态影响评价区范围为：输电线路跨越生态保护红线段线路中心线向两侧外延1km、两端外延1km，其他区域线路向两侧外延300m区域。评价区总面积1072.183hm²，评价区海拔为</w:t>
      </w:r>
      <w:r>
        <w:rPr>
          <w:rFonts w:hint="eastAsia" w:ascii="Times New Roman" w:hAnsi="Times New Roman" w:cs="Times New Roman"/>
          <w:color w:val="auto"/>
          <w:lang w:eastAsia="zh-CN"/>
        </w:rPr>
        <w:t>1874—2648m</w:t>
      </w:r>
      <w:r>
        <w:rPr>
          <w:rFonts w:hint="default" w:ascii="Times New Roman" w:hAnsi="Times New Roman" w:cs="Times New Roman"/>
          <w:color w:val="auto"/>
        </w:rPr>
        <w:t>。</w:t>
      </w:r>
    </w:p>
    <w:p w14:paraId="06DEA2D5">
      <w:pPr>
        <w:pStyle w:val="139"/>
        <w:keepNext w:val="0"/>
        <w:keepLines w:val="0"/>
        <w:pageBreakBefore w:val="0"/>
        <w:widowControl w:val="0"/>
        <w:kinsoku/>
        <w:wordWrap/>
        <w:overflowPunct/>
        <w:topLinePunct w:val="0"/>
        <w:autoSpaceDE/>
        <w:autoSpaceDN/>
        <w:bidi w:val="0"/>
        <w:adjustRightInd w:val="0"/>
        <w:snapToGrid w:val="0"/>
        <w:spacing w:line="440" w:lineRule="exact"/>
        <w:ind w:firstLine="470"/>
        <w:textAlignment w:val="auto"/>
        <w:rPr>
          <w:rFonts w:hint="default" w:ascii="Times New Roman" w:hAnsi="Times New Roman" w:cs="Times New Roman"/>
          <w:color w:val="auto"/>
        </w:rPr>
      </w:pPr>
      <w:r>
        <w:rPr>
          <w:rFonts w:hint="default" w:ascii="Times New Roman" w:hAnsi="Times New Roman" w:cs="Times New Roman"/>
          <w:color w:val="auto"/>
        </w:rPr>
        <w:t>调查重点为工程占地区及周边邻近区域。</w:t>
      </w:r>
    </w:p>
    <w:p w14:paraId="26196753">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203" w:name="_Toc8976"/>
      <w:bookmarkStart w:id="204" w:name="_Toc22573"/>
      <w:r>
        <w:rPr>
          <w:rFonts w:hint="default" w:ascii="Times New Roman" w:hAnsi="Times New Roman" w:eastAsia="宋体" w:cs="Times New Roman"/>
          <w:bCs w:val="0"/>
          <w:color w:val="auto"/>
          <w:kern w:val="0"/>
          <w:sz w:val="28"/>
          <w:szCs w:val="28"/>
          <w:lang w:val="zh-CN"/>
        </w:rPr>
        <w:t>1.5生态保护目标</w:t>
      </w:r>
      <w:bookmarkEnd w:id="203"/>
      <w:bookmarkEnd w:id="204"/>
    </w:p>
    <w:p w14:paraId="379D997E">
      <w:pPr>
        <w:pStyle w:val="139"/>
        <w:adjustRightInd w:val="0"/>
        <w:snapToGrid w:val="0"/>
        <w:spacing w:line="440" w:lineRule="exact"/>
        <w:ind w:firstLine="420" w:firstLineChars="200"/>
        <w:rPr>
          <w:rFonts w:hint="default" w:ascii="Times New Roman" w:hAnsi="Times New Roman" w:cs="Times New Roman"/>
          <w:color w:val="auto"/>
          <w:lang w:val="zh-CN"/>
        </w:rPr>
      </w:pPr>
      <w:r>
        <w:rPr>
          <w:rFonts w:hint="default" w:ascii="Times New Roman" w:hAnsi="Times New Roman" w:cs="Times New Roman"/>
          <w:color w:val="auto"/>
          <w:kern w:val="0"/>
        </w:rPr>
        <w:t>项目生态保护目标为工程占地区（包括永久占地、临时占地）及占地区外延300m范围；项目</w:t>
      </w:r>
      <w:r>
        <w:rPr>
          <w:rFonts w:hint="default" w:ascii="Times New Roman" w:hAnsi="Times New Roman" w:cs="Times New Roman"/>
          <w:color w:val="auto"/>
        </w:rPr>
        <w:t>线路跨越生态保护红线</w:t>
      </w:r>
      <w:r>
        <w:rPr>
          <w:rFonts w:hint="default" w:ascii="Times New Roman" w:hAnsi="Times New Roman" w:cs="Times New Roman"/>
          <w:color w:val="auto"/>
          <w:kern w:val="0"/>
        </w:rPr>
        <w:t>段</w:t>
      </w:r>
      <w:r>
        <w:rPr>
          <w:rFonts w:hint="eastAsia" w:ascii="Times New Roman" w:hAnsi="Times New Roman" w:cs="Times New Roman"/>
          <w:color w:val="auto"/>
          <w:kern w:val="0"/>
          <w:lang w:val="en-US" w:eastAsia="zh-CN"/>
        </w:rPr>
        <w:t>两侧、两端</w:t>
      </w:r>
      <w:r>
        <w:rPr>
          <w:rFonts w:hint="default" w:ascii="Times New Roman" w:hAnsi="Times New Roman" w:cs="Times New Roman"/>
          <w:color w:val="auto"/>
          <w:kern w:val="0"/>
        </w:rPr>
        <w:t>外延1000m区域生态环境。</w:t>
      </w:r>
    </w:p>
    <w:p w14:paraId="61AB98D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根据</w:t>
      </w:r>
      <w:r>
        <w:rPr>
          <w:rFonts w:hint="eastAsia" w:ascii="Times New Roman" w:hAnsi="Times New Roman" w:cs="Times New Roman"/>
          <w:color w:val="auto"/>
          <w:sz w:val="24"/>
          <w:szCs w:val="24"/>
          <w:highlight w:val="none"/>
          <w:lang w:val="en-US" w:eastAsia="zh-CN"/>
        </w:rPr>
        <w:t>2026年6月23日</w:t>
      </w:r>
      <w:r>
        <w:rPr>
          <w:rFonts w:hint="eastAsia" w:ascii="Times New Roman" w:hAnsi="Times New Roman" w:eastAsia="宋体" w:cs="Times New Roman"/>
          <w:color w:val="auto"/>
          <w:sz w:val="24"/>
          <w:szCs w:val="24"/>
          <w:highlight w:val="none"/>
          <w:lang w:val="en-US" w:eastAsia="zh-CN"/>
        </w:rPr>
        <w:t>会泽县</w:t>
      </w:r>
      <w:r>
        <w:rPr>
          <w:rFonts w:hint="eastAsia" w:ascii="Times New Roman" w:hAnsi="Times New Roman" w:eastAsia="宋体" w:cs="Times New Roman"/>
          <w:color w:val="auto"/>
          <w:sz w:val="24"/>
          <w:szCs w:val="24"/>
          <w:highlight w:val="none"/>
          <w:lang w:eastAsia="zh-CN"/>
        </w:rPr>
        <w:t>林业和草原局关于大</w:t>
      </w:r>
      <w:r>
        <w:rPr>
          <w:rFonts w:hint="eastAsia" w:ascii="Times New Roman" w:hAnsi="Times New Roman" w:eastAsia="宋体" w:cs="Times New Roman"/>
          <w:color w:val="auto"/>
          <w:sz w:val="24"/>
          <w:szCs w:val="24"/>
          <w:highlight w:val="none"/>
          <w:lang w:val="en-US" w:eastAsia="zh-CN"/>
        </w:rPr>
        <w:t>草房</w:t>
      </w:r>
      <w:r>
        <w:rPr>
          <w:rFonts w:hint="eastAsia" w:ascii="Times New Roman" w:hAnsi="Times New Roman" w:eastAsia="宋体" w:cs="Times New Roman"/>
          <w:color w:val="auto"/>
          <w:sz w:val="24"/>
          <w:szCs w:val="24"/>
          <w:highlight w:val="none"/>
          <w:lang w:eastAsia="zh-CN"/>
        </w:rPr>
        <w:t>至</w:t>
      </w:r>
      <w:r>
        <w:rPr>
          <w:rFonts w:hint="eastAsia" w:ascii="Times New Roman" w:hAnsi="Times New Roman" w:eastAsia="宋体" w:cs="Times New Roman"/>
          <w:color w:val="auto"/>
          <w:sz w:val="24"/>
          <w:szCs w:val="24"/>
          <w:highlight w:val="none"/>
          <w:lang w:val="en-US" w:eastAsia="zh-CN"/>
        </w:rPr>
        <w:t>六合一11</w:t>
      </w:r>
      <w:r>
        <w:rPr>
          <w:rFonts w:hint="eastAsia" w:ascii="Times New Roman" w:hAnsi="Times New Roman" w:eastAsia="宋体" w:cs="Times New Roman"/>
          <w:color w:val="auto"/>
          <w:sz w:val="24"/>
          <w:szCs w:val="24"/>
          <w:highlight w:val="none"/>
          <w:lang w:eastAsia="zh-CN"/>
        </w:rPr>
        <w:t>0</w:t>
      </w:r>
      <w:r>
        <w:rPr>
          <w:rFonts w:hint="eastAsia" w:ascii="Times New Roman" w:hAnsi="Times New Roman" w:cs="Times New Roman"/>
          <w:color w:val="auto"/>
          <w:sz w:val="24"/>
          <w:szCs w:val="24"/>
          <w:highlight w:val="none"/>
          <w:lang w:val="en-US" w:eastAsia="zh-CN"/>
        </w:rPr>
        <w:t>k</w:t>
      </w:r>
      <w:r>
        <w:rPr>
          <w:rFonts w:hint="eastAsia" w:ascii="Times New Roman" w:hAnsi="Times New Roman" w:eastAsia="宋体" w:cs="Times New Roman"/>
          <w:color w:val="auto"/>
          <w:sz w:val="24"/>
          <w:szCs w:val="24"/>
          <w:highlight w:val="none"/>
          <w:lang w:eastAsia="zh-CN"/>
        </w:rPr>
        <w:t>V</w:t>
      </w:r>
      <w:r>
        <w:rPr>
          <w:rFonts w:hint="eastAsia" w:ascii="Times New Roman" w:hAnsi="Times New Roman" w:eastAsia="宋体" w:cs="Times New Roman"/>
          <w:color w:val="auto"/>
          <w:sz w:val="24"/>
          <w:szCs w:val="24"/>
          <w:highlight w:val="none"/>
          <w:lang w:val="en-US" w:eastAsia="zh-CN"/>
        </w:rPr>
        <w:t>联络</w:t>
      </w:r>
      <w:r>
        <w:rPr>
          <w:rFonts w:hint="eastAsia" w:ascii="Times New Roman" w:hAnsi="Times New Roman" w:eastAsia="宋体" w:cs="Times New Roman"/>
          <w:color w:val="auto"/>
          <w:sz w:val="24"/>
          <w:szCs w:val="24"/>
          <w:highlight w:val="none"/>
          <w:lang w:eastAsia="zh-CN"/>
        </w:rPr>
        <w:t>线路工程情况说明</w:t>
      </w:r>
      <w:r>
        <w:rPr>
          <w:rFonts w:hint="eastAsia" w:ascii="Times New Roman" w:hAnsi="Times New Roman" w:cs="Times New Roman"/>
          <w:color w:val="auto"/>
          <w:sz w:val="24"/>
          <w:szCs w:val="24"/>
          <w:highlight w:val="none"/>
          <w:lang w:eastAsia="zh-CN"/>
        </w:rPr>
        <w:t>，会泽县大草房至六合一110kV联络线路工程不涉及占用自然保护区（地）（包括：自然保护区、自然公园、风景名胜区）。</w:t>
      </w:r>
    </w:p>
    <w:p w14:paraId="34165569">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项目生态影响评价范围内包括暖温性针叶林、暖温性稀树灌草丛和暖性石灰岩灌丛和人工植被等</w:t>
      </w:r>
      <w:r>
        <w:rPr>
          <w:rFonts w:hint="default" w:ascii="Times New Roman" w:hAnsi="Times New Roman" w:eastAsia="宋体" w:cs="Times New Roman"/>
          <w:color w:val="auto"/>
          <w:szCs w:val="21"/>
        </w:rPr>
        <w:t>。工</w:t>
      </w:r>
      <w:r>
        <w:rPr>
          <w:rFonts w:hint="default" w:ascii="Times New Roman" w:hAnsi="Times New Roman" w:eastAsia="宋体" w:cs="Times New Roman"/>
          <w:color w:val="auto"/>
          <w:szCs w:val="24"/>
        </w:rPr>
        <w:t>程实施过程中需保护工程生态影响区的生态系统完整性，主要对受工程建设影响的植被及野生动植物进行保护，竣工后尽快恢复因工程建设受损的生态环境及生物减少量，减少对野生动物生境及野生动物活动的影响。</w:t>
      </w:r>
    </w:p>
    <w:p w14:paraId="57D7606E">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生态环境保护目标见表1.5-1。</w:t>
      </w:r>
    </w:p>
    <w:p w14:paraId="7C9B3A24">
      <w:pPr>
        <w:adjustRightInd w:val="0"/>
        <w:snapToGrid w:val="0"/>
        <w:spacing w:after="0" w:line="240" w:lineRule="auto"/>
        <w:ind w:firstLine="482"/>
        <w:jc w:val="center"/>
        <w:rPr>
          <w:rFonts w:hint="default" w:ascii="Times New Roman" w:hAnsi="Times New Roman" w:eastAsia="宋体" w:cs="Times New Roman"/>
          <w:b/>
          <w:bCs/>
          <w:color w:val="auto"/>
          <w:szCs w:val="24"/>
        </w:rPr>
      </w:pPr>
      <w:r>
        <w:rPr>
          <w:rFonts w:hint="default" w:ascii="Times New Roman" w:hAnsi="Times New Roman" w:eastAsia="宋体" w:cs="Times New Roman"/>
          <w:b/>
          <w:bCs/>
          <w:color w:val="auto"/>
          <w:szCs w:val="24"/>
        </w:rPr>
        <w:t>表1.5-1  生态环境保护目标一览表</w:t>
      </w:r>
    </w:p>
    <w:tbl>
      <w:tblPr>
        <w:tblStyle w:val="30"/>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1" w:type="dxa"/>
          <w:bottom w:w="0" w:type="dxa"/>
          <w:right w:w="51" w:type="dxa"/>
        </w:tblCellMar>
      </w:tblPr>
      <w:tblGrid>
        <w:gridCol w:w="501"/>
        <w:gridCol w:w="469"/>
        <w:gridCol w:w="2181"/>
        <w:gridCol w:w="2897"/>
        <w:gridCol w:w="1042"/>
        <w:gridCol w:w="1313"/>
      </w:tblGrid>
      <w:tr w14:paraId="24E662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312" w:hRule="atLeast"/>
          <w:jc w:val="center"/>
        </w:trPr>
        <w:tc>
          <w:tcPr>
            <w:tcW w:w="298" w:type="pct"/>
            <w:tcBorders>
              <w:tl2br w:val="nil"/>
              <w:tr2bl w:val="nil"/>
            </w:tcBorders>
            <w:vAlign w:val="center"/>
          </w:tcPr>
          <w:p w14:paraId="6A1283A4">
            <w:pPr>
              <w:adjustRightInd w:val="0"/>
              <w:snapToGrid w:val="0"/>
              <w:spacing w:after="0" w:line="240" w:lineRule="auto"/>
              <w:ind w:firstLine="0" w:firstLineChars="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序号</w:t>
            </w:r>
          </w:p>
        </w:tc>
        <w:tc>
          <w:tcPr>
            <w:tcW w:w="1576" w:type="pct"/>
            <w:gridSpan w:val="2"/>
            <w:tcBorders>
              <w:tl2br w:val="nil"/>
              <w:tr2bl w:val="nil"/>
            </w:tcBorders>
            <w:vAlign w:val="center"/>
          </w:tcPr>
          <w:p w14:paraId="6351217D">
            <w:pPr>
              <w:adjustRightInd w:val="0"/>
              <w:snapToGrid w:val="0"/>
              <w:spacing w:after="0" w:line="240" w:lineRule="auto"/>
              <w:ind w:firstLine="0" w:firstLineChars="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环境保护目标</w:t>
            </w:r>
          </w:p>
        </w:tc>
        <w:tc>
          <w:tcPr>
            <w:tcW w:w="1723" w:type="pct"/>
            <w:tcBorders>
              <w:tl2br w:val="nil"/>
              <w:tr2bl w:val="nil"/>
            </w:tcBorders>
            <w:vAlign w:val="center"/>
          </w:tcPr>
          <w:p w14:paraId="3A7E9C5D">
            <w:pPr>
              <w:adjustRightInd w:val="0"/>
              <w:snapToGrid w:val="0"/>
              <w:spacing w:after="0" w:line="240" w:lineRule="auto"/>
              <w:ind w:firstLine="0" w:firstLineChars="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项目与环境保护目标关系</w:t>
            </w:r>
          </w:p>
        </w:tc>
        <w:tc>
          <w:tcPr>
            <w:tcW w:w="620" w:type="pct"/>
            <w:tcBorders>
              <w:tl2br w:val="nil"/>
              <w:tr2bl w:val="nil"/>
            </w:tcBorders>
            <w:vAlign w:val="center"/>
          </w:tcPr>
          <w:p w14:paraId="26418177">
            <w:pPr>
              <w:adjustRightInd w:val="0"/>
              <w:snapToGrid w:val="0"/>
              <w:spacing w:after="0" w:line="240" w:lineRule="auto"/>
              <w:ind w:firstLine="0" w:firstLineChars="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影响因素</w:t>
            </w:r>
          </w:p>
        </w:tc>
        <w:tc>
          <w:tcPr>
            <w:tcW w:w="781" w:type="pct"/>
            <w:tcBorders>
              <w:tl2br w:val="nil"/>
              <w:tr2bl w:val="nil"/>
            </w:tcBorders>
            <w:vAlign w:val="center"/>
          </w:tcPr>
          <w:p w14:paraId="3A10785D">
            <w:pPr>
              <w:adjustRightInd w:val="0"/>
              <w:snapToGrid w:val="0"/>
              <w:spacing w:after="0" w:line="240" w:lineRule="auto"/>
              <w:ind w:firstLine="0" w:firstLineChars="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保护要求</w:t>
            </w:r>
          </w:p>
        </w:tc>
      </w:tr>
      <w:tr w14:paraId="066A92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312" w:hRule="atLeast"/>
          <w:jc w:val="center"/>
        </w:trPr>
        <w:tc>
          <w:tcPr>
            <w:tcW w:w="298" w:type="pct"/>
            <w:tcBorders>
              <w:tl2br w:val="nil"/>
              <w:tr2bl w:val="nil"/>
            </w:tcBorders>
            <w:vAlign w:val="center"/>
          </w:tcPr>
          <w:p w14:paraId="355307C3">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576" w:type="pct"/>
            <w:gridSpan w:val="2"/>
            <w:tcBorders>
              <w:tl2br w:val="nil"/>
              <w:tr2bl w:val="nil"/>
            </w:tcBorders>
            <w:vAlign w:val="center"/>
          </w:tcPr>
          <w:p w14:paraId="4D5DA2A0">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自然植被：暖温性针叶林、暖温性稀树灌草丛和暖性石灰岩灌丛、人工植被等</w:t>
            </w:r>
          </w:p>
        </w:tc>
        <w:tc>
          <w:tcPr>
            <w:tcW w:w="1723" w:type="pct"/>
            <w:tcBorders>
              <w:tl2br w:val="nil"/>
              <w:tr2bl w:val="nil"/>
            </w:tcBorders>
            <w:vAlign w:val="center"/>
          </w:tcPr>
          <w:p w14:paraId="1C34A55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工程占地及占地外主要影响的自然植被类型为暖温性针叶林、暖温性稀树灌草丛和暖性石灰岩灌丛</w:t>
            </w:r>
            <w:r>
              <w:rPr>
                <w:rFonts w:hint="default" w:ascii="Times New Roman" w:hAnsi="Times New Roman" w:cs="Times New Roman"/>
                <w:bCs/>
                <w:color w:val="auto"/>
                <w:kern w:val="0"/>
                <w:sz w:val="21"/>
                <w:szCs w:val="21"/>
              </w:rPr>
              <w:t>、人工植被等</w:t>
            </w:r>
            <w:r>
              <w:rPr>
                <w:rFonts w:hint="default" w:ascii="Times New Roman" w:hAnsi="Times New Roman" w:eastAsia="宋体" w:cs="Times New Roman"/>
                <w:color w:val="auto"/>
                <w:sz w:val="21"/>
                <w:szCs w:val="21"/>
              </w:rPr>
              <w:t>。</w:t>
            </w:r>
          </w:p>
        </w:tc>
        <w:tc>
          <w:tcPr>
            <w:tcW w:w="620" w:type="pct"/>
            <w:tcBorders>
              <w:tl2br w:val="nil"/>
              <w:tr2bl w:val="nil"/>
            </w:tcBorders>
            <w:vAlign w:val="center"/>
          </w:tcPr>
          <w:p w14:paraId="2AB81D4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工程占地、施工活动干扰</w:t>
            </w:r>
          </w:p>
        </w:tc>
        <w:tc>
          <w:tcPr>
            <w:tcW w:w="781" w:type="pct"/>
            <w:tcBorders>
              <w:tl2br w:val="nil"/>
              <w:tr2bl w:val="nil"/>
            </w:tcBorders>
            <w:vAlign w:val="center"/>
          </w:tcPr>
          <w:p w14:paraId="7447ED6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保持评价区内生态系统稳定性和完整性</w:t>
            </w:r>
          </w:p>
        </w:tc>
      </w:tr>
      <w:tr w14:paraId="59A856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312" w:hRule="atLeast"/>
          <w:jc w:val="center"/>
        </w:trPr>
        <w:tc>
          <w:tcPr>
            <w:tcW w:w="298" w:type="pct"/>
            <w:tcBorders>
              <w:tl2br w:val="nil"/>
              <w:tr2bl w:val="nil"/>
            </w:tcBorders>
            <w:vAlign w:val="center"/>
          </w:tcPr>
          <w:p w14:paraId="4173F6F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1576" w:type="pct"/>
            <w:gridSpan w:val="2"/>
            <w:tcBorders>
              <w:tl2br w:val="nil"/>
              <w:tr2bl w:val="nil"/>
            </w:tcBorders>
            <w:vAlign w:val="center"/>
          </w:tcPr>
          <w:p w14:paraId="18D7384E">
            <w:pPr>
              <w:autoSpaceDE w:val="0"/>
              <w:autoSpaceDN w:val="0"/>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野生维管植物资源（47</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种），</w:t>
            </w:r>
            <w:r>
              <w:rPr>
                <w:rFonts w:hint="default" w:ascii="Times New Roman" w:hAnsi="Times New Roman" w:eastAsia="宋体" w:cs="Times New Roman"/>
                <w:color w:val="auto"/>
                <w:sz w:val="21"/>
                <w:szCs w:val="21"/>
                <w:lang w:val="zh-CN"/>
              </w:rPr>
              <w:t>隶属于</w:t>
            </w:r>
            <w:r>
              <w:rPr>
                <w:rFonts w:hint="default" w:ascii="Times New Roman" w:hAnsi="Times New Roman" w:eastAsia="宋体" w:cs="Times New Roman"/>
                <w:color w:val="auto"/>
                <w:sz w:val="21"/>
                <w:szCs w:val="21"/>
              </w:rPr>
              <w:t>98</w:t>
            </w:r>
            <w:r>
              <w:rPr>
                <w:rFonts w:hint="default" w:ascii="Times New Roman" w:hAnsi="Times New Roman" w:eastAsia="宋体" w:cs="Times New Roman"/>
                <w:color w:val="auto"/>
                <w:sz w:val="21"/>
                <w:szCs w:val="21"/>
                <w:lang w:val="zh-CN"/>
              </w:rPr>
              <w:t>科、</w:t>
            </w:r>
            <w:r>
              <w:rPr>
                <w:rFonts w:hint="default" w:ascii="Times New Roman" w:hAnsi="Times New Roman" w:eastAsia="宋体" w:cs="Times New Roman"/>
                <w:color w:val="auto"/>
                <w:sz w:val="21"/>
                <w:szCs w:val="21"/>
              </w:rPr>
              <w:t>327</w:t>
            </w:r>
            <w:r>
              <w:rPr>
                <w:rFonts w:hint="default" w:ascii="Times New Roman" w:hAnsi="Times New Roman" w:eastAsia="宋体" w:cs="Times New Roman"/>
                <w:color w:val="auto"/>
                <w:sz w:val="21"/>
                <w:szCs w:val="21"/>
                <w:lang w:val="zh-CN"/>
              </w:rPr>
              <w:t>属。其中蕨类植物有</w:t>
            </w:r>
            <w:r>
              <w:rPr>
                <w:rFonts w:hint="default" w:ascii="Times New Roman" w:hAnsi="Times New Roman" w:eastAsia="宋体" w:cs="Times New Roman"/>
                <w:color w:val="auto"/>
                <w:sz w:val="21"/>
                <w:szCs w:val="21"/>
              </w:rPr>
              <w:t>11</w:t>
            </w:r>
            <w:r>
              <w:rPr>
                <w:rFonts w:hint="default" w:ascii="Times New Roman" w:hAnsi="Times New Roman" w:eastAsia="宋体" w:cs="Times New Roman"/>
                <w:color w:val="auto"/>
                <w:sz w:val="21"/>
                <w:szCs w:val="21"/>
                <w:lang w:val="zh-CN"/>
              </w:rPr>
              <w:t>科、</w:t>
            </w:r>
            <w:r>
              <w:rPr>
                <w:rFonts w:hint="default" w:ascii="Times New Roman" w:hAnsi="Times New Roman" w:eastAsia="宋体" w:cs="Times New Roman"/>
                <w:color w:val="auto"/>
                <w:sz w:val="21"/>
                <w:szCs w:val="21"/>
              </w:rPr>
              <w:t>15</w:t>
            </w:r>
            <w:r>
              <w:rPr>
                <w:rFonts w:hint="default" w:ascii="Times New Roman" w:hAnsi="Times New Roman" w:eastAsia="宋体" w:cs="Times New Roman"/>
                <w:color w:val="auto"/>
                <w:sz w:val="21"/>
                <w:szCs w:val="21"/>
                <w:lang w:val="zh-CN"/>
              </w:rPr>
              <w:t>属、</w:t>
            </w:r>
            <w:r>
              <w:rPr>
                <w:rFonts w:hint="default" w:ascii="Times New Roman" w:hAnsi="Times New Roman" w:eastAsia="宋体" w:cs="Times New Roman"/>
                <w:color w:val="auto"/>
                <w:sz w:val="21"/>
                <w:szCs w:val="21"/>
              </w:rPr>
              <w:t>20</w:t>
            </w:r>
            <w:r>
              <w:rPr>
                <w:rFonts w:hint="default" w:ascii="Times New Roman" w:hAnsi="Times New Roman" w:eastAsia="宋体" w:cs="Times New Roman"/>
                <w:color w:val="auto"/>
                <w:sz w:val="21"/>
                <w:szCs w:val="21"/>
                <w:lang w:val="zh-CN"/>
              </w:rPr>
              <w:t>种；裸子植物有3科、4属、5种；被子植物有8</w:t>
            </w:r>
            <w:r>
              <w:rPr>
                <w:rFonts w:hint="eastAsia" w:ascii="Times New Roman" w:hAnsi="Times New Roman" w:eastAsia="宋体" w:cs="Times New Roman"/>
                <w:color w:val="auto"/>
                <w:sz w:val="21"/>
                <w:szCs w:val="21"/>
                <w:lang w:val="en-US" w:eastAsia="zh-CN"/>
              </w:rPr>
              <w:t>8</w:t>
            </w:r>
            <w:r>
              <w:rPr>
                <w:rFonts w:hint="default" w:ascii="Times New Roman" w:hAnsi="Times New Roman" w:eastAsia="宋体" w:cs="Times New Roman"/>
                <w:color w:val="auto"/>
                <w:sz w:val="21"/>
                <w:szCs w:val="21"/>
                <w:lang w:val="zh-CN"/>
              </w:rPr>
              <w:t>科、3</w:t>
            </w:r>
            <w:r>
              <w:rPr>
                <w:rFonts w:hint="eastAsia" w:ascii="Times New Roman" w:hAnsi="Times New Roman" w:eastAsia="宋体" w:cs="Times New Roman"/>
                <w:color w:val="auto"/>
                <w:sz w:val="21"/>
                <w:szCs w:val="21"/>
                <w:lang w:val="en-US" w:eastAsia="zh-CN"/>
              </w:rPr>
              <w:t>17</w:t>
            </w:r>
            <w:r>
              <w:rPr>
                <w:rFonts w:hint="default" w:ascii="Times New Roman" w:hAnsi="Times New Roman" w:eastAsia="宋体" w:cs="Times New Roman"/>
                <w:color w:val="auto"/>
                <w:sz w:val="21"/>
                <w:szCs w:val="21"/>
                <w:lang w:val="zh-CN"/>
              </w:rPr>
              <w:t>属、4</w:t>
            </w:r>
            <w:r>
              <w:rPr>
                <w:rFonts w:hint="eastAsia" w:ascii="Times New Roman" w:hAnsi="Times New Roman" w:eastAsia="宋体" w:cs="Times New Roman"/>
                <w:color w:val="auto"/>
                <w:sz w:val="21"/>
                <w:szCs w:val="21"/>
                <w:lang w:val="en-US" w:eastAsia="zh-CN"/>
              </w:rPr>
              <w:t>48</w:t>
            </w:r>
            <w:r>
              <w:rPr>
                <w:rFonts w:hint="default" w:ascii="Times New Roman" w:hAnsi="Times New Roman" w:eastAsia="宋体" w:cs="Times New Roman"/>
                <w:color w:val="auto"/>
                <w:sz w:val="21"/>
                <w:szCs w:val="21"/>
                <w:lang w:val="zh-CN"/>
              </w:rPr>
              <w:t>种。无国家级、云南省级野生保护植物，无珍稀濒危植物，无极小种群物种，无狭域特有物种，无名木古树分布。</w:t>
            </w:r>
          </w:p>
        </w:tc>
        <w:tc>
          <w:tcPr>
            <w:tcW w:w="1723" w:type="pct"/>
            <w:tcBorders>
              <w:tl2br w:val="nil"/>
              <w:tr2bl w:val="nil"/>
            </w:tcBorders>
            <w:vAlign w:val="center"/>
          </w:tcPr>
          <w:p w14:paraId="1397CD7F">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野生植物资源在评价区内广泛分布，不涉及占用国家及云南省保护植物，不涉及工程区域及曲靖市特有物种</w:t>
            </w:r>
          </w:p>
        </w:tc>
        <w:tc>
          <w:tcPr>
            <w:tcW w:w="620" w:type="pct"/>
            <w:tcBorders>
              <w:tl2br w:val="nil"/>
              <w:tr2bl w:val="nil"/>
            </w:tcBorders>
            <w:vAlign w:val="center"/>
          </w:tcPr>
          <w:p w14:paraId="41B34DB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工程占地、施工活动干扰</w:t>
            </w:r>
          </w:p>
        </w:tc>
        <w:tc>
          <w:tcPr>
            <w:tcW w:w="781" w:type="pct"/>
            <w:tcBorders>
              <w:tl2br w:val="nil"/>
              <w:tr2bl w:val="nil"/>
            </w:tcBorders>
            <w:vAlign w:val="center"/>
          </w:tcPr>
          <w:p w14:paraId="16B93163">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保护评价区内野生植物资源不受较大影响</w:t>
            </w:r>
          </w:p>
        </w:tc>
      </w:tr>
      <w:tr w14:paraId="411A6E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312" w:hRule="atLeast"/>
          <w:jc w:val="center"/>
        </w:trPr>
        <w:tc>
          <w:tcPr>
            <w:tcW w:w="298" w:type="pct"/>
            <w:tcBorders>
              <w:tl2br w:val="nil"/>
              <w:tr2bl w:val="nil"/>
            </w:tcBorders>
            <w:vAlign w:val="center"/>
          </w:tcPr>
          <w:p w14:paraId="2A0BDE9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279" w:type="pct"/>
            <w:tcBorders>
              <w:tl2br w:val="nil"/>
              <w:tr2bl w:val="nil"/>
            </w:tcBorders>
            <w:vAlign w:val="center"/>
          </w:tcPr>
          <w:p w14:paraId="2467427D">
            <w:pPr>
              <w:autoSpaceDE w:val="0"/>
              <w:autoSpaceDN w:val="0"/>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野生</w:t>
            </w:r>
          </w:p>
          <w:p w14:paraId="286E8403">
            <w:pPr>
              <w:autoSpaceDE w:val="0"/>
              <w:autoSpaceDN w:val="0"/>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动物</w:t>
            </w:r>
          </w:p>
          <w:p w14:paraId="32CB2F52">
            <w:pPr>
              <w:autoSpaceDE w:val="0"/>
              <w:autoSpaceDN w:val="0"/>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w:t>
            </w:r>
          </w:p>
        </w:tc>
        <w:tc>
          <w:tcPr>
            <w:tcW w:w="1297" w:type="pct"/>
            <w:tcBorders>
              <w:tl2br w:val="nil"/>
              <w:tr2bl w:val="nil"/>
            </w:tcBorders>
            <w:vAlign w:val="center"/>
          </w:tcPr>
          <w:p w14:paraId="339D72FE">
            <w:pPr>
              <w:widowControl/>
              <w:adjustRightInd w:val="0"/>
              <w:snapToGrid w:val="0"/>
              <w:spacing w:line="240" w:lineRule="auto"/>
              <w:ind w:firstLine="0" w:firstLineChars="0"/>
              <w:jc w:val="center"/>
              <w:rPr>
                <w:rFonts w:hint="default" w:ascii="Times New Roman" w:hAnsi="Times New Roman" w:eastAsia="宋体" w:cs="Times New Roman"/>
                <w:bCs/>
                <w:color w:val="auto"/>
                <w:kern w:val="0"/>
                <w:sz w:val="21"/>
                <w:szCs w:val="21"/>
                <w:lang w:val="zh-CN" w:eastAsia="zh-CN"/>
              </w:rPr>
            </w:pPr>
            <w:r>
              <w:rPr>
                <w:rFonts w:hint="default" w:ascii="Times New Roman" w:hAnsi="Times New Roman" w:eastAsia="宋体" w:cs="Times New Roman"/>
                <w:bCs/>
                <w:color w:val="auto"/>
                <w:kern w:val="0"/>
                <w:sz w:val="21"/>
                <w:szCs w:val="21"/>
                <w:lang w:val="zh-CN"/>
              </w:rPr>
              <w:t>野生动物</w:t>
            </w:r>
            <w:r>
              <w:rPr>
                <w:rFonts w:hint="default" w:ascii="Times New Roman" w:hAnsi="Times New Roman" w:eastAsia="宋体" w:cs="Times New Roman"/>
                <w:bCs/>
                <w:color w:val="auto"/>
                <w:kern w:val="0"/>
                <w:sz w:val="21"/>
                <w:szCs w:val="21"/>
              </w:rPr>
              <w:t>7</w:t>
            </w:r>
            <w:r>
              <w:rPr>
                <w:rFonts w:hint="eastAsia" w:ascii="Times New Roman" w:hAnsi="Times New Roman" w:eastAsia="宋体" w:cs="Times New Roman"/>
                <w:bCs/>
                <w:color w:val="auto"/>
                <w:kern w:val="0"/>
                <w:sz w:val="21"/>
                <w:szCs w:val="21"/>
                <w:lang w:val="en-US" w:eastAsia="zh-CN"/>
              </w:rPr>
              <w:t>3</w:t>
            </w:r>
            <w:r>
              <w:rPr>
                <w:rFonts w:hint="default" w:ascii="Times New Roman" w:hAnsi="Times New Roman" w:eastAsia="宋体" w:cs="Times New Roman"/>
                <w:bCs/>
                <w:color w:val="auto"/>
                <w:kern w:val="0"/>
                <w:sz w:val="21"/>
                <w:szCs w:val="21"/>
                <w:lang w:val="zh-CN"/>
              </w:rPr>
              <w:t>种，其中两栖类</w:t>
            </w:r>
            <w:r>
              <w:rPr>
                <w:rFonts w:hint="default" w:ascii="Times New Roman" w:hAnsi="Times New Roman" w:eastAsia="宋体" w:cs="Times New Roman"/>
                <w:bCs/>
                <w:color w:val="auto"/>
                <w:kern w:val="0"/>
                <w:sz w:val="21"/>
                <w:szCs w:val="21"/>
              </w:rPr>
              <w:t>6</w:t>
            </w:r>
            <w:r>
              <w:rPr>
                <w:rFonts w:hint="default" w:ascii="Times New Roman" w:hAnsi="Times New Roman" w:eastAsia="宋体" w:cs="Times New Roman"/>
                <w:bCs/>
                <w:color w:val="auto"/>
                <w:kern w:val="0"/>
                <w:sz w:val="21"/>
                <w:szCs w:val="21"/>
                <w:lang w:val="zh-CN"/>
              </w:rPr>
              <w:t>种，爬行动物</w:t>
            </w:r>
            <w:r>
              <w:rPr>
                <w:rFonts w:hint="eastAsia" w:ascii="Times New Roman" w:hAnsi="Times New Roman" w:eastAsia="宋体" w:cs="Times New Roman"/>
                <w:bCs/>
                <w:color w:val="auto"/>
                <w:kern w:val="0"/>
                <w:sz w:val="21"/>
                <w:szCs w:val="21"/>
                <w:lang w:val="en-US" w:eastAsia="zh-CN"/>
              </w:rPr>
              <w:t>6</w:t>
            </w:r>
            <w:r>
              <w:rPr>
                <w:rFonts w:hint="default" w:ascii="Times New Roman" w:hAnsi="Times New Roman" w:eastAsia="宋体" w:cs="Times New Roman"/>
                <w:bCs/>
                <w:color w:val="auto"/>
                <w:kern w:val="0"/>
                <w:sz w:val="21"/>
                <w:szCs w:val="21"/>
                <w:lang w:val="zh-CN"/>
              </w:rPr>
              <w:t>种，鸟类</w:t>
            </w:r>
            <w:r>
              <w:rPr>
                <w:rFonts w:hint="default" w:ascii="Times New Roman" w:hAnsi="Times New Roman" w:eastAsia="宋体" w:cs="Times New Roman"/>
                <w:bCs/>
                <w:color w:val="auto"/>
                <w:kern w:val="0"/>
                <w:sz w:val="21"/>
                <w:szCs w:val="21"/>
              </w:rPr>
              <w:t>51</w:t>
            </w:r>
            <w:r>
              <w:rPr>
                <w:rFonts w:hint="default" w:ascii="Times New Roman" w:hAnsi="Times New Roman" w:eastAsia="宋体" w:cs="Times New Roman"/>
                <w:bCs/>
                <w:color w:val="auto"/>
                <w:kern w:val="0"/>
                <w:sz w:val="21"/>
                <w:szCs w:val="21"/>
                <w:lang w:val="zh-CN"/>
              </w:rPr>
              <w:t>种，哺乳类</w:t>
            </w:r>
            <w:r>
              <w:rPr>
                <w:rFonts w:hint="eastAsia" w:ascii="Times New Roman" w:hAnsi="Times New Roman" w:eastAsia="宋体" w:cs="Times New Roman"/>
                <w:bCs/>
                <w:color w:val="auto"/>
                <w:kern w:val="0"/>
                <w:sz w:val="21"/>
                <w:szCs w:val="21"/>
                <w:lang w:val="en-US" w:eastAsia="zh-CN"/>
              </w:rPr>
              <w:t>10</w:t>
            </w:r>
            <w:r>
              <w:rPr>
                <w:rFonts w:hint="default" w:ascii="Times New Roman" w:hAnsi="Times New Roman" w:cs="Times New Roman"/>
                <w:bCs/>
                <w:color w:val="auto"/>
                <w:kern w:val="0"/>
                <w:sz w:val="21"/>
                <w:szCs w:val="21"/>
              </w:rPr>
              <w:t>种</w:t>
            </w:r>
            <w:r>
              <w:rPr>
                <w:rFonts w:hint="default" w:ascii="Times New Roman" w:hAnsi="Times New Roman" w:eastAsia="宋体" w:cs="Times New Roman"/>
                <w:bCs/>
                <w:color w:val="auto"/>
                <w:kern w:val="0"/>
                <w:sz w:val="21"/>
                <w:szCs w:val="21"/>
                <w:lang w:val="zh-CN"/>
              </w:rPr>
              <w:t>。有国家重点保护野生动物</w:t>
            </w:r>
            <w:r>
              <w:rPr>
                <w:rFonts w:hint="default" w:ascii="Times New Roman" w:hAnsi="Times New Roman" w:eastAsia="宋体" w:cs="Times New Roman"/>
                <w:bCs/>
                <w:color w:val="auto"/>
                <w:kern w:val="0"/>
                <w:sz w:val="21"/>
                <w:szCs w:val="21"/>
                <w:lang w:val="zh-CN" w:eastAsia="zh-CN"/>
              </w:rPr>
              <w:t>5</w:t>
            </w:r>
            <w:r>
              <w:rPr>
                <w:rFonts w:hint="default" w:ascii="Times New Roman" w:hAnsi="Times New Roman" w:eastAsia="宋体" w:cs="Times New Roman"/>
                <w:bCs/>
                <w:color w:val="auto"/>
                <w:kern w:val="0"/>
                <w:sz w:val="21"/>
                <w:szCs w:val="21"/>
                <w:lang w:val="zh-CN"/>
              </w:rPr>
              <w:t>种</w:t>
            </w:r>
            <w:r>
              <w:rPr>
                <w:rFonts w:hint="default" w:ascii="Times New Roman" w:hAnsi="Times New Roman" w:eastAsia="宋体" w:cs="Times New Roman"/>
                <w:bCs/>
                <w:color w:val="auto"/>
                <w:kern w:val="0"/>
                <w:sz w:val="21"/>
                <w:szCs w:val="21"/>
                <w:lang w:val="zh-CN" w:eastAsia="zh-CN"/>
              </w:rPr>
              <w:t>，其中</w:t>
            </w:r>
            <w:r>
              <w:rPr>
                <w:rFonts w:hint="default" w:ascii="Times New Roman" w:hAnsi="Times New Roman" w:eastAsia="宋体" w:cs="Times New Roman"/>
                <w:bCs/>
                <w:color w:val="auto"/>
                <w:kern w:val="0"/>
                <w:sz w:val="21"/>
                <w:szCs w:val="21"/>
                <w:lang w:val="zh-CN"/>
              </w:rPr>
              <w:t>国家二级重点保护野生鸟类</w:t>
            </w:r>
            <w:r>
              <w:rPr>
                <w:rFonts w:hint="default" w:ascii="Times New Roman" w:hAnsi="Times New Roman" w:eastAsia="宋体" w:cs="Times New Roman"/>
                <w:bCs/>
                <w:color w:val="auto"/>
                <w:kern w:val="0"/>
                <w:sz w:val="21"/>
                <w:szCs w:val="21"/>
                <w:lang w:val="zh-CN" w:eastAsia="zh-CN"/>
              </w:rPr>
              <w:t>4种</w:t>
            </w:r>
            <w:r>
              <w:rPr>
                <w:rFonts w:hint="default" w:ascii="Times New Roman" w:hAnsi="Times New Roman" w:eastAsia="宋体" w:cs="Times New Roman"/>
                <w:bCs/>
                <w:color w:val="auto"/>
                <w:kern w:val="0"/>
                <w:sz w:val="21"/>
                <w:szCs w:val="21"/>
                <w:lang w:val="zh-CN"/>
              </w:rPr>
              <w:t>：松雀鹰、普通鵟、红隼</w:t>
            </w:r>
            <w:r>
              <w:rPr>
                <w:rFonts w:hint="default" w:ascii="Times New Roman" w:hAnsi="Times New Roman" w:eastAsia="宋体" w:cs="Times New Roman"/>
                <w:bCs/>
                <w:color w:val="auto"/>
                <w:kern w:val="0"/>
                <w:sz w:val="21"/>
                <w:szCs w:val="21"/>
                <w:lang w:val="zh-CN" w:eastAsia="zh-CN"/>
              </w:rPr>
              <w:t>、</w:t>
            </w:r>
            <w:r>
              <w:rPr>
                <w:rFonts w:hint="default" w:ascii="Times New Roman" w:hAnsi="Times New Roman" w:eastAsia="宋体" w:cs="Times New Roman"/>
                <w:bCs/>
                <w:color w:val="auto"/>
                <w:kern w:val="0"/>
                <w:sz w:val="21"/>
                <w:szCs w:val="21"/>
                <w:lang w:val="zh-CN"/>
              </w:rPr>
              <w:t>画眉</w:t>
            </w:r>
            <w:r>
              <w:rPr>
                <w:rFonts w:hint="default" w:ascii="Times New Roman" w:hAnsi="Times New Roman" w:eastAsia="宋体" w:cs="Times New Roman"/>
                <w:bCs/>
                <w:color w:val="auto"/>
                <w:kern w:val="0"/>
                <w:sz w:val="21"/>
                <w:szCs w:val="21"/>
                <w:lang w:val="zh-CN" w:eastAsia="zh-CN"/>
              </w:rPr>
              <w:t>；</w:t>
            </w:r>
            <w:r>
              <w:rPr>
                <w:rFonts w:hint="default" w:ascii="Times New Roman" w:hAnsi="Times New Roman" w:eastAsia="宋体" w:cs="Times New Roman"/>
                <w:bCs/>
                <w:color w:val="auto"/>
                <w:kern w:val="0"/>
                <w:sz w:val="21"/>
                <w:szCs w:val="21"/>
                <w:lang w:val="zh-CN"/>
              </w:rPr>
              <w:t>国家二级重点保护野生</w:t>
            </w:r>
            <w:r>
              <w:rPr>
                <w:rFonts w:hint="default" w:ascii="Times New Roman" w:hAnsi="Times New Roman" w:eastAsia="宋体" w:cs="Times New Roman"/>
                <w:bCs/>
                <w:color w:val="auto"/>
                <w:kern w:val="0"/>
                <w:sz w:val="21"/>
                <w:szCs w:val="21"/>
                <w:lang w:val="zh-CN" w:eastAsia="zh-CN"/>
              </w:rPr>
              <w:t>种哺乳类1种：</w:t>
            </w:r>
            <w:r>
              <w:rPr>
                <w:rFonts w:hint="default" w:ascii="Times New Roman" w:hAnsi="Times New Roman" w:eastAsia="宋体" w:cs="Times New Roman"/>
                <w:bCs/>
                <w:color w:val="auto"/>
                <w:kern w:val="0"/>
                <w:sz w:val="21"/>
                <w:szCs w:val="21"/>
                <w:lang w:val="zh-CN"/>
              </w:rPr>
              <w:t>豹猫</w:t>
            </w:r>
            <w:r>
              <w:rPr>
                <w:rFonts w:hint="default" w:ascii="Times New Roman" w:hAnsi="Times New Roman" w:eastAsia="宋体" w:cs="Times New Roman"/>
                <w:bCs/>
                <w:color w:val="auto"/>
                <w:kern w:val="0"/>
                <w:sz w:val="21"/>
                <w:szCs w:val="21"/>
                <w:lang w:val="zh-CN" w:eastAsia="zh-CN"/>
              </w:rPr>
              <w:t>。</w:t>
            </w:r>
          </w:p>
          <w:p w14:paraId="37E33A86">
            <w:pPr>
              <w:widowControl/>
              <w:adjustRightInd w:val="0"/>
              <w:snapToGrid w:val="0"/>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kern w:val="0"/>
                <w:sz w:val="21"/>
                <w:szCs w:val="21"/>
                <w:lang w:val="zh-CN" w:eastAsia="zh-CN"/>
              </w:rPr>
              <w:t>有</w:t>
            </w:r>
            <w:r>
              <w:rPr>
                <w:rFonts w:hint="default" w:ascii="Times New Roman" w:hAnsi="Times New Roman" w:eastAsia="宋体" w:cs="Times New Roman"/>
                <w:bCs/>
                <w:color w:val="auto"/>
                <w:kern w:val="0"/>
                <w:sz w:val="21"/>
                <w:szCs w:val="21"/>
                <w:lang w:val="zh-CN"/>
              </w:rPr>
              <w:t>《中国生物多样性红色名录—脊椎动物卷（2020）》中收录的易危（VU）</w:t>
            </w:r>
            <w:r>
              <w:rPr>
                <w:rFonts w:hint="default" w:ascii="Times New Roman" w:hAnsi="Times New Roman" w:eastAsia="宋体" w:cs="Times New Roman"/>
                <w:bCs/>
                <w:color w:val="auto"/>
                <w:kern w:val="0"/>
                <w:sz w:val="21"/>
                <w:szCs w:val="21"/>
                <w:lang w:val="zh-CN" w:eastAsia="zh-CN"/>
              </w:rPr>
              <w:t>物种1种，为豹猫</w:t>
            </w:r>
            <w:r>
              <w:rPr>
                <w:rFonts w:hint="default" w:ascii="Times New Roman" w:hAnsi="Times New Roman" w:eastAsia="宋体" w:cs="Times New Roman"/>
                <w:bCs/>
                <w:color w:val="auto"/>
                <w:kern w:val="0"/>
                <w:sz w:val="21"/>
                <w:szCs w:val="21"/>
                <w:lang w:val="zh-CN"/>
              </w:rPr>
              <w:t>。无局限分布于该区域的特有种类。</w:t>
            </w:r>
          </w:p>
        </w:tc>
        <w:tc>
          <w:tcPr>
            <w:tcW w:w="1723" w:type="pct"/>
            <w:tcBorders>
              <w:tl2br w:val="nil"/>
              <w:tr2bl w:val="nil"/>
            </w:tcBorders>
            <w:vAlign w:val="center"/>
          </w:tcPr>
          <w:p w14:paraId="23490970">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项目生态影响评价区内</w:t>
            </w:r>
          </w:p>
        </w:tc>
        <w:tc>
          <w:tcPr>
            <w:tcW w:w="620" w:type="pct"/>
            <w:tcBorders>
              <w:tl2br w:val="nil"/>
              <w:tr2bl w:val="nil"/>
            </w:tcBorders>
            <w:vAlign w:val="center"/>
          </w:tcPr>
          <w:p w14:paraId="43FBD099">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工程占地、施工活动干扰</w:t>
            </w:r>
          </w:p>
        </w:tc>
        <w:tc>
          <w:tcPr>
            <w:tcW w:w="781" w:type="pct"/>
            <w:tcBorders>
              <w:tl2br w:val="nil"/>
              <w:tr2bl w:val="nil"/>
            </w:tcBorders>
            <w:vAlign w:val="center"/>
          </w:tcPr>
          <w:p w14:paraId="2E7E5F4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保护评价区内野生动物资源不受工程建设和运行的较大影响。</w:t>
            </w:r>
          </w:p>
        </w:tc>
      </w:tr>
      <w:tr w14:paraId="3BE920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312" w:hRule="atLeast"/>
          <w:jc w:val="center"/>
        </w:trPr>
        <w:tc>
          <w:tcPr>
            <w:tcW w:w="298" w:type="pct"/>
            <w:tcBorders>
              <w:tl2br w:val="nil"/>
              <w:tr2bl w:val="nil"/>
            </w:tcBorders>
            <w:vAlign w:val="center"/>
          </w:tcPr>
          <w:p w14:paraId="2E075B3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279" w:type="pct"/>
            <w:tcBorders>
              <w:tl2br w:val="nil"/>
              <w:tr2bl w:val="nil"/>
            </w:tcBorders>
            <w:vAlign w:val="center"/>
          </w:tcPr>
          <w:p w14:paraId="6B4235FF">
            <w:pPr>
              <w:autoSpaceDE w:val="0"/>
              <w:autoSpaceDN w:val="0"/>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生态保护红线</w:t>
            </w:r>
          </w:p>
        </w:tc>
        <w:tc>
          <w:tcPr>
            <w:tcW w:w="1297" w:type="pct"/>
            <w:tcBorders>
              <w:tl2br w:val="nil"/>
              <w:tr2bl w:val="nil"/>
            </w:tcBorders>
            <w:vAlign w:val="center"/>
          </w:tcPr>
          <w:p w14:paraId="661E779D">
            <w:pPr>
              <w:autoSpaceDE w:val="0"/>
              <w:autoSpaceDN w:val="0"/>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金沙江下游—小江流域水土流失控制生态保护红线</w:t>
            </w:r>
          </w:p>
        </w:tc>
        <w:tc>
          <w:tcPr>
            <w:tcW w:w="1723" w:type="pct"/>
            <w:tcBorders>
              <w:tl2br w:val="nil"/>
              <w:tr2bl w:val="nil"/>
            </w:tcBorders>
            <w:shd w:val="clear" w:color="auto" w:fill="auto"/>
            <w:vAlign w:val="center"/>
          </w:tcPr>
          <w:p w14:paraId="39DFA52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工程占地范围不涉及占用生态保护红线</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线路塔基N7-N8之间约89.2米跨越生态保护红线，距离塔基N7为6m，距离塔基N8为8m，</w:t>
            </w:r>
            <w:r>
              <w:rPr>
                <w:rFonts w:hint="default" w:ascii="Times New Roman" w:hAnsi="Times New Roman" w:eastAsia="宋体" w:cs="Times New Roman"/>
                <w:color w:val="auto"/>
                <w:sz w:val="21"/>
                <w:szCs w:val="21"/>
              </w:rPr>
              <w:t>项目生态影响评价区内分布有会泽县生态保护红线面积47.933hm</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sz w:val="21"/>
                <w:szCs w:val="21"/>
              </w:rPr>
              <w:t>，评价范围内生态保护红线主要植被类型为暖温性针叶林（云南松林）；生态保护红线内的所有野生动物资源。</w:t>
            </w:r>
          </w:p>
        </w:tc>
        <w:tc>
          <w:tcPr>
            <w:tcW w:w="620" w:type="pct"/>
            <w:tcBorders>
              <w:tl2br w:val="nil"/>
              <w:tr2bl w:val="nil"/>
            </w:tcBorders>
            <w:vAlign w:val="center"/>
          </w:tcPr>
          <w:p w14:paraId="53D02202">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施工活动干扰</w:t>
            </w:r>
          </w:p>
        </w:tc>
        <w:tc>
          <w:tcPr>
            <w:tcW w:w="781" w:type="pct"/>
            <w:tcBorders>
              <w:tl2br w:val="nil"/>
              <w:tr2bl w:val="nil"/>
            </w:tcBorders>
            <w:vAlign w:val="center"/>
          </w:tcPr>
          <w:p w14:paraId="72B59A30">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保护会泽县生态保护红线内野生植物和野生动物资源不受较大影响。</w:t>
            </w:r>
          </w:p>
        </w:tc>
      </w:tr>
      <w:tr w14:paraId="297EE3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312" w:hRule="atLeast"/>
          <w:jc w:val="center"/>
        </w:trPr>
        <w:tc>
          <w:tcPr>
            <w:tcW w:w="298" w:type="pct"/>
            <w:tcBorders>
              <w:tl2br w:val="nil"/>
              <w:tr2bl w:val="nil"/>
            </w:tcBorders>
            <w:vAlign w:val="center"/>
          </w:tcPr>
          <w:p w14:paraId="79820253">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279" w:type="pct"/>
            <w:tcBorders>
              <w:tl2br w:val="nil"/>
              <w:tr2bl w:val="nil"/>
            </w:tcBorders>
            <w:vAlign w:val="center"/>
          </w:tcPr>
          <w:p w14:paraId="0BA02BC8">
            <w:pPr>
              <w:autoSpaceDE w:val="0"/>
              <w:autoSpaceDN w:val="0"/>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公益林</w:t>
            </w:r>
          </w:p>
        </w:tc>
        <w:tc>
          <w:tcPr>
            <w:tcW w:w="1297" w:type="pct"/>
            <w:tcBorders>
              <w:tl2br w:val="nil"/>
              <w:tr2bl w:val="nil"/>
            </w:tcBorders>
            <w:vAlign w:val="center"/>
          </w:tcPr>
          <w:p w14:paraId="1ABC546D">
            <w:pPr>
              <w:autoSpaceDE w:val="0"/>
              <w:autoSpaceDN w:val="0"/>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国家</w:t>
            </w:r>
            <w:r>
              <w:rPr>
                <w:rFonts w:hint="default" w:ascii="Times New Roman" w:hAnsi="Times New Roman" w:eastAsia="宋体" w:cs="Times New Roman"/>
                <w:color w:val="auto"/>
                <w:sz w:val="21"/>
                <w:szCs w:val="21"/>
                <w:highlight w:val="none"/>
              </w:rPr>
              <w:t>二级公益林、省级公益林</w:t>
            </w:r>
          </w:p>
        </w:tc>
        <w:tc>
          <w:tcPr>
            <w:tcW w:w="1723" w:type="pct"/>
            <w:tcBorders>
              <w:tl2br w:val="nil"/>
              <w:tr2bl w:val="nil"/>
            </w:tcBorders>
            <w:shd w:val="clear" w:color="auto" w:fill="auto"/>
            <w:vAlign w:val="center"/>
          </w:tcPr>
          <w:p w14:paraId="799CEF02">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不占用国家公益林，</w:t>
            </w:r>
            <w:r>
              <w:rPr>
                <w:rFonts w:hint="default" w:ascii="Times New Roman" w:hAnsi="Times New Roman" w:eastAsia="宋体" w:cs="Times New Roman"/>
                <w:color w:val="auto"/>
                <w:sz w:val="21"/>
                <w:szCs w:val="21"/>
                <w:lang w:val="en-US" w:eastAsia="zh-CN"/>
              </w:rPr>
              <w:t>项目占用省级公益林0.0607公顷，其中塔基永久占地0.01413公顷，临时占地0.04657公顷</w:t>
            </w:r>
            <w:r>
              <w:rPr>
                <w:rFonts w:hint="default" w:ascii="Times New Roman" w:hAnsi="Times New Roman" w:eastAsia="宋体" w:cs="Times New Roman"/>
                <w:color w:val="auto"/>
                <w:sz w:val="21"/>
                <w:szCs w:val="21"/>
              </w:rPr>
              <w:t>，主要功能为水土保持。公益林主要以云南松为优势树种的乔木林地</w:t>
            </w:r>
          </w:p>
        </w:tc>
        <w:tc>
          <w:tcPr>
            <w:tcW w:w="620" w:type="pct"/>
            <w:tcBorders>
              <w:tl2br w:val="nil"/>
              <w:tr2bl w:val="nil"/>
            </w:tcBorders>
            <w:vAlign w:val="center"/>
          </w:tcPr>
          <w:p w14:paraId="148A1C69">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工程占地、施工活动干扰</w:t>
            </w:r>
          </w:p>
        </w:tc>
        <w:tc>
          <w:tcPr>
            <w:tcW w:w="781" w:type="pct"/>
            <w:tcBorders>
              <w:tl2br w:val="nil"/>
              <w:tr2bl w:val="nil"/>
            </w:tcBorders>
            <w:vAlign w:val="center"/>
          </w:tcPr>
          <w:p w14:paraId="1170A53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保持生态系统稳定性和完整性，保护评价区内植物资源、生物多样性</w:t>
            </w:r>
          </w:p>
        </w:tc>
      </w:tr>
    </w:tbl>
    <w:p w14:paraId="052997AA">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205" w:name="_Toc3223"/>
      <w:r>
        <w:rPr>
          <w:rFonts w:hint="default" w:ascii="Times New Roman" w:hAnsi="Times New Roman" w:eastAsia="宋体" w:cs="Times New Roman"/>
          <w:bCs w:val="0"/>
          <w:color w:val="auto"/>
          <w:kern w:val="0"/>
          <w:sz w:val="28"/>
          <w:szCs w:val="28"/>
          <w:lang w:val="zh-CN"/>
        </w:rPr>
        <w:t>1.6生态环境影响要素识别及评价因子</w:t>
      </w:r>
      <w:bookmarkEnd w:id="205"/>
    </w:p>
    <w:p w14:paraId="27AC03BD">
      <w:pPr>
        <w:spacing w:line="240" w:lineRule="auto"/>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表1.6-1  生态环境影响因素识别表</w:t>
      </w:r>
    </w:p>
    <w:tbl>
      <w:tblPr>
        <w:tblStyle w:val="30"/>
        <w:tblW w:w="4997"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465"/>
        <w:gridCol w:w="1310"/>
        <w:gridCol w:w="2543"/>
        <w:gridCol w:w="2685"/>
        <w:gridCol w:w="739"/>
        <w:gridCol w:w="775"/>
      </w:tblGrid>
      <w:tr w14:paraId="53F096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3" w:type="pct"/>
            <w:tcBorders>
              <w:tl2br w:val="nil"/>
              <w:tr2bl w:val="nil"/>
            </w:tcBorders>
            <w:vAlign w:val="center"/>
          </w:tcPr>
          <w:p w14:paraId="0D183F3B">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时段</w:t>
            </w:r>
          </w:p>
        </w:tc>
        <w:tc>
          <w:tcPr>
            <w:tcW w:w="769" w:type="pct"/>
            <w:tcBorders>
              <w:tl2br w:val="nil"/>
              <w:tr2bl w:val="nil"/>
            </w:tcBorders>
            <w:vAlign w:val="center"/>
          </w:tcPr>
          <w:p w14:paraId="763E7E8A">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受影响对象</w:t>
            </w:r>
          </w:p>
        </w:tc>
        <w:tc>
          <w:tcPr>
            <w:tcW w:w="1493" w:type="pct"/>
            <w:tcBorders>
              <w:tl2br w:val="nil"/>
              <w:tr2bl w:val="nil"/>
            </w:tcBorders>
            <w:vAlign w:val="center"/>
          </w:tcPr>
          <w:p w14:paraId="5689789B">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评价因子</w:t>
            </w:r>
          </w:p>
        </w:tc>
        <w:tc>
          <w:tcPr>
            <w:tcW w:w="1576" w:type="pct"/>
            <w:tcBorders>
              <w:tl2br w:val="nil"/>
              <w:tr2bl w:val="nil"/>
            </w:tcBorders>
            <w:vAlign w:val="center"/>
          </w:tcPr>
          <w:p w14:paraId="72E4B18A">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工程内容及影响方式</w:t>
            </w:r>
          </w:p>
        </w:tc>
        <w:tc>
          <w:tcPr>
            <w:tcW w:w="434" w:type="pct"/>
            <w:tcBorders>
              <w:tl2br w:val="nil"/>
              <w:tr2bl w:val="nil"/>
            </w:tcBorders>
            <w:vAlign w:val="center"/>
          </w:tcPr>
          <w:p w14:paraId="4A7BF62A">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影响性质</w:t>
            </w:r>
          </w:p>
        </w:tc>
        <w:tc>
          <w:tcPr>
            <w:tcW w:w="452" w:type="pct"/>
            <w:tcBorders>
              <w:tl2br w:val="nil"/>
              <w:tr2bl w:val="nil"/>
            </w:tcBorders>
            <w:vAlign w:val="center"/>
          </w:tcPr>
          <w:p w14:paraId="109F8CFE">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影响程度</w:t>
            </w:r>
          </w:p>
        </w:tc>
      </w:tr>
      <w:tr w14:paraId="2390CC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3" w:type="pct"/>
            <w:vMerge w:val="restart"/>
            <w:tcBorders>
              <w:tl2br w:val="nil"/>
              <w:tr2bl w:val="nil"/>
            </w:tcBorders>
            <w:vAlign w:val="center"/>
          </w:tcPr>
          <w:p w14:paraId="4FD18A12">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施工期</w:t>
            </w:r>
          </w:p>
        </w:tc>
        <w:tc>
          <w:tcPr>
            <w:tcW w:w="769" w:type="pct"/>
            <w:tcBorders>
              <w:tl2br w:val="nil"/>
              <w:tr2bl w:val="nil"/>
            </w:tcBorders>
            <w:vAlign w:val="center"/>
          </w:tcPr>
          <w:p w14:paraId="34AAADDB">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物种</w:t>
            </w:r>
          </w:p>
        </w:tc>
        <w:tc>
          <w:tcPr>
            <w:tcW w:w="1493" w:type="pct"/>
            <w:tcBorders>
              <w:tl2br w:val="nil"/>
              <w:tr2bl w:val="nil"/>
            </w:tcBorders>
            <w:vAlign w:val="center"/>
          </w:tcPr>
          <w:p w14:paraId="12DC71D2">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分布范围、种群数量、种群结构、行为等</w:t>
            </w:r>
          </w:p>
        </w:tc>
        <w:tc>
          <w:tcPr>
            <w:tcW w:w="1576" w:type="pct"/>
            <w:tcBorders>
              <w:tl2br w:val="nil"/>
              <w:tr2bl w:val="nil"/>
            </w:tcBorders>
            <w:vAlign w:val="center"/>
          </w:tcPr>
          <w:p w14:paraId="2E072ECD">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施工占地，间接生态影响</w:t>
            </w:r>
          </w:p>
        </w:tc>
        <w:tc>
          <w:tcPr>
            <w:tcW w:w="434" w:type="pct"/>
            <w:tcBorders>
              <w:tl2br w:val="nil"/>
              <w:tr2bl w:val="nil"/>
            </w:tcBorders>
            <w:vAlign w:val="center"/>
          </w:tcPr>
          <w:p w14:paraId="649B3A13">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sz w:val="21"/>
                <w:szCs w:val="21"/>
              </w:rPr>
              <w:t>S</w:t>
            </w:r>
          </w:p>
        </w:tc>
        <w:tc>
          <w:tcPr>
            <w:tcW w:w="452" w:type="pct"/>
            <w:tcBorders>
              <w:tl2br w:val="nil"/>
              <w:tr2bl w:val="nil"/>
            </w:tcBorders>
            <w:vAlign w:val="center"/>
          </w:tcPr>
          <w:p w14:paraId="320FCF4F">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0B2E61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3" w:type="pct"/>
            <w:vMerge w:val="continue"/>
            <w:tcBorders>
              <w:tl2br w:val="nil"/>
              <w:tr2bl w:val="nil"/>
            </w:tcBorders>
            <w:vAlign w:val="center"/>
          </w:tcPr>
          <w:p w14:paraId="05009EA4">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769" w:type="pct"/>
            <w:tcBorders>
              <w:tl2br w:val="nil"/>
              <w:tr2bl w:val="nil"/>
            </w:tcBorders>
            <w:vAlign w:val="center"/>
          </w:tcPr>
          <w:p w14:paraId="03D2AFE8">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生境</w:t>
            </w:r>
          </w:p>
        </w:tc>
        <w:tc>
          <w:tcPr>
            <w:tcW w:w="1493" w:type="pct"/>
            <w:tcBorders>
              <w:tl2br w:val="nil"/>
              <w:tr2bl w:val="nil"/>
            </w:tcBorders>
            <w:vAlign w:val="center"/>
          </w:tcPr>
          <w:p w14:paraId="44B2FED8">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生境面积、质量、连通性等</w:t>
            </w:r>
          </w:p>
        </w:tc>
        <w:tc>
          <w:tcPr>
            <w:tcW w:w="1576" w:type="pct"/>
            <w:tcBorders>
              <w:tl2br w:val="nil"/>
              <w:tr2bl w:val="nil"/>
            </w:tcBorders>
            <w:vAlign w:val="center"/>
          </w:tcPr>
          <w:p w14:paraId="21E77AB7">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施工占地，间接生态影响</w:t>
            </w:r>
          </w:p>
        </w:tc>
        <w:tc>
          <w:tcPr>
            <w:tcW w:w="434" w:type="pct"/>
            <w:tcBorders>
              <w:tl2br w:val="nil"/>
              <w:tr2bl w:val="nil"/>
            </w:tcBorders>
            <w:vAlign w:val="center"/>
          </w:tcPr>
          <w:p w14:paraId="485B7494">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w:t>
            </w:r>
          </w:p>
        </w:tc>
        <w:tc>
          <w:tcPr>
            <w:tcW w:w="452" w:type="pct"/>
            <w:tcBorders>
              <w:tl2br w:val="nil"/>
              <w:tr2bl w:val="nil"/>
            </w:tcBorders>
            <w:vAlign w:val="center"/>
          </w:tcPr>
          <w:p w14:paraId="77943125">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1FC2661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3" w:type="pct"/>
            <w:vMerge w:val="continue"/>
            <w:tcBorders>
              <w:tl2br w:val="nil"/>
              <w:tr2bl w:val="nil"/>
            </w:tcBorders>
            <w:vAlign w:val="center"/>
          </w:tcPr>
          <w:p w14:paraId="0D5BD47C">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769" w:type="pct"/>
            <w:tcBorders>
              <w:tl2br w:val="nil"/>
              <w:tr2bl w:val="nil"/>
            </w:tcBorders>
            <w:vAlign w:val="center"/>
          </w:tcPr>
          <w:p w14:paraId="16F35CA3">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生物群落</w:t>
            </w:r>
          </w:p>
        </w:tc>
        <w:tc>
          <w:tcPr>
            <w:tcW w:w="1493" w:type="pct"/>
            <w:tcBorders>
              <w:tl2br w:val="nil"/>
              <w:tr2bl w:val="nil"/>
            </w:tcBorders>
            <w:vAlign w:val="center"/>
          </w:tcPr>
          <w:p w14:paraId="1135868D">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物种组成、群落结构等</w:t>
            </w:r>
          </w:p>
        </w:tc>
        <w:tc>
          <w:tcPr>
            <w:tcW w:w="1576" w:type="pct"/>
            <w:tcBorders>
              <w:tl2br w:val="nil"/>
              <w:tr2bl w:val="nil"/>
            </w:tcBorders>
            <w:vAlign w:val="center"/>
          </w:tcPr>
          <w:p w14:paraId="4D777E94">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施工占地，间接生态影响</w:t>
            </w:r>
          </w:p>
        </w:tc>
        <w:tc>
          <w:tcPr>
            <w:tcW w:w="434" w:type="pct"/>
            <w:tcBorders>
              <w:tl2br w:val="nil"/>
              <w:tr2bl w:val="nil"/>
            </w:tcBorders>
            <w:vAlign w:val="center"/>
          </w:tcPr>
          <w:p w14:paraId="7C3FC5CF">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w:t>
            </w:r>
          </w:p>
        </w:tc>
        <w:tc>
          <w:tcPr>
            <w:tcW w:w="452" w:type="pct"/>
            <w:tcBorders>
              <w:tl2br w:val="nil"/>
              <w:tr2bl w:val="nil"/>
            </w:tcBorders>
            <w:vAlign w:val="center"/>
          </w:tcPr>
          <w:p w14:paraId="3594926E">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454A9B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3" w:type="pct"/>
            <w:vMerge w:val="continue"/>
            <w:tcBorders>
              <w:tl2br w:val="nil"/>
              <w:tr2bl w:val="nil"/>
            </w:tcBorders>
            <w:vAlign w:val="center"/>
          </w:tcPr>
          <w:p w14:paraId="7FD38247">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769" w:type="pct"/>
            <w:tcBorders>
              <w:tl2br w:val="nil"/>
              <w:tr2bl w:val="nil"/>
            </w:tcBorders>
            <w:vAlign w:val="center"/>
          </w:tcPr>
          <w:p w14:paraId="7039DCA5">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生态系统</w:t>
            </w:r>
          </w:p>
        </w:tc>
        <w:tc>
          <w:tcPr>
            <w:tcW w:w="1493" w:type="pct"/>
            <w:tcBorders>
              <w:tl2br w:val="nil"/>
              <w:tr2bl w:val="nil"/>
            </w:tcBorders>
            <w:vAlign w:val="center"/>
          </w:tcPr>
          <w:p w14:paraId="76D293B5">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生态系统功能等</w:t>
            </w:r>
          </w:p>
        </w:tc>
        <w:tc>
          <w:tcPr>
            <w:tcW w:w="1576" w:type="pct"/>
            <w:tcBorders>
              <w:tl2br w:val="nil"/>
              <w:tr2bl w:val="nil"/>
            </w:tcBorders>
            <w:vAlign w:val="center"/>
          </w:tcPr>
          <w:p w14:paraId="07798B02">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施工占地，间接生态影响</w:t>
            </w:r>
          </w:p>
        </w:tc>
        <w:tc>
          <w:tcPr>
            <w:tcW w:w="434" w:type="pct"/>
            <w:tcBorders>
              <w:tl2br w:val="nil"/>
              <w:tr2bl w:val="nil"/>
            </w:tcBorders>
            <w:vAlign w:val="center"/>
          </w:tcPr>
          <w:p w14:paraId="5CD66FC4">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w:t>
            </w:r>
          </w:p>
        </w:tc>
        <w:tc>
          <w:tcPr>
            <w:tcW w:w="452" w:type="pct"/>
            <w:tcBorders>
              <w:tl2br w:val="nil"/>
              <w:tr2bl w:val="nil"/>
            </w:tcBorders>
            <w:vAlign w:val="center"/>
          </w:tcPr>
          <w:p w14:paraId="298A9A35">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75C486D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3" w:type="pct"/>
            <w:vMerge w:val="continue"/>
            <w:tcBorders>
              <w:tl2br w:val="nil"/>
              <w:tr2bl w:val="nil"/>
            </w:tcBorders>
            <w:vAlign w:val="center"/>
          </w:tcPr>
          <w:p w14:paraId="5A31CDD8">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769" w:type="pct"/>
            <w:tcBorders>
              <w:tl2br w:val="nil"/>
              <w:tr2bl w:val="nil"/>
            </w:tcBorders>
            <w:vAlign w:val="center"/>
          </w:tcPr>
          <w:p w14:paraId="43B2C623">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生物多样性</w:t>
            </w:r>
          </w:p>
        </w:tc>
        <w:tc>
          <w:tcPr>
            <w:tcW w:w="1493" w:type="pct"/>
            <w:tcBorders>
              <w:tl2br w:val="nil"/>
              <w:tr2bl w:val="nil"/>
            </w:tcBorders>
            <w:vAlign w:val="center"/>
          </w:tcPr>
          <w:p w14:paraId="3C68116B">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物种数量</w:t>
            </w:r>
          </w:p>
        </w:tc>
        <w:tc>
          <w:tcPr>
            <w:tcW w:w="1576" w:type="pct"/>
            <w:tcBorders>
              <w:tl2br w:val="nil"/>
              <w:tr2bl w:val="nil"/>
            </w:tcBorders>
            <w:vAlign w:val="center"/>
          </w:tcPr>
          <w:p w14:paraId="7F711481">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施工占地，间接生态影响</w:t>
            </w:r>
          </w:p>
        </w:tc>
        <w:tc>
          <w:tcPr>
            <w:tcW w:w="434" w:type="pct"/>
            <w:tcBorders>
              <w:tl2br w:val="nil"/>
              <w:tr2bl w:val="nil"/>
            </w:tcBorders>
            <w:vAlign w:val="center"/>
          </w:tcPr>
          <w:p w14:paraId="302C8283">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w:t>
            </w:r>
          </w:p>
        </w:tc>
        <w:tc>
          <w:tcPr>
            <w:tcW w:w="452" w:type="pct"/>
            <w:tcBorders>
              <w:tl2br w:val="nil"/>
              <w:tr2bl w:val="nil"/>
            </w:tcBorders>
            <w:vAlign w:val="center"/>
          </w:tcPr>
          <w:p w14:paraId="3697B9ED">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163C17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3" w:type="pct"/>
            <w:vMerge w:val="continue"/>
            <w:tcBorders>
              <w:tl2br w:val="nil"/>
              <w:tr2bl w:val="nil"/>
            </w:tcBorders>
            <w:vAlign w:val="center"/>
          </w:tcPr>
          <w:p w14:paraId="0F7707AF">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769" w:type="pct"/>
            <w:tcBorders>
              <w:tl2br w:val="nil"/>
              <w:tr2bl w:val="nil"/>
            </w:tcBorders>
            <w:vAlign w:val="center"/>
          </w:tcPr>
          <w:p w14:paraId="646E82FD">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生态敏感区</w:t>
            </w:r>
          </w:p>
        </w:tc>
        <w:tc>
          <w:tcPr>
            <w:tcW w:w="1493" w:type="pct"/>
            <w:tcBorders>
              <w:tl2br w:val="nil"/>
              <w:tr2bl w:val="nil"/>
            </w:tcBorders>
            <w:vAlign w:val="center"/>
          </w:tcPr>
          <w:p w14:paraId="7EA40982">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生态保护红线</w:t>
            </w:r>
          </w:p>
        </w:tc>
        <w:tc>
          <w:tcPr>
            <w:tcW w:w="1576" w:type="pct"/>
            <w:tcBorders>
              <w:tl2br w:val="nil"/>
              <w:tr2bl w:val="nil"/>
            </w:tcBorders>
            <w:vAlign w:val="center"/>
          </w:tcPr>
          <w:p w14:paraId="760DCC1D">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施工占地，间接生态影响</w:t>
            </w:r>
          </w:p>
        </w:tc>
        <w:tc>
          <w:tcPr>
            <w:tcW w:w="434" w:type="pct"/>
            <w:tcBorders>
              <w:tl2br w:val="nil"/>
              <w:tr2bl w:val="nil"/>
            </w:tcBorders>
            <w:vAlign w:val="center"/>
          </w:tcPr>
          <w:p w14:paraId="0A5C7989">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w:t>
            </w:r>
          </w:p>
        </w:tc>
        <w:tc>
          <w:tcPr>
            <w:tcW w:w="452" w:type="pct"/>
            <w:tcBorders>
              <w:tl2br w:val="nil"/>
              <w:tr2bl w:val="nil"/>
            </w:tcBorders>
            <w:vAlign w:val="center"/>
          </w:tcPr>
          <w:p w14:paraId="18AF4022">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58C291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3" w:type="pct"/>
            <w:vMerge w:val="restart"/>
            <w:tcBorders>
              <w:tl2br w:val="nil"/>
              <w:tr2bl w:val="nil"/>
            </w:tcBorders>
            <w:vAlign w:val="center"/>
          </w:tcPr>
          <w:p w14:paraId="1A50A229">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运行期</w:t>
            </w:r>
          </w:p>
        </w:tc>
        <w:tc>
          <w:tcPr>
            <w:tcW w:w="769" w:type="pct"/>
            <w:tcBorders>
              <w:tl2br w:val="nil"/>
              <w:tr2bl w:val="nil"/>
            </w:tcBorders>
            <w:vAlign w:val="center"/>
          </w:tcPr>
          <w:p w14:paraId="2269CFD2">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物种</w:t>
            </w:r>
          </w:p>
        </w:tc>
        <w:tc>
          <w:tcPr>
            <w:tcW w:w="1493" w:type="pct"/>
            <w:tcBorders>
              <w:tl2br w:val="nil"/>
              <w:tr2bl w:val="nil"/>
            </w:tcBorders>
            <w:vAlign w:val="center"/>
          </w:tcPr>
          <w:p w14:paraId="5056655C">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分布范围、种群数量、种群结构、行为等</w:t>
            </w:r>
          </w:p>
        </w:tc>
        <w:tc>
          <w:tcPr>
            <w:tcW w:w="1576" w:type="pct"/>
            <w:tcBorders>
              <w:tl2br w:val="nil"/>
              <w:tr2bl w:val="nil"/>
            </w:tcBorders>
            <w:vAlign w:val="center"/>
          </w:tcPr>
          <w:p w14:paraId="1D7B4B7F">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施工占地，间接生态影响</w:t>
            </w:r>
          </w:p>
        </w:tc>
        <w:tc>
          <w:tcPr>
            <w:tcW w:w="434" w:type="pct"/>
            <w:tcBorders>
              <w:tl2br w:val="nil"/>
              <w:tr2bl w:val="nil"/>
            </w:tcBorders>
            <w:vAlign w:val="center"/>
          </w:tcPr>
          <w:p w14:paraId="1E0C0F25">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sz w:val="21"/>
                <w:szCs w:val="21"/>
              </w:rPr>
              <w:t>L</w:t>
            </w:r>
          </w:p>
        </w:tc>
        <w:tc>
          <w:tcPr>
            <w:tcW w:w="452" w:type="pct"/>
            <w:tcBorders>
              <w:tl2br w:val="nil"/>
              <w:tr2bl w:val="nil"/>
            </w:tcBorders>
            <w:vAlign w:val="center"/>
          </w:tcPr>
          <w:p w14:paraId="4FADC745">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sz w:val="21"/>
                <w:szCs w:val="21"/>
              </w:rPr>
              <w:t>+1</w:t>
            </w:r>
          </w:p>
        </w:tc>
      </w:tr>
      <w:tr w14:paraId="0784C5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3" w:type="pct"/>
            <w:vMerge w:val="continue"/>
            <w:tcBorders>
              <w:tl2br w:val="nil"/>
              <w:tr2bl w:val="nil"/>
            </w:tcBorders>
            <w:vAlign w:val="center"/>
          </w:tcPr>
          <w:p w14:paraId="3B48A03A">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769" w:type="pct"/>
            <w:tcBorders>
              <w:tl2br w:val="nil"/>
              <w:tr2bl w:val="nil"/>
            </w:tcBorders>
            <w:vAlign w:val="center"/>
          </w:tcPr>
          <w:p w14:paraId="6C3796FA">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生境</w:t>
            </w:r>
          </w:p>
        </w:tc>
        <w:tc>
          <w:tcPr>
            <w:tcW w:w="1493" w:type="pct"/>
            <w:tcBorders>
              <w:tl2br w:val="nil"/>
              <w:tr2bl w:val="nil"/>
            </w:tcBorders>
            <w:vAlign w:val="center"/>
          </w:tcPr>
          <w:p w14:paraId="2BA7E0B8">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生境面积、质量、连通性等</w:t>
            </w:r>
          </w:p>
        </w:tc>
        <w:tc>
          <w:tcPr>
            <w:tcW w:w="1576" w:type="pct"/>
            <w:tcBorders>
              <w:tl2br w:val="nil"/>
              <w:tr2bl w:val="nil"/>
            </w:tcBorders>
            <w:vAlign w:val="center"/>
          </w:tcPr>
          <w:p w14:paraId="6264BBE6">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施工占地，间接生态影响</w:t>
            </w:r>
          </w:p>
        </w:tc>
        <w:tc>
          <w:tcPr>
            <w:tcW w:w="434" w:type="pct"/>
            <w:tcBorders>
              <w:tl2br w:val="nil"/>
              <w:tr2bl w:val="nil"/>
            </w:tcBorders>
            <w:vAlign w:val="center"/>
          </w:tcPr>
          <w:p w14:paraId="4D894437">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sz w:val="21"/>
                <w:szCs w:val="21"/>
              </w:rPr>
              <w:t>L</w:t>
            </w:r>
          </w:p>
        </w:tc>
        <w:tc>
          <w:tcPr>
            <w:tcW w:w="452" w:type="pct"/>
            <w:tcBorders>
              <w:tl2br w:val="nil"/>
              <w:tr2bl w:val="nil"/>
            </w:tcBorders>
            <w:vAlign w:val="center"/>
          </w:tcPr>
          <w:p w14:paraId="260ACDC5">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sz w:val="21"/>
                <w:szCs w:val="21"/>
              </w:rPr>
              <w:t>+1</w:t>
            </w:r>
          </w:p>
        </w:tc>
      </w:tr>
      <w:tr w14:paraId="3A3F7A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3" w:type="pct"/>
            <w:vMerge w:val="continue"/>
            <w:tcBorders>
              <w:tl2br w:val="nil"/>
              <w:tr2bl w:val="nil"/>
            </w:tcBorders>
            <w:vAlign w:val="center"/>
          </w:tcPr>
          <w:p w14:paraId="0B9D5FEB">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769" w:type="pct"/>
            <w:tcBorders>
              <w:tl2br w:val="nil"/>
              <w:tr2bl w:val="nil"/>
            </w:tcBorders>
            <w:vAlign w:val="center"/>
          </w:tcPr>
          <w:p w14:paraId="2F756BFA">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生物群落</w:t>
            </w:r>
          </w:p>
        </w:tc>
        <w:tc>
          <w:tcPr>
            <w:tcW w:w="1493" w:type="pct"/>
            <w:tcBorders>
              <w:tl2br w:val="nil"/>
              <w:tr2bl w:val="nil"/>
            </w:tcBorders>
            <w:vAlign w:val="center"/>
          </w:tcPr>
          <w:p w14:paraId="46BC12BD">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物种组成、群落结构等</w:t>
            </w:r>
          </w:p>
        </w:tc>
        <w:tc>
          <w:tcPr>
            <w:tcW w:w="1576" w:type="pct"/>
            <w:tcBorders>
              <w:tl2br w:val="nil"/>
              <w:tr2bl w:val="nil"/>
            </w:tcBorders>
            <w:vAlign w:val="center"/>
          </w:tcPr>
          <w:p w14:paraId="3827A9FD">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施工占地，间接生态影响</w:t>
            </w:r>
          </w:p>
        </w:tc>
        <w:tc>
          <w:tcPr>
            <w:tcW w:w="434" w:type="pct"/>
            <w:tcBorders>
              <w:tl2br w:val="nil"/>
              <w:tr2bl w:val="nil"/>
            </w:tcBorders>
            <w:vAlign w:val="center"/>
          </w:tcPr>
          <w:p w14:paraId="64B113C4">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sz w:val="21"/>
                <w:szCs w:val="21"/>
              </w:rPr>
              <w:t>L</w:t>
            </w:r>
          </w:p>
        </w:tc>
        <w:tc>
          <w:tcPr>
            <w:tcW w:w="452" w:type="pct"/>
            <w:tcBorders>
              <w:tl2br w:val="nil"/>
              <w:tr2bl w:val="nil"/>
            </w:tcBorders>
            <w:vAlign w:val="center"/>
          </w:tcPr>
          <w:p w14:paraId="785043A1">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sz w:val="21"/>
                <w:szCs w:val="21"/>
              </w:rPr>
              <w:t>+1</w:t>
            </w:r>
          </w:p>
        </w:tc>
      </w:tr>
      <w:tr w14:paraId="5BBE6C7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3" w:type="pct"/>
            <w:vMerge w:val="continue"/>
            <w:tcBorders>
              <w:tl2br w:val="nil"/>
              <w:tr2bl w:val="nil"/>
            </w:tcBorders>
            <w:vAlign w:val="center"/>
          </w:tcPr>
          <w:p w14:paraId="30414EA7">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769" w:type="pct"/>
            <w:tcBorders>
              <w:tl2br w:val="nil"/>
              <w:tr2bl w:val="nil"/>
            </w:tcBorders>
            <w:vAlign w:val="center"/>
          </w:tcPr>
          <w:p w14:paraId="54732400">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生态系统</w:t>
            </w:r>
          </w:p>
        </w:tc>
        <w:tc>
          <w:tcPr>
            <w:tcW w:w="1493" w:type="pct"/>
            <w:tcBorders>
              <w:tl2br w:val="nil"/>
              <w:tr2bl w:val="nil"/>
            </w:tcBorders>
            <w:vAlign w:val="center"/>
          </w:tcPr>
          <w:p w14:paraId="6038EAD7">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生态系统功能等</w:t>
            </w:r>
          </w:p>
        </w:tc>
        <w:tc>
          <w:tcPr>
            <w:tcW w:w="1576" w:type="pct"/>
            <w:tcBorders>
              <w:tl2br w:val="nil"/>
              <w:tr2bl w:val="nil"/>
            </w:tcBorders>
            <w:vAlign w:val="center"/>
          </w:tcPr>
          <w:p w14:paraId="029627F4">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施工占地，间接生态影响</w:t>
            </w:r>
          </w:p>
        </w:tc>
        <w:tc>
          <w:tcPr>
            <w:tcW w:w="434" w:type="pct"/>
            <w:tcBorders>
              <w:tl2br w:val="nil"/>
              <w:tr2bl w:val="nil"/>
            </w:tcBorders>
            <w:vAlign w:val="center"/>
          </w:tcPr>
          <w:p w14:paraId="55877A0E">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sz w:val="21"/>
                <w:szCs w:val="21"/>
              </w:rPr>
              <w:t>L</w:t>
            </w:r>
          </w:p>
        </w:tc>
        <w:tc>
          <w:tcPr>
            <w:tcW w:w="452" w:type="pct"/>
            <w:tcBorders>
              <w:tl2br w:val="nil"/>
              <w:tr2bl w:val="nil"/>
            </w:tcBorders>
            <w:vAlign w:val="center"/>
          </w:tcPr>
          <w:p w14:paraId="496250B1">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sz w:val="21"/>
                <w:szCs w:val="21"/>
              </w:rPr>
              <w:t>+1</w:t>
            </w:r>
          </w:p>
        </w:tc>
      </w:tr>
      <w:tr w14:paraId="1D2A632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3" w:type="pct"/>
            <w:vMerge w:val="continue"/>
            <w:tcBorders>
              <w:tl2br w:val="nil"/>
              <w:tr2bl w:val="nil"/>
            </w:tcBorders>
            <w:vAlign w:val="center"/>
          </w:tcPr>
          <w:p w14:paraId="33540D17">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769" w:type="pct"/>
            <w:tcBorders>
              <w:tl2br w:val="nil"/>
              <w:tr2bl w:val="nil"/>
            </w:tcBorders>
            <w:vAlign w:val="center"/>
          </w:tcPr>
          <w:p w14:paraId="3A86E87F">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生物多样性</w:t>
            </w:r>
          </w:p>
        </w:tc>
        <w:tc>
          <w:tcPr>
            <w:tcW w:w="1493" w:type="pct"/>
            <w:tcBorders>
              <w:tl2br w:val="nil"/>
              <w:tr2bl w:val="nil"/>
            </w:tcBorders>
            <w:vAlign w:val="center"/>
          </w:tcPr>
          <w:p w14:paraId="6492325E">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物种丰富度、均匀度、优势度等</w:t>
            </w:r>
          </w:p>
        </w:tc>
        <w:tc>
          <w:tcPr>
            <w:tcW w:w="1576" w:type="pct"/>
            <w:tcBorders>
              <w:tl2br w:val="nil"/>
              <w:tr2bl w:val="nil"/>
            </w:tcBorders>
            <w:vAlign w:val="center"/>
          </w:tcPr>
          <w:p w14:paraId="57A31F02">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施工占地，间接生态影响</w:t>
            </w:r>
          </w:p>
        </w:tc>
        <w:tc>
          <w:tcPr>
            <w:tcW w:w="434" w:type="pct"/>
            <w:tcBorders>
              <w:tl2br w:val="nil"/>
              <w:tr2bl w:val="nil"/>
            </w:tcBorders>
            <w:vAlign w:val="center"/>
          </w:tcPr>
          <w:p w14:paraId="27E967EB">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sz w:val="21"/>
                <w:szCs w:val="21"/>
              </w:rPr>
              <w:t>L</w:t>
            </w:r>
          </w:p>
        </w:tc>
        <w:tc>
          <w:tcPr>
            <w:tcW w:w="452" w:type="pct"/>
            <w:tcBorders>
              <w:tl2br w:val="nil"/>
              <w:tr2bl w:val="nil"/>
            </w:tcBorders>
            <w:vAlign w:val="center"/>
          </w:tcPr>
          <w:p w14:paraId="40447431">
            <w:pPr>
              <w:widowControl/>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sz w:val="21"/>
                <w:szCs w:val="21"/>
              </w:rPr>
              <w:t>+1</w:t>
            </w:r>
          </w:p>
        </w:tc>
      </w:tr>
      <w:tr w14:paraId="202A52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5000" w:type="pct"/>
            <w:gridSpan w:val="6"/>
            <w:tcBorders>
              <w:tl2br w:val="nil"/>
              <w:tr2bl w:val="nil"/>
            </w:tcBorders>
            <w:vAlign w:val="center"/>
          </w:tcPr>
          <w:p w14:paraId="7E29AEF8">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sz w:val="21"/>
                <w:szCs w:val="21"/>
              </w:rPr>
              <w:t>注：+表示正面影响；－表示负面影响；0表示无影响；1表示环境要素所受影响程度较小或轻微，进行影响描述；2表示环境要素所受影响程度为中等或较为敏感，进行重点评价；L长期影响；S短期影响。</w:t>
            </w:r>
          </w:p>
        </w:tc>
      </w:tr>
    </w:tbl>
    <w:p w14:paraId="12BD6C61">
      <w:pPr>
        <w:wordWrap w:val="0"/>
        <w:topLinePunct/>
        <w:adjustRightInd w:val="0"/>
        <w:snapToGrid w:val="0"/>
        <w:spacing w:after="0" w:line="440" w:lineRule="exact"/>
        <w:ind w:firstLine="480"/>
        <w:rPr>
          <w:rFonts w:hint="default" w:ascii="Times New Roman" w:hAnsi="Times New Roman" w:eastAsia="宋体" w:cs="Times New Roman"/>
          <w:color w:val="auto"/>
          <w:szCs w:val="26"/>
          <w:lang w:val="fr-FR"/>
        </w:rPr>
      </w:pPr>
      <w:r>
        <w:rPr>
          <w:rFonts w:hint="default" w:ascii="Times New Roman" w:hAnsi="Times New Roman" w:eastAsia="宋体" w:cs="Times New Roman"/>
          <w:bCs/>
          <w:color w:val="auto"/>
          <w:kern w:val="0"/>
          <w:szCs w:val="24"/>
        </w:rPr>
        <w:t>根据项目所处区域环境质量现状和项目工程特点，本次生态现状评价因子见下表</w:t>
      </w:r>
      <w:r>
        <w:rPr>
          <w:rFonts w:hint="default" w:ascii="Times New Roman" w:hAnsi="Times New Roman" w:eastAsia="宋体" w:cs="Times New Roman"/>
          <w:color w:val="auto"/>
          <w:szCs w:val="24"/>
        </w:rPr>
        <w:t>：</w:t>
      </w:r>
    </w:p>
    <w:p w14:paraId="07F383E2">
      <w:pPr>
        <w:spacing w:line="240" w:lineRule="auto"/>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表1.6-2  项目评价因子一览表</w:t>
      </w:r>
    </w:p>
    <w:tbl>
      <w:tblPr>
        <w:tblStyle w:val="30"/>
        <w:tblW w:w="4999"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840"/>
        <w:gridCol w:w="1531"/>
        <w:gridCol w:w="6149"/>
      </w:tblGrid>
      <w:tr w14:paraId="327D3D6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23" w:hRule="atLeast"/>
          <w:jc w:val="center"/>
        </w:trPr>
        <w:tc>
          <w:tcPr>
            <w:tcW w:w="1391" w:type="pct"/>
            <w:gridSpan w:val="2"/>
            <w:tcBorders>
              <w:tl2br w:val="nil"/>
              <w:tr2bl w:val="nil"/>
            </w:tcBorders>
            <w:vAlign w:val="center"/>
          </w:tcPr>
          <w:p w14:paraId="241722E3">
            <w:pPr>
              <w:tabs>
                <w:tab w:val="left" w:pos="2160"/>
              </w:tabs>
              <w:wordWrap w:val="0"/>
              <w:topLinePunct/>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lang w:bidi="ar"/>
              </w:rPr>
            </w:pPr>
            <w:r>
              <w:rPr>
                <w:rFonts w:hint="default" w:ascii="Times New Roman" w:hAnsi="Times New Roman" w:eastAsia="宋体" w:cs="Times New Roman"/>
                <w:b/>
                <w:bCs/>
                <w:color w:val="auto"/>
                <w:sz w:val="21"/>
                <w:szCs w:val="21"/>
                <w:lang w:bidi="ar"/>
              </w:rPr>
              <w:t>环   境</w:t>
            </w:r>
          </w:p>
        </w:tc>
        <w:tc>
          <w:tcPr>
            <w:tcW w:w="3608" w:type="pct"/>
            <w:tcBorders>
              <w:tl2br w:val="nil"/>
              <w:tr2bl w:val="nil"/>
            </w:tcBorders>
            <w:vAlign w:val="center"/>
          </w:tcPr>
          <w:p w14:paraId="26A21145">
            <w:pPr>
              <w:tabs>
                <w:tab w:val="left" w:pos="2160"/>
              </w:tabs>
              <w:wordWrap w:val="0"/>
              <w:topLinePunct/>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lang w:bidi="ar"/>
              </w:rPr>
            </w:pPr>
            <w:r>
              <w:rPr>
                <w:rFonts w:hint="default" w:ascii="Times New Roman" w:hAnsi="Times New Roman" w:eastAsia="宋体" w:cs="Times New Roman"/>
                <w:b/>
                <w:bCs/>
                <w:color w:val="auto"/>
                <w:sz w:val="21"/>
                <w:szCs w:val="21"/>
                <w:lang w:bidi="ar"/>
              </w:rPr>
              <w:t>主要影响评价因子</w:t>
            </w:r>
          </w:p>
        </w:tc>
      </w:tr>
      <w:tr w14:paraId="57DBB92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93" w:type="pct"/>
            <w:vMerge w:val="restart"/>
            <w:tcBorders>
              <w:tl2br w:val="nil"/>
              <w:tr2bl w:val="nil"/>
            </w:tcBorders>
            <w:vAlign w:val="center"/>
          </w:tcPr>
          <w:p w14:paraId="09A8D716">
            <w:pPr>
              <w:tabs>
                <w:tab w:val="left" w:pos="2160"/>
              </w:tabs>
              <w:wordWrap w:val="0"/>
              <w:topLinePunct/>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生态环境</w:t>
            </w:r>
          </w:p>
        </w:tc>
        <w:tc>
          <w:tcPr>
            <w:tcW w:w="897" w:type="pct"/>
            <w:tcBorders>
              <w:tl2br w:val="nil"/>
              <w:tr2bl w:val="nil"/>
            </w:tcBorders>
            <w:vAlign w:val="center"/>
          </w:tcPr>
          <w:p w14:paraId="2D500B7C">
            <w:pPr>
              <w:tabs>
                <w:tab w:val="left" w:pos="2160"/>
              </w:tabs>
              <w:wordWrap w:val="0"/>
              <w:topLinePunct/>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现状评价因子</w:t>
            </w:r>
          </w:p>
        </w:tc>
        <w:tc>
          <w:tcPr>
            <w:tcW w:w="3608" w:type="pct"/>
            <w:tcBorders>
              <w:tl2br w:val="nil"/>
              <w:tr2bl w:val="nil"/>
            </w:tcBorders>
            <w:vAlign w:val="center"/>
          </w:tcPr>
          <w:p w14:paraId="72D55921">
            <w:pPr>
              <w:tabs>
                <w:tab w:val="left" w:pos="2160"/>
              </w:tabs>
              <w:wordWrap w:val="0"/>
              <w:topLinePunct/>
              <w:adjustRightInd w:val="0"/>
              <w:snapToGrid w:val="0"/>
              <w:spacing w:after="0" w:line="240" w:lineRule="auto"/>
              <w:ind w:firstLine="42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（1）陆生生态</w:t>
            </w:r>
          </w:p>
          <w:p w14:paraId="3BC3C469">
            <w:pPr>
              <w:tabs>
                <w:tab w:val="left" w:pos="2160"/>
              </w:tabs>
              <w:wordWrap w:val="0"/>
              <w:topLinePunct/>
              <w:adjustRightInd w:val="0"/>
              <w:snapToGrid w:val="0"/>
              <w:spacing w:after="0" w:line="240" w:lineRule="auto"/>
              <w:ind w:firstLine="420"/>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rPr>
              <w:t>1）陆生植被：评价区共记录有维管植物47</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种（包含种下等级），</w:t>
            </w:r>
            <w:r>
              <w:rPr>
                <w:rFonts w:hint="default" w:ascii="Times New Roman" w:hAnsi="Times New Roman" w:eastAsia="宋体" w:cs="Times New Roman"/>
                <w:color w:val="auto"/>
                <w:sz w:val="21"/>
                <w:szCs w:val="21"/>
                <w:lang w:val="zh-CN"/>
              </w:rPr>
              <w:t>隶属于</w:t>
            </w:r>
            <w:r>
              <w:rPr>
                <w:rFonts w:hint="default" w:ascii="Times New Roman" w:hAnsi="Times New Roman" w:eastAsia="宋体" w:cs="Times New Roman"/>
                <w:color w:val="auto"/>
                <w:sz w:val="21"/>
                <w:szCs w:val="21"/>
              </w:rPr>
              <w:t>98</w:t>
            </w:r>
            <w:r>
              <w:rPr>
                <w:rFonts w:hint="default" w:ascii="Times New Roman" w:hAnsi="Times New Roman" w:eastAsia="宋体" w:cs="Times New Roman"/>
                <w:color w:val="auto"/>
                <w:sz w:val="21"/>
                <w:szCs w:val="21"/>
                <w:lang w:val="zh-CN"/>
              </w:rPr>
              <w:t>科、</w:t>
            </w:r>
            <w:r>
              <w:rPr>
                <w:rFonts w:hint="default" w:ascii="Times New Roman" w:hAnsi="Times New Roman" w:eastAsia="宋体" w:cs="Times New Roman"/>
                <w:color w:val="auto"/>
                <w:sz w:val="21"/>
                <w:szCs w:val="21"/>
              </w:rPr>
              <w:t>327</w:t>
            </w:r>
            <w:r>
              <w:rPr>
                <w:rFonts w:hint="default" w:ascii="Times New Roman" w:hAnsi="Times New Roman" w:eastAsia="宋体" w:cs="Times New Roman"/>
                <w:color w:val="auto"/>
                <w:sz w:val="21"/>
                <w:szCs w:val="21"/>
                <w:lang w:val="zh-CN"/>
              </w:rPr>
              <w:t>属。其中蕨类植物有</w:t>
            </w:r>
            <w:r>
              <w:rPr>
                <w:rFonts w:hint="default" w:ascii="Times New Roman" w:hAnsi="Times New Roman" w:eastAsia="宋体" w:cs="Times New Roman"/>
                <w:color w:val="auto"/>
                <w:sz w:val="21"/>
                <w:szCs w:val="21"/>
              </w:rPr>
              <w:t>11</w:t>
            </w:r>
            <w:r>
              <w:rPr>
                <w:rFonts w:hint="default" w:ascii="Times New Roman" w:hAnsi="Times New Roman" w:eastAsia="宋体" w:cs="Times New Roman"/>
                <w:color w:val="auto"/>
                <w:sz w:val="21"/>
                <w:szCs w:val="21"/>
                <w:lang w:val="zh-CN"/>
              </w:rPr>
              <w:t>科、</w:t>
            </w:r>
            <w:r>
              <w:rPr>
                <w:rFonts w:hint="default" w:ascii="Times New Roman" w:hAnsi="Times New Roman" w:eastAsia="宋体" w:cs="Times New Roman"/>
                <w:color w:val="auto"/>
                <w:sz w:val="21"/>
                <w:szCs w:val="21"/>
              </w:rPr>
              <w:t>15</w:t>
            </w:r>
            <w:r>
              <w:rPr>
                <w:rFonts w:hint="default" w:ascii="Times New Roman" w:hAnsi="Times New Roman" w:eastAsia="宋体" w:cs="Times New Roman"/>
                <w:color w:val="auto"/>
                <w:sz w:val="21"/>
                <w:szCs w:val="21"/>
                <w:lang w:val="zh-CN"/>
              </w:rPr>
              <w:t>属、</w:t>
            </w:r>
            <w:r>
              <w:rPr>
                <w:rFonts w:hint="default" w:ascii="Times New Roman" w:hAnsi="Times New Roman" w:eastAsia="宋体" w:cs="Times New Roman"/>
                <w:color w:val="auto"/>
                <w:sz w:val="21"/>
                <w:szCs w:val="21"/>
              </w:rPr>
              <w:t>20</w:t>
            </w:r>
            <w:r>
              <w:rPr>
                <w:rFonts w:hint="default" w:ascii="Times New Roman" w:hAnsi="Times New Roman" w:eastAsia="宋体" w:cs="Times New Roman"/>
                <w:color w:val="auto"/>
                <w:sz w:val="21"/>
                <w:szCs w:val="21"/>
                <w:lang w:val="zh-CN"/>
              </w:rPr>
              <w:t>种；裸子植物有3科、4属、5种；被子植物有84科、308属、450种。无国家级、云南省级野生保护植物，无珍稀濒危植物，无极小种群物种，无狭域特有物种，无名木古树分布。</w:t>
            </w:r>
          </w:p>
          <w:p w14:paraId="1E977EBA">
            <w:pPr>
              <w:tabs>
                <w:tab w:val="left" w:pos="2160"/>
              </w:tabs>
              <w:wordWrap w:val="0"/>
              <w:topLinePunct/>
              <w:adjustRightInd w:val="0"/>
              <w:snapToGrid w:val="0"/>
              <w:spacing w:after="0" w:line="240" w:lineRule="auto"/>
              <w:ind w:firstLine="420"/>
              <w:rPr>
                <w:rFonts w:hint="default" w:ascii="Times New Roman" w:hAnsi="Times New Roman" w:eastAsia="宋体" w:cs="Times New Roman"/>
                <w:bCs/>
                <w:color w:val="auto"/>
                <w:kern w:val="0"/>
                <w:sz w:val="21"/>
                <w:szCs w:val="21"/>
                <w:lang w:val="zh-CN" w:eastAsia="zh-CN"/>
              </w:rPr>
            </w:pPr>
            <w:r>
              <w:rPr>
                <w:rFonts w:hint="default" w:ascii="Times New Roman" w:hAnsi="Times New Roman" w:eastAsia="宋体" w:cs="Times New Roman"/>
                <w:color w:val="auto"/>
                <w:sz w:val="21"/>
                <w:szCs w:val="21"/>
              </w:rPr>
              <w:t>2）陆生脊椎动物：评价区分布有</w:t>
            </w:r>
            <w:r>
              <w:rPr>
                <w:rFonts w:hint="default" w:ascii="Times New Roman" w:hAnsi="Times New Roman" w:eastAsia="宋体" w:cs="Times New Roman"/>
                <w:bCs/>
                <w:color w:val="auto"/>
                <w:kern w:val="0"/>
                <w:sz w:val="21"/>
                <w:szCs w:val="21"/>
                <w:lang w:val="zh-CN"/>
              </w:rPr>
              <w:t>野生动物</w:t>
            </w:r>
            <w:r>
              <w:rPr>
                <w:rFonts w:hint="default" w:ascii="Times New Roman" w:hAnsi="Times New Roman" w:eastAsia="宋体" w:cs="Times New Roman"/>
                <w:bCs/>
                <w:color w:val="auto"/>
                <w:kern w:val="0"/>
                <w:sz w:val="21"/>
                <w:szCs w:val="21"/>
              </w:rPr>
              <w:t>7</w:t>
            </w:r>
            <w:r>
              <w:rPr>
                <w:rFonts w:hint="eastAsia" w:ascii="Times New Roman" w:hAnsi="Times New Roman" w:eastAsia="宋体" w:cs="Times New Roman"/>
                <w:bCs/>
                <w:color w:val="auto"/>
                <w:kern w:val="0"/>
                <w:sz w:val="21"/>
                <w:szCs w:val="21"/>
                <w:lang w:val="en-US" w:eastAsia="zh-CN"/>
              </w:rPr>
              <w:t>3</w:t>
            </w:r>
            <w:r>
              <w:rPr>
                <w:rFonts w:hint="default" w:ascii="Times New Roman" w:hAnsi="Times New Roman" w:eastAsia="宋体" w:cs="Times New Roman"/>
                <w:bCs/>
                <w:color w:val="auto"/>
                <w:kern w:val="0"/>
                <w:sz w:val="21"/>
                <w:szCs w:val="21"/>
                <w:lang w:val="zh-CN"/>
              </w:rPr>
              <w:t>种，其中两栖类</w:t>
            </w:r>
            <w:r>
              <w:rPr>
                <w:rFonts w:hint="default" w:ascii="Times New Roman" w:hAnsi="Times New Roman" w:eastAsia="宋体" w:cs="Times New Roman"/>
                <w:bCs/>
                <w:color w:val="auto"/>
                <w:kern w:val="0"/>
                <w:sz w:val="21"/>
                <w:szCs w:val="21"/>
              </w:rPr>
              <w:t>6</w:t>
            </w:r>
            <w:r>
              <w:rPr>
                <w:rFonts w:hint="default" w:ascii="Times New Roman" w:hAnsi="Times New Roman" w:eastAsia="宋体" w:cs="Times New Roman"/>
                <w:bCs/>
                <w:color w:val="auto"/>
                <w:kern w:val="0"/>
                <w:sz w:val="21"/>
                <w:szCs w:val="21"/>
                <w:lang w:val="zh-CN"/>
              </w:rPr>
              <w:t>种，爬行动物</w:t>
            </w:r>
            <w:r>
              <w:rPr>
                <w:rFonts w:hint="default" w:ascii="Times New Roman" w:hAnsi="Times New Roman" w:eastAsia="宋体" w:cs="Times New Roman"/>
                <w:bCs/>
                <w:color w:val="auto"/>
                <w:kern w:val="0"/>
                <w:sz w:val="21"/>
                <w:szCs w:val="21"/>
              </w:rPr>
              <w:t>6</w:t>
            </w:r>
            <w:r>
              <w:rPr>
                <w:rFonts w:hint="default" w:ascii="Times New Roman" w:hAnsi="Times New Roman" w:eastAsia="宋体" w:cs="Times New Roman"/>
                <w:bCs/>
                <w:color w:val="auto"/>
                <w:kern w:val="0"/>
                <w:sz w:val="21"/>
                <w:szCs w:val="21"/>
                <w:lang w:val="zh-CN"/>
              </w:rPr>
              <w:t>种，鸟类</w:t>
            </w:r>
            <w:r>
              <w:rPr>
                <w:rFonts w:hint="default" w:ascii="Times New Roman" w:hAnsi="Times New Roman" w:eastAsia="宋体" w:cs="Times New Roman"/>
                <w:bCs/>
                <w:color w:val="auto"/>
                <w:kern w:val="0"/>
                <w:sz w:val="21"/>
                <w:szCs w:val="21"/>
              </w:rPr>
              <w:t>51</w:t>
            </w:r>
            <w:r>
              <w:rPr>
                <w:rFonts w:hint="default" w:ascii="Times New Roman" w:hAnsi="Times New Roman" w:eastAsia="宋体" w:cs="Times New Roman"/>
                <w:bCs/>
                <w:color w:val="auto"/>
                <w:kern w:val="0"/>
                <w:sz w:val="21"/>
                <w:szCs w:val="21"/>
                <w:lang w:val="zh-CN"/>
              </w:rPr>
              <w:t>种，哺乳类</w:t>
            </w:r>
            <w:r>
              <w:rPr>
                <w:rFonts w:hint="eastAsia" w:ascii="Times New Roman" w:hAnsi="Times New Roman" w:eastAsia="宋体" w:cs="Times New Roman"/>
                <w:bCs/>
                <w:color w:val="auto"/>
                <w:kern w:val="0"/>
                <w:sz w:val="21"/>
                <w:szCs w:val="21"/>
                <w:lang w:val="en-US" w:eastAsia="zh-CN"/>
              </w:rPr>
              <w:t>10</w:t>
            </w:r>
            <w:r>
              <w:rPr>
                <w:rFonts w:hint="default" w:ascii="Times New Roman" w:hAnsi="Times New Roman" w:cs="Times New Roman"/>
                <w:bCs/>
                <w:color w:val="auto"/>
                <w:kern w:val="0"/>
                <w:sz w:val="21"/>
                <w:szCs w:val="21"/>
              </w:rPr>
              <w:t>种</w:t>
            </w:r>
            <w:r>
              <w:rPr>
                <w:rFonts w:hint="default" w:ascii="Times New Roman" w:hAnsi="Times New Roman" w:eastAsia="宋体" w:cs="Times New Roman"/>
                <w:bCs/>
                <w:color w:val="auto"/>
                <w:kern w:val="0"/>
                <w:sz w:val="21"/>
                <w:szCs w:val="21"/>
                <w:lang w:val="zh-CN"/>
              </w:rPr>
              <w:t>。</w:t>
            </w:r>
            <w:r>
              <w:rPr>
                <w:rFonts w:hint="default" w:ascii="Times New Roman" w:hAnsi="Times New Roman" w:eastAsia="宋体" w:cs="Times New Roman"/>
                <w:bCs/>
                <w:color w:val="auto"/>
                <w:kern w:val="0"/>
                <w:sz w:val="21"/>
                <w:szCs w:val="21"/>
              </w:rPr>
              <w:t>其中</w:t>
            </w:r>
            <w:r>
              <w:rPr>
                <w:rFonts w:hint="default" w:ascii="Times New Roman" w:hAnsi="Times New Roman" w:eastAsia="宋体" w:cs="Times New Roman"/>
                <w:bCs/>
                <w:color w:val="auto"/>
                <w:kern w:val="0"/>
                <w:sz w:val="21"/>
                <w:szCs w:val="21"/>
                <w:lang w:val="zh-CN"/>
              </w:rPr>
              <w:t>有国家重点保护野生动物</w:t>
            </w:r>
            <w:r>
              <w:rPr>
                <w:rFonts w:hint="default" w:ascii="Times New Roman" w:hAnsi="Times New Roman" w:eastAsia="宋体" w:cs="Times New Roman"/>
                <w:bCs/>
                <w:color w:val="auto"/>
                <w:kern w:val="0"/>
                <w:sz w:val="21"/>
                <w:szCs w:val="21"/>
                <w:lang w:val="zh-CN" w:eastAsia="zh-CN"/>
              </w:rPr>
              <w:t>5</w:t>
            </w:r>
            <w:r>
              <w:rPr>
                <w:rFonts w:hint="default" w:ascii="Times New Roman" w:hAnsi="Times New Roman" w:eastAsia="宋体" w:cs="Times New Roman"/>
                <w:bCs/>
                <w:color w:val="auto"/>
                <w:kern w:val="0"/>
                <w:sz w:val="21"/>
                <w:szCs w:val="21"/>
                <w:lang w:val="zh-CN"/>
              </w:rPr>
              <w:t>种</w:t>
            </w:r>
            <w:r>
              <w:rPr>
                <w:rFonts w:hint="default" w:ascii="Times New Roman" w:hAnsi="Times New Roman" w:eastAsia="宋体" w:cs="Times New Roman"/>
                <w:bCs/>
                <w:color w:val="auto"/>
                <w:kern w:val="0"/>
                <w:sz w:val="21"/>
                <w:szCs w:val="21"/>
                <w:lang w:val="zh-CN" w:eastAsia="zh-CN"/>
              </w:rPr>
              <w:t>，其中</w:t>
            </w:r>
            <w:r>
              <w:rPr>
                <w:rFonts w:hint="default" w:ascii="Times New Roman" w:hAnsi="Times New Roman" w:eastAsia="宋体" w:cs="Times New Roman"/>
                <w:bCs/>
                <w:color w:val="auto"/>
                <w:kern w:val="0"/>
                <w:sz w:val="21"/>
                <w:szCs w:val="21"/>
                <w:lang w:val="zh-CN"/>
              </w:rPr>
              <w:t>国家二级重点保护野生鸟类</w:t>
            </w:r>
            <w:r>
              <w:rPr>
                <w:rFonts w:hint="default" w:ascii="Times New Roman" w:hAnsi="Times New Roman" w:eastAsia="宋体" w:cs="Times New Roman"/>
                <w:bCs/>
                <w:color w:val="auto"/>
                <w:kern w:val="0"/>
                <w:sz w:val="21"/>
                <w:szCs w:val="21"/>
                <w:lang w:val="zh-CN" w:eastAsia="zh-CN"/>
              </w:rPr>
              <w:t>4种</w:t>
            </w:r>
            <w:r>
              <w:rPr>
                <w:rFonts w:hint="default" w:ascii="Times New Roman" w:hAnsi="Times New Roman" w:eastAsia="宋体" w:cs="Times New Roman"/>
                <w:bCs/>
                <w:color w:val="auto"/>
                <w:kern w:val="0"/>
                <w:sz w:val="21"/>
                <w:szCs w:val="21"/>
                <w:lang w:val="zh-CN"/>
              </w:rPr>
              <w:t>：松雀鹰、普通鵟、红隼</w:t>
            </w:r>
            <w:r>
              <w:rPr>
                <w:rFonts w:hint="default" w:ascii="Times New Roman" w:hAnsi="Times New Roman" w:eastAsia="宋体" w:cs="Times New Roman"/>
                <w:bCs/>
                <w:color w:val="auto"/>
                <w:kern w:val="0"/>
                <w:sz w:val="21"/>
                <w:szCs w:val="21"/>
                <w:lang w:val="zh-CN" w:eastAsia="zh-CN"/>
              </w:rPr>
              <w:t>、</w:t>
            </w:r>
            <w:r>
              <w:rPr>
                <w:rFonts w:hint="default" w:ascii="Times New Roman" w:hAnsi="Times New Roman" w:eastAsia="宋体" w:cs="Times New Roman"/>
                <w:bCs/>
                <w:color w:val="auto"/>
                <w:kern w:val="0"/>
                <w:sz w:val="21"/>
                <w:szCs w:val="21"/>
                <w:lang w:val="zh-CN"/>
              </w:rPr>
              <w:t>画眉</w:t>
            </w:r>
            <w:r>
              <w:rPr>
                <w:rFonts w:hint="default" w:ascii="Times New Roman" w:hAnsi="Times New Roman" w:eastAsia="宋体" w:cs="Times New Roman"/>
                <w:bCs/>
                <w:color w:val="auto"/>
                <w:kern w:val="0"/>
                <w:sz w:val="21"/>
                <w:szCs w:val="21"/>
                <w:lang w:val="zh-CN" w:eastAsia="zh-CN"/>
              </w:rPr>
              <w:t>；</w:t>
            </w:r>
            <w:r>
              <w:rPr>
                <w:rFonts w:hint="default" w:ascii="Times New Roman" w:hAnsi="Times New Roman" w:eastAsia="宋体" w:cs="Times New Roman"/>
                <w:bCs/>
                <w:color w:val="auto"/>
                <w:kern w:val="0"/>
                <w:sz w:val="21"/>
                <w:szCs w:val="21"/>
                <w:lang w:val="zh-CN"/>
              </w:rPr>
              <w:t>国家二级重点保护野生</w:t>
            </w:r>
            <w:r>
              <w:rPr>
                <w:rFonts w:hint="default" w:ascii="Times New Roman" w:hAnsi="Times New Roman" w:eastAsia="宋体" w:cs="Times New Roman"/>
                <w:bCs/>
                <w:color w:val="auto"/>
                <w:kern w:val="0"/>
                <w:sz w:val="21"/>
                <w:szCs w:val="21"/>
                <w:lang w:val="zh-CN" w:eastAsia="zh-CN"/>
              </w:rPr>
              <w:t>种哺乳类1种：</w:t>
            </w:r>
            <w:r>
              <w:rPr>
                <w:rFonts w:hint="default" w:ascii="Times New Roman" w:hAnsi="Times New Roman" w:eastAsia="宋体" w:cs="Times New Roman"/>
                <w:bCs/>
                <w:color w:val="auto"/>
                <w:kern w:val="0"/>
                <w:sz w:val="21"/>
                <w:szCs w:val="21"/>
                <w:lang w:val="zh-CN"/>
              </w:rPr>
              <w:t>豹猫</w:t>
            </w:r>
            <w:r>
              <w:rPr>
                <w:rFonts w:hint="default" w:ascii="Times New Roman" w:hAnsi="Times New Roman" w:eastAsia="宋体" w:cs="Times New Roman"/>
                <w:bCs/>
                <w:color w:val="auto"/>
                <w:kern w:val="0"/>
                <w:sz w:val="21"/>
                <w:szCs w:val="21"/>
                <w:lang w:val="zh-CN" w:eastAsia="zh-CN"/>
              </w:rPr>
              <w:t>。</w:t>
            </w:r>
          </w:p>
          <w:p w14:paraId="33780F8B">
            <w:pPr>
              <w:tabs>
                <w:tab w:val="left" w:pos="2160"/>
              </w:tabs>
              <w:wordWrap w:val="0"/>
              <w:topLinePunct/>
              <w:adjustRightInd w:val="0"/>
              <w:snapToGrid w:val="0"/>
              <w:spacing w:after="0" w:line="240" w:lineRule="auto"/>
              <w:ind w:firstLine="420"/>
              <w:rPr>
                <w:rFonts w:hint="default" w:ascii="Times New Roman" w:hAnsi="Times New Roman" w:eastAsia="宋体" w:cs="Times New Roman"/>
                <w:bCs/>
                <w:color w:val="auto"/>
                <w:kern w:val="0"/>
                <w:sz w:val="21"/>
                <w:szCs w:val="21"/>
                <w:lang w:val="zh-CN"/>
              </w:rPr>
            </w:pPr>
            <w:r>
              <w:rPr>
                <w:rFonts w:hint="eastAsia" w:ascii="Times New Roman" w:hAnsi="Times New Roman" w:eastAsia="宋体" w:cs="Times New Roman"/>
                <w:bCs/>
                <w:color w:val="auto"/>
                <w:kern w:val="0"/>
                <w:sz w:val="21"/>
                <w:szCs w:val="21"/>
                <w:lang w:val="en-US" w:eastAsia="zh-CN"/>
              </w:rPr>
              <w:t>分布</w:t>
            </w:r>
            <w:r>
              <w:rPr>
                <w:rFonts w:hint="default" w:ascii="Times New Roman" w:hAnsi="Times New Roman" w:eastAsia="宋体" w:cs="Times New Roman"/>
                <w:bCs/>
                <w:color w:val="auto"/>
                <w:kern w:val="0"/>
                <w:sz w:val="21"/>
                <w:szCs w:val="21"/>
                <w:lang w:val="zh-CN" w:eastAsia="zh-CN"/>
              </w:rPr>
              <w:t>有</w:t>
            </w:r>
            <w:r>
              <w:rPr>
                <w:rFonts w:hint="default" w:ascii="Times New Roman" w:hAnsi="Times New Roman" w:eastAsia="宋体" w:cs="Times New Roman"/>
                <w:bCs/>
                <w:color w:val="auto"/>
                <w:kern w:val="0"/>
                <w:sz w:val="21"/>
                <w:szCs w:val="21"/>
                <w:lang w:val="zh-CN"/>
              </w:rPr>
              <w:t>《中国生物多样性红色名录—脊椎动物卷（2020）》中收录的易危（VU）</w:t>
            </w:r>
            <w:r>
              <w:rPr>
                <w:rFonts w:hint="default" w:ascii="Times New Roman" w:hAnsi="Times New Roman" w:eastAsia="宋体" w:cs="Times New Roman"/>
                <w:bCs/>
                <w:color w:val="auto"/>
                <w:kern w:val="0"/>
                <w:sz w:val="21"/>
                <w:szCs w:val="21"/>
                <w:lang w:val="zh-CN" w:eastAsia="zh-CN"/>
              </w:rPr>
              <w:t>物种1种，为豹猫</w:t>
            </w:r>
            <w:r>
              <w:rPr>
                <w:rFonts w:hint="default" w:ascii="Times New Roman" w:hAnsi="Times New Roman" w:eastAsia="宋体" w:cs="Times New Roman"/>
                <w:bCs/>
                <w:color w:val="auto"/>
                <w:kern w:val="0"/>
                <w:sz w:val="21"/>
                <w:szCs w:val="21"/>
                <w:lang w:val="zh-CN"/>
              </w:rPr>
              <w:t>。无局限分布于该区域的特有种类。</w:t>
            </w:r>
          </w:p>
          <w:p w14:paraId="76BAD0CF">
            <w:pPr>
              <w:adjustRightInd w:val="0"/>
              <w:snapToGrid w:val="0"/>
              <w:spacing w:after="0" w:line="240" w:lineRule="auto"/>
              <w:ind w:firstLine="42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（2）土地利用：评价区总面积1072.183hm²。</w:t>
            </w:r>
          </w:p>
          <w:p w14:paraId="77E99A92">
            <w:pPr>
              <w:adjustRightInd w:val="0"/>
              <w:snapToGrid w:val="0"/>
              <w:spacing w:after="0" w:line="240" w:lineRule="auto"/>
              <w:ind w:firstLine="42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景观及生态系统：评价区是一个由多种生态系统组成的复合系统，其中包括暖温性针叶林景观生态系统、灌丛景观生态系统、暖温性稀树灌木草丛景观生态系统、人工林景观生态系统、耕地景观生态系统、城镇区域景观生态系统、工矿企业景观生态系统、交通景观生态系统、水域景观生态系统、裸地景观生态系统等。</w:t>
            </w:r>
          </w:p>
        </w:tc>
      </w:tr>
      <w:tr w14:paraId="2431421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93" w:type="pct"/>
            <w:vMerge w:val="continue"/>
            <w:tcBorders>
              <w:tl2br w:val="nil"/>
              <w:tr2bl w:val="nil"/>
            </w:tcBorders>
            <w:vAlign w:val="center"/>
          </w:tcPr>
          <w:p w14:paraId="235B7047">
            <w:pPr>
              <w:tabs>
                <w:tab w:val="left" w:pos="2160"/>
              </w:tabs>
              <w:wordWrap w:val="0"/>
              <w:topLinePunct/>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bidi="ar"/>
              </w:rPr>
            </w:pPr>
          </w:p>
        </w:tc>
        <w:tc>
          <w:tcPr>
            <w:tcW w:w="897" w:type="pct"/>
            <w:tcBorders>
              <w:tl2br w:val="nil"/>
              <w:tr2bl w:val="nil"/>
            </w:tcBorders>
            <w:vAlign w:val="center"/>
          </w:tcPr>
          <w:p w14:paraId="05EF1C7A">
            <w:pPr>
              <w:tabs>
                <w:tab w:val="left" w:pos="2160"/>
              </w:tabs>
              <w:wordWrap w:val="0"/>
              <w:topLinePunct/>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预测评价因子</w:t>
            </w:r>
          </w:p>
        </w:tc>
        <w:tc>
          <w:tcPr>
            <w:tcW w:w="3608" w:type="pct"/>
            <w:tcBorders>
              <w:tl2br w:val="nil"/>
              <w:tr2bl w:val="nil"/>
            </w:tcBorders>
            <w:vAlign w:val="center"/>
          </w:tcPr>
          <w:p w14:paraId="41242F24">
            <w:pPr>
              <w:tabs>
                <w:tab w:val="left" w:pos="2160"/>
              </w:tabs>
              <w:wordWrap w:val="0"/>
              <w:topLinePunct/>
              <w:adjustRightInd w:val="0"/>
              <w:snapToGrid w:val="0"/>
              <w:spacing w:after="0" w:line="240" w:lineRule="auto"/>
              <w:ind w:firstLine="42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陆生生物、生物多样性、植物群落等</w:t>
            </w:r>
          </w:p>
        </w:tc>
      </w:tr>
    </w:tbl>
    <w:p w14:paraId="10C1F155">
      <w:pPr>
        <w:ind w:firstLine="480"/>
        <w:rPr>
          <w:rFonts w:hint="default" w:ascii="Times New Roman" w:hAnsi="Times New Roman" w:cs="Times New Roman"/>
          <w:color w:val="auto"/>
        </w:rPr>
      </w:pPr>
      <w:r>
        <w:rPr>
          <w:rFonts w:hint="default" w:ascii="Times New Roman" w:hAnsi="Times New Roman" w:cs="Times New Roman"/>
          <w:color w:val="auto"/>
        </w:rPr>
        <w:br w:type="page"/>
      </w:r>
    </w:p>
    <w:p w14:paraId="7B541674">
      <w:pPr>
        <w:pStyle w:val="3"/>
        <w:numPr>
          <w:ilvl w:val="0"/>
          <w:numId w:val="0"/>
        </w:numPr>
        <w:adjustRightInd w:val="0"/>
        <w:spacing w:before="0" w:after="0"/>
        <w:jc w:val="left"/>
        <w:textAlignment w:val="baseline"/>
        <w:rPr>
          <w:rFonts w:hint="default" w:ascii="Times New Roman" w:hAnsi="Times New Roman" w:eastAsia="宋体" w:cs="Times New Roman"/>
          <w:snapToGrid/>
          <w:color w:val="auto"/>
          <w:kern w:val="44"/>
          <w:sz w:val="32"/>
          <w:szCs w:val="32"/>
          <w:lang w:val="zh-CN"/>
        </w:rPr>
      </w:pPr>
      <w:bookmarkStart w:id="206" w:name="_Toc19446"/>
      <w:bookmarkStart w:id="207" w:name="_Toc28265"/>
      <w:r>
        <w:rPr>
          <w:rFonts w:hint="default" w:ascii="Times New Roman" w:hAnsi="Times New Roman" w:eastAsia="宋体" w:cs="Times New Roman"/>
          <w:snapToGrid/>
          <w:color w:val="auto"/>
          <w:kern w:val="44"/>
          <w:sz w:val="32"/>
          <w:szCs w:val="32"/>
          <w:lang w:val="zh-CN"/>
        </w:rPr>
        <w:t>2生态环境现状调查及评价</w:t>
      </w:r>
      <w:bookmarkEnd w:id="206"/>
      <w:bookmarkEnd w:id="207"/>
    </w:p>
    <w:p w14:paraId="63EE5268">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208" w:name="_Toc32241"/>
      <w:bookmarkStart w:id="209" w:name="_Toc8948"/>
      <w:r>
        <w:rPr>
          <w:rFonts w:hint="default" w:ascii="Times New Roman" w:hAnsi="Times New Roman" w:eastAsia="宋体" w:cs="Times New Roman"/>
          <w:bCs w:val="0"/>
          <w:color w:val="auto"/>
          <w:kern w:val="0"/>
          <w:sz w:val="28"/>
          <w:szCs w:val="28"/>
          <w:lang w:val="zh-CN"/>
        </w:rPr>
        <w:t>2.1.地理位置</w:t>
      </w:r>
      <w:bookmarkEnd w:id="208"/>
      <w:bookmarkEnd w:id="209"/>
    </w:p>
    <w:p w14:paraId="48DC39C5">
      <w:pPr>
        <w:pStyle w:val="139"/>
        <w:adjustRightInd w:val="0"/>
        <w:snapToGrid w:val="0"/>
        <w:ind w:firstLine="420" w:firstLineChars="200"/>
        <w:rPr>
          <w:rFonts w:hint="default" w:ascii="Times New Roman" w:hAnsi="Times New Roman" w:eastAsia="宋体" w:cs="Times New Roman"/>
          <w:color w:val="auto"/>
          <w:lang w:val="zh-CN" w:eastAsia="zh-TW"/>
        </w:rPr>
      </w:pPr>
      <w:bookmarkStart w:id="210" w:name="_Toc7642"/>
      <w:r>
        <w:rPr>
          <w:rFonts w:hint="default" w:ascii="Times New Roman" w:hAnsi="Times New Roman" w:eastAsia="宋体" w:cs="Times New Roman"/>
          <w:color w:val="auto"/>
          <w:lang w:val="zh-CN" w:eastAsia="zh-TW"/>
        </w:rPr>
        <w:t>工程位于曲靖市会泽县宝云街道、五星乡、乐业镇境内，县城东北侧，场址中心距离会泽县直线距离约10km。场地以山地为主，局部丘陵、高山。沿线自然地表高程为1900m～2620m之间，沿线主要道路有国道、乡村道路，上山道路有机耕道，交通相对便利。</w:t>
      </w:r>
    </w:p>
    <w:p w14:paraId="43A11A2D">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211" w:name="_Toc16336"/>
      <w:r>
        <w:rPr>
          <w:rFonts w:hint="default" w:ascii="Times New Roman" w:hAnsi="Times New Roman" w:eastAsia="宋体" w:cs="Times New Roman"/>
          <w:bCs w:val="0"/>
          <w:color w:val="auto"/>
          <w:kern w:val="0"/>
          <w:sz w:val="28"/>
          <w:szCs w:val="28"/>
          <w:lang w:val="zh-CN"/>
        </w:rPr>
        <w:t>2.2 地形、地貌</w:t>
      </w:r>
      <w:bookmarkEnd w:id="210"/>
      <w:bookmarkEnd w:id="211"/>
    </w:p>
    <w:p w14:paraId="1676017F">
      <w:pPr>
        <w:pStyle w:val="139"/>
        <w:adjustRightInd w:val="0"/>
        <w:snapToGrid w:val="0"/>
        <w:ind w:firstLine="420" w:firstLineChars="200"/>
        <w:rPr>
          <w:rFonts w:hint="default" w:ascii="Times New Roman" w:hAnsi="Times New Roman" w:cs="Times New Roman"/>
          <w:color w:val="auto"/>
          <w:lang w:val="zh-TW" w:eastAsia="zh-TW"/>
        </w:rPr>
      </w:pPr>
      <w:r>
        <w:rPr>
          <w:rFonts w:hint="default" w:ascii="Times New Roman" w:hAnsi="Times New Roman" w:cs="Times New Roman"/>
          <w:color w:val="auto"/>
          <w:lang w:val="zh-TW" w:eastAsia="zh-TW"/>
        </w:rPr>
        <w:t>会泽县地处滇东高原与黔西高原分界的乌蒙山脉的主峰地段，为构造侵蚀、溶蚀的高中山高原山地、中山峡谷、盆地堆积和冰川地形地貌。地势总体西高东低、南高北低，由西向东呈阶梯状递降；最高峰大牯牛寨，海拔4017.3m；最低处为小江和金沙江汇合口，海拔695m，相对高差3322.3m，平均2200m。</w:t>
      </w:r>
    </w:p>
    <w:p w14:paraId="4824341C">
      <w:pPr>
        <w:pStyle w:val="139"/>
        <w:adjustRightInd w:val="0"/>
        <w:snapToGrid w:val="0"/>
        <w:ind w:firstLine="470"/>
        <w:rPr>
          <w:rFonts w:hint="default" w:ascii="Times New Roman" w:hAnsi="Times New Roman" w:cs="Times New Roman"/>
          <w:color w:val="auto"/>
          <w:lang w:val="zh-TW" w:eastAsia="zh-TW"/>
        </w:rPr>
      </w:pPr>
      <w:r>
        <w:rPr>
          <w:rFonts w:hint="default" w:ascii="Times New Roman" w:hAnsi="Times New Roman" w:cs="Times New Roman"/>
          <w:color w:val="auto"/>
          <w:lang w:val="zh-TW" w:eastAsia="zh-TW"/>
        </w:rPr>
        <w:t>境内山高坡陡，沟谷纵横，多呈</w:t>
      </w:r>
      <w:r>
        <w:rPr>
          <w:rFonts w:hint="default" w:ascii="Times New Roman" w:hAnsi="Times New Roman" w:cs="Times New Roman"/>
          <w:color w:val="auto"/>
          <w:lang w:val="zh-TW"/>
        </w:rPr>
        <w:t>“V”形</w:t>
      </w:r>
      <w:r>
        <w:rPr>
          <w:rFonts w:hint="default" w:ascii="Times New Roman" w:hAnsi="Times New Roman" w:cs="Times New Roman"/>
          <w:color w:val="auto"/>
          <w:lang w:val="zh-TW" w:eastAsia="zh-TW"/>
        </w:rPr>
        <w:t>峡谷。整个地貌以山地地貌为主，其次为盆地地貌和冰川地貌。拟建线路区位于毛家村水库以东，牛栏江以西，属构造剥蚀溶蚀侵蚀中山山地地貌，线路区海拔高程在1900m～2620m之间，最大高差约700m。线路区沟壑纵横，山体间沟谷多开阔，部分区域分布有V形沟谷。拟建线路工程区地形坡度10°~35°不等，覆盖层浅薄，下伏基岩主要为强</w:t>
      </w:r>
      <w:r>
        <w:rPr>
          <w:rFonts w:hint="default" w:ascii="Times New Roman" w:hAnsi="Times New Roman" w:cs="Times New Roman"/>
          <w:color w:val="auto"/>
          <w:lang w:val="zh-TW"/>
        </w:rPr>
        <w:t>～</w:t>
      </w:r>
      <w:r>
        <w:rPr>
          <w:rFonts w:hint="default" w:ascii="Times New Roman" w:hAnsi="Times New Roman" w:cs="Times New Roman"/>
          <w:color w:val="auto"/>
          <w:lang w:val="zh-TW" w:eastAsia="zh-TW"/>
        </w:rPr>
        <w:t xml:space="preserve">中风化玄武岩、砂岩、泥岩、页岩、泥质灰岩、泥灰岩，场地内边坡以岩质边坡为主，局部地形较陡部位强风化岩体及土层在暴雨冲刷产生局部滑塌的可能，采用一般工程处理措施可以解决。 </w:t>
      </w:r>
    </w:p>
    <w:p w14:paraId="2FF0013F">
      <w:pPr>
        <w:pStyle w:val="139"/>
        <w:adjustRightInd w:val="0"/>
        <w:snapToGrid w:val="0"/>
        <w:ind w:firstLine="420" w:firstLineChars="200"/>
        <w:rPr>
          <w:rFonts w:hint="default" w:ascii="Times New Roman" w:hAnsi="Times New Roman" w:cs="Times New Roman"/>
          <w:color w:val="auto"/>
          <w:lang w:val="zh-TW" w:eastAsia="zh-TW"/>
        </w:rPr>
      </w:pPr>
      <w:r>
        <w:rPr>
          <w:rFonts w:hint="default" w:ascii="Times New Roman" w:hAnsi="Times New Roman" w:cs="Times New Roman"/>
          <w:color w:val="auto"/>
          <w:lang w:val="zh-TW" w:eastAsia="zh-TW"/>
        </w:rPr>
        <w:t>砂岩：褐黄色，灰黄色，薄层状</w:t>
      </w:r>
      <w:r>
        <w:rPr>
          <w:rFonts w:hint="default" w:ascii="Times New Roman" w:hAnsi="Times New Roman" w:cs="Times New Roman"/>
          <w:color w:val="auto"/>
          <w:lang w:val="zh-TW"/>
        </w:rPr>
        <w:t>－</w:t>
      </w:r>
      <w:r>
        <w:rPr>
          <w:rFonts w:hint="default" w:ascii="Times New Roman" w:hAnsi="Times New Roman" w:cs="Times New Roman"/>
          <w:color w:val="auto"/>
          <w:lang w:val="zh-TW" w:eastAsia="zh-TW"/>
        </w:rPr>
        <w:t>中厚层状，基础开挖范围内多呈强风化状态，局部地段呈中等风化，节理裂隙发育，岩体破碎，呈块石、碎石、角砾状</w:t>
      </w:r>
      <w:r>
        <w:rPr>
          <w:rFonts w:hint="default" w:ascii="Times New Roman" w:hAnsi="Times New Roman" w:cs="Times New Roman"/>
          <w:color w:val="auto"/>
          <w:lang w:val="zh-TW"/>
        </w:rPr>
        <w:t>，</w:t>
      </w:r>
      <w:r>
        <w:rPr>
          <w:rFonts w:hint="default" w:ascii="Times New Roman" w:hAnsi="Times New Roman" w:cs="Times New Roman"/>
          <w:color w:val="auto"/>
          <w:lang w:val="zh-TW" w:eastAsia="zh-TW"/>
        </w:rPr>
        <w:t xml:space="preserve">岩体基本质量等级为Ⅴ级。 </w:t>
      </w:r>
    </w:p>
    <w:p w14:paraId="256C9705">
      <w:pPr>
        <w:pStyle w:val="139"/>
        <w:adjustRightInd w:val="0"/>
        <w:snapToGrid w:val="0"/>
        <w:ind w:firstLine="420" w:firstLineChars="200"/>
        <w:rPr>
          <w:rFonts w:hint="default" w:ascii="Times New Roman" w:hAnsi="Times New Roman" w:cs="Times New Roman"/>
          <w:color w:val="auto"/>
          <w:lang w:val="zh-TW" w:eastAsia="zh-TW"/>
        </w:rPr>
      </w:pPr>
      <w:r>
        <w:rPr>
          <w:rFonts w:hint="default" w:ascii="Times New Roman" w:hAnsi="Times New Roman" w:cs="Times New Roman"/>
          <w:color w:val="auto"/>
          <w:lang w:val="zh-TW" w:eastAsia="zh-TW"/>
        </w:rPr>
        <w:t>泥岩：灰黄色，薄层状，基础开挖范围内多呈强风化状态，节理裂隙极发育，岩体极破碎，呈块石、碎石、角砾状</w:t>
      </w:r>
      <w:r>
        <w:rPr>
          <w:rFonts w:hint="default" w:ascii="Times New Roman" w:hAnsi="Times New Roman" w:cs="Times New Roman"/>
          <w:color w:val="auto"/>
          <w:lang w:val="zh-TW"/>
        </w:rPr>
        <w:t>，</w:t>
      </w:r>
      <w:r>
        <w:rPr>
          <w:rFonts w:hint="default" w:ascii="Times New Roman" w:hAnsi="Times New Roman" w:cs="Times New Roman"/>
          <w:color w:val="auto"/>
          <w:lang w:val="zh-TW" w:eastAsia="zh-TW"/>
        </w:rPr>
        <w:t>岩体基本质量等级为Ⅴ级。</w:t>
      </w:r>
    </w:p>
    <w:p w14:paraId="51EA5915">
      <w:pPr>
        <w:pStyle w:val="139"/>
        <w:adjustRightInd w:val="0"/>
        <w:snapToGrid w:val="0"/>
        <w:ind w:firstLine="420" w:firstLineChars="200"/>
        <w:rPr>
          <w:rFonts w:hint="default" w:ascii="Times New Roman" w:hAnsi="Times New Roman" w:cs="Times New Roman"/>
          <w:color w:val="auto"/>
          <w:lang w:val="zh-TW" w:eastAsia="zh-TW"/>
        </w:rPr>
      </w:pPr>
      <w:r>
        <w:rPr>
          <w:rFonts w:hint="default" w:ascii="Times New Roman" w:hAnsi="Times New Roman" w:cs="Times New Roman"/>
          <w:color w:val="auto"/>
          <w:lang w:val="zh-TW" w:eastAsia="zh-TW"/>
        </w:rPr>
        <w:t>玄武岩：由火山喷发出的岩浆在地表冷却后凝固而成的一种致密状或泡沫状结构的岩石</w:t>
      </w:r>
      <w:r>
        <w:rPr>
          <w:rFonts w:hint="default" w:ascii="Times New Roman" w:hAnsi="Times New Roman" w:cs="Times New Roman"/>
          <w:color w:val="auto"/>
          <w:lang w:val="zh-TW"/>
        </w:rPr>
        <w:t>，</w:t>
      </w:r>
      <w:r>
        <w:rPr>
          <w:rFonts w:hint="default" w:ascii="Times New Roman" w:hAnsi="Times New Roman" w:cs="Times New Roman"/>
          <w:color w:val="auto"/>
          <w:lang w:val="zh-TW" w:eastAsia="zh-TW"/>
        </w:rPr>
        <w:t>属于岩浆岩</w:t>
      </w:r>
      <w:r>
        <w:rPr>
          <w:rFonts w:hint="default" w:ascii="Times New Roman" w:hAnsi="Times New Roman" w:cs="Times New Roman"/>
          <w:color w:val="auto"/>
          <w:lang w:val="zh-TW"/>
        </w:rPr>
        <w:t>。</w:t>
      </w:r>
      <w:r>
        <w:rPr>
          <w:rFonts w:hint="default" w:ascii="Times New Roman" w:hAnsi="Times New Roman" w:cs="Times New Roman"/>
          <w:color w:val="auto"/>
          <w:lang w:val="zh-TW" w:eastAsia="zh-TW"/>
        </w:rPr>
        <w:t>其岩石结构常具气孔状、杏仁状构造和斑状结构</w:t>
      </w:r>
      <w:r>
        <w:rPr>
          <w:rFonts w:hint="default" w:ascii="Times New Roman" w:hAnsi="Times New Roman" w:cs="Times New Roman"/>
          <w:color w:val="auto"/>
          <w:lang w:val="zh-TW"/>
        </w:rPr>
        <w:t>，</w:t>
      </w:r>
      <w:r>
        <w:rPr>
          <w:rFonts w:hint="default" w:ascii="Times New Roman" w:hAnsi="Times New Roman" w:cs="Times New Roman"/>
          <w:color w:val="auto"/>
          <w:lang w:val="zh-TW" w:eastAsia="zh-TW"/>
        </w:rPr>
        <w:t>有时带有大的矿物晶体</w:t>
      </w:r>
      <w:r>
        <w:rPr>
          <w:rFonts w:hint="default" w:ascii="Times New Roman" w:hAnsi="Times New Roman" w:cs="Times New Roman"/>
          <w:color w:val="auto"/>
          <w:lang w:val="zh-TW"/>
        </w:rPr>
        <w:t>，</w:t>
      </w:r>
      <w:r>
        <w:rPr>
          <w:rFonts w:hint="default" w:ascii="Times New Roman" w:hAnsi="Times New Roman" w:cs="Times New Roman"/>
          <w:color w:val="auto"/>
          <w:lang w:val="zh-TW" w:eastAsia="zh-TW"/>
        </w:rPr>
        <w:t>未风化的玄武岩主要呈黑色和灰色</w:t>
      </w:r>
      <w:r>
        <w:rPr>
          <w:rFonts w:hint="default" w:ascii="Times New Roman" w:hAnsi="Times New Roman" w:cs="Times New Roman"/>
          <w:color w:val="auto"/>
          <w:lang w:val="zh-TW"/>
        </w:rPr>
        <w:t>，</w:t>
      </w:r>
      <w:r>
        <w:rPr>
          <w:rFonts w:hint="default" w:ascii="Times New Roman" w:hAnsi="Times New Roman" w:cs="Times New Roman"/>
          <w:color w:val="auto"/>
          <w:lang w:val="zh-TW" w:eastAsia="zh-TW"/>
        </w:rPr>
        <w:t>也有黑褐色、暗紫色和灰绿色的。岩体基本质量等级为</w:t>
      </w:r>
      <w:r>
        <w:rPr>
          <w:rFonts w:hint="default" w:ascii="Times New Roman" w:hAnsi="Times New Roman" w:cs="Times New Roman"/>
          <w:color w:val="auto"/>
          <w:lang w:val="zh-TW"/>
        </w:rPr>
        <w:t>Ⅱ级</w:t>
      </w:r>
      <w:r>
        <w:rPr>
          <w:rFonts w:hint="default" w:ascii="Times New Roman" w:hAnsi="Times New Roman" w:cs="Times New Roman"/>
          <w:color w:val="auto"/>
          <w:lang w:val="zh-TW" w:eastAsia="zh-TW"/>
        </w:rPr>
        <w:t xml:space="preserve">。 </w:t>
      </w:r>
    </w:p>
    <w:p w14:paraId="2668524C">
      <w:pPr>
        <w:pStyle w:val="139"/>
        <w:adjustRightInd w:val="0"/>
        <w:snapToGrid w:val="0"/>
        <w:ind w:firstLine="420" w:firstLineChars="200"/>
        <w:rPr>
          <w:rFonts w:hint="default" w:ascii="Times New Roman" w:hAnsi="Times New Roman" w:cs="Times New Roman"/>
          <w:color w:val="auto"/>
          <w:lang w:val="zh-TW" w:eastAsia="zh-TW"/>
        </w:rPr>
      </w:pPr>
      <w:r>
        <w:rPr>
          <w:rFonts w:hint="default" w:ascii="Times New Roman" w:hAnsi="Times New Roman" w:cs="Times New Roman"/>
          <w:color w:val="auto"/>
          <w:lang w:val="zh-TW" w:eastAsia="zh-TW"/>
        </w:rPr>
        <w:t>页岩：是一种具有特殊化学成分和物理性质的泥质岩石，是由泥沙在地压和岩浆的压迫下经过长时间的变质作用形成的。页岩的颜色多为灰色或黑色，表面光泽度低，质地坚硬，断面呈层状结构，容易分层，其层理性良好。在手感上，页岩质感坚硬，较滑，不易粉化</w:t>
      </w:r>
      <w:r>
        <w:rPr>
          <w:rFonts w:hint="default" w:ascii="Times New Roman" w:hAnsi="Times New Roman" w:cs="Times New Roman"/>
          <w:color w:val="auto"/>
          <w:lang w:val="zh-TW"/>
        </w:rPr>
        <w:t>。</w:t>
      </w:r>
      <w:r>
        <w:rPr>
          <w:rFonts w:hint="default" w:ascii="Times New Roman" w:hAnsi="Times New Roman" w:cs="Times New Roman"/>
          <w:color w:val="auto"/>
          <w:lang w:val="zh-TW" w:eastAsia="zh-TW"/>
        </w:rPr>
        <w:t>岩体基本质量等级为Ⅳ级。</w:t>
      </w:r>
    </w:p>
    <w:p w14:paraId="0B29F505">
      <w:pPr>
        <w:pStyle w:val="139"/>
        <w:adjustRightInd w:val="0"/>
        <w:snapToGrid w:val="0"/>
        <w:spacing w:line="360" w:lineRule="auto"/>
        <w:ind w:firstLine="420" w:firstLineChars="200"/>
        <w:rPr>
          <w:rFonts w:hint="default" w:ascii="Times New Roman" w:hAnsi="Times New Roman" w:cs="Times New Roman"/>
          <w:color w:val="auto"/>
          <w:lang w:val="zh-TW" w:eastAsia="zh-TW"/>
        </w:rPr>
      </w:pPr>
      <w:r>
        <w:rPr>
          <w:rFonts w:hint="default" w:ascii="Times New Roman" w:hAnsi="Times New Roman" w:cs="Times New Roman"/>
          <w:color w:val="auto"/>
          <w:lang w:val="zh-TW" w:eastAsia="zh-TW"/>
        </w:rPr>
        <w:t>岩溶</w:t>
      </w:r>
      <w:r>
        <w:rPr>
          <w:rFonts w:hint="default" w:ascii="Times New Roman" w:hAnsi="Times New Roman" w:cs="Times New Roman"/>
          <w:color w:val="auto"/>
          <w:lang w:val="zh-TW"/>
        </w:rPr>
        <w:t>：</w:t>
      </w:r>
      <w:r>
        <w:rPr>
          <w:rFonts w:hint="default" w:ascii="Times New Roman" w:hAnsi="Times New Roman" w:cs="Times New Roman"/>
          <w:color w:val="auto"/>
          <w:lang w:val="zh-TW" w:eastAsia="zh-TW"/>
        </w:rPr>
        <w:t>岩溶在拟建线路工程区域内局部分布，线路经过路径发育有洼地与漏斗、溶洞、石牙、峰林、峰丛等；杆塔位选址时应注意避让、跨越或者采取有效的工程处理措施，可保证杆塔的稳定。</w:t>
      </w:r>
    </w:p>
    <w:p w14:paraId="63A97843">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212" w:name="_Toc26361"/>
      <w:bookmarkStart w:id="213" w:name="_Toc14969"/>
      <w:r>
        <w:rPr>
          <w:rFonts w:hint="default" w:ascii="Times New Roman" w:hAnsi="Times New Roman" w:eastAsia="宋体" w:cs="Times New Roman"/>
          <w:bCs w:val="0"/>
          <w:color w:val="auto"/>
          <w:kern w:val="0"/>
          <w:sz w:val="28"/>
          <w:szCs w:val="28"/>
          <w:lang w:val="zh-CN"/>
        </w:rPr>
        <w:t>2.3 陆生植被和植物资源现状</w:t>
      </w:r>
      <w:bookmarkEnd w:id="212"/>
      <w:bookmarkEnd w:id="213"/>
    </w:p>
    <w:p w14:paraId="77778C10">
      <w:pPr>
        <w:pStyle w:val="5"/>
        <w:numPr>
          <w:ilvl w:val="2"/>
          <w:numId w:val="0"/>
        </w:numPr>
        <w:adjustRightInd w:val="0"/>
        <w:snapToGrid w:val="0"/>
        <w:spacing w:line="360" w:lineRule="auto"/>
        <w:rPr>
          <w:rFonts w:hint="default" w:ascii="Times New Roman" w:hAnsi="Times New Roman" w:cs="Times New Roman"/>
          <w:color w:val="auto"/>
          <w:sz w:val="24"/>
          <w:szCs w:val="24"/>
        </w:rPr>
      </w:pPr>
      <w:bookmarkStart w:id="214" w:name="_Toc29144"/>
      <w:r>
        <w:rPr>
          <w:rFonts w:hint="default" w:ascii="Times New Roman" w:hAnsi="Times New Roman" w:cs="Times New Roman"/>
          <w:color w:val="auto"/>
          <w:sz w:val="24"/>
          <w:szCs w:val="24"/>
        </w:rPr>
        <w:t xml:space="preserve">2.3.1 </w:t>
      </w:r>
      <w:r>
        <w:rPr>
          <w:rFonts w:hint="default" w:ascii="Times New Roman" w:hAnsi="Times New Roman" w:cs="Times New Roman"/>
          <w:color w:val="auto"/>
          <w:kern w:val="0"/>
          <w:sz w:val="24"/>
        </w:rPr>
        <w:t>调查方法、范围和内容</w:t>
      </w:r>
      <w:bookmarkEnd w:id="214"/>
    </w:p>
    <w:p w14:paraId="404526F7">
      <w:pPr>
        <w:pStyle w:val="6"/>
        <w:adjustRightInd w:val="0"/>
        <w:snapToGrid w:val="0"/>
        <w:spacing w:line="360" w:lineRule="auto"/>
        <w:ind w:firstLine="482" w:firstLineChars="200"/>
        <w:rPr>
          <w:rFonts w:hint="default" w:ascii="Times New Roman" w:hAnsi="Times New Roman" w:cs="Times New Roman"/>
          <w:color w:val="auto"/>
        </w:rPr>
      </w:pPr>
      <w:r>
        <w:rPr>
          <w:rFonts w:hint="default" w:ascii="Times New Roman" w:hAnsi="Times New Roman" w:cs="Times New Roman"/>
          <w:color w:val="auto"/>
        </w:rPr>
        <w:t>2.3.1.1调查方法</w:t>
      </w:r>
    </w:p>
    <w:p w14:paraId="37F4B3F6">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根据《环境影响评价技术导则 生态影响》（HJ19-2022），我单位组织专业人员于2025年10月13日—10月20日、2026年4月12日</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rPr>
        <w:t>18日、2026年6月1日—6月5日，实地考察了工程评价区周围的植被和植物。并查阅了</w:t>
      </w:r>
      <w:r>
        <w:rPr>
          <w:rFonts w:hint="default" w:ascii="Times New Roman" w:hAnsi="Times New Roman" w:cs="Times New Roman"/>
          <w:color w:val="auto"/>
        </w:rPr>
        <w:t>110kV大草房光伏变电站项目</w:t>
      </w:r>
      <w:r>
        <w:rPr>
          <w:rFonts w:hint="default" w:ascii="Times New Roman" w:hAnsi="Times New Roman" w:eastAsia="宋体" w:cs="Times New Roman"/>
          <w:color w:val="auto"/>
        </w:rPr>
        <w:t>生态调查及六合一一期光伏项目生态调查相关资料。调查已涵盖植物生长旺盛季节。</w:t>
      </w:r>
    </w:p>
    <w:p w14:paraId="77D9BB01">
      <w:pPr>
        <w:spacing w:line="240" w:lineRule="auto"/>
        <w:jc w:val="center"/>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eastAsia="宋体" w:cs="Times New Roman"/>
          <w:b/>
          <w:bCs/>
          <w:color w:val="auto"/>
          <w:kern w:val="2"/>
          <w:sz w:val="24"/>
          <w:szCs w:val="24"/>
          <w:lang w:val="en-US" w:eastAsia="zh-CN" w:bidi="ar-SA"/>
        </w:rPr>
        <w:t>表</w:t>
      </w:r>
      <w:r>
        <w:rPr>
          <w:rFonts w:hint="eastAsia" w:ascii="Times New Roman" w:hAnsi="Times New Roman" w:eastAsia="宋体" w:cs="Times New Roman"/>
          <w:b/>
          <w:bCs/>
          <w:color w:val="auto"/>
          <w:kern w:val="2"/>
          <w:sz w:val="24"/>
          <w:szCs w:val="24"/>
          <w:lang w:val="en-US" w:eastAsia="zh-CN" w:bidi="ar-SA"/>
        </w:rPr>
        <w:t>2.3-1</w:t>
      </w:r>
      <w:r>
        <w:rPr>
          <w:rFonts w:hint="default" w:ascii="Times New Roman" w:hAnsi="Times New Roman" w:eastAsia="宋体" w:cs="Times New Roman"/>
          <w:b/>
          <w:bCs/>
          <w:color w:val="auto"/>
          <w:kern w:val="2"/>
          <w:sz w:val="24"/>
          <w:szCs w:val="24"/>
          <w:lang w:val="en-US" w:eastAsia="zh-CN" w:bidi="ar-SA"/>
        </w:rPr>
        <w:t xml:space="preserve"> </w:t>
      </w:r>
      <w:r>
        <w:rPr>
          <w:rFonts w:hint="eastAsia" w:ascii="Times New Roman" w:hAnsi="Times New Roman" w:eastAsia="宋体" w:cs="Times New Roman"/>
          <w:b/>
          <w:bCs/>
          <w:color w:val="auto"/>
          <w:kern w:val="2"/>
          <w:sz w:val="24"/>
          <w:szCs w:val="24"/>
          <w:lang w:val="en-US" w:eastAsia="zh-CN" w:bidi="ar-SA"/>
        </w:rPr>
        <w:t xml:space="preserve"> </w:t>
      </w:r>
      <w:r>
        <w:rPr>
          <w:rFonts w:hint="default" w:ascii="Times New Roman" w:hAnsi="Times New Roman" w:eastAsia="宋体" w:cs="Times New Roman"/>
          <w:b/>
          <w:bCs/>
          <w:color w:val="auto"/>
          <w:kern w:val="2"/>
          <w:sz w:val="24"/>
          <w:szCs w:val="24"/>
          <w:lang w:val="en-US" w:eastAsia="zh-CN" w:bidi="ar-SA"/>
        </w:rPr>
        <w:t>植被及植物资源调查人员一览表</w:t>
      </w:r>
    </w:p>
    <w:tbl>
      <w:tblPr>
        <w:tblStyle w:val="3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04748D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00" w:type="pct"/>
            <w:tcBorders>
              <w:tl2br w:val="nil"/>
              <w:tr2bl w:val="nil"/>
            </w:tcBorders>
            <w:vAlign w:val="center"/>
          </w:tcPr>
          <w:p w14:paraId="76E8017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cs="Times New Roman" w:eastAsiaTheme="minorEastAsia"/>
                <w:b/>
                <w:bCs/>
                <w:color w:val="auto"/>
                <w:kern w:val="0"/>
                <w:sz w:val="21"/>
                <w:szCs w:val="21"/>
                <w:highlight w:val="none"/>
              </w:rPr>
            </w:pPr>
            <w:r>
              <w:rPr>
                <w:rFonts w:hint="default" w:ascii="Times New Roman" w:hAnsi="Times New Roman" w:cs="Times New Roman" w:eastAsiaTheme="minorEastAsia"/>
                <w:b/>
                <w:bCs/>
                <w:color w:val="auto"/>
                <w:kern w:val="0"/>
                <w:sz w:val="21"/>
                <w:szCs w:val="21"/>
                <w:highlight w:val="none"/>
              </w:rPr>
              <w:t>调查人员</w:t>
            </w:r>
          </w:p>
        </w:tc>
        <w:tc>
          <w:tcPr>
            <w:tcW w:w="2500" w:type="pct"/>
            <w:tcBorders>
              <w:tl2br w:val="nil"/>
              <w:tr2bl w:val="nil"/>
            </w:tcBorders>
            <w:vAlign w:val="center"/>
          </w:tcPr>
          <w:p w14:paraId="3D8DD01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cs="Times New Roman" w:eastAsiaTheme="minorEastAsia"/>
                <w:b/>
                <w:bCs/>
                <w:color w:val="auto"/>
                <w:kern w:val="0"/>
                <w:sz w:val="21"/>
                <w:szCs w:val="21"/>
                <w:highlight w:val="none"/>
              </w:rPr>
            </w:pPr>
            <w:r>
              <w:rPr>
                <w:rFonts w:hint="default" w:ascii="Times New Roman" w:hAnsi="Times New Roman" w:cs="Times New Roman" w:eastAsiaTheme="minorEastAsia"/>
                <w:b/>
                <w:bCs/>
                <w:color w:val="auto"/>
                <w:kern w:val="0"/>
                <w:sz w:val="21"/>
                <w:szCs w:val="21"/>
                <w:highlight w:val="none"/>
              </w:rPr>
              <w:t>涉及专业</w:t>
            </w:r>
          </w:p>
        </w:tc>
      </w:tr>
      <w:tr w14:paraId="1A7B84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00" w:type="pct"/>
            <w:tcBorders>
              <w:tl2br w:val="nil"/>
              <w:tr2bl w:val="nil"/>
            </w:tcBorders>
            <w:vAlign w:val="center"/>
          </w:tcPr>
          <w:p w14:paraId="067742D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张莹</w:t>
            </w:r>
          </w:p>
        </w:tc>
        <w:tc>
          <w:tcPr>
            <w:tcW w:w="2500" w:type="pct"/>
            <w:tcBorders>
              <w:tl2br w:val="nil"/>
              <w:tr2bl w:val="nil"/>
            </w:tcBorders>
            <w:vAlign w:val="center"/>
          </w:tcPr>
          <w:p w14:paraId="284C844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生态学</w:t>
            </w:r>
          </w:p>
        </w:tc>
      </w:tr>
      <w:tr w14:paraId="5B7F87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00" w:type="pct"/>
            <w:tcBorders>
              <w:tl2br w:val="nil"/>
              <w:tr2bl w:val="nil"/>
            </w:tcBorders>
            <w:vAlign w:val="center"/>
          </w:tcPr>
          <w:p w14:paraId="0FA5E44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李连杰</w:t>
            </w:r>
          </w:p>
        </w:tc>
        <w:tc>
          <w:tcPr>
            <w:tcW w:w="2500" w:type="pct"/>
            <w:tcBorders>
              <w:tl2br w:val="nil"/>
              <w:tr2bl w:val="nil"/>
            </w:tcBorders>
            <w:vAlign w:val="center"/>
          </w:tcPr>
          <w:p w14:paraId="6A33ACF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植物学</w:t>
            </w:r>
          </w:p>
        </w:tc>
      </w:tr>
    </w:tbl>
    <w:p w14:paraId="1D1F87EC">
      <w:pPr>
        <w:pStyle w:val="2"/>
        <w:spacing w:line="240" w:lineRule="auto"/>
        <w:rPr>
          <w:rFonts w:hint="default"/>
          <w:color w:val="auto"/>
          <w:sz w:val="2"/>
          <w:szCs w:val="4"/>
        </w:rPr>
      </w:pPr>
    </w:p>
    <w:tbl>
      <w:tblPr>
        <w:tblStyle w:val="3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96"/>
        <w:gridCol w:w="3516"/>
      </w:tblGrid>
      <w:tr w14:paraId="7D0BD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996" w:type="dxa"/>
            <w:tcBorders>
              <w:tl2br w:val="nil"/>
              <w:tr2bl w:val="nil"/>
            </w:tcBorders>
            <w:vAlign w:val="center"/>
          </w:tcPr>
          <w:p w14:paraId="1B79949E">
            <w:pPr>
              <w:adjustRightInd w:val="0"/>
              <w:snapToGrid w:val="0"/>
              <w:spacing w:after="0" w:line="240" w:lineRule="auto"/>
              <w:ind w:firstLine="0" w:firstLineChars="0"/>
              <w:jc w:val="center"/>
              <w:rPr>
                <w:rFonts w:hint="eastAsia" w:ascii="Times New Roman" w:hAnsi="Times New Roman" w:eastAsia="宋体" w:cs="Times New Roman"/>
                <w:b/>
                <w:bCs/>
                <w:color w:val="auto"/>
                <w:kern w:val="0"/>
                <w:sz w:val="21"/>
                <w:szCs w:val="21"/>
                <w:lang w:eastAsia="zh-CN"/>
              </w:rPr>
            </w:pPr>
            <w:r>
              <w:rPr>
                <w:rFonts w:hint="eastAsia" w:ascii="Times New Roman" w:hAnsi="Times New Roman" w:eastAsia="宋体" w:cs="Times New Roman"/>
                <w:b/>
                <w:bCs/>
                <w:color w:val="auto"/>
                <w:kern w:val="0"/>
                <w:sz w:val="21"/>
                <w:szCs w:val="21"/>
                <w:lang w:eastAsia="zh-CN"/>
              </w:rPr>
              <w:drawing>
                <wp:inline distT="0" distB="0" distL="114300" distR="114300">
                  <wp:extent cx="2388870" cy="1790700"/>
                  <wp:effectExtent l="0" t="0" r="11430" b="0"/>
                  <wp:docPr id="39" name="图片 39" descr="6670dbc9a52d2715f9fd5b2b6ddb1d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6670dbc9a52d2715f9fd5b2b6ddb1d43"/>
                          <pic:cNvPicPr>
                            <a:picLocks noChangeAspect="1"/>
                          </pic:cNvPicPr>
                        </pic:nvPicPr>
                        <pic:blipFill>
                          <a:blip r:embed="rId77"/>
                          <a:stretch>
                            <a:fillRect/>
                          </a:stretch>
                        </pic:blipFill>
                        <pic:spPr>
                          <a:xfrm>
                            <a:off x="0" y="0"/>
                            <a:ext cx="2388870" cy="1790700"/>
                          </a:xfrm>
                          <a:prstGeom prst="rect">
                            <a:avLst/>
                          </a:prstGeom>
                        </pic:spPr>
                      </pic:pic>
                    </a:graphicData>
                  </a:graphic>
                </wp:inline>
              </w:drawing>
            </w:r>
          </w:p>
          <w:p w14:paraId="22471F1B">
            <w:pPr>
              <w:adjustRightInd w:val="0"/>
              <w:snapToGrid w:val="0"/>
              <w:spacing w:after="0" w:line="240" w:lineRule="auto"/>
              <w:ind w:firstLine="0" w:firstLineChars="0"/>
              <w:jc w:val="center"/>
              <w:rPr>
                <w:rFonts w:ascii="Times New Roman" w:hAnsi="Times New Roman" w:eastAsia="宋体" w:cs="Times New Roman"/>
                <w:b/>
                <w:bCs/>
                <w:color w:val="auto"/>
                <w:kern w:val="0"/>
                <w:sz w:val="21"/>
                <w:szCs w:val="21"/>
              </w:rPr>
            </w:pPr>
            <w:r>
              <w:rPr>
                <w:rFonts w:hint="eastAsia" w:ascii="Times New Roman" w:hAnsi="Times New Roman" w:eastAsia="宋体" w:cs="Times New Roman"/>
                <w:b/>
                <w:bCs/>
                <w:color w:val="auto"/>
                <w:kern w:val="0"/>
                <w:sz w:val="21"/>
                <w:szCs w:val="21"/>
              </w:rPr>
              <w:t>现场样地调查</w:t>
            </w:r>
          </w:p>
        </w:tc>
        <w:tc>
          <w:tcPr>
            <w:tcW w:w="3360" w:type="dxa"/>
            <w:tcBorders>
              <w:tl2br w:val="nil"/>
              <w:tr2bl w:val="nil"/>
            </w:tcBorders>
            <w:vAlign w:val="center"/>
          </w:tcPr>
          <w:p w14:paraId="1D812102">
            <w:pPr>
              <w:adjustRightInd w:val="0"/>
              <w:snapToGrid w:val="0"/>
              <w:spacing w:after="0" w:line="240" w:lineRule="auto"/>
              <w:ind w:firstLine="0" w:firstLineChars="0"/>
              <w:jc w:val="center"/>
              <w:rPr>
                <w:rFonts w:hint="eastAsia" w:ascii="Times New Roman" w:hAnsi="Times New Roman" w:eastAsia="宋体" w:cs="Times New Roman"/>
                <w:b/>
                <w:bCs/>
                <w:color w:val="auto"/>
                <w:kern w:val="0"/>
                <w:sz w:val="21"/>
                <w:szCs w:val="21"/>
                <w:lang w:eastAsia="zh-CN"/>
              </w:rPr>
            </w:pPr>
            <w:r>
              <w:rPr>
                <w:rFonts w:hint="eastAsia" w:ascii="Times New Roman" w:hAnsi="Times New Roman" w:eastAsia="宋体" w:cs="Times New Roman"/>
                <w:b/>
                <w:bCs/>
                <w:color w:val="auto"/>
                <w:kern w:val="0"/>
                <w:sz w:val="21"/>
                <w:szCs w:val="21"/>
                <w:lang w:eastAsia="zh-CN"/>
              </w:rPr>
              <w:drawing>
                <wp:inline distT="0" distB="0" distL="114300" distR="114300">
                  <wp:extent cx="2082165" cy="1811655"/>
                  <wp:effectExtent l="0" t="0" r="13335" b="17145"/>
                  <wp:docPr id="49" name="图片 49" descr="8eafb2114f88915bace337c12dc21d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8eafb2114f88915bace337c12dc21d84"/>
                          <pic:cNvPicPr>
                            <a:picLocks noChangeAspect="1"/>
                          </pic:cNvPicPr>
                        </pic:nvPicPr>
                        <pic:blipFill>
                          <a:blip r:embed="rId78"/>
                          <a:stretch>
                            <a:fillRect/>
                          </a:stretch>
                        </pic:blipFill>
                        <pic:spPr>
                          <a:xfrm>
                            <a:off x="0" y="0"/>
                            <a:ext cx="2082165" cy="1811655"/>
                          </a:xfrm>
                          <a:prstGeom prst="rect">
                            <a:avLst/>
                          </a:prstGeom>
                        </pic:spPr>
                      </pic:pic>
                    </a:graphicData>
                  </a:graphic>
                </wp:inline>
              </w:drawing>
            </w:r>
          </w:p>
          <w:p w14:paraId="7DDC072A">
            <w:pPr>
              <w:adjustRightInd w:val="0"/>
              <w:snapToGrid w:val="0"/>
              <w:spacing w:after="0" w:line="240" w:lineRule="auto"/>
              <w:ind w:firstLine="0" w:firstLineChars="0"/>
              <w:jc w:val="center"/>
              <w:rPr>
                <w:rFonts w:ascii="Times New Roman" w:hAnsi="Times New Roman" w:eastAsia="宋体" w:cs="Times New Roman"/>
                <w:b/>
                <w:bCs/>
                <w:color w:val="auto"/>
                <w:kern w:val="0"/>
                <w:sz w:val="21"/>
                <w:szCs w:val="21"/>
              </w:rPr>
            </w:pPr>
            <w:r>
              <w:rPr>
                <w:rFonts w:hint="eastAsia" w:ascii="Times New Roman" w:hAnsi="Times New Roman" w:eastAsia="宋体" w:cs="Times New Roman"/>
                <w:b/>
                <w:bCs/>
                <w:color w:val="auto"/>
                <w:kern w:val="0"/>
                <w:sz w:val="21"/>
                <w:szCs w:val="21"/>
              </w:rPr>
              <w:t>现场样地调查</w:t>
            </w:r>
          </w:p>
        </w:tc>
      </w:tr>
    </w:tbl>
    <w:p w14:paraId="41A8C33A">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1）基础资料收集</w:t>
      </w:r>
    </w:p>
    <w:p w14:paraId="02566044">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收集评价区及邻近地区的地形图、近期土地详查、土壤普查成果及图件，调查工程区土壤类型、面积、分布和土地利用情况。</w:t>
      </w:r>
    </w:p>
    <w:p w14:paraId="46B7BC29">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收集评价区及邻近地区土壤侵蚀调查及规划成果图件，包括土壤侵蚀类型、面积、强度、分布、危害情况以及土壤侵蚀现状分布图、治理措施分布图等。</w:t>
      </w:r>
    </w:p>
    <w:p w14:paraId="11BA583A">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收集评价区及邻近地区森林资源清查、验收成果及图件。包括森林资源组成、林种、林分面积、覆盖率、蓄积量及构成、分布及保护状况；退耕还林面积及其分布；水源涵养林面积及其分布等。</w:t>
      </w:r>
    </w:p>
    <w:p w14:paraId="34D75FB2">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2）野外实地考察</w:t>
      </w:r>
    </w:p>
    <w:p w14:paraId="68A452BA">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①调查区域的筛选与确定</w:t>
      </w:r>
    </w:p>
    <w:p w14:paraId="0306892F">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hint="default" w:ascii="Times New Roman" w:hAnsi="Times New Roman" w:eastAsia="宋体" w:cs="Times New Roman"/>
          <w:color w:val="auto"/>
          <w:szCs w:val="20"/>
        </w:rPr>
      </w:pPr>
      <w:r>
        <w:rPr>
          <w:rFonts w:hint="default" w:ascii="Times New Roman" w:hAnsi="Times New Roman" w:eastAsia="宋体" w:cs="Times New Roman"/>
          <w:color w:val="auto"/>
        </w:rPr>
        <w:t>在调查开展前，结合</w:t>
      </w:r>
      <w:r>
        <w:rPr>
          <w:rFonts w:hint="default" w:ascii="Times New Roman" w:hAnsi="Times New Roman" w:eastAsia="宋体" w:cs="Times New Roman"/>
          <w:color w:val="auto"/>
          <w:szCs w:val="20"/>
        </w:rPr>
        <w:t>《云南植被》、高清遥感影像等基础资料，充分掌握评价区域的地理位置、水热条件、地形地貌、植被覆盖等基本情况。其次应用GIS技术判读调查范围内植被分布情况。最后结合高清遥感图像和调查范围实际情况，选取具有代表性的斑块作为实地调查区域。</w:t>
      </w:r>
    </w:p>
    <w:p w14:paraId="2CC97ADC">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②GPS记录</w:t>
      </w:r>
    </w:p>
    <w:p w14:paraId="3240F234">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hint="default" w:ascii="Times New Roman" w:hAnsi="Times New Roman" w:cs="Times New Roman"/>
          <w:color w:val="auto"/>
          <w:szCs w:val="24"/>
        </w:rPr>
      </w:pPr>
      <w:r>
        <w:rPr>
          <w:rFonts w:hint="default" w:ascii="Times New Roman" w:hAnsi="Times New Roman" w:cs="Times New Roman"/>
          <w:color w:val="auto"/>
          <w:szCs w:val="24"/>
        </w:rPr>
        <w:t>野外调查GPS记录是卫星遥感影像判读植被类型和土地利用类型的基础，根据室内初步判读的植被与土地利用类型图，现场核实判读的精度，并对每个GPS采样点作如下记录：海拔（注意相应植被类型的垂直变化）；记录样点植被类型（群系、群系组或植被亚型），特别是类型发生变化的地方要做准确详细的记录；记录样点优势植物和重要物种如珍稀濒危植物；拍摄典型植被特征（外貌与结构）；在视野广阔清晰之处，拍摄周围植被或景观的照片，并进行记录。</w:t>
      </w:r>
    </w:p>
    <w:p w14:paraId="6CDB30DC">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③群落调查</w:t>
      </w:r>
    </w:p>
    <w:p w14:paraId="2FEE50F9">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在实地踏查和遥感卫星影像数据分析的基础上，结合研究区的地形地貌特点和交通状况及工程分布状况，在线路调查的基础上，确定重点调查地段和重要植被类型。根据《云南省环境影响评价维管植物及植被现状调查技术要求（试行）》，本次调查采用法瑞学派样地调查法进行</w:t>
      </w:r>
      <w:r>
        <w:rPr>
          <w:rFonts w:hint="eastAsia" w:ascii="Times New Roman" w:hAnsi="Times New Roman" w:eastAsia="宋体" w:cs="Times New Roman"/>
          <w:color w:val="auto"/>
          <w:szCs w:val="24"/>
          <w:lang w:eastAsia="zh-CN"/>
        </w:rPr>
        <w:t>样地</w:t>
      </w:r>
      <w:r>
        <w:rPr>
          <w:rFonts w:hint="default" w:ascii="Times New Roman" w:hAnsi="Times New Roman" w:eastAsia="宋体" w:cs="Times New Roman"/>
          <w:color w:val="auto"/>
          <w:szCs w:val="24"/>
        </w:rPr>
        <w:t>选择和记录进行群落调查，按照调查方法要求，使用全站仪确定样方左下角坐标，使用皮尺围样地，并测量样方内所有胸径≥5cm的木本植物，并记录树种名称、胸径、树高、冠幅等数据；调查样方内的所有灌木、草本和层间植物，记录其名称、多优度和群聚度。其中针叶林样地面积25×25m</w:t>
      </w:r>
      <w:r>
        <w:rPr>
          <w:rFonts w:hint="default" w:ascii="Times New Roman" w:hAnsi="Times New Roman" w:eastAsia="宋体" w:cs="Times New Roman"/>
          <w:color w:val="auto"/>
          <w:szCs w:val="24"/>
          <w:vertAlign w:val="superscript"/>
        </w:rPr>
        <w:t>2</w:t>
      </w:r>
      <w:r>
        <w:rPr>
          <w:rFonts w:hint="default" w:ascii="Times New Roman" w:hAnsi="Times New Roman" w:eastAsia="宋体" w:cs="Times New Roman"/>
          <w:color w:val="auto"/>
          <w:szCs w:val="24"/>
        </w:rPr>
        <w:t>，灌丛样地面积20*20m</w:t>
      </w:r>
      <w:r>
        <w:rPr>
          <w:rFonts w:hint="default" w:ascii="Times New Roman" w:hAnsi="Times New Roman" w:eastAsia="宋体" w:cs="Times New Roman"/>
          <w:color w:val="auto"/>
          <w:szCs w:val="24"/>
          <w:vertAlign w:val="superscript"/>
        </w:rPr>
        <w:t>2</w:t>
      </w:r>
      <w:r>
        <w:rPr>
          <w:rFonts w:hint="default" w:ascii="Times New Roman" w:hAnsi="Times New Roman" w:eastAsia="宋体" w:cs="Times New Roman"/>
          <w:color w:val="auto"/>
          <w:szCs w:val="24"/>
        </w:rPr>
        <w:t>、稀树灌木草丛样地面积10×10m</w:t>
      </w:r>
      <w:r>
        <w:rPr>
          <w:rFonts w:hint="default" w:ascii="Times New Roman" w:hAnsi="Times New Roman" w:eastAsia="宋体" w:cs="Times New Roman"/>
          <w:color w:val="auto"/>
          <w:szCs w:val="24"/>
          <w:vertAlign w:val="superscript"/>
        </w:rPr>
        <w:t>2</w:t>
      </w:r>
      <w:r>
        <w:rPr>
          <w:rFonts w:hint="default" w:ascii="Times New Roman" w:hAnsi="Times New Roman" w:eastAsia="宋体" w:cs="Times New Roman"/>
          <w:color w:val="auto"/>
          <w:szCs w:val="24"/>
        </w:rPr>
        <w:t>。记录样地的所有植物种类，并按Braun-Blanquet多优度—群聚度记分，利用GPS确定样地位置。</w:t>
      </w:r>
    </w:p>
    <w:p w14:paraId="64A52D68">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④植物种类调查</w:t>
      </w:r>
    </w:p>
    <w:p w14:paraId="2FCBDD87">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采取路线调查与样地调查相结合的方法进行植物调查，在植被线路调查和群落调查中，同时记录植物种类、资源状况、珍稀濒危植物的种类及生存状况等。对资源植物和珍稀濒危植物调查采取野外调查和访问调查、市场调查相结合的方法进行。对有疑问、经济植物和珍稀濒危植物还要采集凭证标本和拍摄照片。本次调查由于评价区狭窄，植物调查样线与动物调查样线一致，沿途记录所见到的植物种类，本次调查植物样线穿越每种天然群落类型均大于3条，符合二级评价要求。</w:t>
      </w:r>
    </w:p>
    <w:p w14:paraId="6EA7F0FE">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根据实地调查资料，结合区域林业、环境和生物多样性相关研究结果确定评价区分布的植物种类，编制植物名录。</w:t>
      </w:r>
    </w:p>
    <w:p w14:paraId="3BD529D9">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3）基于空间信息技术的生态制图</w:t>
      </w:r>
    </w:p>
    <w:p w14:paraId="7BB3411F">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采用GPS、RS和GIS相结合的地理信息技术</w:t>
      </w:r>
      <w:r>
        <w:rPr>
          <w:rFonts w:hint="eastAsia" w:ascii="Times New Roman" w:hAnsi="Times New Roman" w:eastAsia="宋体" w:cs="Times New Roman"/>
          <w:color w:val="auto"/>
          <w:szCs w:val="24"/>
          <w:lang w:eastAsia="zh-CN"/>
        </w:rPr>
        <w:t>（</w:t>
      </w:r>
      <w:r>
        <w:rPr>
          <w:rFonts w:hint="default" w:ascii="Times New Roman" w:hAnsi="Times New Roman" w:eastAsia="宋体" w:cs="Times New Roman"/>
          <w:color w:val="auto"/>
          <w:szCs w:val="24"/>
        </w:rPr>
        <w:t>Geographical Information Technology</w:t>
      </w:r>
      <w:r>
        <w:rPr>
          <w:rFonts w:hint="eastAsia" w:ascii="Times New Roman" w:hAnsi="Times New Roman" w:eastAsia="宋体" w:cs="Times New Roman"/>
          <w:color w:val="auto"/>
          <w:szCs w:val="24"/>
          <w:lang w:eastAsia="zh-CN"/>
        </w:rPr>
        <w:t>）</w:t>
      </w:r>
      <w:r>
        <w:rPr>
          <w:rFonts w:hint="default" w:ascii="Times New Roman" w:hAnsi="Times New Roman" w:eastAsia="宋体" w:cs="Times New Roman"/>
          <w:color w:val="auto"/>
          <w:szCs w:val="24"/>
        </w:rPr>
        <w:t>，进行地面类型的数字化判读，完成数字化的植被图和土地利用类型图，进行生态环境质量的定性和定量评价。GIS数据制作</w:t>
      </w:r>
      <w:r>
        <w:rPr>
          <w:rFonts w:hint="eastAsia" w:ascii="Times New Roman" w:hAnsi="Times New Roman" w:eastAsia="宋体" w:cs="Times New Roman"/>
          <w:color w:val="auto"/>
          <w:szCs w:val="24"/>
          <w:lang w:eastAsia="zh-CN"/>
        </w:rPr>
        <w:t>与</w:t>
      </w:r>
      <w:r>
        <w:rPr>
          <w:rFonts w:hint="default" w:ascii="Times New Roman" w:hAnsi="Times New Roman" w:eastAsia="宋体" w:cs="Times New Roman"/>
          <w:color w:val="auto"/>
          <w:szCs w:val="24"/>
        </w:rPr>
        <w:t>处理的软件平台为ArcGISPRO，遥感处理分析的软件采用ENVI。</w:t>
      </w:r>
    </w:p>
    <w:p w14:paraId="13883CD0">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4）样方设置情况</w:t>
      </w:r>
    </w:p>
    <w:p w14:paraId="4735703A">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乔木样方面积为25m×25m、灌木样方20m*20m、稀树</w:t>
      </w:r>
      <w:r>
        <w:rPr>
          <w:rFonts w:hint="default" w:ascii="Times New Roman" w:hAnsi="Times New Roman" w:eastAsia="宋体" w:cs="Times New Roman"/>
          <w:snapToGrid w:val="0"/>
          <w:color w:val="auto"/>
          <w:kern w:val="0"/>
        </w:rPr>
        <w:t>灌木</w:t>
      </w:r>
      <w:r>
        <w:rPr>
          <w:rFonts w:hint="default" w:ascii="Times New Roman" w:hAnsi="Times New Roman" w:eastAsia="宋体" w:cs="Times New Roman"/>
          <w:color w:val="auto"/>
        </w:rPr>
        <w:t>草丛样方面积为10m×10m；乔木样方调查植株种名、高度、胸径、株数等指标，稀树灌木草丛样方中需调查植株种名、高度、株（丛）数、盖度等群落特征，并利用GPS、罗盘等测定、记录样方的经纬度等地理信息。由于农业植被受季节性及人为干扰影响很大，本次农业植被调查通过当地居民采访和照片记录的方式进行。</w:t>
      </w:r>
    </w:p>
    <w:p w14:paraId="681F4D57">
      <w:pPr>
        <w:keepNext w:val="0"/>
        <w:keepLines w:val="0"/>
        <w:pageBreakBefore w:val="0"/>
        <w:widowControl w:val="0"/>
        <w:kinsoku/>
        <w:wordWrap/>
        <w:overflowPunct/>
        <w:topLinePunct w:val="0"/>
        <w:autoSpaceDE/>
        <w:autoSpaceDN/>
        <w:bidi w:val="0"/>
        <w:adjustRightInd w:val="0"/>
        <w:snapToGrid w:val="0"/>
        <w:spacing w:after="0" w:line="360" w:lineRule="auto"/>
        <w:ind w:firstLine="420" w:firstLineChars="20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根据评价区植被类型图，结合工程布置</w:t>
      </w:r>
      <w:r>
        <w:rPr>
          <w:rFonts w:hint="default" w:ascii="Times New Roman" w:hAnsi="Times New Roman" w:eastAsia="宋体" w:cs="Times New Roman"/>
          <w:snapToGrid w:val="0"/>
          <w:color w:val="auto"/>
          <w:kern w:val="0"/>
        </w:rPr>
        <w:t>情况</w:t>
      </w:r>
      <w:r>
        <w:rPr>
          <w:rFonts w:hint="default" w:ascii="Times New Roman" w:hAnsi="Times New Roman" w:eastAsia="宋体" w:cs="Times New Roman"/>
          <w:color w:val="auto"/>
        </w:rPr>
        <w:t>，评价区和范围内主要有云南松群落；</w:t>
      </w:r>
      <w:r>
        <w:rPr>
          <w:rFonts w:hint="default" w:ascii="Times New Roman" w:hAnsi="Times New Roman" w:eastAsia="宋体" w:cs="Times New Roman"/>
          <w:color w:val="auto"/>
          <w:lang w:val="zh-CN"/>
        </w:rPr>
        <w:t>云南松、苦刺花、穗序野古草</w:t>
      </w:r>
      <w:r>
        <w:rPr>
          <w:rFonts w:hint="default" w:ascii="Times New Roman" w:hAnsi="Times New Roman" w:eastAsia="宋体" w:cs="Times New Roman"/>
          <w:color w:val="auto"/>
        </w:rPr>
        <w:t>群落；常绿女贞、铁仔、苦刺花群落，本次调查每种群落设置3个样方，共设置了9个植被调查样方，符合二级评价要求。根据现场情况，按照不同海拔带的植被类型设置样地。调查样方表如下。</w:t>
      </w:r>
    </w:p>
    <w:p w14:paraId="125A1E29">
      <w:pPr>
        <w:pStyle w:val="2"/>
        <w:ind w:firstLine="360"/>
        <w:rPr>
          <w:rFonts w:hint="default" w:ascii="Times New Roman" w:hAnsi="Times New Roman" w:cs="Times New Roman"/>
          <w:color w:val="auto"/>
        </w:rPr>
        <w:sectPr>
          <w:footerReference r:id="rId1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13E6EE81">
      <w:pPr>
        <w:spacing w:after="0" w:line="240" w:lineRule="auto"/>
        <w:ind w:firstLine="0" w:firstLineChars="0"/>
        <w:jc w:val="center"/>
        <w:rPr>
          <w:rFonts w:hint="default" w:ascii="Times New Roman" w:hAnsi="Times New Roman" w:eastAsia="宋体" w:cs="Times New Roman"/>
          <w:b/>
          <w:bCs/>
          <w:color w:val="auto"/>
          <w:szCs w:val="24"/>
        </w:rPr>
      </w:pPr>
      <w:r>
        <w:rPr>
          <w:rFonts w:hint="default" w:ascii="Times New Roman" w:hAnsi="Times New Roman" w:eastAsia="宋体" w:cs="Times New Roman"/>
          <w:b/>
          <w:bCs/>
          <w:color w:val="auto"/>
          <w:szCs w:val="24"/>
        </w:rPr>
        <w:t>表2.3-</w:t>
      </w:r>
      <w:r>
        <w:rPr>
          <w:rFonts w:hint="eastAsia" w:ascii="Times New Roman" w:hAnsi="Times New Roman" w:eastAsia="宋体" w:cs="Times New Roman"/>
          <w:b/>
          <w:bCs/>
          <w:color w:val="auto"/>
          <w:szCs w:val="24"/>
          <w:lang w:val="en-US" w:eastAsia="zh-CN"/>
        </w:rPr>
        <w:t>2</w:t>
      </w:r>
      <w:r>
        <w:rPr>
          <w:rFonts w:hint="default" w:ascii="Times New Roman" w:hAnsi="Times New Roman" w:eastAsia="宋体" w:cs="Times New Roman"/>
          <w:b/>
          <w:bCs/>
          <w:color w:val="auto"/>
          <w:szCs w:val="24"/>
        </w:rPr>
        <w:t xml:space="preserve">   调查样方表</w:t>
      </w:r>
    </w:p>
    <w:tbl>
      <w:tblPr>
        <w:tblStyle w:val="30"/>
        <w:tblW w:w="4998" w:type="pct"/>
        <w:jc w:val="center"/>
        <w:tblLayout w:type="autofit"/>
        <w:tblCellMar>
          <w:top w:w="0" w:type="dxa"/>
          <w:left w:w="108" w:type="dxa"/>
          <w:bottom w:w="0" w:type="dxa"/>
          <w:right w:w="108" w:type="dxa"/>
        </w:tblCellMar>
      </w:tblPr>
      <w:tblGrid>
        <w:gridCol w:w="819"/>
        <w:gridCol w:w="1712"/>
        <w:gridCol w:w="1326"/>
        <w:gridCol w:w="1287"/>
        <w:gridCol w:w="1471"/>
        <w:gridCol w:w="2761"/>
        <w:gridCol w:w="4792"/>
      </w:tblGrid>
      <w:tr w14:paraId="5EAC1B18">
        <w:tblPrEx>
          <w:tblCellMar>
            <w:top w:w="0" w:type="dxa"/>
            <w:left w:w="108" w:type="dxa"/>
            <w:bottom w:w="0" w:type="dxa"/>
            <w:right w:w="108" w:type="dxa"/>
          </w:tblCellMar>
        </w:tblPrEx>
        <w:trPr>
          <w:trHeight w:val="300" w:hRule="atLeast"/>
          <w:jc w:val="center"/>
        </w:trPr>
        <w:tc>
          <w:tcPr>
            <w:tcW w:w="291" w:type="pct"/>
            <w:vMerge w:val="restart"/>
            <w:tcBorders>
              <w:top w:val="single" w:color="000000" w:sz="4" w:space="0"/>
              <w:left w:val="single" w:color="000000" w:sz="4" w:space="0"/>
              <w:bottom w:val="single" w:color="000000" w:sz="4" w:space="0"/>
              <w:right w:val="single" w:color="000000" w:sz="4" w:space="0"/>
            </w:tcBorders>
            <w:vAlign w:val="center"/>
          </w:tcPr>
          <w:p w14:paraId="1D5893EC">
            <w:pPr>
              <w:widowControl/>
              <w:spacing w:after="0" w:line="240" w:lineRule="auto"/>
              <w:ind w:firstLine="0" w:firstLineChars="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序号</w:t>
            </w:r>
          </w:p>
        </w:tc>
        <w:tc>
          <w:tcPr>
            <w:tcW w:w="1061" w:type="pct"/>
            <w:gridSpan w:val="2"/>
            <w:tcBorders>
              <w:top w:val="single" w:color="000000" w:sz="4" w:space="0"/>
              <w:left w:val="single" w:color="000000" w:sz="4" w:space="0"/>
              <w:bottom w:val="single" w:color="000000" w:sz="4" w:space="0"/>
              <w:right w:val="single" w:color="000000" w:sz="4" w:space="0"/>
            </w:tcBorders>
            <w:vAlign w:val="center"/>
          </w:tcPr>
          <w:p w14:paraId="6A2F7C07">
            <w:pPr>
              <w:widowControl/>
              <w:spacing w:after="0" w:line="240" w:lineRule="auto"/>
              <w:ind w:firstLine="0" w:firstLineChars="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坐标点</w:t>
            </w:r>
          </w:p>
        </w:tc>
        <w:tc>
          <w:tcPr>
            <w:tcW w:w="456" w:type="pct"/>
            <w:vMerge w:val="restart"/>
            <w:tcBorders>
              <w:top w:val="single" w:color="000000" w:sz="4" w:space="0"/>
              <w:left w:val="single" w:color="000000" w:sz="4" w:space="0"/>
              <w:bottom w:val="single" w:color="000000" w:sz="4" w:space="0"/>
              <w:right w:val="single" w:color="000000" w:sz="4" w:space="0"/>
            </w:tcBorders>
            <w:vAlign w:val="center"/>
          </w:tcPr>
          <w:p w14:paraId="3AB61AB2">
            <w:pPr>
              <w:widowControl/>
              <w:spacing w:after="0" w:line="240" w:lineRule="auto"/>
              <w:ind w:firstLine="0" w:firstLineChars="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海拔（m）</w:t>
            </w:r>
          </w:p>
        </w:tc>
        <w:tc>
          <w:tcPr>
            <w:tcW w:w="521" w:type="pct"/>
            <w:vMerge w:val="restart"/>
            <w:tcBorders>
              <w:top w:val="single" w:color="000000" w:sz="4" w:space="0"/>
              <w:left w:val="single" w:color="000000" w:sz="4" w:space="0"/>
              <w:bottom w:val="single" w:color="000000" w:sz="4" w:space="0"/>
              <w:right w:val="single" w:color="000000" w:sz="4" w:space="0"/>
            </w:tcBorders>
            <w:vAlign w:val="center"/>
          </w:tcPr>
          <w:p w14:paraId="772AE5B1">
            <w:pPr>
              <w:widowControl/>
              <w:spacing w:after="0" w:line="240" w:lineRule="auto"/>
              <w:ind w:firstLine="0" w:firstLineChars="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样方面积（m*m）</w:t>
            </w:r>
          </w:p>
        </w:tc>
        <w:tc>
          <w:tcPr>
            <w:tcW w:w="976" w:type="pct"/>
            <w:vMerge w:val="restart"/>
            <w:tcBorders>
              <w:top w:val="single" w:color="000000" w:sz="4" w:space="0"/>
              <w:left w:val="single" w:color="000000" w:sz="4" w:space="0"/>
              <w:bottom w:val="single" w:color="000000" w:sz="4" w:space="0"/>
              <w:right w:val="single" w:color="000000" w:sz="4" w:space="0"/>
            </w:tcBorders>
            <w:vAlign w:val="center"/>
          </w:tcPr>
          <w:p w14:paraId="43BABEFF">
            <w:pPr>
              <w:widowControl/>
              <w:spacing w:after="0" w:line="240" w:lineRule="auto"/>
              <w:ind w:firstLine="0" w:firstLineChars="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植被类型</w:t>
            </w:r>
          </w:p>
        </w:tc>
        <w:tc>
          <w:tcPr>
            <w:tcW w:w="1692" w:type="pct"/>
            <w:vMerge w:val="restart"/>
            <w:tcBorders>
              <w:top w:val="single" w:color="000000" w:sz="4" w:space="0"/>
              <w:left w:val="single" w:color="000000" w:sz="4" w:space="0"/>
              <w:right w:val="single" w:color="000000" w:sz="4" w:space="0"/>
            </w:tcBorders>
            <w:vAlign w:val="center"/>
          </w:tcPr>
          <w:p w14:paraId="4C7E9B0A">
            <w:pPr>
              <w:widowControl/>
              <w:spacing w:after="0" w:line="240" w:lineRule="auto"/>
              <w:ind w:firstLine="0" w:firstLineChars="0"/>
              <w:jc w:val="center"/>
              <w:textAlignment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样方照片</w:t>
            </w:r>
          </w:p>
        </w:tc>
      </w:tr>
      <w:tr w14:paraId="201D3C5A">
        <w:tblPrEx>
          <w:tblCellMar>
            <w:top w:w="0" w:type="dxa"/>
            <w:left w:w="108" w:type="dxa"/>
            <w:bottom w:w="0" w:type="dxa"/>
            <w:right w:w="108" w:type="dxa"/>
          </w:tblCellMar>
        </w:tblPrEx>
        <w:trPr>
          <w:trHeight w:val="270" w:hRule="atLeast"/>
          <w:jc w:val="center"/>
        </w:trPr>
        <w:tc>
          <w:tcPr>
            <w:tcW w:w="291" w:type="pct"/>
            <w:vMerge w:val="continue"/>
            <w:tcBorders>
              <w:top w:val="single" w:color="000000" w:sz="4" w:space="0"/>
              <w:left w:val="single" w:color="000000" w:sz="4" w:space="0"/>
              <w:bottom w:val="single" w:color="000000" w:sz="4" w:space="0"/>
              <w:right w:val="single" w:color="000000" w:sz="4" w:space="0"/>
            </w:tcBorders>
            <w:vAlign w:val="center"/>
          </w:tcPr>
          <w:p w14:paraId="0B985771">
            <w:pPr>
              <w:spacing w:after="0" w:line="240" w:lineRule="auto"/>
              <w:ind w:firstLine="0" w:firstLineChars="0"/>
              <w:jc w:val="center"/>
              <w:rPr>
                <w:rFonts w:hint="default" w:ascii="Times New Roman" w:hAnsi="Times New Roman" w:eastAsia="宋体" w:cs="Times New Roman"/>
                <w:color w:val="auto"/>
                <w:sz w:val="21"/>
                <w:szCs w:val="21"/>
              </w:rPr>
            </w:pPr>
          </w:p>
        </w:tc>
        <w:tc>
          <w:tcPr>
            <w:tcW w:w="606" w:type="pct"/>
            <w:tcBorders>
              <w:top w:val="single" w:color="000000" w:sz="4" w:space="0"/>
              <w:left w:val="single" w:color="000000" w:sz="4" w:space="0"/>
              <w:bottom w:val="single" w:color="000000" w:sz="4" w:space="0"/>
              <w:right w:val="single" w:color="000000" w:sz="4" w:space="0"/>
            </w:tcBorders>
            <w:vAlign w:val="center"/>
          </w:tcPr>
          <w:p w14:paraId="6E5F36DB">
            <w:pPr>
              <w:widowControl/>
              <w:spacing w:after="0" w:line="240" w:lineRule="auto"/>
              <w:ind w:firstLine="0" w:firstLineChars="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经度</w:t>
            </w:r>
          </w:p>
        </w:tc>
        <w:tc>
          <w:tcPr>
            <w:tcW w:w="455" w:type="pct"/>
            <w:tcBorders>
              <w:top w:val="single" w:color="000000" w:sz="4" w:space="0"/>
              <w:left w:val="single" w:color="000000" w:sz="4" w:space="0"/>
              <w:bottom w:val="single" w:color="000000" w:sz="4" w:space="0"/>
              <w:right w:val="single" w:color="000000" w:sz="4" w:space="0"/>
            </w:tcBorders>
            <w:vAlign w:val="center"/>
          </w:tcPr>
          <w:p w14:paraId="55C86139">
            <w:pPr>
              <w:widowControl/>
              <w:spacing w:after="0" w:line="240" w:lineRule="auto"/>
              <w:ind w:firstLine="0" w:firstLineChars="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纬度</w:t>
            </w:r>
          </w:p>
        </w:tc>
        <w:tc>
          <w:tcPr>
            <w:tcW w:w="456" w:type="pct"/>
            <w:vMerge w:val="continue"/>
            <w:tcBorders>
              <w:top w:val="single" w:color="000000" w:sz="4" w:space="0"/>
              <w:left w:val="single" w:color="000000" w:sz="4" w:space="0"/>
              <w:bottom w:val="single" w:color="000000" w:sz="4" w:space="0"/>
              <w:right w:val="single" w:color="000000" w:sz="4" w:space="0"/>
            </w:tcBorders>
            <w:vAlign w:val="center"/>
          </w:tcPr>
          <w:p w14:paraId="0346B6AE">
            <w:pPr>
              <w:spacing w:after="0" w:line="240" w:lineRule="auto"/>
              <w:ind w:firstLine="0" w:firstLineChars="0"/>
              <w:jc w:val="center"/>
              <w:rPr>
                <w:rFonts w:hint="default" w:ascii="Times New Roman" w:hAnsi="Times New Roman" w:eastAsia="宋体" w:cs="Times New Roman"/>
                <w:color w:val="auto"/>
                <w:sz w:val="21"/>
                <w:szCs w:val="21"/>
              </w:rPr>
            </w:pPr>
          </w:p>
        </w:tc>
        <w:tc>
          <w:tcPr>
            <w:tcW w:w="521" w:type="pct"/>
            <w:vMerge w:val="continue"/>
            <w:tcBorders>
              <w:top w:val="single" w:color="000000" w:sz="4" w:space="0"/>
              <w:left w:val="single" w:color="000000" w:sz="4" w:space="0"/>
              <w:bottom w:val="single" w:color="000000" w:sz="4" w:space="0"/>
              <w:right w:val="single" w:color="000000" w:sz="4" w:space="0"/>
            </w:tcBorders>
            <w:vAlign w:val="center"/>
          </w:tcPr>
          <w:p w14:paraId="4ADAE510">
            <w:pPr>
              <w:spacing w:after="0" w:line="240" w:lineRule="auto"/>
              <w:ind w:firstLine="0" w:firstLineChars="0"/>
              <w:jc w:val="center"/>
              <w:rPr>
                <w:rFonts w:hint="default" w:ascii="Times New Roman" w:hAnsi="Times New Roman" w:eastAsia="宋体" w:cs="Times New Roman"/>
                <w:color w:val="auto"/>
                <w:sz w:val="21"/>
                <w:szCs w:val="21"/>
              </w:rPr>
            </w:pPr>
          </w:p>
        </w:tc>
        <w:tc>
          <w:tcPr>
            <w:tcW w:w="976" w:type="pct"/>
            <w:vMerge w:val="continue"/>
            <w:tcBorders>
              <w:top w:val="single" w:color="000000" w:sz="4" w:space="0"/>
              <w:left w:val="single" w:color="000000" w:sz="4" w:space="0"/>
              <w:bottom w:val="single" w:color="000000" w:sz="4" w:space="0"/>
              <w:right w:val="single" w:color="000000" w:sz="4" w:space="0"/>
            </w:tcBorders>
            <w:vAlign w:val="center"/>
          </w:tcPr>
          <w:p w14:paraId="4A9264F7">
            <w:pPr>
              <w:spacing w:after="0" w:line="240" w:lineRule="auto"/>
              <w:ind w:firstLine="0" w:firstLineChars="0"/>
              <w:jc w:val="center"/>
              <w:rPr>
                <w:rFonts w:hint="default" w:ascii="Times New Roman" w:hAnsi="Times New Roman" w:eastAsia="宋体" w:cs="Times New Roman"/>
                <w:color w:val="auto"/>
                <w:sz w:val="21"/>
                <w:szCs w:val="21"/>
              </w:rPr>
            </w:pPr>
          </w:p>
        </w:tc>
        <w:tc>
          <w:tcPr>
            <w:tcW w:w="1692" w:type="pct"/>
            <w:vMerge w:val="continue"/>
            <w:tcBorders>
              <w:left w:val="single" w:color="000000" w:sz="4" w:space="0"/>
              <w:bottom w:val="single" w:color="000000" w:sz="4" w:space="0"/>
              <w:right w:val="single" w:color="000000" w:sz="4" w:space="0"/>
            </w:tcBorders>
            <w:vAlign w:val="center"/>
          </w:tcPr>
          <w:p w14:paraId="3CE94110">
            <w:pPr>
              <w:spacing w:after="0" w:line="240" w:lineRule="auto"/>
              <w:ind w:firstLine="0" w:firstLineChars="0"/>
              <w:jc w:val="center"/>
              <w:rPr>
                <w:rFonts w:hint="default" w:ascii="Times New Roman" w:hAnsi="Times New Roman" w:eastAsia="宋体" w:cs="Times New Roman"/>
                <w:color w:val="auto"/>
                <w:sz w:val="21"/>
                <w:szCs w:val="21"/>
              </w:rPr>
            </w:pPr>
          </w:p>
        </w:tc>
      </w:tr>
      <w:tr w14:paraId="5515FD66">
        <w:tblPrEx>
          <w:tblCellMar>
            <w:top w:w="0" w:type="dxa"/>
            <w:left w:w="108" w:type="dxa"/>
            <w:bottom w:w="0" w:type="dxa"/>
            <w:right w:w="108" w:type="dxa"/>
          </w:tblCellMar>
        </w:tblPrEx>
        <w:trPr>
          <w:trHeight w:val="270" w:hRule="atLeast"/>
          <w:jc w:val="center"/>
        </w:trPr>
        <w:tc>
          <w:tcPr>
            <w:tcW w:w="291" w:type="pct"/>
            <w:tcBorders>
              <w:top w:val="single" w:color="000000" w:sz="4" w:space="0"/>
              <w:left w:val="single" w:color="000000" w:sz="4" w:space="0"/>
              <w:bottom w:val="single" w:color="000000" w:sz="4" w:space="0"/>
              <w:right w:val="single" w:color="000000" w:sz="4" w:space="0"/>
            </w:tcBorders>
            <w:vAlign w:val="center"/>
          </w:tcPr>
          <w:p w14:paraId="1CA103AB">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w:t>
            </w:r>
          </w:p>
        </w:tc>
        <w:tc>
          <w:tcPr>
            <w:tcW w:w="606" w:type="pct"/>
            <w:tcBorders>
              <w:top w:val="single" w:color="000000" w:sz="4" w:space="0"/>
              <w:left w:val="single" w:color="000000" w:sz="4" w:space="0"/>
              <w:bottom w:val="single" w:color="000000" w:sz="4" w:space="0"/>
              <w:right w:val="single" w:color="000000" w:sz="4" w:space="0"/>
            </w:tcBorders>
            <w:vAlign w:val="center"/>
          </w:tcPr>
          <w:p w14:paraId="681668B9">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103°21′37.02″</w:t>
            </w:r>
          </w:p>
        </w:tc>
        <w:tc>
          <w:tcPr>
            <w:tcW w:w="455" w:type="pct"/>
            <w:tcBorders>
              <w:top w:val="single" w:color="000000" w:sz="4" w:space="0"/>
              <w:left w:val="single" w:color="000000" w:sz="4" w:space="0"/>
              <w:bottom w:val="single" w:color="000000" w:sz="4" w:space="0"/>
              <w:right w:val="single" w:color="000000" w:sz="4" w:space="0"/>
            </w:tcBorders>
            <w:vAlign w:val="center"/>
          </w:tcPr>
          <w:p w14:paraId="3EBC647D">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26°30′48.04″</w:t>
            </w:r>
          </w:p>
        </w:tc>
        <w:tc>
          <w:tcPr>
            <w:tcW w:w="456" w:type="pct"/>
            <w:tcBorders>
              <w:top w:val="single" w:color="000000" w:sz="4" w:space="0"/>
              <w:left w:val="single" w:color="000000" w:sz="4" w:space="0"/>
              <w:bottom w:val="single" w:color="000000" w:sz="4" w:space="0"/>
              <w:right w:val="single" w:color="000000" w:sz="4" w:space="0"/>
            </w:tcBorders>
            <w:vAlign w:val="center"/>
          </w:tcPr>
          <w:p w14:paraId="5C67DCBC">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2514.952</w:t>
            </w:r>
          </w:p>
        </w:tc>
        <w:tc>
          <w:tcPr>
            <w:tcW w:w="521" w:type="pct"/>
            <w:tcBorders>
              <w:top w:val="single" w:color="000000" w:sz="4" w:space="0"/>
              <w:left w:val="single" w:color="000000" w:sz="4" w:space="0"/>
              <w:bottom w:val="single" w:color="000000" w:sz="4" w:space="0"/>
              <w:right w:val="single" w:color="000000" w:sz="4" w:space="0"/>
            </w:tcBorders>
            <w:vAlign w:val="center"/>
          </w:tcPr>
          <w:p w14:paraId="178C0386">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25*25</w:t>
            </w:r>
          </w:p>
        </w:tc>
        <w:tc>
          <w:tcPr>
            <w:tcW w:w="976" w:type="pct"/>
            <w:tcBorders>
              <w:top w:val="single" w:color="000000" w:sz="4" w:space="0"/>
              <w:left w:val="single" w:color="000000" w:sz="4" w:space="0"/>
              <w:bottom w:val="single" w:color="000000" w:sz="4" w:space="0"/>
              <w:right w:val="single" w:color="000000" w:sz="4" w:space="0"/>
            </w:tcBorders>
            <w:vAlign w:val="center"/>
          </w:tcPr>
          <w:p w14:paraId="716FDC61">
            <w:pPr>
              <w:widowControl/>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云南松、盐肤木、毛蕨菜群落</w:t>
            </w:r>
          </w:p>
        </w:tc>
        <w:tc>
          <w:tcPr>
            <w:tcW w:w="1692" w:type="pct"/>
            <w:tcBorders>
              <w:top w:val="single" w:color="000000" w:sz="4" w:space="0"/>
              <w:left w:val="single" w:color="000000" w:sz="4" w:space="0"/>
              <w:bottom w:val="single" w:color="000000" w:sz="4" w:space="0"/>
              <w:right w:val="single" w:color="000000" w:sz="4" w:space="0"/>
            </w:tcBorders>
            <w:vAlign w:val="center"/>
          </w:tcPr>
          <w:p w14:paraId="374AE573">
            <w:pPr>
              <w:spacing w:after="0" w:line="240" w:lineRule="auto"/>
              <w:ind w:firstLine="0" w:firstLineChars="0"/>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drawing>
                <wp:inline distT="0" distB="0" distL="0" distR="0">
                  <wp:extent cx="2190750" cy="1330325"/>
                  <wp:effectExtent l="0" t="0" r="0" b="317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2190750" cy="1330325"/>
                          </a:xfrm>
                          <a:prstGeom prst="rect">
                            <a:avLst/>
                          </a:prstGeom>
                          <a:noFill/>
                          <a:ln>
                            <a:noFill/>
                          </a:ln>
                        </pic:spPr>
                      </pic:pic>
                    </a:graphicData>
                  </a:graphic>
                </wp:inline>
              </w:drawing>
            </w:r>
          </w:p>
        </w:tc>
      </w:tr>
      <w:tr w14:paraId="6BBA571A">
        <w:tblPrEx>
          <w:tblCellMar>
            <w:top w:w="0" w:type="dxa"/>
            <w:left w:w="108" w:type="dxa"/>
            <w:bottom w:w="0" w:type="dxa"/>
            <w:right w:w="108" w:type="dxa"/>
          </w:tblCellMar>
        </w:tblPrEx>
        <w:trPr>
          <w:trHeight w:val="270" w:hRule="atLeast"/>
          <w:jc w:val="center"/>
        </w:trPr>
        <w:tc>
          <w:tcPr>
            <w:tcW w:w="291" w:type="pct"/>
            <w:tcBorders>
              <w:top w:val="single" w:color="000000" w:sz="4" w:space="0"/>
              <w:left w:val="single" w:color="000000" w:sz="4" w:space="0"/>
              <w:bottom w:val="single" w:color="000000" w:sz="4" w:space="0"/>
              <w:right w:val="single" w:color="000000" w:sz="4" w:space="0"/>
            </w:tcBorders>
            <w:vAlign w:val="center"/>
          </w:tcPr>
          <w:p w14:paraId="47A71FD3">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w:t>
            </w:r>
          </w:p>
        </w:tc>
        <w:tc>
          <w:tcPr>
            <w:tcW w:w="606" w:type="pct"/>
            <w:tcBorders>
              <w:top w:val="single" w:color="000000" w:sz="4" w:space="0"/>
              <w:left w:val="single" w:color="000000" w:sz="4" w:space="0"/>
              <w:bottom w:val="single" w:color="000000" w:sz="4" w:space="0"/>
              <w:right w:val="single" w:color="000000" w:sz="4" w:space="0"/>
            </w:tcBorders>
            <w:vAlign w:val="center"/>
          </w:tcPr>
          <w:p w14:paraId="717CBF76">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103°22′0.33″</w:t>
            </w:r>
          </w:p>
        </w:tc>
        <w:tc>
          <w:tcPr>
            <w:tcW w:w="455" w:type="pct"/>
            <w:tcBorders>
              <w:top w:val="single" w:color="000000" w:sz="4" w:space="0"/>
              <w:left w:val="single" w:color="000000" w:sz="4" w:space="0"/>
              <w:bottom w:val="single" w:color="000000" w:sz="4" w:space="0"/>
              <w:right w:val="single" w:color="000000" w:sz="4" w:space="0"/>
            </w:tcBorders>
            <w:vAlign w:val="center"/>
          </w:tcPr>
          <w:p w14:paraId="59C9FB97">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26°30′59.78″</w:t>
            </w:r>
          </w:p>
        </w:tc>
        <w:tc>
          <w:tcPr>
            <w:tcW w:w="456" w:type="pct"/>
            <w:tcBorders>
              <w:top w:val="single" w:color="000000" w:sz="4" w:space="0"/>
              <w:left w:val="single" w:color="000000" w:sz="4" w:space="0"/>
              <w:bottom w:val="single" w:color="000000" w:sz="4" w:space="0"/>
              <w:right w:val="single" w:color="000000" w:sz="4" w:space="0"/>
            </w:tcBorders>
            <w:vAlign w:val="center"/>
          </w:tcPr>
          <w:p w14:paraId="34C5B516">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2518.124</w:t>
            </w:r>
          </w:p>
        </w:tc>
        <w:tc>
          <w:tcPr>
            <w:tcW w:w="521" w:type="pct"/>
            <w:tcBorders>
              <w:top w:val="single" w:color="000000" w:sz="4" w:space="0"/>
              <w:left w:val="single" w:color="000000" w:sz="4" w:space="0"/>
              <w:bottom w:val="single" w:color="000000" w:sz="4" w:space="0"/>
              <w:right w:val="single" w:color="000000" w:sz="4" w:space="0"/>
            </w:tcBorders>
            <w:vAlign w:val="center"/>
          </w:tcPr>
          <w:p w14:paraId="1FC0CFAE">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25*25</w:t>
            </w:r>
          </w:p>
        </w:tc>
        <w:tc>
          <w:tcPr>
            <w:tcW w:w="976" w:type="pct"/>
            <w:tcBorders>
              <w:top w:val="single" w:color="000000" w:sz="4" w:space="0"/>
              <w:left w:val="single" w:color="000000" w:sz="4" w:space="0"/>
              <w:bottom w:val="single" w:color="000000" w:sz="4" w:space="0"/>
              <w:right w:val="single" w:color="000000" w:sz="4" w:space="0"/>
            </w:tcBorders>
            <w:vAlign w:val="center"/>
          </w:tcPr>
          <w:p w14:paraId="42EC1303">
            <w:pPr>
              <w:widowControl/>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云南松、盐肤木、毛蕨菜群落</w:t>
            </w:r>
          </w:p>
        </w:tc>
        <w:tc>
          <w:tcPr>
            <w:tcW w:w="1692" w:type="pct"/>
            <w:tcBorders>
              <w:top w:val="single" w:color="000000" w:sz="4" w:space="0"/>
              <w:left w:val="single" w:color="000000" w:sz="4" w:space="0"/>
              <w:bottom w:val="single" w:color="000000" w:sz="4" w:space="0"/>
              <w:right w:val="single" w:color="000000" w:sz="4" w:space="0"/>
            </w:tcBorders>
            <w:vAlign w:val="center"/>
          </w:tcPr>
          <w:p w14:paraId="791DCEF3">
            <w:pPr>
              <w:spacing w:after="0" w:line="240" w:lineRule="auto"/>
              <w:ind w:firstLine="0" w:firstLineChars="0"/>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drawing>
                <wp:inline distT="0" distB="0" distL="0" distR="0">
                  <wp:extent cx="2190750" cy="1339850"/>
                  <wp:effectExtent l="0" t="0" r="0" b="1270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2190750" cy="1339850"/>
                          </a:xfrm>
                          <a:prstGeom prst="rect">
                            <a:avLst/>
                          </a:prstGeom>
                          <a:noFill/>
                          <a:ln>
                            <a:noFill/>
                          </a:ln>
                        </pic:spPr>
                      </pic:pic>
                    </a:graphicData>
                  </a:graphic>
                </wp:inline>
              </w:drawing>
            </w:r>
          </w:p>
        </w:tc>
      </w:tr>
      <w:tr w14:paraId="609EF1B1">
        <w:tblPrEx>
          <w:tblCellMar>
            <w:top w:w="0" w:type="dxa"/>
            <w:left w:w="108" w:type="dxa"/>
            <w:bottom w:w="0" w:type="dxa"/>
            <w:right w:w="108" w:type="dxa"/>
          </w:tblCellMar>
        </w:tblPrEx>
        <w:trPr>
          <w:trHeight w:val="270" w:hRule="atLeast"/>
          <w:jc w:val="center"/>
        </w:trPr>
        <w:tc>
          <w:tcPr>
            <w:tcW w:w="291" w:type="pct"/>
            <w:tcBorders>
              <w:top w:val="single" w:color="000000" w:sz="4" w:space="0"/>
              <w:left w:val="single" w:color="000000" w:sz="4" w:space="0"/>
              <w:bottom w:val="single" w:color="000000" w:sz="4" w:space="0"/>
              <w:right w:val="single" w:color="000000" w:sz="4" w:space="0"/>
            </w:tcBorders>
            <w:vAlign w:val="center"/>
          </w:tcPr>
          <w:p w14:paraId="66AC80A5">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3</w:t>
            </w:r>
          </w:p>
        </w:tc>
        <w:tc>
          <w:tcPr>
            <w:tcW w:w="606" w:type="pct"/>
            <w:tcBorders>
              <w:top w:val="single" w:color="000000" w:sz="4" w:space="0"/>
              <w:left w:val="single" w:color="000000" w:sz="4" w:space="0"/>
              <w:bottom w:val="single" w:color="000000" w:sz="4" w:space="0"/>
              <w:right w:val="single" w:color="000000" w:sz="4" w:space="0"/>
            </w:tcBorders>
            <w:vAlign w:val="center"/>
          </w:tcPr>
          <w:p w14:paraId="02D0320E">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103°23′42.12″</w:t>
            </w:r>
          </w:p>
        </w:tc>
        <w:tc>
          <w:tcPr>
            <w:tcW w:w="455" w:type="pct"/>
            <w:tcBorders>
              <w:top w:val="single" w:color="000000" w:sz="4" w:space="0"/>
              <w:left w:val="single" w:color="000000" w:sz="4" w:space="0"/>
              <w:bottom w:val="single" w:color="000000" w:sz="4" w:space="0"/>
              <w:right w:val="single" w:color="000000" w:sz="4" w:space="0"/>
            </w:tcBorders>
            <w:vAlign w:val="center"/>
          </w:tcPr>
          <w:p w14:paraId="081CFD16">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26°31′54.20″</w:t>
            </w:r>
          </w:p>
        </w:tc>
        <w:tc>
          <w:tcPr>
            <w:tcW w:w="456" w:type="pct"/>
            <w:tcBorders>
              <w:top w:val="single" w:color="000000" w:sz="4" w:space="0"/>
              <w:left w:val="single" w:color="000000" w:sz="4" w:space="0"/>
              <w:bottom w:val="single" w:color="000000" w:sz="4" w:space="0"/>
              <w:right w:val="single" w:color="000000" w:sz="4" w:space="0"/>
            </w:tcBorders>
            <w:vAlign w:val="center"/>
          </w:tcPr>
          <w:p w14:paraId="5B25D8BC">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2157.811</w:t>
            </w:r>
          </w:p>
        </w:tc>
        <w:tc>
          <w:tcPr>
            <w:tcW w:w="521" w:type="pct"/>
            <w:tcBorders>
              <w:top w:val="single" w:color="000000" w:sz="4" w:space="0"/>
              <w:left w:val="single" w:color="000000" w:sz="4" w:space="0"/>
              <w:bottom w:val="single" w:color="000000" w:sz="4" w:space="0"/>
              <w:right w:val="single" w:color="000000" w:sz="4" w:space="0"/>
            </w:tcBorders>
            <w:vAlign w:val="center"/>
          </w:tcPr>
          <w:p w14:paraId="55F8876B">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25*25</w:t>
            </w:r>
          </w:p>
        </w:tc>
        <w:tc>
          <w:tcPr>
            <w:tcW w:w="976" w:type="pct"/>
            <w:tcBorders>
              <w:top w:val="single" w:color="000000" w:sz="4" w:space="0"/>
              <w:left w:val="single" w:color="000000" w:sz="4" w:space="0"/>
              <w:bottom w:val="single" w:color="000000" w:sz="4" w:space="0"/>
              <w:right w:val="single" w:color="000000" w:sz="4" w:space="0"/>
            </w:tcBorders>
            <w:vAlign w:val="center"/>
          </w:tcPr>
          <w:p w14:paraId="3A6FEA57">
            <w:pPr>
              <w:widowControl/>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云南松、盐肤木、毛蕨菜群落</w:t>
            </w:r>
          </w:p>
        </w:tc>
        <w:tc>
          <w:tcPr>
            <w:tcW w:w="1692" w:type="pct"/>
            <w:tcBorders>
              <w:top w:val="single" w:color="000000" w:sz="4" w:space="0"/>
              <w:left w:val="single" w:color="000000" w:sz="4" w:space="0"/>
              <w:bottom w:val="single" w:color="000000" w:sz="4" w:space="0"/>
              <w:right w:val="single" w:color="000000" w:sz="4" w:space="0"/>
            </w:tcBorders>
            <w:vAlign w:val="center"/>
          </w:tcPr>
          <w:p w14:paraId="1E0EF7A3">
            <w:pPr>
              <w:spacing w:after="0" w:line="240" w:lineRule="auto"/>
              <w:ind w:firstLine="0" w:firstLineChars="0"/>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drawing>
                <wp:inline distT="0" distB="0" distL="0" distR="0">
                  <wp:extent cx="2190750" cy="1360805"/>
                  <wp:effectExtent l="0" t="0" r="0"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2190750" cy="1360805"/>
                          </a:xfrm>
                          <a:prstGeom prst="rect">
                            <a:avLst/>
                          </a:prstGeom>
                          <a:noFill/>
                          <a:ln>
                            <a:noFill/>
                          </a:ln>
                        </pic:spPr>
                      </pic:pic>
                    </a:graphicData>
                  </a:graphic>
                </wp:inline>
              </w:drawing>
            </w:r>
          </w:p>
        </w:tc>
      </w:tr>
      <w:tr w14:paraId="6D3EA6F3">
        <w:tblPrEx>
          <w:tblCellMar>
            <w:top w:w="0" w:type="dxa"/>
            <w:left w:w="108" w:type="dxa"/>
            <w:bottom w:w="0" w:type="dxa"/>
            <w:right w:w="108" w:type="dxa"/>
          </w:tblCellMar>
        </w:tblPrEx>
        <w:trPr>
          <w:trHeight w:val="270" w:hRule="atLeast"/>
          <w:jc w:val="center"/>
        </w:trPr>
        <w:tc>
          <w:tcPr>
            <w:tcW w:w="291" w:type="pct"/>
            <w:tcBorders>
              <w:top w:val="single" w:color="000000" w:sz="4" w:space="0"/>
              <w:left w:val="single" w:color="000000" w:sz="4" w:space="0"/>
              <w:bottom w:val="single" w:color="000000" w:sz="4" w:space="0"/>
              <w:right w:val="single" w:color="000000" w:sz="4" w:space="0"/>
            </w:tcBorders>
            <w:vAlign w:val="center"/>
          </w:tcPr>
          <w:p w14:paraId="4CAAF708">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4</w:t>
            </w:r>
          </w:p>
        </w:tc>
        <w:tc>
          <w:tcPr>
            <w:tcW w:w="606" w:type="pct"/>
            <w:tcBorders>
              <w:top w:val="single" w:color="000000" w:sz="4" w:space="0"/>
              <w:left w:val="single" w:color="000000" w:sz="4" w:space="0"/>
              <w:bottom w:val="single" w:color="000000" w:sz="4" w:space="0"/>
              <w:right w:val="single" w:color="000000" w:sz="4" w:space="0"/>
            </w:tcBorders>
            <w:vAlign w:val="center"/>
          </w:tcPr>
          <w:p w14:paraId="55D3BEAE">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103°21′51.13″</w:t>
            </w:r>
          </w:p>
        </w:tc>
        <w:tc>
          <w:tcPr>
            <w:tcW w:w="455" w:type="pct"/>
            <w:tcBorders>
              <w:top w:val="single" w:color="000000" w:sz="4" w:space="0"/>
              <w:left w:val="single" w:color="000000" w:sz="4" w:space="0"/>
              <w:bottom w:val="single" w:color="000000" w:sz="4" w:space="0"/>
              <w:right w:val="single" w:color="000000" w:sz="4" w:space="0"/>
            </w:tcBorders>
            <w:vAlign w:val="center"/>
          </w:tcPr>
          <w:p w14:paraId="3746EBB5">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26°30′35.93″</w:t>
            </w:r>
          </w:p>
        </w:tc>
        <w:tc>
          <w:tcPr>
            <w:tcW w:w="456" w:type="pct"/>
            <w:tcBorders>
              <w:top w:val="single" w:color="000000" w:sz="4" w:space="0"/>
              <w:left w:val="single" w:color="000000" w:sz="4" w:space="0"/>
              <w:bottom w:val="single" w:color="000000" w:sz="4" w:space="0"/>
              <w:right w:val="single" w:color="000000" w:sz="4" w:space="0"/>
            </w:tcBorders>
            <w:vAlign w:val="center"/>
          </w:tcPr>
          <w:p w14:paraId="36CD5812">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2352.642</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871CB">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10*10</w:t>
            </w:r>
          </w:p>
        </w:tc>
        <w:tc>
          <w:tcPr>
            <w:tcW w:w="976" w:type="pct"/>
            <w:tcBorders>
              <w:top w:val="single" w:color="000000" w:sz="4" w:space="0"/>
              <w:left w:val="single" w:color="000000" w:sz="4" w:space="0"/>
              <w:bottom w:val="single" w:color="000000" w:sz="4" w:space="0"/>
              <w:right w:val="single" w:color="000000" w:sz="4" w:space="0"/>
            </w:tcBorders>
            <w:vAlign w:val="center"/>
          </w:tcPr>
          <w:p w14:paraId="04F26EFD">
            <w:pPr>
              <w:widowControl/>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zh-CN"/>
              </w:rPr>
              <w:t>云南松、苦刺花、穗序野古草群落</w:t>
            </w:r>
          </w:p>
        </w:tc>
        <w:tc>
          <w:tcPr>
            <w:tcW w:w="1692" w:type="pct"/>
            <w:tcBorders>
              <w:top w:val="single" w:color="000000" w:sz="4" w:space="0"/>
              <w:left w:val="single" w:color="000000" w:sz="4" w:space="0"/>
              <w:bottom w:val="single" w:color="000000" w:sz="4" w:space="0"/>
              <w:right w:val="single" w:color="000000" w:sz="4" w:space="0"/>
            </w:tcBorders>
            <w:vAlign w:val="center"/>
          </w:tcPr>
          <w:p w14:paraId="6E784DAE">
            <w:pPr>
              <w:spacing w:after="0" w:line="240" w:lineRule="auto"/>
              <w:ind w:firstLine="0" w:firstLineChars="0"/>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drawing>
                <wp:inline distT="0" distB="0" distL="0" distR="0">
                  <wp:extent cx="2183130" cy="1247775"/>
                  <wp:effectExtent l="0" t="0" r="7620" b="952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a:off x="0" y="0"/>
                            <a:ext cx="2189961" cy="1251406"/>
                          </a:xfrm>
                          <a:prstGeom prst="rect">
                            <a:avLst/>
                          </a:prstGeom>
                          <a:noFill/>
                          <a:ln>
                            <a:noFill/>
                          </a:ln>
                        </pic:spPr>
                      </pic:pic>
                    </a:graphicData>
                  </a:graphic>
                </wp:inline>
              </w:drawing>
            </w:r>
          </w:p>
        </w:tc>
      </w:tr>
      <w:tr w14:paraId="774F8AA9">
        <w:tblPrEx>
          <w:tblCellMar>
            <w:top w:w="0" w:type="dxa"/>
            <w:left w:w="108" w:type="dxa"/>
            <w:bottom w:w="0" w:type="dxa"/>
            <w:right w:w="108" w:type="dxa"/>
          </w:tblCellMar>
        </w:tblPrEx>
        <w:trPr>
          <w:trHeight w:val="270" w:hRule="atLeast"/>
          <w:jc w:val="center"/>
        </w:trPr>
        <w:tc>
          <w:tcPr>
            <w:tcW w:w="291" w:type="pct"/>
            <w:tcBorders>
              <w:top w:val="single" w:color="000000" w:sz="4" w:space="0"/>
              <w:left w:val="single" w:color="000000" w:sz="4" w:space="0"/>
              <w:bottom w:val="single" w:color="000000" w:sz="4" w:space="0"/>
              <w:right w:val="single" w:color="000000" w:sz="4" w:space="0"/>
            </w:tcBorders>
            <w:vAlign w:val="center"/>
          </w:tcPr>
          <w:p w14:paraId="1797992A">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5</w:t>
            </w:r>
          </w:p>
        </w:tc>
        <w:tc>
          <w:tcPr>
            <w:tcW w:w="606" w:type="pct"/>
            <w:tcBorders>
              <w:top w:val="single" w:color="000000" w:sz="4" w:space="0"/>
              <w:left w:val="single" w:color="000000" w:sz="4" w:space="0"/>
              <w:bottom w:val="single" w:color="000000" w:sz="4" w:space="0"/>
              <w:right w:val="single" w:color="000000" w:sz="4" w:space="0"/>
            </w:tcBorders>
            <w:vAlign w:val="center"/>
          </w:tcPr>
          <w:p w14:paraId="2DDB8E7D">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103°25′39.73″</w:t>
            </w:r>
          </w:p>
        </w:tc>
        <w:tc>
          <w:tcPr>
            <w:tcW w:w="455" w:type="pct"/>
            <w:tcBorders>
              <w:top w:val="single" w:color="000000" w:sz="4" w:space="0"/>
              <w:left w:val="single" w:color="000000" w:sz="4" w:space="0"/>
              <w:bottom w:val="single" w:color="000000" w:sz="4" w:space="0"/>
              <w:right w:val="single" w:color="000000" w:sz="4" w:space="0"/>
            </w:tcBorders>
            <w:vAlign w:val="center"/>
          </w:tcPr>
          <w:p w14:paraId="5AF62E05">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26°32′58.86″</w:t>
            </w:r>
          </w:p>
        </w:tc>
        <w:tc>
          <w:tcPr>
            <w:tcW w:w="456" w:type="pct"/>
            <w:tcBorders>
              <w:top w:val="single" w:color="000000" w:sz="4" w:space="0"/>
              <w:left w:val="single" w:color="000000" w:sz="4" w:space="0"/>
              <w:bottom w:val="single" w:color="000000" w:sz="4" w:space="0"/>
              <w:right w:val="single" w:color="000000" w:sz="4" w:space="0"/>
            </w:tcBorders>
            <w:vAlign w:val="center"/>
          </w:tcPr>
          <w:p w14:paraId="31506323">
            <w:pPr>
              <w:widowControl/>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1951.717</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81013">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10*10</w:t>
            </w:r>
          </w:p>
        </w:tc>
        <w:tc>
          <w:tcPr>
            <w:tcW w:w="976" w:type="pct"/>
            <w:tcBorders>
              <w:top w:val="single" w:color="000000" w:sz="4" w:space="0"/>
              <w:left w:val="single" w:color="000000" w:sz="4" w:space="0"/>
              <w:bottom w:val="single" w:color="000000" w:sz="4" w:space="0"/>
              <w:right w:val="single" w:color="000000" w:sz="4" w:space="0"/>
            </w:tcBorders>
            <w:vAlign w:val="center"/>
          </w:tcPr>
          <w:p w14:paraId="0E8DAB5B">
            <w:pPr>
              <w:widowControl/>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zh-CN"/>
              </w:rPr>
              <w:t>云南松、苦刺花、穗序野古草</w:t>
            </w:r>
            <w:r>
              <w:rPr>
                <w:rFonts w:hint="default" w:ascii="Times New Roman" w:hAnsi="Times New Roman" w:eastAsia="宋体" w:cs="Times New Roman"/>
                <w:color w:val="auto"/>
                <w:sz w:val="21"/>
                <w:szCs w:val="21"/>
              </w:rPr>
              <w:t>群落</w:t>
            </w:r>
          </w:p>
        </w:tc>
        <w:tc>
          <w:tcPr>
            <w:tcW w:w="1692" w:type="pct"/>
            <w:tcBorders>
              <w:top w:val="single" w:color="000000" w:sz="4" w:space="0"/>
              <w:left w:val="single" w:color="000000" w:sz="4" w:space="0"/>
              <w:bottom w:val="single" w:color="000000" w:sz="4" w:space="0"/>
              <w:right w:val="single" w:color="000000" w:sz="4" w:space="0"/>
            </w:tcBorders>
            <w:vAlign w:val="center"/>
          </w:tcPr>
          <w:p w14:paraId="41FB97E2">
            <w:pPr>
              <w:spacing w:after="0" w:line="240" w:lineRule="auto"/>
              <w:ind w:firstLine="0" w:firstLineChars="0"/>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drawing>
                <wp:inline distT="0" distB="0" distL="0" distR="0">
                  <wp:extent cx="2190750" cy="123825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2190750" cy="1238250"/>
                          </a:xfrm>
                          <a:prstGeom prst="rect">
                            <a:avLst/>
                          </a:prstGeom>
                          <a:noFill/>
                          <a:ln>
                            <a:noFill/>
                          </a:ln>
                        </pic:spPr>
                      </pic:pic>
                    </a:graphicData>
                  </a:graphic>
                </wp:inline>
              </w:drawing>
            </w:r>
          </w:p>
        </w:tc>
      </w:tr>
      <w:tr w14:paraId="38422299">
        <w:tblPrEx>
          <w:tblCellMar>
            <w:top w:w="0" w:type="dxa"/>
            <w:left w:w="108" w:type="dxa"/>
            <w:bottom w:w="0" w:type="dxa"/>
            <w:right w:w="108" w:type="dxa"/>
          </w:tblCellMar>
        </w:tblPrEx>
        <w:trPr>
          <w:trHeight w:val="270" w:hRule="atLeast"/>
          <w:jc w:val="center"/>
        </w:trPr>
        <w:tc>
          <w:tcPr>
            <w:tcW w:w="291" w:type="pct"/>
            <w:tcBorders>
              <w:top w:val="single" w:color="000000" w:sz="4" w:space="0"/>
              <w:left w:val="single" w:color="000000" w:sz="4" w:space="0"/>
              <w:bottom w:val="single" w:color="000000" w:sz="4" w:space="0"/>
              <w:right w:val="single" w:color="000000" w:sz="4" w:space="0"/>
            </w:tcBorders>
            <w:vAlign w:val="center"/>
          </w:tcPr>
          <w:p w14:paraId="4187711A">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6</w:t>
            </w:r>
          </w:p>
        </w:tc>
        <w:tc>
          <w:tcPr>
            <w:tcW w:w="606" w:type="pct"/>
            <w:tcBorders>
              <w:top w:val="single" w:color="000000" w:sz="4" w:space="0"/>
              <w:left w:val="single" w:color="000000" w:sz="4" w:space="0"/>
              <w:bottom w:val="single" w:color="000000" w:sz="4" w:space="0"/>
              <w:right w:val="single" w:color="000000" w:sz="4" w:space="0"/>
            </w:tcBorders>
            <w:vAlign w:val="center"/>
          </w:tcPr>
          <w:p w14:paraId="040AC818">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103°25′15.60″</w:t>
            </w:r>
          </w:p>
        </w:tc>
        <w:tc>
          <w:tcPr>
            <w:tcW w:w="455" w:type="pct"/>
            <w:tcBorders>
              <w:top w:val="single" w:color="000000" w:sz="4" w:space="0"/>
              <w:left w:val="single" w:color="000000" w:sz="4" w:space="0"/>
              <w:bottom w:val="single" w:color="000000" w:sz="4" w:space="0"/>
              <w:right w:val="single" w:color="000000" w:sz="4" w:space="0"/>
            </w:tcBorders>
            <w:vAlign w:val="center"/>
          </w:tcPr>
          <w:p w14:paraId="2CAAE56F">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26°33′34.19″</w:t>
            </w:r>
          </w:p>
        </w:tc>
        <w:tc>
          <w:tcPr>
            <w:tcW w:w="456" w:type="pct"/>
            <w:tcBorders>
              <w:top w:val="single" w:color="000000" w:sz="4" w:space="0"/>
              <w:left w:val="single" w:color="000000" w:sz="4" w:space="0"/>
              <w:bottom w:val="single" w:color="000000" w:sz="4" w:space="0"/>
              <w:right w:val="single" w:color="000000" w:sz="4" w:space="0"/>
            </w:tcBorders>
            <w:vAlign w:val="center"/>
          </w:tcPr>
          <w:p w14:paraId="3330AD50">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1978.831</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5B5AB">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10*10</w:t>
            </w:r>
          </w:p>
        </w:tc>
        <w:tc>
          <w:tcPr>
            <w:tcW w:w="976" w:type="pct"/>
            <w:tcBorders>
              <w:top w:val="single" w:color="000000" w:sz="4" w:space="0"/>
              <w:left w:val="single" w:color="000000" w:sz="4" w:space="0"/>
              <w:bottom w:val="single" w:color="000000" w:sz="4" w:space="0"/>
              <w:right w:val="single" w:color="000000" w:sz="4" w:space="0"/>
            </w:tcBorders>
            <w:vAlign w:val="center"/>
          </w:tcPr>
          <w:p w14:paraId="57C758A1">
            <w:pPr>
              <w:widowControl/>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zh-CN"/>
              </w:rPr>
              <w:t>云南松、苦刺花、穗序野古草</w:t>
            </w:r>
            <w:r>
              <w:rPr>
                <w:rFonts w:hint="default" w:ascii="Times New Roman" w:hAnsi="Times New Roman" w:eastAsia="宋体" w:cs="Times New Roman"/>
                <w:color w:val="auto"/>
                <w:sz w:val="21"/>
                <w:szCs w:val="21"/>
              </w:rPr>
              <w:t>群落</w:t>
            </w:r>
          </w:p>
        </w:tc>
        <w:tc>
          <w:tcPr>
            <w:tcW w:w="1692" w:type="pct"/>
            <w:tcBorders>
              <w:top w:val="single" w:color="000000" w:sz="4" w:space="0"/>
              <w:left w:val="single" w:color="000000" w:sz="4" w:space="0"/>
              <w:bottom w:val="single" w:color="000000" w:sz="4" w:space="0"/>
              <w:right w:val="single" w:color="000000" w:sz="4" w:space="0"/>
            </w:tcBorders>
            <w:vAlign w:val="center"/>
          </w:tcPr>
          <w:p w14:paraId="20271B6C">
            <w:pPr>
              <w:spacing w:after="0" w:line="240" w:lineRule="auto"/>
              <w:ind w:firstLine="0" w:firstLineChars="0"/>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drawing>
                <wp:inline distT="0" distB="0" distL="0" distR="0">
                  <wp:extent cx="2190750" cy="123825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2190750" cy="1238250"/>
                          </a:xfrm>
                          <a:prstGeom prst="rect">
                            <a:avLst/>
                          </a:prstGeom>
                          <a:noFill/>
                          <a:ln>
                            <a:noFill/>
                          </a:ln>
                        </pic:spPr>
                      </pic:pic>
                    </a:graphicData>
                  </a:graphic>
                </wp:inline>
              </w:drawing>
            </w:r>
          </w:p>
        </w:tc>
      </w:tr>
      <w:tr w14:paraId="128A8C71">
        <w:tblPrEx>
          <w:tblCellMar>
            <w:top w:w="0" w:type="dxa"/>
            <w:left w:w="108" w:type="dxa"/>
            <w:bottom w:w="0" w:type="dxa"/>
            <w:right w:w="108" w:type="dxa"/>
          </w:tblCellMar>
        </w:tblPrEx>
        <w:trPr>
          <w:trHeight w:val="270" w:hRule="atLeast"/>
          <w:jc w:val="center"/>
        </w:trPr>
        <w:tc>
          <w:tcPr>
            <w:tcW w:w="291" w:type="pct"/>
            <w:tcBorders>
              <w:top w:val="single" w:color="000000" w:sz="4" w:space="0"/>
              <w:left w:val="single" w:color="000000" w:sz="4" w:space="0"/>
              <w:bottom w:val="single" w:color="000000" w:sz="4" w:space="0"/>
              <w:right w:val="single" w:color="000000" w:sz="4" w:space="0"/>
            </w:tcBorders>
            <w:vAlign w:val="center"/>
          </w:tcPr>
          <w:p w14:paraId="5C360C97">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7</w:t>
            </w:r>
          </w:p>
        </w:tc>
        <w:tc>
          <w:tcPr>
            <w:tcW w:w="606" w:type="pct"/>
            <w:tcBorders>
              <w:top w:val="single" w:color="000000" w:sz="4" w:space="0"/>
              <w:left w:val="single" w:color="000000" w:sz="4" w:space="0"/>
              <w:bottom w:val="single" w:color="000000" w:sz="4" w:space="0"/>
              <w:right w:val="single" w:color="000000" w:sz="4" w:space="0"/>
            </w:tcBorders>
            <w:vAlign w:val="center"/>
          </w:tcPr>
          <w:p w14:paraId="208DE1DC">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103°21′27.28″</w:t>
            </w:r>
          </w:p>
        </w:tc>
        <w:tc>
          <w:tcPr>
            <w:tcW w:w="455" w:type="pct"/>
            <w:tcBorders>
              <w:top w:val="single" w:color="000000" w:sz="4" w:space="0"/>
              <w:left w:val="single" w:color="000000" w:sz="4" w:space="0"/>
              <w:bottom w:val="single" w:color="000000" w:sz="4" w:space="0"/>
              <w:right w:val="single" w:color="000000" w:sz="4" w:space="0"/>
            </w:tcBorders>
            <w:vAlign w:val="center"/>
          </w:tcPr>
          <w:p w14:paraId="7E1E8910">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26°30′42.99″</w:t>
            </w:r>
          </w:p>
        </w:tc>
        <w:tc>
          <w:tcPr>
            <w:tcW w:w="456" w:type="pct"/>
            <w:tcBorders>
              <w:top w:val="single" w:color="000000" w:sz="4" w:space="0"/>
              <w:left w:val="single" w:color="000000" w:sz="4" w:space="0"/>
              <w:bottom w:val="single" w:color="000000" w:sz="4" w:space="0"/>
              <w:right w:val="single" w:color="000000" w:sz="4" w:space="0"/>
            </w:tcBorders>
            <w:vAlign w:val="center"/>
          </w:tcPr>
          <w:p w14:paraId="747D2A56">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2494.812</w:t>
            </w:r>
          </w:p>
        </w:tc>
        <w:tc>
          <w:tcPr>
            <w:tcW w:w="521" w:type="pct"/>
            <w:tcBorders>
              <w:top w:val="single" w:color="000000" w:sz="4" w:space="0"/>
              <w:left w:val="single" w:color="000000" w:sz="4" w:space="0"/>
              <w:bottom w:val="single" w:color="000000" w:sz="4" w:space="0"/>
              <w:right w:val="single" w:color="000000" w:sz="4" w:space="0"/>
            </w:tcBorders>
            <w:vAlign w:val="center"/>
          </w:tcPr>
          <w:p w14:paraId="00CE2B71">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20*20</w:t>
            </w:r>
          </w:p>
        </w:tc>
        <w:tc>
          <w:tcPr>
            <w:tcW w:w="976" w:type="pct"/>
            <w:tcBorders>
              <w:top w:val="single" w:color="000000" w:sz="4" w:space="0"/>
              <w:left w:val="single" w:color="000000" w:sz="4" w:space="0"/>
              <w:bottom w:val="single" w:color="000000" w:sz="4" w:space="0"/>
              <w:right w:val="single" w:color="000000" w:sz="4" w:space="0"/>
            </w:tcBorders>
            <w:vAlign w:val="center"/>
          </w:tcPr>
          <w:p w14:paraId="00654DD2">
            <w:pPr>
              <w:widowControl/>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马桑、火棘、茅叶荩草群落</w:t>
            </w:r>
          </w:p>
        </w:tc>
        <w:tc>
          <w:tcPr>
            <w:tcW w:w="1692" w:type="pct"/>
            <w:tcBorders>
              <w:top w:val="single" w:color="000000" w:sz="4" w:space="0"/>
              <w:left w:val="single" w:color="000000" w:sz="4" w:space="0"/>
              <w:bottom w:val="single" w:color="000000" w:sz="4" w:space="0"/>
              <w:right w:val="single" w:color="000000" w:sz="4" w:space="0"/>
            </w:tcBorders>
            <w:vAlign w:val="center"/>
          </w:tcPr>
          <w:p w14:paraId="0586EEBC">
            <w:pPr>
              <w:spacing w:after="0" w:line="240" w:lineRule="auto"/>
              <w:ind w:firstLine="0" w:firstLineChars="0"/>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drawing>
                <wp:inline distT="0" distB="0" distL="0" distR="0">
                  <wp:extent cx="2190750" cy="123825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2190750" cy="1238250"/>
                          </a:xfrm>
                          <a:prstGeom prst="rect">
                            <a:avLst/>
                          </a:prstGeom>
                          <a:noFill/>
                          <a:ln>
                            <a:noFill/>
                          </a:ln>
                        </pic:spPr>
                      </pic:pic>
                    </a:graphicData>
                  </a:graphic>
                </wp:inline>
              </w:drawing>
            </w:r>
          </w:p>
        </w:tc>
      </w:tr>
      <w:tr w14:paraId="4B2E4154">
        <w:tblPrEx>
          <w:tblCellMar>
            <w:top w:w="0" w:type="dxa"/>
            <w:left w:w="108" w:type="dxa"/>
            <w:bottom w:w="0" w:type="dxa"/>
            <w:right w:w="108" w:type="dxa"/>
          </w:tblCellMar>
        </w:tblPrEx>
        <w:trPr>
          <w:trHeight w:val="270" w:hRule="atLeast"/>
          <w:jc w:val="center"/>
        </w:trPr>
        <w:tc>
          <w:tcPr>
            <w:tcW w:w="291" w:type="pct"/>
            <w:tcBorders>
              <w:top w:val="single" w:color="000000" w:sz="4" w:space="0"/>
              <w:left w:val="single" w:color="000000" w:sz="4" w:space="0"/>
              <w:bottom w:val="single" w:color="000000" w:sz="4" w:space="0"/>
              <w:right w:val="single" w:color="000000" w:sz="4" w:space="0"/>
            </w:tcBorders>
            <w:vAlign w:val="center"/>
          </w:tcPr>
          <w:p w14:paraId="683A8485">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8</w:t>
            </w:r>
          </w:p>
        </w:tc>
        <w:tc>
          <w:tcPr>
            <w:tcW w:w="606" w:type="pct"/>
            <w:tcBorders>
              <w:top w:val="single" w:color="000000" w:sz="4" w:space="0"/>
              <w:left w:val="single" w:color="000000" w:sz="4" w:space="0"/>
              <w:bottom w:val="single" w:color="000000" w:sz="4" w:space="0"/>
              <w:right w:val="single" w:color="000000" w:sz="4" w:space="0"/>
            </w:tcBorders>
            <w:vAlign w:val="center"/>
          </w:tcPr>
          <w:p w14:paraId="27FAC85F">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103°23′43.68″</w:t>
            </w:r>
          </w:p>
        </w:tc>
        <w:tc>
          <w:tcPr>
            <w:tcW w:w="455" w:type="pct"/>
            <w:tcBorders>
              <w:top w:val="single" w:color="000000" w:sz="4" w:space="0"/>
              <w:left w:val="single" w:color="000000" w:sz="4" w:space="0"/>
              <w:bottom w:val="single" w:color="000000" w:sz="4" w:space="0"/>
              <w:right w:val="single" w:color="000000" w:sz="4" w:space="0"/>
            </w:tcBorders>
            <w:vAlign w:val="center"/>
          </w:tcPr>
          <w:p w14:paraId="5AE5A71F">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26°32′9.21″</w:t>
            </w:r>
          </w:p>
        </w:tc>
        <w:tc>
          <w:tcPr>
            <w:tcW w:w="456" w:type="pct"/>
            <w:tcBorders>
              <w:top w:val="single" w:color="000000" w:sz="4" w:space="0"/>
              <w:left w:val="single" w:color="000000" w:sz="4" w:space="0"/>
              <w:bottom w:val="single" w:color="000000" w:sz="4" w:space="0"/>
              <w:right w:val="single" w:color="000000" w:sz="4" w:space="0"/>
            </w:tcBorders>
            <w:vAlign w:val="center"/>
          </w:tcPr>
          <w:p w14:paraId="37493C76">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2141.251</w:t>
            </w:r>
          </w:p>
        </w:tc>
        <w:tc>
          <w:tcPr>
            <w:tcW w:w="521" w:type="pct"/>
            <w:tcBorders>
              <w:top w:val="single" w:color="000000" w:sz="4" w:space="0"/>
              <w:left w:val="single" w:color="000000" w:sz="4" w:space="0"/>
              <w:bottom w:val="single" w:color="000000" w:sz="4" w:space="0"/>
              <w:right w:val="single" w:color="000000" w:sz="4" w:space="0"/>
            </w:tcBorders>
            <w:vAlign w:val="center"/>
          </w:tcPr>
          <w:p w14:paraId="0FA13970">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20*20</w:t>
            </w:r>
          </w:p>
        </w:tc>
        <w:tc>
          <w:tcPr>
            <w:tcW w:w="976" w:type="pct"/>
            <w:tcBorders>
              <w:top w:val="single" w:color="000000" w:sz="4" w:space="0"/>
              <w:left w:val="single" w:color="000000" w:sz="4" w:space="0"/>
              <w:bottom w:val="single" w:color="000000" w:sz="4" w:space="0"/>
              <w:right w:val="single" w:color="000000" w:sz="4" w:space="0"/>
            </w:tcBorders>
            <w:vAlign w:val="center"/>
          </w:tcPr>
          <w:p w14:paraId="37252480">
            <w:pPr>
              <w:widowControl/>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马桑、火棘、茅叶荩草群落</w:t>
            </w:r>
          </w:p>
        </w:tc>
        <w:tc>
          <w:tcPr>
            <w:tcW w:w="1692" w:type="pct"/>
            <w:tcBorders>
              <w:top w:val="single" w:color="000000" w:sz="4" w:space="0"/>
              <w:left w:val="single" w:color="000000" w:sz="4" w:space="0"/>
              <w:bottom w:val="single" w:color="000000" w:sz="4" w:space="0"/>
              <w:right w:val="single" w:color="000000" w:sz="4" w:space="0"/>
            </w:tcBorders>
            <w:vAlign w:val="center"/>
          </w:tcPr>
          <w:p w14:paraId="1142D8EA">
            <w:pPr>
              <w:spacing w:after="0" w:line="240" w:lineRule="auto"/>
              <w:ind w:firstLine="0" w:firstLineChars="0"/>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drawing>
                <wp:inline distT="0" distB="0" distL="0" distR="0">
                  <wp:extent cx="2190750" cy="1524635"/>
                  <wp:effectExtent l="0" t="0" r="0" b="1841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2190750" cy="1524635"/>
                          </a:xfrm>
                          <a:prstGeom prst="rect">
                            <a:avLst/>
                          </a:prstGeom>
                          <a:noFill/>
                          <a:ln>
                            <a:noFill/>
                          </a:ln>
                        </pic:spPr>
                      </pic:pic>
                    </a:graphicData>
                  </a:graphic>
                </wp:inline>
              </w:drawing>
            </w:r>
          </w:p>
        </w:tc>
      </w:tr>
      <w:tr w14:paraId="1E999107">
        <w:tblPrEx>
          <w:tblCellMar>
            <w:top w:w="0" w:type="dxa"/>
            <w:left w:w="108" w:type="dxa"/>
            <w:bottom w:w="0" w:type="dxa"/>
            <w:right w:w="108" w:type="dxa"/>
          </w:tblCellMar>
        </w:tblPrEx>
        <w:trPr>
          <w:trHeight w:val="270" w:hRule="atLeast"/>
          <w:jc w:val="center"/>
        </w:trPr>
        <w:tc>
          <w:tcPr>
            <w:tcW w:w="291" w:type="pct"/>
            <w:tcBorders>
              <w:top w:val="single" w:color="000000" w:sz="4" w:space="0"/>
              <w:left w:val="single" w:color="000000" w:sz="4" w:space="0"/>
              <w:bottom w:val="single" w:color="000000" w:sz="4" w:space="0"/>
              <w:right w:val="single" w:color="000000" w:sz="4" w:space="0"/>
            </w:tcBorders>
            <w:vAlign w:val="center"/>
          </w:tcPr>
          <w:p w14:paraId="488D0F27">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9</w:t>
            </w:r>
          </w:p>
        </w:tc>
        <w:tc>
          <w:tcPr>
            <w:tcW w:w="606" w:type="pct"/>
            <w:tcBorders>
              <w:top w:val="single" w:color="000000" w:sz="4" w:space="0"/>
              <w:left w:val="single" w:color="000000" w:sz="4" w:space="0"/>
              <w:bottom w:val="single" w:color="000000" w:sz="4" w:space="0"/>
              <w:right w:val="single" w:color="000000" w:sz="4" w:space="0"/>
            </w:tcBorders>
            <w:vAlign w:val="center"/>
          </w:tcPr>
          <w:p w14:paraId="668B2AA0">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103°24′53.55″</w:t>
            </w:r>
          </w:p>
        </w:tc>
        <w:tc>
          <w:tcPr>
            <w:tcW w:w="455" w:type="pct"/>
            <w:tcBorders>
              <w:top w:val="single" w:color="000000" w:sz="4" w:space="0"/>
              <w:left w:val="single" w:color="000000" w:sz="4" w:space="0"/>
              <w:bottom w:val="single" w:color="000000" w:sz="4" w:space="0"/>
              <w:right w:val="single" w:color="000000" w:sz="4" w:space="0"/>
            </w:tcBorders>
            <w:vAlign w:val="center"/>
          </w:tcPr>
          <w:p w14:paraId="03EF25B4">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26°32′19.95″</w:t>
            </w:r>
          </w:p>
        </w:tc>
        <w:tc>
          <w:tcPr>
            <w:tcW w:w="456" w:type="pct"/>
            <w:tcBorders>
              <w:top w:val="single" w:color="000000" w:sz="4" w:space="0"/>
              <w:left w:val="single" w:color="000000" w:sz="4" w:space="0"/>
              <w:bottom w:val="single" w:color="000000" w:sz="4" w:space="0"/>
              <w:right w:val="single" w:color="000000" w:sz="4" w:space="0"/>
            </w:tcBorders>
            <w:vAlign w:val="center"/>
          </w:tcPr>
          <w:p w14:paraId="08861B3F">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1969.960</w:t>
            </w:r>
          </w:p>
        </w:tc>
        <w:tc>
          <w:tcPr>
            <w:tcW w:w="521" w:type="pct"/>
            <w:tcBorders>
              <w:top w:val="single" w:color="000000" w:sz="4" w:space="0"/>
              <w:left w:val="single" w:color="000000" w:sz="4" w:space="0"/>
              <w:bottom w:val="single" w:color="000000" w:sz="4" w:space="0"/>
              <w:right w:val="single" w:color="000000" w:sz="4" w:space="0"/>
            </w:tcBorders>
            <w:vAlign w:val="center"/>
          </w:tcPr>
          <w:p w14:paraId="1BD003D9">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20*20</w:t>
            </w:r>
          </w:p>
        </w:tc>
        <w:tc>
          <w:tcPr>
            <w:tcW w:w="976" w:type="pct"/>
            <w:tcBorders>
              <w:top w:val="single" w:color="000000" w:sz="4" w:space="0"/>
              <w:left w:val="single" w:color="000000" w:sz="4" w:space="0"/>
              <w:bottom w:val="single" w:color="000000" w:sz="4" w:space="0"/>
              <w:right w:val="single" w:color="000000" w:sz="4" w:space="0"/>
            </w:tcBorders>
            <w:vAlign w:val="center"/>
          </w:tcPr>
          <w:p w14:paraId="16306C02">
            <w:pPr>
              <w:widowControl/>
              <w:spacing w:after="0"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马桑、火棘、茅叶荩草群落</w:t>
            </w:r>
          </w:p>
        </w:tc>
        <w:tc>
          <w:tcPr>
            <w:tcW w:w="1692" w:type="pct"/>
            <w:tcBorders>
              <w:top w:val="single" w:color="000000" w:sz="4" w:space="0"/>
              <w:left w:val="single" w:color="000000" w:sz="4" w:space="0"/>
              <w:bottom w:val="single" w:color="000000" w:sz="4" w:space="0"/>
              <w:right w:val="single" w:color="000000" w:sz="4" w:space="0"/>
            </w:tcBorders>
            <w:vAlign w:val="center"/>
          </w:tcPr>
          <w:p w14:paraId="23066164">
            <w:pPr>
              <w:spacing w:after="0" w:line="240" w:lineRule="auto"/>
              <w:ind w:firstLine="0" w:firstLineChars="0"/>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drawing>
                <wp:inline distT="0" distB="0" distL="0" distR="0">
                  <wp:extent cx="2190750" cy="1647825"/>
                  <wp:effectExtent l="0" t="0" r="0" b="952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2190750" cy="1647825"/>
                          </a:xfrm>
                          <a:prstGeom prst="rect">
                            <a:avLst/>
                          </a:prstGeom>
                          <a:noFill/>
                          <a:ln>
                            <a:noFill/>
                          </a:ln>
                        </pic:spPr>
                      </pic:pic>
                    </a:graphicData>
                  </a:graphic>
                </wp:inline>
              </w:drawing>
            </w:r>
          </w:p>
        </w:tc>
      </w:tr>
    </w:tbl>
    <w:p w14:paraId="627538ED">
      <w:pPr>
        <w:pStyle w:val="139"/>
        <w:ind w:firstLine="470"/>
        <w:rPr>
          <w:rFonts w:hint="default" w:ascii="Times New Roman" w:hAnsi="Times New Roman" w:cs="Times New Roman"/>
          <w:color w:val="auto"/>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26" w:charSpace="0"/>
        </w:sectPr>
      </w:pPr>
    </w:p>
    <w:p w14:paraId="045D7DCE">
      <w:pPr>
        <w:pStyle w:val="6"/>
        <w:adjustRightInd w:val="0"/>
        <w:snapToGrid w:val="0"/>
        <w:spacing w:line="440" w:lineRule="exact"/>
        <w:ind w:firstLine="482" w:firstLineChars="200"/>
        <w:rPr>
          <w:rFonts w:hint="default" w:ascii="Times New Roman" w:hAnsi="Times New Roman" w:cs="Times New Roman"/>
          <w:color w:val="auto"/>
        </w:rPr>
      </w:pPr>
      <w:r>
        <w:rPr>
          <w:rFonts w:hint="default" w:ascii="Times New Roman" w:hAnsi="Times New Roman" w:cs="Times New Roman"/>
          <w:color w:val="auto"/>
        </w:rPr>
        <w:t>2.3.1.2调查范围</w:t>
      </w:r>
    </w:p>
    <w:p w14:paraId="11B00D86">
      <w:pPr>
        <w:pStyle w:val="139"/>
        <w:adjustRightInd w:val="0"/>
        <w:snapToGrid w:val="0"/>
        <w:spacing w:line="440" w:lineRule="exact"/>
        <w:ind w:firstLine="470"/>
        <w:rPr>
          <w:rFonts w:hint="default" w:ascii="Times New Roman" w:hAnsi="Times New Roman" w:cs="Times New Roman"/>
          <w:bCs/>
          <w:color w:val="auto"/>
          <w:szCs w:val="44"/>
        </w:rPr>
      </w:pPr>
      <w:r>
        <w:rPr>
          <w:rFonts w:hint="default" w:ascii="Times New Roman" w:hAnsi="Times New Roman" w:cs="Times New Roman"/>
          <w:color w:val="auto"/>
          <w:szCs w:val="24"/>
        </w:rPr>
        <w:t>本项目对陆生植物、植被的调查工作重点为占地红线范围内、集电线路两侧影响区域，其次是与工程直接影响相邻的地区；调查范围主要为线路、临时工程区域周边外延300m范围及跨越生态保护红线线路段两侧</w:t>
      </w:r>
      <w:r>
        <w:rPr>
          <w:rFonts w:hint="eastAsia" w:ascii="Times New Roman" w:hAnsi="Times New Roman" w:cs="Times New Roman"/>
          <w:color w:val="auto"/>
          <w:szCs w:val="24"/>
          <w:lang w:val="en-US" w:eastAsia="zh-CN"/>
        </w:rPr>
        <w:t>及两端</w:t>
      </w:r>
      <w:r>
        <w:rPr>
          <w:rFonts w:hint="default" w:ascii="Times New Roman" w:hAnsi="Times New Roman" w:cs="Times New Roman"/>
          <w:color w:val="auto"/>
          <w:szCs w:val="24"/>
        </w:rPr>
        <w:t>外延1000m范围。评价区总面积1072.18</w:t>
      </w:r>
      <w:r>
        <w:rPr>
          <w:rFonts w:hint="eastAsia" w:ascii="Times New Roman" w:hAnsi="Times New Roman" w:cs="Times New Roman"/>
          <w:color w:val="auto"/>
          <w:szCs w:val="24"/>
          <w:lang w:val="en-US" w:eastAsia="zh-CN"/>
        </w:rPr>
        <w:t>3</w:t>
      </w:r>
      <w:r>
        <w:rPr>
          <w:rFonts w:hint="default" w:ascii="Times New Roman" w:hAnsi="Times New Roman" w:cs="Times New Roman"/>
          <w:color w:val="auto"/>
          <w:szCs w:val="24"/>
        </w:rPr>
        <w:t>hm²，评价区海拔为1874—2648m。</w:t>
      </w:r>
    </w:p>
    <w:p w14:paraId="2A037E4F">
      <w:pPr>
        <w:pStyle w:val="6"/>
        <w:adjustRightInd w:val="0"/>
        <w:snapToGrid w:val="0"/>
        <w:spacing w:line="440" w:lineRule="exact"/>
        <w:ind w:firstLine="482" w:firstLineChars="200"/>
        <w:rPr>
          <w:rFonts w:hint="default" w:ascii="Times New Roman" w:hAnsi="Times New Roman" w:cs="Times New Roman"/>
          <w:color w:val="auto"/>
        </w:rPr>
      </w:pPr>
      <w:r>
        <w:rPr>
          <w:rFonts w:hint="default" w:ascii="Times New Roman" w:hAnsi="Times New Roman" w:cs="Times New Roman"/>
          <w:color w:val="auto"/>
        </w:rPr>
        <w:t>2.3.1.3调查内容</w:t>
      </w:r>
    </w:p>
    <w:p w14:paraId="6311721E">
      <w:pPr>
        <w:pStyle w:val="102"/>
        <w:rPr>
          <w:rFonts w:hint="default" w:ascii="Times New Roman" w:hAnsi="Times New Roman" w:cs="Times New Roman"/>
          <w:color w:val="auto"/>
        </w:rPr>
      </w:pPr>
      <w:r>
        <w:rPr>
          <w:rFonts w:hint="default" w:ascii="Times New Roman" w:hAnsi="Times New Roman" w:cs="Times New Roman"/>
          <w:color w:val="auto"/>
        </w:rPr>
        <w:t>陆生植被和植物调查的主要内容是评价区植被类型及分布特征，评价区植物资源现状，国家重点保护野生植物数量及分布情况，云南省重点保护野生植物数量及分布情况，名木古树数量及分布情况等。</w:t>
      </w:r>
    </w:p>
    <w:p w14:paraId="2F53C570">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15" w:name="_Toc9077"/>
      <w:r>
        <w:rPr>
          <w:rFonts w:hint="default" w:ascii="Times New Roman" w:hAnsi="Times New Roman" w:cs="Times New Roman"/>
          <w:color w:val="auto"/>
          <w:sz w:val="24"/>
          <w:szCs w:val="24"/>
        </w:rPr>
        <w:t>2.3.2 评价区</w:t>
      </w:r>
      <w:bookmarkStart w:id="216" w:name="_Toc76673410"/>
      <w:r>
        <w:rPr>
          <w:rFonts w:hint="default" w:ascii="Times New Roman" w:hAnsi="Times New Roman" w:cs="Times New Roman"/>
          <w:color w:val="auto"/>
          <w:sz w:val="24"/>
          <w:szCs w:val="24"/>
        </w:rPr>
        <w:t>植被分类系统及分布特征</w:t>
      </w:r>
      <w:bookmarkEnd w:id="215"/>
      <w:bookmarkEnd w:id="216"/>
    </w:p>
    <w:p w14:paraId="3BCA19AD">
      <w:pPr>
        <w:pStyle w:val="6"/>
        <w:adjustRightInd w:val="0"/>
        <w:snapToGrid w:val="0"/>
        <w:spacing w:line="440" w:lineRule="exact"/>
        <w:ind w:firstLine="482" w:firstLineChars="200"/>
        <w:rPr>
          <w:rFonts w:hint="default" w:ascii="Times New Roman" w:hAnsi="Times New Roman" w:cs="Times New Roman"/>
          <w:color w:val="auto"/>
        </w:rPr>
      </w:pPr>
      <w:r>
        <w:rPr>
          <w:rFonts w:hint="default" w:ascii="Times New Roman" w:hAnsi="Times New Roman" w:cs="Times New Roman"/>
          <w:color w:val="auto"/>
        </w:rPr>
        <w:t xml:space="preserve">2.3.2.1 </w:t>
      </w:r>
      <w:r>
        <w:rPr>
          <w:rFonts w:hint="default" w:ascii="Times New Roman" w:hAnsi="Times New Roman" w:cs="Times New Roman"/>
          <w:color w:val="auto"/>
          <w:lang w:val="zh-CN"/>
        </w:rPr>
        <w:t>植被分类系统</w:t>
      </w:r>
    </w:p>
    <w:p w14:paraId="5347E055">
      <w:pPr>
        <w:adjustRightInd w:val="0"/>
        <w:snapToGrid w:val="0"/>
        <w:spacing w:after="0" w:line="440" w:lineRule="exact"/>
        <w:ind w:firstLine="480"/>
        <w:rPr>
          <w:rFonts w:hint="default" w:ascii="Times New Roman" w:hAnsi="Times New Roman" w:cs="Times New Roman"/>
          <w:color w:val="auto"/>
          <w:szCs w:val="32"/>
        </w:rPr>
      </w:pPr>
      <w:r>
        <w:rPr>
          <w:rFonts w:hint="default" w:ascii="Times New Roman" w:hAnsi="Times New Roman" w:cs="Times New Roman"/>
          <w:color w:val="auto"/>
          <w:szCs w:val="32"/>
        </w:rPr>
        <w:t>项目位于会泽县内。</w:t>
      </w:r>
      <w:r>
        <w:rPr>
          <w:rFonts w:hint="default" w:ascii="Times New Roman" w:hAnsi="Times New Roman" w:cs="Times New Roman"/>
          <w:color w:val="auto"/>
          <w:szCs w:val="32"/>
          <w:lang w:val="zh-CN"/>
        </w:rPr>
        <w:t>依据《云南植被》专著中采用的分类系统，遵循群落学－生态学的分类原则，采用3个主级分类单位，即植被型（高级分类单位）、群系（中级分类单位）和群丛（低级分类单位），各级再设亚级或辅助单位。</w:t>
      </w:r>
    </w:p>
    <w:p w14:paraId="0775F898">
      <w:pPr>
        <w:adjustRightInd w:val="0"/>
        <w:snapToGrid w:val="0"/>
        <w:spacing w:after="0" w:line="440" w:lineRule="exact"/>
        <w:ind w:firstLine="480"/>
        <w:rPr>
          <w:rFonts w:hint="default" w:ascii="Times New Roman" w:hAnsi="Times New Roman" w:cs="Times New Roman"/>
          <w:color w:val="auto"/>
          <w:szCs w:val="32"/>
        </w:rPr>
      </w:pPr>
      <w:r>
        <w:rPr>
          <w:rFonts w:hint="default" w:ascii="Times New Roman" w:hAnsi="Times New Roman" w:cs="Times New Roman"/>
          <w:color w:val="auto"/>
          <w:szCs w:val="32"/>
          <w:lang w:val="zh-CN"/>
        </w:rPr>
        <w:t>项目评价区位于</w:t>
      </w:r>
      <w:r>
        <w:rPr>
          <w:rFonts w:hint="default" w:ascii="Times New Roman" w:hAnsi="Times New Roman" w:cs="Times New Roman"/>
          <w:color w:val="auto"/>
          <w:szCs w:val="32"/>
        </w:rPr>
        <w:t>会泽县</w:t>
      </w:r>
      <w:r>
        <w:rPr>
          <w:rFonts w:hint="default" w:ascii="Times New Roman" w:hAnsi="Times New Roman" w:cs="Times New Roman"/>
          <w:color w:val="auto"/>
          <w:szCs w:val="32"/>
          <w:lang w:val="zh-CN"/>
        </w:rPr>
        <w:t>，区域所在地处于</w:t>
      </w:r>
      <w:r>
        <w:rPr>
          <w:rFonts w:hint="default" w:ascii="Times New Roman" w:hAnsi="Times New Roman" w:cs="Times New Roman"/>
          <w:color w:val="auto"/>
          <w:szCs w:val="32"/>
        </w:rPr>
        <w:t>亚热带常绿阔叶林区域（II），西部（半湿润）常绿阔叶林亚区域（IIA）；高原亚热带北部常绿阔叶林地带（II-Aii），滇中、滇东、高原半湿润常绿阔叶林、云南松林区（IIAii-1）、滇东北高原高、中山云南松林羊草草甸亚区（IIAii-1d）。</w:t>
      </w:r>
      <w:r>
        <w:rPr>
          <w:rFonts w:hint="default" w:ascii="Times New Roman" w:hAnsi="Times New Roman" w:cs="Times New Roman"/>
          <w:color w:val="auto"/>
          <w:szCs w:val="32"/>
          <w:lang w:val="zh-CN"/>
        </w:rPr>
        <w:t>项目评价区地带性植被为半湿润常绿阔叶林，除此之外，受气候影响以及更多的人为活动干扰，大量种植耕地，评价区范围内镶嵌分布较广的暖温性稀树灌木草丛。项目区域的植被可划分为</w:t>
      </w:r>
      <w:r>
        <w:rPr>
          <w:rFonts w:hint="default" w:ascii="Times New Roman" w:hAnsi="Times New Roman" w:cs="Times New Roman"/>
          <w:color w:val="auto"/>
          <w:szCs w:val="32"/>
        </w:rPr>
        <w:t>3</w:t>
      </w:r>
      <w:r>
        <w:rPr>
          <w:rFonts w:hint="default" w:ascii="Times New Roman" w:hAnsi="Times New Roman" w:cs="Times New Roman"/>
          <w:color w:val="auto"/>
          <w:szCs w:val="32"/>
          <w:lang w:val="zh-CN"/>
        </w:rPr>
        <w:t>个植被型，</w:t>
      </w:r>
      <w:r>
        <w:rPr>
          <w:rFonts w:hint="default" w:ascii="Times New Roman" w:hAnsi="Times New Roman" w:cs="Times New Roman"/>
          <w:color w:val="auto"/>
          <w:szCs w:val="32"/>
        </w:rPr>
        <w:t>3</w:t>
      </w:r>
      <w:r>
        <w:rPr>
          <w:rFonts w:hint="default" w:ascii="Times New Roman" w:hAnsi="Times New Roman" w:cs="Times New Roman"/>
          <w:color w:val="auto"/>
          <w:szCs w:val="32"/>
          <w:lang w:val="zh-CN"/>
        </w:rPr>
        <w:t>个植被亚型，</w:t>
      </w:r>
      <w:r>
        <w:rPr>
          <w:rFonts w:hint="default" w:ascii="Times New Roman" w:hAnsi="Times New Roman" w:cs="Times New Roman"/>
          <w:color w:val="auto"/>
          <w:szCs w:val="32"/>
        </w:rPr>
        <w:t>3</w:t>
      </w:r>
      <w:r>
        <w:rPr>
          <w:rFonts w:hint="default" w:ascii="Times New Roman" w:hAnsi="Times New Roman" w:cs="Times New Roman"/>
          <w:color w:val="auto"/>
          <w:szCs w:val="32"/>
          <w:lang w:val="zh-CN"/>
        </w:rPr>
        <w:t>个群系。根据野外实地考察，</w:t>
      </w:r>
      <w:r>
        <w:rPr>
          <w:rFonts w:hint="default" w:ascii="Times New Roman" w:hAnsi="Times New Roman" w:cs="Times New Roman"/>
          <w:color w:val="auto"/>
          <w:szCs w:val="32"/>
        </w:rPr>
        <w:t>将评价区</w:t>
      </w:r>
      <w:r>
        <w:rPr>
          <w:rFonts w:hint="default" w:ascii="Times New Roman" w:hAnsi="Times New Roman" w:cs="Times New Roman"/>
          <w:color w:val="auto"/>
          <w:szCs w:val="32"/>
          <w:lang w:val="zh-CN"/>
        </w:rPr>
        <w:t>植被划分为3个植被型、3个群系、3个群落，</w:t>
      </w:r>
      <w:r>
        <w:rPr>
          <w:rFonts w:hint="default" w:ascii="Times New Roman" w:hAnsi="Times New Roman" w:cs="Times New Roman"/>
          <w:color w:val="auto"/>
          <w:szCs w:val="32"/>
        </w:rPr>
        <w:t>（具体分布情况见评价区植被图）。</w:t>
      </w:r>
    </w:p>
    <w:p w14:paraId="53CE9F48">
      <w:pPr>
        <w:adjustRightInd w:val="0"/>
        <w:snapToGrid w:val="0"/>
        <w:spacing w:after="0" w:line="240" w:lineRule="auto"/>
        <w:ind w:firstLine="482"/>
        <w:jc w:val="center"/>
        <w:rPr>
          <w:rFonts w:hint="default" w:ascii="Times New Roman" w:hAnsi="Times New Roman" w:cs="Times New Roman"/>
          <w:b/>
          <w:color w:val="auto"/>
          <w:szCs w:val="24"/>
        </w:rPr>
      </w:pPr>
      <w:r>
        <w:rPr>
          <w:rFonts w:hint="default" w:ascii="Times New Roman" w:hAnsi="Times New Roman" w:cs="Times New Roman"/>
          <w:b/>
          <w:color w:val="auto"/>
          <w:szCs w:val="24"/>
        </w:rPr>
        <w:t>表2.3-</w:t>
      </w:r>
      <w:r>
        <w:rPr>
          <w:rFonts w:hint="eastAsia" w:ascii="Times New Roman" w:hAnsi="Times New Roman" w:cs="Times New Roman"/>
          <w:b/>
          <w:color w:val="auto"/>
          <w:szCs w:val="24"/>
          <w:lang w:val="en-US" w:eastAsia="zh-CN"/>
        </w:rPr>
        <w:t>3</w:t>
      </w:r>
      <w:r>
        <w:rPr>
          <w:rFonts w:hint="default" w:ascii="Times New Roman" w:hAnsi="Times New Roman" w:cs="Times New Roman"/>
          <w:b/>
          <w:color w:val="auto"/>
          <w:szCs w:val="24"/>
        </w:rPr>
        <w:t xml:space="preserve">  评价区植被类型统计表</w:t>
      </w:r>
    </w:p>
    <w:tbl>
      <w:tblPr>
        <w:tblStyle w:val="3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519"/>
      </w:tblGrid>
      <w:tr w14:paraId="2FA3C7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000" w:type="pct"/>
            <w:tcBorders>
              <w:tl2br w:val="nil"/>
              <w:tr2bl w:val="nil"/>
            </w:tcBorders>
            <w:vAlign w:val="top"/>
          </w:tcPr>
          <w:p w14:paraId="38C1729C">
            <w:pPr>
              <w:adjustRightInd w:val="0"/>
              <w:snapToGrid w:val="0"/>
              <w:spacing w:line="240" w:lineRule="auto"/>
              <w:ind w:firstLine="422"/>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A. 自然植被</w:t>
            </w:r>
          </w:p>
          <w:p w14:paraId="7056A243">
            <w:pPr>
              <w:adjustRightInd w:val="0"/>
              <w:snapToGrid w:val="0"/>
              <w:spacing w:line="240" w:lineRule="auto"/>
              <w:ind w:firstLine="42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Ⅰ.暖性针叶林</w:t>
            </w:r>
          </w:p>
          <w:p w14:paraId="469BCB24">
            <w:pPr>
              <w:adjustRightInd w:val="0"/>
              <w:snapToGrid w:val="0"/>
              <w:spacing w:line="240" w:lineRule="auto"/>
              <w:ind w:firstLine="315" w:firstLineChars="15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（Ⅰ）暖温性针叶林</w:t>
            </w:r>
          </w:p>
          <w:p w14:paraId="61CD0602">
            <w:pPr>
              <w:adjustRightInd w:val="0"/>
              <w:snapToGrid w:val="0"/>
              <w:spacing w:line="240" w:lineRule="auto"/>
              <w:ind w:firstLine="630" w:firstLineChars="30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pt-BR"/>
              </w:rPr>
              <w:t>一</w:t>
            </w:r>
            <w:r>
              <w:rPr>
                <w:rFonts w:hint="default" w:ascii="Times New Roman" w:hAnsi="Times New Roman" w:eastAsia="宋体" w:cs="Times New Roman"/>
                <w:color w:val="auto"/>
                <w:sz w:val="21"/>
                <w:szCs w:val="21"/>
              </w:rPr>
              <w:t>）云南松林</w:t>
            </w:r>
          </w:p>
          <w:p w14:paraId="116C6414">
            <w:pPr>
              <w:adjustRightInd w:val="0"/>
              <w:snapToGrid w:val="0"/>
              <w:spacing w:line="240" w:lineRule="auto"/>
              <w:ind w:firstLine="945" w:firstLineChars="45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（1）云南松、盐肤木、毛蕨菜群落</w:t>
            </w:r>
          </w:p>
          <w:p w14:paraId="06481595">
            <w:pPr>
              <w:adjustRightInd w:val="0"/>
              <w:snapToGrid w:val="0"/>
              <w:spacing w:line="240" w:lineRule="auto"/>
              <w:ind w:firstLine="42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Ⅱ</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rPr>
              <w:t>稀树灌木草丛</w:t>
            </w:r>
          </w:p>
          <w:p w14:paraId="16709F17">
            <w:pPr>
              <w:adjustRightInd w:val="0"/>
              <w:snapToGrid w:val="0"/>
              <w:spacing w:line="240" w:lineRule="auto"/>
              <w:ind w:firstLine="42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（Ⅱ）暖温性稀树灌木草丛</w:t>
            </w:r>
          </w:p>
          <w:p w14:paraId="79940467">
            <w:pPr>
              <w:adjustRightInd w:val="0"/>
              <w:snapToGrid w:val="0"/>
              <w:spacing w:line="240" w:lineRule="auto"/>
              <w:ind w:firstLine="630" w:firstLineChars="30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（二）</w:t>
            </w:r>
            <w:r>
              <w:rPr>
                <w:rFonts w:hint="default" w:ascii="Times New Roman" w:hAnsi="Times New Roman" w:eastAsia="宋体" w:cs="Times New Roman"/>
                <w:color w:val="auto"/>
                <w:kern w:val="0"/>
                <w:sz w:val="21"/>
                <w:szCs w:val="21"/>
              </w:rPr>
              <w:t>含云南松、</w:t>
            </w:r>
            <w:r>
              <w:rPr>
                <w:rFonts w:hint="default" w:ascii="Times New Roman" w:hAnsi="Times New Roman" w:eastAsia="宋体" w:cs="Times New Roman"/>
                <w:color w:val="auto"/>
                <w:kern w:val="0"/>
                <w:sz w:val="21"/>
                <w:szCs w:val="21"/>
                <w:lang w:val="zh-CN"/>
              </w:rPr>
              <w:t>苦刺花</w:t>
            </w:r>
            <w:r>
              <w:rPr>
                <w:rFonts w:hint="default" w:ascii="Times New Roman" w:hAnsi="Times New Roman" w:eastAsia="宋体" w:cs="Times New Roman"/>
                <w:color w:val="auto"/>
                <w:kern w:val="0"/>
                <w:sz w:val="21"/>
                <w:szCs w:val="21"/>
              </w:rPr>
              <w:t>的中草草丛</w:t>
            </w:r>
          </w:p>
          <w:p w14:paraId="3E79D576">
            <w:pPr>
              <w:adjustRightInd w:val="0"/>
              <w:snapToGrid w:val="0"/>
              <w:spacing w:line="240" w:lineRule="auto"/>
              <w:ind w:firstLine="945" w:firstLineChars="450"/>
              <w:rPr>
                <w:rFonts w:hint="default" w:ascii="Times New Roman" w:hAnsi="Times New Roman" w:eastAsia="宋体" w:cs="Times New Roman"/>
                <w:color w:val="auto"/>
                <w:kern w:val="0"/>
                <w:sz w:val="21"/>
                <w:szCs w:val="21"/>
              </w:rPr>
            </w:pPr>
            <w:r>
              <w:rPr>
                <w:rFonts w:hint="default" w:ascii="Times New Roman" w:hAnsi="Times New Roman" w:eastAsia="方正楷体_GB2312" w:cs="Times New Roman"/>
                <w:color w:val="auto"/>
                <w:kern w:val="0"/>
                <w:sz w:val="21"/>
                <w:szCs w:val="21"/>
              </w:rPr>
              <w:t>（2）</w:t>
            </w:r>
            <w:r>
              <w:rPr>
                <w:rFonts w:hint="default" w:ascii="Times New Roman" w:hAnsi="Times New Roman" w:eastAsia="宋体" w:cs="Times New Roman"/>
                <w:color w:val="auto"/>
                <w:kern w:val="0"/>
                <w:sz w:val="21"/>
                <w:szCs w:val="21"/>
                <w:lang w:val="zh-CN"/>
              </w:rPr>
              <w:t>云南松、苦刺花、穗序野古草群落</w:t>
            </w:r>
          </w:p>
          <w:p w14:paraId="62FED506">
            <w:pPr>
              <w:adjustRightInd w:val="0"/>
              <w:snapToGrid w:val="0"/>
              <w:spacing w:line="240" w:lineRule="auto"/>
              <w:ind w:firstLine="42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Ⅲ.灌丛</w:t>
            </w:r>
          </w:p>
          <w:p w14:paraId="653F3A1E">
            <w:pPr>
              <w:adjustRightInd w:val="0"/>
              <w:snapToGrid w:val="0"/>
              <w:spacing w:line="240" w:lineRule="auto"/>
              <w:ind w:firstLine="42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  （Ⅲ）暖性石灰岩灌丛</w:t>
            </w:r>
          </w:p>
          <w:p w14:paraId="6EEDAA28">
            <w:pPr>
              <w:adjustRightInd w:val="0"/>
              <w:snapToGrid w:val="0"/>
              <w:spacing w:line="240" w:lineRule="auto"/>
              <w:ind w:firstLine="42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    （三）马桑灌丛</w:t>
            </w:r>
          </w:p>
          <w:p w14:paraId="2EA5A3BD">
            <w:pPr>
              <w:adjustRightInd w:val="0"/>
              <w:snapToGrid w:val="0"/>
              <w:spacing w:line="240" w:lineRule="auto"/>
              <w:ind w:firstLine="42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       （3）马桑、火棘、茅叶荩草群落</w:t>
            </w:r>
          </w:p>
          <w:p w14:paraId="6630BC9F">
            <w:pPr>
              <w:adjustRightInd w:val="0"/>
              <w:snapToGrid w:val="0"/>
              <w:spacing w:line="240" w:lineRule="auto"/>
              <w:ind w:firstLine="42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B. 人工植被</w:t>
            </w:r>
          </w:p>
          <w:p w14:paraId="76C11B77">
            <w:pPr>
              <w:adjustRightInd w:val="0"/>
              <w:snapToGrid w:val="0"/>
              <w:spacing w:line="240" w:lineRule="auto"/>
              <w:ind w:firstLine="315" w:firstLineChars="15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耕地（旱地、水田）</w:t>
            </w:r>
          </w:p>
          <w:p w14:paraId="7BD82F84">
            <w:pPr>
              <w:adjustRightInd w:val="0"/>
              <w:snapToGrid w:val="0"/>
              <w:spacing w:line="240" w:lineRule="auto"/>
              <w:ind w:firstLine="315" w:firstLineChars="15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人工林（云南松林、华山松林、柳杉林等）</w:t>
            </w:r>
          </w:p>
        </w:tc>
      </w:tr>
    </w:tbl>
    <w:p w14:paraId="39162224">
      <w:pPr>
        <w:spacing w:line="240" w:lineRule="auto"/>
        <w:ind w:firstLine="36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注：I、Ⅱ、Ⅲ…植被型；（I）、（Ⅱ）、（Ⅲ）…植被亚型；（一）（二）（三）…群系；（1）、（2）、（3）…群落。</w:t>
      </w:r>
    </w:p>
    <w:p w14:paraId="2128A26F">
      <w:pPr>
        <w:pStyle w:val="6"/>
        <w:adjustRightInd w:val="0"/>
        <w:snapToGrid w:val="0"/>
        <w:spacing w:line="440" w:lineRule="exact"/>
        <w:ind w:firstLine="482" w:firstLineChars="200"/>
        <w:rPr>
          <w:rFonts w:hint="default" w:ascii="Times New Roman" w:hAnsi="Times New Roman" w:cs="Times New Roman"/>
          <w:color w:val="auto"/>
          <w:lang w:val="zh-CN"/>
        </w:rPr>
      </w:pPr>
      <w:r>
        <w:rPr>
          <w:rFonts w:hint="default" w:ascii="Times New Roman" w:hAnsi="Times New Roman" w:cs="Times New Roman"/>
          <w:color w:val="auto"/>
          <w:lang w:val="zh-CN"/>
        </w:rPr>
        <w:t>2.3.2.2植被分布特征</w:t>
      </w:r>
    </w:p>
    <w:p w14:paraId="2EEC509F">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评价区总面积1072.183hm²，整体呈狭长的条带形。评价区海拔介于1874—2648m之间，相对高差较大，其中海拔2100m以下人为干扰较为严重，基本已开发为耕地，自然植被分布较少。2100m以上主要分布云南松林。撂荒地、耕地边和村落边散布少量稀树灌木草丛植被。同时，石灰岩发育的地区分布有暖性石灰岩灌丛。</w:t>
      </w:r>
    </w:p>
    <w:p w14:paraId="3ADDA480">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17" w:name="_Toc18720"/>
      <w:r>
        <w:rPr>
          <w:rFonts w:hint="default" w:ascii="Times New Roman" w:hAnsi="Times New Roman" w:cs="Times New Roman"/>
          <w:color w:val="auto"/>
          <w:sz w:val="24"/>
          <w:szCs w:val="24"/>
        </w:rPr>
        <w:t>2.3.3评价区植被类型</w:t>
      </w:r>
      <w:bookmarkEnd w:id="217"/>
    </w:p>
    <w:p w14:paraId="63FC99F0">
      <w:pPr>
        <w:pStyle w:val="6"/>
        <w:adjustRightInd w:val="0"/>
        <w:snapToGrid w:val="0"/>
        <w:spacing w:line="440" w:lineRule="exact"/>
        <w:ind w:firstLine="482" w:firstLineChars="200"/>
        <w:rPr>
          <w:rFonts w:hint="default" w:ascii="Times New Roman" w:hAnsi="Times New Roman" w:cs="Times New Roman"/>
          <w:color w:val="auto"/>
        </w:rPr>
      </w:pPr>
      <w:r>
        <w:rPr>
          <w:rFonts w:hint="default" w:ascii="Times New Roman" w:hAnsi="Times New Roman" w:cs="Times New Roman"/>
          <w:color w:val="auto"/>
        </w:rPr>
        <w:t>2.3.3.1自然植被</w:t>
      </w:r>
    </w:p>
    <w:p w14:paraId="6CAA8B6A">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（1）暖温性针叶林</w:t>
      </w:r>
    </w:p>
    <w:p w14:paraId="65B34BAE">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云南松、毛蕨菜群落</w:t>
      </w:r>
    </w:p>
    <w:p w14:paraId="2A6B3AE3">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该群落广泛分布于滇中高原海拔2000米以上山地，是滇中北部地区常见的和十分重要的植被类型。评价区内该群落主要分布于海拔较高的山顶，呈片段化分布。项目评价区内该群落可分为三层。</w:t>
      </w:r>
    </w:p>
    <w:p w14:paraId="6EBEE6C9">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乔木层高7—9m，层盖度在60%。以云南松</w:t>
      </w:r>
      <w:r>
        <w:rPr>
          <w:rFonts w:hint="default" w:ascii="Times New Roman" w:hAnsi="Times New Roman" w:cs="Times New Roman"/>
          <w:i/>
          <w:iCs/>
          <w:color w:val="auto"/>
        </w:rPr>
        <w:t xml:space="preserve">Pinus yunnanensis </w:t>
      </w:r>
      <w:r>
        <w:rPr>
          <w:rFonts w:hint="default" w:ascii="Times New Roman" w:hAnsi="Times New Roman" w:cs="Times New Roman"/>
          <w:color w:val="auto"/>
        </w:rPr>
        <w:t>为建群种和标志种，其他偶见有华山松</w:t>
      </w:r>
      <w:r>
        <w:rPr>
          <w:rFonts w:hint="default" w:ascii="Times New Roman" w:hAnsi="Times New Roman" w:cs="Times New Roman"/>
          <w:i/>
          <w:iCs/>
          <w:color w:val="auto"/>
        </w:rPr>
        <w:t>Pinus armandii</w:t>
      </w:r>
      <w:r>
        <w:rPr>
          <w:rFonts w:hint="default" w:ascii="Times New Roman" w:hAnsi="Times New Roman" w:cs="Times New Roman"/>
          <w:color w:val="auto"/>
        </w:rPr>
        <w:t>、小漆树</w:t>
      </w:r>
      <w:r>
        <w:rPr>
          <w:rFonts w:hint="default" w:ascii="Times New Roman" w:hAnsi="Times New Roman" w:cs="Times New Roman"/>
          <w:i/>
          <w:iCs/>
          <w:color w:val="auto"/>
        </w:rPr>
        <w:t>Toxicodendron delavayi、</w:t>
      </w:r>
      <w:r>
        <w:rPr>
          <w:rFonts w:hint="default" w:ascii="Times New Roman" w:hAnsi="Times New Roman" w:cs="Times New Roman"/>
          <w:color w:val="auto"/>
        </w:rPr>
        <w:t>云南黄杞</w:t>
      </w:r>
      <w:r>
        <w:rPr>
          <w:rFonts w:hint="default" w:ascii="Times New Roman" w:hAnsi="Times New Roman" w:cs="Times New Roman"/>
          <w:i/>
          <w:iCs/>
          <w:color w:val="auto"/>
        </w:rPr>
        <w:t>Engelhardia spicata </w:t>
      </w:r>
      <w:r>
        <w:rPr>
          <w:rFonts w:hint="default" w:ascii="Times New Roman" w:hAnsi="Times New Roman" w:cs="Times New Roman"/>
          <w:color w:val="auto"/>
        </w:rPr>
        <w:t>、旱冬瓜</w:t>
      </w:r>
      <w:r>
        <w:rPr>
          <w:rFonts w:hint="default" w:ascii="Times New Roman" w:hAnsi="Times New Roman" w:cs="Times New Roman"/>
          <w:i/>
          <w:iCs/>
          <w:color w:val="auto"/>
        </w:rPr>
        <w:t>Alnus nepalensis</w:t>
      </w:r>
      <w:r>
        <w:rPr>
          <w:rFonts w:hint="default" w:ascii="Times New Roman" w:hAnsi="Times New Roman" w:cs="Times New Roman"/>
          <w:color w:val="auto"/>
        </w:rPr>
        <w:t>、麻栎</w:t>
      </w:r>
      <w:r>
        <w:rPr>
          <w:rFonts w:hint="default" w:ascii="Times New Roman" w:hAnsi="Times New Roman" w:cs="Times New Roman"/>
          <w:i/>
          <w:iCs/>
          <w:color w:val="auto"/>
        </w:rPr>
        <w:t>Quercus acutissima</w:t>
      </w:r>
      <w:r>
        <w:rPr>
          <w:rFonts w:hint="default" w:ascii="Times New Roman" w:hAnsi="Times New Roman" w:cs="Times New Roman"/>
          <w:color w:val="auto"/>
        </w:rPr>
        <w:t>、</w:t>
      </w:r>
      <w:bookmarkStart w:id="218" w:name="_Hlk240723190"/>
      <w:r>
        <w:rPr>
          <w:rFonts w:hint="default" w:ascii="Times New Roman" w:hAnsi="Times New Roman" w:cs="Times New Roman"/>
          <w:color w:val="auto"/>
        </w:rPr>
        <w:t>多脉猫乳</w:t>
      </w:r>
      <w:r>
        <w:rPr>
          <w:rFonts w:hint="default" w:ascii="Times New Roman" w:hAnsi="Times New Roman" w:cs="Times New Roman"/>
          <w:i/>
          <w:iCs/>
          <w:color w:val="auto"/>
        </w:rPr>
        <w:t>Rhamnella martini</w:t>
      </w:r>
      <w:r>
        <w:rPr>
          <w:rFonts w:hint="default" w:ascii="Times New Roman" w:hAnsi="Times New Roman" w:cs="Times New Roman"/>
          <w:color w:val="auto"/>
        </w:rPr>
        <w:t> </w:t>
      </w:r>
      <w:bookmarkEnd w:id="218"/>
      <w:r>
        <w:rPr>
          <w:rFonts w:hint="default" w:ascii="Times New Roman" w:hAnsi="Times New Roman" w:cs="Times New Roman"/>
          <w:color w:val="auto"/>
        </w:rPr>
        <w:t>、白柯</w:t>
      </w:r>
      <w:r>
        <w:rPr>
          <w:rFonts w:hint="default" w:ascii="Times New Roman" w:hAnsi="Times New Roman" w:cs="Times New Roman"/>
          <w:i/>
          <w:iCs/>
          <w:color w:val="auto"/>
        </w:rPr>
        <w:t>Lithocarpus dealbatus</w:t>
      </w:r>
      <w:r>
        <w:rPr>
          <w:rFonts w:hint="default" w:ascii="Times New Roman" w:hAnsi="Times New Roman" w:cs="Times New Roman"/>
          <w:color w:val="auto"/>
        </w:rPr>
        <w:t>、栓皮栎</w:t>
      </w:r>
      <w:r>
        <w:rPr>
          <w:rFonts w:hint="default" w:ascii="Times New Roman" w:hAnsi="Times New Roman" w:cs="Times New Roman"/>
          <w:i/>
          <w:iCs/>
          <w:color w:val="auto"/>
        </w:rPr>
        <w:t xml:space="preserve">Quercus variabilis </w:t>
      </w:r>
      <w:r>
        <w:rPr>
          <w:rFonts w:hint="default" w:ascii="Times New Roman" w:hAnsi="Times New Roman" w:cs="Times New Roman"/>
          <w:color w:val="auto"/>
        </w:rPr>
        <w:t>等。</w:t>
      </w:r>
    </w:p>
    <w:p w14:paraId="2CA8A26F">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灌木层高约0.2～2m，极稀疏，成层稍明显，层盖度在20%。灌木层主要树种为云南松的幼树，其他灌木有盐肤木</w:t>
      </w:r>
      <w:r>
        <w:rPr>
          <w:rFonts w:hint="default" w:ascii="Times New Roman" w:hAnsi="Times New Roman" w:cs="Times New Roman"/>
          <w:i/>
          <w:iCs/>
          <w:color w:val="auto"/>
        </w:rPr>
        <w:t>Rhus chinensis</w:t>
      </w:r>
      <w:r>
        <w:rPr>
          <w:rFonts w:hint="default" w:ascii="Times New Roman" w:hAnsi="Times New Roman" w:cs="Times New Roman"/>
          <w:color w:val="auto"/>
        </w:rPr>
        <w:t>、滇榛</w:t>
      </w:r>
      <w:r>
        <w:rPr>
          <w:rFonts w:hint="default" w:ascii="Times New Roman" w:hAnsi="Times New Roman" w:cs="Times New Roman"/>
          <w:i/>
          <w:iCs/>
          <w:color w:val="auto"/>
        </w:rPr>
        <w:t>Corylus yunnanensis</w:t>
      </w:r>
      <w:r>
        <w:rPr>
          <w:rFonts w:hint="default" w:ascii="Times New Roman" w:hAnsi="Times New Roman" w:cs="Times New Roman"/>
          <w:color w:val="auto"/>
        </w:rPr>
        <w:t>、臭荚蒾</w:t>
      </w:r>
      <w:r>
        <w:rPr>
          <w:rFonts w:hint="default" w:ascii="Times New Roman" w:hAnsi="Times New Roman" w:cs="Times New Roman"/>
          <w:i/>
          <w:iCs/>
          <w:color w:val="auto"/>
        </w:rPr>
        <w:t xml:space="preserve">Viburnum foetidum </w:t>
      </w:r>
      <w:r>
        <w:rPr>
          <w:rFonts w:hint="default" w:ascii="Times New Roman" w:hAnsi="Times New Roman" w:cs="Times New Roman"/>
          <w:color w:val="auto"/>
        </w:rPr>
        <w:t>var.</w:t>
      </w:r>
      <w:r>
        <w:rPr>
          <w:rFonts w:hint="default" w:ascii="Times New Roman" w:hAnsi="Times New Roman" w:cs="Times New Roman"/>
          <w:i/>
          <w:iCs/>
          <w:color w:val="auto"/>
        </w:rPr>
        <w:t>Ceanothoides</w:t>
      </w:r>
      <w:r>
        <w:rPr>
          <w:rFonts w:hint="default" w:ascii="Times New Roman" w:hAnsi="Times New Roman" w:cs="Times New Roman"/>
          <w:color w:val="auto"/>
        </w:rPr>
        <w:t>、火棘</w:t>
      </w:r>
      <w:r>
        <w:rPr>
          <w:rFonts w:hint="default" w:ascii="Times New Roman" w:hAnsi="Times New Roman" w:cs="Times New Roman"/>
          <w:i/>
          <w:iCs/>
          <w:color w:val="auto"/>
        </w:rPr>
        <w:t>Pyracantha fortuneana</w:t>
      </w:r>
      <w:r>
        <w:rPr>
          <w:rFonts w:hint="default" w:ascii="Times New Roman" w:hAnsi="Times New Roman" w:cs="Times New Roman"/>
          <w:color w:val="auto"/>
        </w:rPr>
        <w:t>、小叶栒子</w:t>
      </w:r>
      <w:r>
        <w:rPr>
          <w:rFonts w:hint="default" w:ascii="Times New Roman" w:hAnsi="Times New Roman" w:cs="Times New Roman"/>
          <w:i/>
          <w:iCs/>
          <w:color w:val="auto"/>
        </w:rPr>
        <w:t>Cotoneaster microphyllus</w:t>
      </w:r>
      <w:r>
        <w:rPr>
          <w:rFonts w:hint="default" w:ascii="Times New Roman" w:hAnsi="Times New Roman" w:cs="Times New Roman"/>
          <w:color w:val="auto"/>
        </w:rPr>
        <w:t>、小梾木</w:t>
      </w:r>
      <w:r>
        <w:rPr>
          <w:rFonts w:hint="default" w:ascii="Times New Roman" w:hAnsi="Times New Roman" w:cs="Times New Roman"/>
          <w:i/>
          <w:iCs/>
          <w:color w:val="auto"/>
        </w:rPr>
        <w:t xml:space="preserve">Cornus paucinervis </w:t>
      </w:r>
      <w:r>
        <w:rPr>
          <w:rFonts w:hint="default" w:ascii="Times New Roman" w:hAnsi="Times New Roman" w:cs="Times New Roman"/>
          <w:color w:val="auto"/>
        </w:rPr>
        <w:t>、滇北蔷薇</w:t>
      </w:r>
      <w:r>
        <w:rPr>
          <w:rFonts w:hint="default" w:ascii="Times New Roman" w:hAnsi="Times New Roman" w:cs="Times New Roman"/>
          <w:i/>
          <w:iCs/>
          <w:color w:val="auto"/>
        </w:rPr>
        <w:t xml:space="preserve">Rosa mairei </w:t>
      </w:r>
      <w:r>
        <w:rPr>
          <w:rFonts w:hint="default" w:ascii="Times New Roman" w:hAnsi="Times New Roman" w:cs="Times New Roman"/>
          <w:color w:val="auto"/>
        </w:rPr>
        <w:t>、金丝桃</w:t>
      </w:r>
      <w:r>
        <w:rPr>
          <w:rFonts w:hint="default" w:ascii="Times New Roman" w:hAnsi="Times New Roman" w:cs="Times New Roman"/>
          <w:i/>
          <w:iCs/>
          <w:color w:val="auto"/>
        </w:rPr>
        <w:t xml:space="preserve">Hypericum uralum </w:t>
      </w:r>
      <w:r>
        <w:rPr>
          <w:rFonts w:hint="default" w:ascii="Times New Roman" w:hAnsi="Times New Roman" w:cs="Times New Roman"/>
          <w:color w:val="auto"/>
        </w:rPr>
        <w:t>、小雀花</w:t>
      </w:r>
      <w:r>
        <w:rPr>
          <w:rFonts w:hint="default" w:ascii="Times New Roman" w:hAnsi="Times New Roman" w:cs="Times New Roman"/>
          <w:i/>
          <w:iCs/>
          <w:color w:val="auto"/>
        </w:rPr>
        <w:t>Campylotropis polyantha</w:t>
      </w:r>
      <w:r>
        <w:rPr>
          <w:rFonts w:hint="default" w:ascii="Times New Roman" w:hAnsi="Times New Roman" w:cs="Times New Roman"/>
          <w:color w:val="auto"/>
        </w:rPr>
        <w:t>、小铁仔</w:t>
      </w:r>
      <w:r>
        <w:rPr>
          <w:rFonts w:hint="default" w:ascii="Times New Roman" w:hAnsi="Times New Roman" w:cs="Times New Roman"/>
          <w:i/>
          <w:iCs/>
          <w:color w:val="auto"/>
        </w:rPr>
        <w:t>Myrsine africana</w:t>
      </w:r>
      <w:r>
        <w:rPr>
          <w:rFonts w:hint="default" w:ascii="Times New Roman" w:hAnsi="Times New Roman" w:cs="Times New Roman"/>
          <w:color w:val="auto"/>
        </w:rPr>
        <w:t>、地果</w:t>
      </w:r>
      <w:r>
        <w:rPr>
          <w:rFonts w:hint="default" w:ascii="Times New Roman" w:hAnsi="Times New Roman" w:cs="Times New Roman"/>
          <w:i/>
          <w:iCs/>
          <w:color w:val="auto"/>
        </w:rPr>
        <w:t>Ficus tikoua</w:t>
      </w:r>
      <w:r>
        <w:rPr>
          <w:rFonts w:hint="default" w:ascii="Times New Roman" w:hAnsi="Times New Roman" w:cs="Times New Roman"/>
          <w:color w:val="auto"/>
        </w:rPr>
        <w:t>、矮杨梅</w:t>
      </w:r>
      <w:r>
        <w:rPr>
          <w:rFonts w:hint="default" w:ascii="Times New Roman" w:hAnsi="Times New Roman" w:cs="Times New Roman"/>
          <w:i/>
          <w:iCs/>
          <w:color w:val="auto"/>
        </w:rPr>
        <w:t>Myrica nana</w:t>
      </w:r>
      <w:r>
        <w:rPr>
          <w:rFonts w:hint="default" w:ascii="Times New Roman" w:hAnsi="Times New Roman" w:cs="Times New Roman"/>
          <w:color w:val="auto"/>
        </w:rPr>
        <w:t>、野丁香</w:t>
      </w:r>
      <w:r>
        <w:rPr>
          <w:rFonts w:hint="default" w:ascii="Times New Roman" w:hAnsi="Times New Roman" w:cs="Times New Roman"/>
          <w:i/>
          <w:iCs/>
          <w:color w:val="auto"/>
        </w:rPr>
        <w:t>Leptodermis potanini</w:t>
      </w:r>
      <w:r>
        <w:rPr>
          <w:rFonts w:hint="default" w:ascii="Times New Roman" w:hAnsi="Times New Roman" w:cs="Times New Roman"/>
          <w:color w:val="auto"/>
        </w:rPr>
        <w:t>、密蒙花</w:t>
      </w:r>
      <w:r>
        <w:rPr>
          <w:rFonts w:hint="default" w:ascii="Times New Roman" w:hAnsi="Times New Roman" w:cs="Times New Roman"/>
          <w:i/>
          <w:iCs/>
          <w:color w:val="auto"/>
        </w:rPr>
        <w:t>Buddleja officinalis</w:t>
      </w:r>
      <w:r>
        <w:rPr>
          <w:rFonts w:hint="default" w:ascii="Times New Roman" w:hAnsi="Times New Roman" w:cs="Times New Roman"/>
          <w:color w:val="auto"/>
        </w:rPr>
        <w:t>等。</w:t>
      </w:r>
    </w:p>
    <w:p w14:paraId="5C6C4813">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草本层高多在1m 以下，层盖度约40%，主要以禾本科、菊科和蕨类植物为优势。主要成层物种有</w:t>
      </w:r>
      <w:bookmarkStart w:id="219" w:name="_Hlk240722063"/>
      <w:bookmarkStart w:id="220" w:name="_Hlk240723070"/>
      <w:r>
        <w:rPr>
          <w:rFonts w:hint="default" w:ascii="Times New Roman" w:hAnsi="Times New Roman" w:cs="Times New Roman"/>
          <w:color w:val="auto"/>
        </w:rPr>
        <w:t>毛蕨菜</w:t>
      </w:r>
      <w:r>
        <w:rPr>
          <w:rFonts w:hint="default" w:ascii="Times New Roman" w:hAnsi="Times New Roman" w:cs="Times New Roman"/>
          <w:i/>
          <w:iCs/>
          <w:color w:val="auto"/>
        </w:rPr>
        <w:t xml:space="preserve">Pteridium aquilinum </w:t>
      </w:r>
      <w:r>
        <w:rPr>
          <w:rFonts w:hint="default" w:ascii="Times New Roman" w:hAnsi="Times New Roman" w:cs="Times New Roman"/>
          <w:color w:val="auto"/>
        </w:rPr>
        <w:t xml:space="preserve">var. </w:t>
      </w:r>
      <w:r>
        <w:rPr>
          <w:rFonts w:hint="default" w:ascii="Times New Roman" w:hAnsi="Times New Roman" w:cs="Times New Roman"/>
          <w:i/>
          <w:iCs/>
          <w:color w:val="auto"/>
        </w:rPr>
        <w:t>latiusculum</w:t>
      </w:r>
      <w:bookmarkEnd w:id="219"/>
      <w:r>
        <w:rPr>
          <w:rFonts w:hint="default" w:ascii="Times New Roman" w:hAnsi="Times New Roman" w:cs="Times New Roman"/>
          <w:color w:val="auto"/>
        </w:rPr>
        <w:t>、</w:t>
      </w:r>
      <w:bookmarkEnd w:id="220"/>
      <w:r>
        <w:rPr>
          <w:rFonts w:hint="default" w:ascii="Times New Roman" w:hAnsi="Times New Roman" w:cs="Times New Roman"/>
          <w:color w:val="auto"/>
        </w:rPr>
        <w:t xml:space="preserve">细柄野青茅 </w:t>
      </w:r>
      <w:r>
        <w:rPr>
          <w:rFonts w:hint="default" w:ascii="Times New Roman" w:hAnsi="Times New Roman" w:cs="Times New Roman"/>
          <w:i/>
          <w:iCs/>
          <w:color w:val="auto"/>
        </w:rPr>
        <w:t>Deyeuxia filipes</w:t>
      </w:r>
      <w:r>
        <w:rPr>
          <w:rFonts w:hint="default" w:ascii="Times New Roman" w:hAnsi="Times New Roman" w:cs="Times New Roman"/>
          <w:color w:val="auto"/>
        </w:rPr>
        <w:t>、白健杆</w:t>
      </w:r>
      <w:r>
        <w:rPr>
          <w:rFonts w:hint="default" w:ascii="Times New Roman" w:hAnsi="Times New Roman" w:cs="Times New Roman"/>
          <w:i/>
          <w:iCs/>
          <w:color w:val="auto"/>
        </w:rPr>
        <w:t>Eulalia pallens</w:t>
      </w:r>
      <w:r>
        <w:rPr>
          <w:rFonts w:hint="default" w:ascii="Times New Roman" w:hAnsi="Times New Roman" w:cs="Times New Roman"/>
          <w:color w:val="auto"/>
        </w:rPr>
        <w:t>、一把伞南星</w:t>
      </w:r>
      <w:r>
        <w:rPr>
          <w:rFonts w:hint="default" w:ascii="Times New Roman" w:hAnsi="Times New Roman" w:cs="Times New Roman"/>
          <w:i/>
          <w:iCs/>
          <w:color w:val="auto"/>
        </w:rPr>
        <w:t>Arisaema erubescens</w:t>
      </w:r>
      <w:r>
        <w:rPr>
          <w:rFonts w:hint="default" w:ascii="Times New Roman" w:hAnsi="Times New Roman" w:cs="Times New Roman"/>
          <w:color w:val="auto"/>
        </w:rPr>
        <w:t>、穗序野古草</w:t>
      </w:r>
      <w:r>
        <w:rPr>
          <w:rFonts w:hint="default" w:ascii="Times New Roman" w:hAnsi="Times New Roman" w:cs="Times New Roman"/>
          <w:i/>
          <w:iCs/>
          <w:color w:val="auto"/>
        </w:rPr>
        <w:t>Arundinella chenii</w:t>
      </w:r>
      <w:r>
        <w:rPr>
          <w:rFonts w:hint="default" w:ascii="Times New Roman" w:hAnsi="Times New Roman" w:cs="Times New Roman"/>
          <w:color w:val="auto"/>
        </w:rPr>
        <w:t>、寸金草</w:t>
      </w:r>
      <w:r>
        <w:rPr>
          <w:rFonts w:hint="default" w:ascii="Times New Roman" w:hAnsi="Times New Roman" w:cs="Times New Roman"/>
          <w:i/>
          <w:iCs/>
          <w:color w:val="auto"/>
        </w:rPr>
        <w:t>Clinopodiummegalanthum</w:t>
      </w:r>
      <w:r>
        <w:rPr>
          <w:rFonts w:hint="default" w:ascii="Times New Roman" w:hAnsi="Times New Roman" w:cs="Times New Roman"/>
          <w:color w:val="auto"/>
        </w:rPr>
        <w:t>、野拔子</w:t>
      </w:r>
      <w:r>
        <w:rPr>
          <w:rFonts w:hint="default" w:ascii="Times New Roman" w:hAnsi="Times New Roman" w:cs="Times New Roman"/>
          <w:i/>
          <w:iCs/>
          <w:color w:val="auto"/>
        </w:rPr>
        <w:t>Elshotzia rugulosa</w:t>
      </w:r>
      <w:r>
        <w:rPr>
          <w:rFonts w:hint="default" w:ascii="Times New Roman" w:hAnsi="Times New Roman" w:cs="Times New Roman"/>
          <w:color w:val="auto"/>
        </w:rPr>
        <w:t>、黄茅</w:t>
      </w:r>
      <w:r>
        <w:rPr>
          <w:rFonts w:hint="default" w:ascii="Times New Roman" w:hAnsi="Times New Roman" w:cs="Times New Roman"/>
          <w:i/>
          <w:iCs/>
          <w:color w:val="auto"/>
        </w:rPr>
        <w:t xml:space="preserve">Heteropogon contortus </w:t>
      </w:r>
      <w:r>
        <w:rPr>
          <w:rFonts w:hint="default" w:ascii="Times New Roman" w:hAnsi="Times New Roman" w:cs="Times New Roman"/>
          <w:color w:val="auto"/>
        </w:rPr>
        <w:t>、硬秆子草</w:t>
      </w:r>
      <w:r>
        <w:rPr>
          <w:rFonts w:hint="default" w:ascii="Times New Roman" w:hAnsi="Times New Roman" w:cs="Times New Roman"/>
          <w:i/>
          <w:iCs/>
          <w:color w:val="auto"/>
        </w:rPr>
        <w:t xml:space="preserve">Capillipedium assimile </w:t>
      </w:r>
      <w:r>
        <w:rPr>
          <w:rFonts w:hint="default" w:ascii="Times New Roman" w:hAnsi="Times New Roman" w:cs="Times New Roman"/>
          <w:color w:val="auto"/>
        </w:rPr>
        <w:t>等组成。</w:t>
      </w:r>
    </w:p>
    <w:p w14:paraId="4115F33E">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（2）暖温性稀树灌木草丛</w:t>
      </w:r>
    </w:p>
    <w:p w14:paraId="02217269">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云南松、苦刺花、</w:t>
      </w:r>
      <w:r>
        <w:rPr>
          <w:rFonts w:hint="default" w:ascii="Times New Roman" w:hAnsi="Times New Roman" w:eastAsia="宋体" w:cs="Times New Roman"/>
          <w:color w:val="auto"/>
          <w:spacing w:val="4"/>
          <w:szCs w:val="24"/>
        </w:rPr>
        <w:t>穗序野古草</w:t>
      </w:r>
      <w:r>
        <w:rPr>
          <w:rFonts w:hint="default" w:ascii="Times New Roman" w:hAnsi="Times New Roman" w:eastAsia="宋体" w:cs="Times New Roman"/>
          <w:color w:val="auto"/>
          <w:szCs w:val="24"/>
        </w:rPr>
        <w:t>群落</w:t>
      </w:r>
    </w:p>
    <w:p w14:paraId="582ED44D">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Times New Roman" w:cs="Times New Roman"/>
          <w:color w:val="auto"/>
          <w:szCs w:val="24"/>
        </w:rPr>
      </w:pPr>
      <w:r>
        <w:rPr>
          <w:rFonts w:hint="default" w:ascii="Times New Roman" w:hAnsi="Times New Roman" w:eastAsia="宋体" w:cs="Times New Roman"/>
          <w:color w:val="auto"/>
          <w:szCs w:val="24"/>
        </w:rPr>
        <w:t>本群落在评价区内主要分布在人为活动较为频繁的区域，原生植被为半湿润常绿阔叶林，为半湿润常绿阔叶林被反复砍烧破坏后演替形成的次生植被，且在演替过程中联系最为密切的为云南松林。</w:t>
      </w:r>
    </w:p>
    <w:p w14:paraId="1793639F">
      <w:pPr>
        <w:keepNext w:val="0"/>
        <w:keepLines w:val="0"/>
        <w:pageBreakBefore w:val="0"/>
        <w:widowControl w:val="0"/>
        <w:kinsoku/>
        <w:wordWrap/>
        <w:overflowPunct/>
        <w:topLinePunct w:val="0"/>
        <w:autoSpaceDE/>
        <w:autoSpaceDN/>
        <w:bidi w:val="0"/>
        <w:adjustRightInd w:val="0"/>
        <w:snapToGrid w:val="0"/>
        <w:spacing w:after="0" w:line="440" w:lineRule="exact"/>
        <w:ind w:firstLine="496"/>
        <w:textAlignment w:val="auto"/>
        <w:rPr>
          <w:rFonts w:hint="default" w:ascii="Times New Roman" w:hAnsi="Times New Roman" w:eastAsia="宋体" w:cs="Times New Roman"/>
          <w:color w:val="auto"/>
          <w:spacing w:val="4"/>
          <w:szCs w:val="24"/>
        </w:rPr>
      </w:pPr>
      <w:r>
        <w:rPr>
          <w:rFonts w:hint="default" w:ascii="Times New Roman" w:hAnsi="Times New Roman" w:eastAsia="宋体" w:cs="Times New Roman"/>
          <w:color w:val="auto"/>
          <w:spacing w:val="4"/>
          <w:szCs w:val="24"/>
        </w:rPr>
        <w:t>本群落内有明显的樵采与放牧痕迹。群落最高8m，郁闭度低，总盖度约为40%，草本层发达。</w:t>
      </w:r>
    </w:p>
    <w:p w14:paraId="0C61867C">
      <w:pPr>
        <w:keepNext w:val="0"/>
        <w:keepLines w:val="0"/>
        <w:pageBreakBefore w:val="0"/>
        <w:widowControl w:val="0"/>
        <w:kinsoku/>
        <w:wordWrap/>
        <w:overflowPunct/>
        <w:topLinePunct w:val="0"/>
        <w:autoSpaceDE/>
        <w:autoSpaceDN/>
        <w:bidi w:val="0"/>
        <w:adjustRightInd w:val="0"/>
        <w:snapToGrid w:val="0"/>
        <w:spacing w:after="0" w:line="440" w:lineRule="exact"/>
        <w:ind w:firstLine="496"/>
        <w:textAlignment w:val="auto"/>
        <w:rPr>
          <w:rFonts w:hint="default" w:ascii="Times New Roman" w:hAnsi="Times New Roman" w:eastAsia="宋体" w:cs="Times New Roman"/>
          <w:color w:val="auto"/>
          <w:spacing w:val="4"/>
          <w:szCs w:val="24"/>
        </w:rPr>
      </w:pPr>
      <w:r>
        <w:rPr>
          <w:rFonts w:hint="default" w:ascii="Times New Roman" w:hAnsi="Times New Roman" w:eastAsia="宋体" w:cs="Times New Roman"/>
          <w:color w:val="auto"/>
          <w:spacing w:val="4"/>
          <w:szCs w:val="24"/>
        </w:rPr>
        <w:t>群落乔木层不发达，仅分布有少量的云南松</w:t>
      </w:r>
      <w:r>
        <w:rPr>
          <w:rFonts w:hint="default" w:ascii="Times New Roman" w:hAnsi="Times New Roman" w:eastAsia="宋体" w:cs="Times New Roman"/>
          <w:i/>
          <w:color w:val="auto"/>
          <w:spacing w:val="4"/>
          <w:szCs w:val="24"/>
        </w:rPr>
        <w:t>Pinus yunnanensis</w:t>
      </w:r>
      <w:r>
        <w:rPr>
          <w:rFonts w:hint="default" w:ascii="Times New Roman" w:hAnsi="Times New Roman" w:eastAsia="宋体" w:cs="Times New Roman"/>
          <w:color w:val="auto"/>
          <w:spacing w:val="4"/>
          <w:szCs w:val="24"/>
        </w:rPr>
        <w:t>，乔木层层高8m，层盖度约为3%—5%，乔木层有明显的樵采痕迹。</w:t>
      </w:r>
    </w:p>
    <w:p w14:paraId="1470ED9C">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Times New Roman" w:cs="Times New Roman"/>
          <w:color w:val="auto"/>
          <w:szCs w:val="24"/>
        </w:rPr>
      </w:pPr>
      <w:r>
        <w:rPr>
          <w:rFonts w:hint="default" w:ascii="Times New Roman" w:hAnsi="Times New Roman" w:eastAsia="宋体" w:cs="Times New Roman"/>
          <w:color w:val="auto"/>
          <w:szCs w:val="24"/>
        </w:rPr>
        <w:t>群落灌木层稀少且不显著，层高</w:t>
      </w:r>
      <w:r>
        <w:rPr>
          <w:rFonts w:hint="default" w:ascii="Times New Roman" w:hAnsi="Times New Roman" w:eastAsia="Times New Roman" w:cs="Times New Roman"/>
          <w:color w:val="auto"/>
          <w:szCs w:val="24"/>
        </w:rPr>
        <w:t>0.5</w:t>
      </w:r>
      <w:r>
        <w:rPr>
          <w:rFonts w:hint="default" w:ascii="Times New Roman" w:hAnsi="Times New Roman" w:eastAsia="宋体" w:cs="Times New Roman"/>
          <w:color w:val="auto"/>
          <w:szCs w:val="24"/>
        </w:rPr>
        <w:t>～</w:t>
      </w:r>
      <w:r>
        <w:rPr>
          <w:rFonts w:hint="default" w:ascii="Times New Roman" w:hAnsi="Times New Roman" w:eastAsia="Times New Roman" w:cs="Times New Roman"/>
          <w:color w:val="auto"/>
          <w:szCs w:val="24"/>
        </w:rPr>
        <w:t>0.8m</w:t>
      </w:r>
      <w:r>
        <w:rPr>
          <w:rFonts w:hint="default" w:ascii="Times New Roman" w:hAnsi="Times New Roman" w:eastAsia="宋体" w:cs="Times New Roman"/>
          <w:color w:val="auto"/>
          <w:szCs w:val="24"/>
        </w:rPr>
        <w:t>，层盖度15%—20%，主要分布苦刺花</w:t>
      </w:r>
      <w:r>
        <w:rPr>
          <w:rFonts w:hint="default" w:ascii="Times New Roman" w:hAnsi="Times New Roman" w:eastAsia="宋体" w:cs="Times New Roman"/>
          <w:i/>
          <w:color w:val="auto"/>
          <w:szCs w:val="24"/>
        </w:rPr>
        <w:t>Sophora viciifolia</w:t>
      </w:r>
      <w:r>
        <w:rPr>
          <w:rFonts w:hint="default" w:ascii="Times New Roman" w:hAnsi="Times New Roman" w:eastAsia="宋体" w:cs="Times New Roman"/>
          <w:color w:val="auto"/>
          <w:szCs w:val="24"/>
        </w:rPr>
        <w:t>、金丝桃</w:t>
      </w:r>
      <w:r>
        <w:rPr>
          <w:rFonts w:hint="default" w:ascii="Times New Roman" w:hAnsi="Times New Roman" w:eastAsia="Times New Roman" w:cs="Times New Roman"/>
          <w:i/>
          <w:color w:val="auto"/>
          <w:szCs w:val="24"/>
          <w:shd w:val="clear" w:color="auto" w:fill="FFFFFF"/>
        </w:rPr>
        <w:t>Hypericum forrestii</w:t>
      </w:r>
      <w:r>
        <w:rPr>
          <w:rFonts w:hint="default" w:ascii="Times New Roman" w:hAnsi="Times New Roman" w:eastAsia="宋体" w:cs="Times New Roman"/>
          <w:color w:val="auto"/>
          <w:szCs w:val="24"/>
        </w:rPr>
        <w:t>、珍珠花</w:t>
      </w:r>
      <w:r>
        <w:rPr>
          <w:rFonts w:hint="default" w:ascii="Times New Roman" w:hAnsi="Times New Roman" w:eastAsia="Times New Roman" w:cs="Times New Roman"/>
          <w:i/>
          <w:color w:val="auto"/>
          <w:szCs w:val="24"/>
        </w:rPr>
        <w:t>Lyonia ovalifolia</w:t>
      </w:r>
      <w:r>
        <w:rPr>
          <w:rFonts w:hint="default" w:ascii="Times New Roman" w:hAnsi="Times New Roman" w:eastAsia="宋体" w:cs="Times New Roman"/>
          <w:i/>
          <w:color w:val="auto"/>
          <w:szCs w:val="24"/>
        </w:rPr>
        <w:t>、</w:t>
      </w:r>
      <w:r>
        <w:rPr>
          <w:rFonts w:hint="default" w:ascii="Times New Roman" w:hAnsi="Times New Roman" w:eastAsia="宋体" w:cs="Times New Roman"/>
          <w:color w:val="auto"/>
          <w:szCs w:val="24"/>
        </w:rPr>
        <w:t>西南栒子</w:t>
      </w:r>
      <w:r>
        <w:rPr>
          <w:rFonts w:hint="default" w:ascii="Times New Roman" w:hAnsi="Times New Roman" w:eastAsia="Times New Roman" w:cs="Times New Roman"/>
          <w:i/>
          <w:color w:val="auto"/>
          <w:szCs w:val="24"/>
        </w:rPr>
        <w:t>Cotoneaster franchetii</w:t>
      </w:r>
      <w:r>
        <w:rPr>
          <w:rFonts w:hint="default" w:ascii="Times New Roman" w:hAnsi="Times New Roman" w:eastAsia="宋体" w:cs="Times New Roman"/>
          <w:color w:val="auto"/>
          <w:szCs w:val="24"/>
        </w:rPr>
        <w:t>、</w:t>
      </w:r>
      <w:bookmarkStart w:id="221" w:name="_Hlk186183403"/>
      <w:r>
        <w:rPr>
          <w:rFonts w:hint="default" w:ascii="Times New Roman" w:hAnsi="Times New Roman" w:eastAsia="宋体" w:cs="Times New Roman"/>
          <w:color w:val="auto"/>
          <w:szCs w:val="24"/>
        </w:rPr>
        <w:t>锈叶杜鹃</w:t>
      </w:r>
      <w:r>
        <w:rPr>
          <w:rFonts w:hint="default" w:ascii="Times New Roman" w:hAnsi="Times New Roman" w:eastAsia="Times New Roman" w:cs="Times New Roman"/>
          <w:i/>
          <w:color w:val="auto"/>
          <w:szCs w:val="24"/>
          <w:shd w:val="clear" w:color="auto" w:fill="FFFFFF"/>
        </w:rPr>
        <w:t>Rhododendron siderophyllum</w:t>
      </w:r>
      <w:bookmarkEnd w:id="221"/>
      <w:r>
        <w:rPr>
          <w:rFonts w:hint="default" w:ascii="Times New Roman" w:hAnsi="Times New Roman" w:eastAsia="宋体" w:cs="Times New Roman"/>
          <w:color w:val="auto"/>
          <w:szCs w:val="24"/>
        </w:rPr>
        <w:t>、水红木</w:t>
      </w:r>
      <w:r>
        <w:rPr>
          <w:rFonts w:hint="default" w:ascii="Times New Roman" w:hAnsi="Times New Roman" w:eastAsia="Times New Roman" w:cs="Times New Roman"/>
          <w:i/>
          <w:color w:val="auto"/>
          <w:szCs w:val="24"/>
        </w:rPr>
        <w:t>Viburnum cylindricum</w:t>
      </w:r>
      <w:r>
        <w:rPr>
          <w:rFonts w:hint="default" w:ascii="Times New Roman" w:hAnsi="Times New Roman" w:eastAsia="宋体" w:cs="Times New Roman"/>
          <w:color w:val="auto"/>
          <w:szCs w:val="24"/>
        </w:rPr>
        <w:t>等。</w:t>
      </w:r>
    </w:p>
    <w:p w14:paraId="4B5833BE">
      <w:pPr>
        <w:keepNext w:val="0"/>
        <w:keepLines w:val="0"/>
        <w:pageBreakBefore w:val="0"/>
        <w:widowControl w:val="0"/>
        <w:kinsoku/>
        <w:wordWrap/>
        <w:overflowPunct/>
        <w:topLinePunct w:val="0"/>
        <w:autoSpaceDE/>
        <w:autoSpaceDN/>
        <w:bidi w:val="0"/>
        <w:adjustRightInd w:val="0"/>
        <w:snapToGrid w:val="0"/>
        <w:spacing w:after="0" w:line="440" w:lineRule="exact"/>
        <w:ind w:firstLine="496"/>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pacing w:val="4"/>
          <w:szCs w:val="24"/>
        </w:rPr>
        <w:t>草本层层高0.5～1m，层盖度25%—30%，主要分布有穗序野古草</w:t>
      </w:r>
      <w:r>
        <w:rPr>
          <w:rFonts w:hint="default" w:ascii="Times New Roman" w:hAnsi="Times New Roman" w:eastAsia="宋体" w:cs="Times New Roman"/>
          <w:i/>
          <w:color w:val="auto"/>
          <w:spacing w:val="4"/>
          <w:szCs w:val="24"/>
        </w:rPr>
        <w:t xml:space="preserve"> Arundinella </w:t>
      </w:r>
      <w:r>
        <w:rPr>
          <w:rFonts w:hint="default" w:ascii="Times New Roman" w:hAnsi="Times New Roman" w:eastAsia="宋体" w:cs="Times New Roman"/>
          <w:i/>
          <w:color w:val="auto"/>
          <w:spacing w:val="4"/>
          <w:szCs w:val="24"/>
          <w:shd w:val="clear" w:color="auto" w:fill="FFFFFF"/>
        </w:rPr>
        <w:t>hookeri </w:t>
      </w:r>
      <w:r>
        <w:rPr>
          <w:rFonts w:hint="default" w:ascii="Times New Roman" w:hAnsi="Times New Roman" w:eastAsia="宋体" w:cs="Times New Roman"/>
          <w:i/>
          <w:color w:val="auto"/>
          <w:spacing w:val="4"/>
          <w:szCs w:val="24"/>
        </w:rPr>
        <w:t> </w:t>
      </w:r>
      <w:r>
        <w:rPr>
          <w:rFonts w:hint="default" w:ascii="Times New Roman" w:hAnsi="Times New Roman" w:eastAsia="宋体" w:cs="Times New Roman"/>
          <w:color w:val="auto"/>
          <w:spacing w:val="4"/>
          <w:szCs w:val="24"/>
        </w:rPr>
        <w:t>、白健杆</w:t>
      </w:r>
      <w:r>
        <w:rPr>
          <w:rFonts w:hint="default" w:ascii="Times New Roman" w:hAnsi="Times New Roman" w:eastAsia="宋体" w:cs="Times New Roman"/>
          <w:i/>
          <w:color w:val="auto"/>
          <w:spacing w:val="4"/>
          <w:szCs w:val="24"/>
        </w:rPr>
        <w:t>Eulalia pallens</w:t>
      </w:r>
      <w:r>
        <w:rPr>
          <w:rFonts w:hint="default" w:ascii="Times New Roman" w:hAnsi="Times New Roman" w:eastAsia="宋体" w:cs="Times New Roman"/>
          <w:color w:val="auto"/>
          <w:spacing w:val="4"/>
          <w:szCs w:val="24"/>
        </w:rPr>
        <w:t>、西南委陵菜</w:t>
      </w:r>
      <w:r>
        <w:rPr>
          <w:rFonts w:hint="default" w:ascii="Times New Roman" w:hAnsi="Times New Roman" w:eastAsia="宋体" w:cs="Times New Roman"/>
          <w:i/>
          <w:color w:val="auto"/>
          <w:spacing w:val="4"/>
          <w:szCs w:val="24"/>
          <w:shd w:val="clear" w:color="auto" w:fill="FFFFFF"/>
        </w:rPr>
        <w:t>Potentilla fulgens</w:t>
      </w:r>
      <w:r>
        <w:rPr>
          <w:rFonts w:hint="default" w:ascii="Times New Roman" w:hAnsi="Times New Roman" w:eastAsia="宋体" w:cs="Times New Roman"/>
          <w:color w:val="auto"/>
          <w:spacing w:val="4"/>
          <w:szCs w:val="24"/>
        </w:rPr>
        <w:t>、飞蓬</w:t>
      </w:r>
      <w:r>
        <w:rPr>
          <w:rFonts w:hint="default" w:ascii="Times New Roman" w:hAnsi="Times New Roman" w:eastAsia="宋体" w:cs="Times New Roman"/>
          <w:i/>
          <w:color w:val="auto"/>
          <w:spacing w:val="4"/>
          <w:szCs w:val="24"/>
          <w:shd w:val="clear" w:color="auto" w:fill="FFFFFF"/>
        </w:rPr>
        <w:t>Erigeron acer</w:t>
      </w:r>
      <w:r>
        <w:rPr>
          <w:rFonts w:hint="default" w:ascii="Times New Roman" w:hAnsi="Times New Roman" w:eastAsia="宋体" w:cs="Times New Roman"/>
          <w:color w:val="auto"/>
          <w:spacing w:val="4"/>
          <w:szCs w:val="24"/>
        </w:rPr>
        <w:t>、细柄草</w:t>
      </w:r>
      <w:r>
        <w:rPr>
          <w:rFonts w:hint="default" w:ascii="Times New Roman" w:hAnsi="Times New Roman" w:eastAsia="宋体" w:cs="Times New Roman"/>
          <w:i/>
          <w:color w:val="auto"/>
          <w:spacing w:val="4"/>
          <w:szCs w:val="24"/>
          <w:shd w:val="clear" w:color="auto" w:fill="FFFFFF"/>
        </w:rPr>
        <w:t>Capillipedium parvifloru</w:t>
      </w:r>
      <w:r>
        <w:rPr>
          <w:rFonts w:hint="default" w:ascii="Times New Roman" w:hAnsi="Times New Roman" w:eastAsia="宋体" w:cs="Times New Roman"/>
          <w:color w:val="auto"/>
          <w:spacing w:val="4"/>
          <w:szCs w:val="24"/>
          <w:shd w:val="clear" w:color="auto" w:fill="FFFFFF"/>
        </w:rPr>
        <w:t>m</w:t>
      </w:r>
      <w:r>
        <w:rPr>
          <w:rFonts w:hint="default" w:ascii="Times New Roman" w:hAnsi="Times New Roman" w:eastAsia="宋体" w:cs="Times New Roman"/>
          <w:color w:val="auto"/>
          <w:spacing w:val="4"/>
          <w:szCs w:val="24"/>
        </w:rPr>
        <w:t>、紫茎泽兰</w:t>
      </w:r>
      <w:r>
        <w:rPr>
          <w:rFonts w:hint="default" w:ascii="Times New Roman" w:hAnsi="Times New Roman" w:eastAsia="宋体" w:cs="Times New Roman"/>
          <w:i/>
          <w:color w:val="auto"/>
          <w:spacing w:val="4"/>
          <w:szCs w:val="24"/>
          <w:shd w:val="clear" w:color="auto" w:fill="FFFFFF"/>
        </w:rPr>
        <w:t>Eupatorium adenophorum</w:t>
      </w:r>
      <w:r>
        <w:rPr>
          <w:rFonts w:hint="default" w:ascii="Times New Roman" w:hAnsi="Times New Roman" w:eastAsia="宋体" w:cs="Times New Roman"/>
          <w:color w:val="auto"/>
          <w:spacing w:val="4"/>
          <w:szCs w:val="24"/>
        </w:rPr>
        <w:t>、青葙</w:t>
      </w:r>
      <w:r>
        <w:rPr>
          <w:rFonts w:hint="default" w:ascii="Times New Roman" w:hAnsi="Times New Roman" w:eastAsia="宋体" w:cs="Times New Roman"/>
          <w:i/>
          <w:color w:val="auto"/>
          <w:spacing w:val="4"/>
          <w:szCs w:val="24"/>
          <w:shd w:val="clear" w:color="auto" w:fill="FFFFFF"/>
        </w:rPr>
        <w:t>Celosia argentea</w:t>
      </w:r>
      <w:r>
        <w:rPr>
          <w:rFonts w:hint="default" w:ascii="Times New Roman" w:hAnsi="Times New Roman" w:eastAsia="宋体" w:cs="Times New Roman"/>
          <w:color w:val="auto"/>
          <w:spacing w:val="4"/>
          <w:szCs w:val="24"/>
        </w:rPr>
        <w:t>、蒿</w:t>
      </w:r>
      <w:r>
        <w:rPr>
          <w:rFonts w:hint="default" w:ascii="Times New Roman" w:hAnsi="Times New Roman" w:eastAsia="宋体" w:cs="Times New Roman"/>
          <w:i/>
          <w:color w:val="auto"/>
          <w:spacing w:val="4"/>
          <w:szCs w:val="24"/>
          <w:shd w:val="clear" w:color="auto" w:fill="FFFFFF"/>
        </w:rPr>
        <w:t>Artemisia annua</w:t>
      </w:r>
      <w:r>
        <w:rPr>
          <w:rFonts w:hint="default" w:ascii="Times New Roman" w:hAnsi="Times New Roman" w:eastAsia="宋体" w:cs="Times New Roman"/>
          <w:color w:val="auto"/>
          <w:spacing w:val="4"/>
          <w:szCs w:val="24"/>
        </w:rPr>
        <w:t>、猪秧秧</w:t>
      </w:r>
      <w:r>
        <w:rPr>
          <w:rFonts w:hint="default" w:ascii="Times New Roman" w:hAnsi="Times New Roman" w:eastAsia="宋体" w:cs="Times New Roman"/>
          <w:i/>
          <w:color w:val="auto"/>
          <w:spacing w:val="4"/>
          <w:szCs w:val="24"/>
          <w:shd w:val="clear" w:color="auto" w:fill="FFFFFF"/>
        </w:rPr>
        <w:t>Galium aparine</w:t>
      </w:r>
      <w:r>
        <w:rPr>
          <w:rFonts w:hint="default" w:ascii="Times New Roman" w:hAnsi="Times New Roman" w:eastAsia="宋体" w:cs="Times New Roman"/>
          <w:color w:val="auto"/>
          <w:spacing w:val="4"/>
          <w:szCs w:val="24"/>
        </w:rPr>
        <w:t>、荩草</w:t>
      </w:r>
      <w:r>
        <w:rPr>
          <w:rFonts w:hint="default" w:ascii="Times New Roman" w:hAnsi="Times New Roman" w:eastAsia="宋体" w:cs="Times New Roman"/>
          <w:i/>
          <w:color w:val="auto"/>
          <w:spacing w:val="4"/>
          <w:szCs w:val="24"/>
          <w:shd w:val="clear" w:color="auto" w:fill="FFFFFF"/>
        </w:rPr>
        <w:t>Arthraxon hispidus</w:t>
      </w:r>
      <w:r>
        <w:rPr>
          <w:rFonts w:hint="default" w:ascii="Times New Roman" w:hAnsi="Times New Roman" w:eastAsia="宋体" w:cs="Times New Roman"/>
          <w:color w:val="auto"/>
          <w:spacing w:val="4"/>
          <w:szCs w:val="24"/>
        </w:rPr>
        <w:t>、云南翻白草</w:t>
      </w:r>
      <w:r>
        <w:rPr>
          <w:rFonts w:hint="default" w:ascii="Times New Roman" w:hAnsi="Times New Roman" w:eastAsia="宋体" w:cs="Times New Roman"/>
          <w:i/>
          <w:color w:val="auto"/>
          <w:spacing w:val="4"/>
          <w:szCs w:val="24"/>
          <w:shd w:val="clear" w:color="auto" w:fill="FFFFFF"/>
        </w:rPr>
        <w:t>Potentilla griffithii</w:t>
      </w:r>
      <w:r>
        <w:rPr>
          <w:rFonts w:hint="default" w:ascii="Times New Roman" w:hAnsi="Times New Roman" w:eastAsia="宋体" w:cs="Times New Roman"/>
          <w:color w:val="auto"/>
          <w:spacing w:val="4"/>
          <w:szCs w:val="24"/>
        </w:rPr>
        <w:t>、川续断</w:t>
      </w:r>
      <w:r>
        <w:rPr>
          <w:rFonts w:hint="default" w:ascii="Times New Roman" w:hAnsi="Times New Roman" w:eastAsia="宋体" w:cs="Times New Roman"/>
          <w:i/>
          <w:color w:val="auto"/>
          <w:spacing w:val="4"/>
          <w:szCs w:val="24"/>
          <w:shd w:val="clear" w:color="auto" w:fill="FFFFFF"/>
        </w:rPr>
        <w:t>Dipsacus asperoides</w:t>
      </w:r>
      <w:r>
        <w:rPr>
          <w:rFonts w:hint="default" w:ascii="Times New Roman" w:hAnsi="Times New Roman" w:eastAsia="宋体" w:cs="Times New Roman"/>
          <w:color w:val="auto"/>
          <w:spacing w:val="4"/>
          <w:szCs w:val="24"/>
        </w:rPr>
        <w:t>、旱茅</w:t>
      </w:r>
      <w:r>
        <w:rPr>
          <w:rFonts w:hint="default" w:ascii="Times New Roman" w:hAnsi="Times New Roman" w:eastAsia="宋体" w:cs="Times New Roman"/>
          <w:i/>
          <w:color w:val="auto"/>
          <w:spacing w:val="4"/>
          <w:szCs w:val="24"/>
          <w:shd w:val="clear" w:color="auto" w:fill="FFFFFF"/>
        </w:rPr>
        <w:t>Eramopogon delavayi</w:t>
      </w:r>
      <w:r>
        <w:rPr>
          <w:rFonts w:hint="default" w:ascii="Times New Roman" w:hAnsi="Times New Roman" w:eastAsia="宋体" w:cs="Times New Roman"/>
          <w:color w:val="auto"/>
          <w:spacing w:val="4"/>
          <w:szCs w:val="24"/>
        </w:rPr>
        <w:t>、扭黄茅</w:t>
      </w:r>
      <w:r>
        <w:rPr>
          <w:rFonts w:hint="default" w:ascii="Times New Roman" w:hAnsi="Times New Roman" w:eastAsia="宋体" w:cs="Times New Roman"/>
          <w:i/>
          <w:color w:val="auto"/>
          <w:spacing w:val="4"/>
          <w:szCs w:val="24"/>
          <w:shd w:val="clear" w:color="auto" w:fill="FFFFFF"/>
        </w:rPr>
        <w:t>Heteropogon contortus</w:t>
      </w:r>
      <w:r>
        <w:rPr>
          <w:rFonts w:hint="default" w:ascii="Times New Roman" w:hAnsi="Times New Roman" w:eastAsia="宋体" w:cs="Times New Roman"/>
          <w:color w:val="auto"/>
          <w:spacing w:val="4"/>
          <w:szCs w:val="24"/>
        </w:rPr>
        <w:t>、巴天酸模</w:t>
      </w:r>
      <w:r>
        <w:rPr>
          <w:rFonts w:hint="default" w:ascii="Times New Roman" w:hAnsi="Times New Roman" w:eastAsia="宋体" w:cs="Times New Roman"/>
          <w:i/>
          <w:color w:val="auto"/>
          <w:spacing w:val="4"/>
          <w:szCs w:val="24"/>
          <w:shd w:val="clear" w:color="auto" w:fill="FFFFFF"/>
        </w:rPr>
        <w:t>Rumex patientia</w:t>
      </w:r>
      <w:r>
        <w:rPr>
          <w:rFonts w:hint="default" w:ascii="Times New Roman" w:hAnsi="Times New Roman" w:eastAsia="宋体" w:cs="Times New Roman"/>
          <w:color w:val="auto"/>
          <w:spacing w:val="4"/>
          <w:szCs w:val="24"/>
        </w:rPr>
        <w:t>、珠光香青</w:t>
      </w:r>
      <w:r>
        <w:rPr>
          <w:rFonts w:hint="default" w:ascii="Times New Roman" w:hAnsi="Times New Roman" w:eastAsia="宋体" w:cs="Times New Roman"/>
          <w:i/>
          <w:color w:val="auto"/>
          <w:spacing w:val="4"/>
          <w:szCs w:val="24"/>
          <w:shd w:val="clear" w:color="auto" w:fill="FFFFFF"/>
        </w:rPr>
        <w:t>Anaphalis margaritacea</w:t>
      </w:r>
      <w:r>
        <w:rPr>
          <w:rFonts w:hint="default" w:ascii="Times New Roman" w:hAnsi="Times New Roman" w:eastAsia="宋体" w:cs="Times New Roman"/>
          <w:color w:val="auto"/>
          <w:spacing w:val="4"/>
          <w:szCs w:val="24"/>
        </w:rPr>
        <w:t> 、香薷</w:t>
      </w:r>
      <w:r>
        <w:rPr>
          <w:rFonts w:hint="default" w:ascii="Times New Roman" w:hAnsi="Times New Roman" w:eastAsia="宋体" w:cs="Times New Roman"/>
          <w:i/>
          <w:color w:val="auto"/>
          <w:spacing w:val="4"/>
          <w:szCs w:val="24"/>
          <w:shd w:val="clear" w:color="auto" w:fill="FFFFFF"/>
        </w:rPr>
        <w:t>Elsholtzia sotillei、</w:t>
      </w:r>
      <w:r>
        <w:rPr>
          <w:rFonts w:hint="default" w:ascii="Times New Roman" w:hAnsi="Times New Roman" w:eastAsia="宋体" w:cs="Times New Roman"/>
          <w:color w:val="auto"/>
          <w:spacing w:val="4"/>
          <w:szCs w:val="24"/>
        </w:rPr>
        <w:t>毛蕨菜</w:t>
      </w:r>
      <w:r>
        <w:rPr>
          <w:rFonts w:hint="default" w:ascii="Times New Roman" w:hAnsi="Times New Roman" w:eastAsia="宋体" w:cs="Times New Roman"/>
          <w:i/>
          <w:color w:val="auto"/>
          <w:spacing w:val="4"/>
          <w:szCs w:val="24"/>
        </w:rPr>
        <w:t>Pteridium revolutum</w:t>
      </w:r>
      <w:r>
        <w:rPr>
          <w:rFonts w:hint="default" w:ascii="Times New Roman" w:hAnsi="Times New Roman" w:eastAsia="宋体" w:cs="Times New Roman"/>
          <w:color w:val="auto"/>
          <w:spacing w:val="4"/>
          <w:szCs w:val="24"/>
        </w:rPr>
        <w:t>。</w:t>
      </w:r>
    </w:p>
    <w:p w14:paraId="11C5D119">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（3）暖性石灰岩灌丛</w:t>
      </w:r>
    </w:p>
    <w:p w14:paraId="6CF37416">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马桑、火棘、茅叶荩草群落</w:t>
      </w:r>
    </w:p>
    <w:p w14:paraId="6B67A24D">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该群落在云南省主要分布在滇东北石灰岩及玄武岩发育的山地。由于土壤基质为石灰岩，土壤偏酸性，且不保水，因此耐旱耐热的马桑等植物作为先锋树种占据生态位天然更新形成本群落。在本评价区内主要分布在石灰岩发育的石灰岩山地。</w:t>
      </w:r>
    </w:p>
    <w:p w14:paraId="01CA5844">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群落整体由灌木层和草本层组成。</w:t>
      </w:r>
    </w:p>
    <w:p w14:paraId="4AA8D895">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灌木层盖度约为30%，主要由</w:t>
      </w:r>
      <w:bookmarkStart w:id="222" w:name="_Hlk240467467"/>
      <w:r>
        <w:rPr>
          <w:rFonts w:hint="default" w:ascii="Times New Roman" w:hAnsi="Times New Roman" w:eastAsia="宋体" w:cs="Times New Roman"/>
          <w:color w:val="auto"/>
          <w:szCs w:val="24"/>
        </w:rPr>
        <w:t>马桑</w:t>
      </w:r>
      <w:r>
        <w:rPr>
          <w:rFonts w:hint="default" w:ascii="Times New Roman" w:hAnsi="Times New Roman" w:eastAsia="宋体" w:cs="Times New Roman"/>
          <w:i/>
          <w:iCs/>
          <w:color w:val="auto"/>
          <w:szCs w:val="24"/>
        </w:rPr>
        <w:t>Coriaria nepalensis</w:t>
      </w:r>
      <w:r>
        <w:rPr>
          <w:rFonts w:hint="default" w:ascii="Times New Roman" w:hAnsi="Times New Roman" w:eastAsia="宋体" w:cs="Times New Roman"/>
          <w:color w:val="auto"/>
          <w:szCs w:val="24"/>
        </w:rPr>
        <w:t>、</w:t>
      </w:r>
      <w:bookmarkStart w:id="223" w:name="_Hlk240725118"/>
      <w:r>
        <w:rPr>
          <w:rFonts w:hint="default" w:ascii="Times New Roman" w:hAnsi="Times New Roman" w:eastAsia="宋体" w:cs="Times New Roman"/>
          <w:color w:val="auto"/>
          <w:szCs w:val="24"/>
        </w:rPr>
        <w:t>火棘</w:t>
      </w:r>
      <w:r>
        <w:rPr>
          <w:rFonts w:hint="default" w:ascii="Times New Roman" w:hAnsi="Times New Roman" w:eastAsia="宋体" w:cs="Times New Roman"/>
          <w:i/>
          <w:iCs/>
          <w:color w:val="auto"/>
          <w:szCs w:val="24"/>
        </w:rPr>
        <w:t>Pyracantha fortuneana </w:t>
      </w:r>
      <w:r>
        <w:rPr>
          <w:rFonts w:hint="default" w:ascii="Times New Roman" w:hAnsi="Times New Roman" w:eastAsia="宋体" w:cs="Times New Roman"/>
          <w:color w:val="auto"/>
          <w:szCs w:val="24"/>
        </w:rPr>
        <w:t>、小铁仔</w:t>
      </w:r>
      <w:r>
        <w:rPr>
          <w:rFonts w:hint="default" w:ascii="Times New Roman" w:hAnsi="Times New Roman" w:eastAsia="宋体" w:cs="Times New Roman"/>
          <w:i/>
          <w:color w:val="auto"/>
          <w:szCs w:val="24"/>
        </w:rPr>
        <w:t>Myrsine africana</w:t>
      </w:r>
      <w:r>
        <w:rPr>
          <w:rFonts w:hint="default" w:ascii="Times New Roman" w:hAnsi="Times New Roman" w:eastAsia="宋体" w:cs="Times New Roman"/>
          <w:color w:val="auto"/>
          <w:szCs w:val="24"/>
        </w:rPr>
        <w:t>、黑面神</w:t>
      </w:r>
      <w:r>
        <w:rPr>
          <w:rFonts w:hint="default" w:ascii="Times New Roman" w:hAnsi="Times New Roman" w:eastAsia="宋体" w:cs="Times New Roman"/>
          <w:i/>
          <w:iCs/>
          <w:color w:val="auto"/>
          <w:szCs w:val="24"/>
        </w:rPr>
        <w:t>Breynia fruticosa</w:t>
      </w:r>
      <w:bookmarkEnd w:id="222"/>
      <w:r>
        <w:rPr>
          <w:rFonts w:hint="default" w:ascii="Times New Roman" w:hAnsi="Times New Roman" w:eastAsia="宋体" w:cs="Times New Roman"/>
          <w:color w:val="auto"/>
          <w:szCs w:val="24"/>
        </w:rPr>
        <w:t>、</w:t>
      </w:r>
      <w:bookmarkStart w:id="224" w:name="_Hlk240467548"/>
      <w:r>
        <w:rPr>
          <w:rFonts w:hint="default" w:ascii="Times New Roman" w:hAnsi="Times New Roman" w:eastAsia="宋体" w:cs="Times New Roman"/>
          <w:color w:val="auto"/>
          <w:szCs w:val="24"/>
        </w:rPr>
        <w:t>马棘</w:t>
      </w:r>
      <w:r>
        <w:rPr>
          <w:rFonts w:hint="default" w:ascii="Times New Roman" w:hAnsi="Times New Roman" w:eastAsia="宋体" w:cs="Times New Roman"/>
          <w:i/>
          <w:iCs/>
          <w:color w:val="auto"/>
          <w:szCs w:val="24"/>
        </w:rPr>
        <w:t>Indigofera bungeana</w:t>
      </w:r>
      <w:r>
        <w:rPr>
          <w:rFonts w:hint="default" w:ascii="Times New Roman" w:hAnsi="Times New Roman" w:eastAsia="宋体" w:cs="Times New Roman"/>
          <w:color w:val="auto"/>
          <w:szCs w:val="24"/>
        </w:rPr>
        <w:t> </w:t>
      </w:r>
      <w:bookmarkEnd w:id="224"/>
      <w:r>
        <w:rPr>
          <w:rFonts w:hint="default" w:ascii="Times New Roman" w:hAnsi="Times New Roman" w:eastAsia="宋体" w:cs="Times New Roman"/>
          <w:color w:val="auto"/>
          <w:szCs w:val="24"/>
        </w:rPr>
        <w:t>、金花小檗</w:t>
      </w:r>
      <w:r>
        <w:rPr>
          <w:rFonts w:hint="default" w:ascii="Times New Roman" w:hAnsi="Times New Roman" w:eastAsia="宋体" w:cs="Times New Roman"/>
          <w:i/>
          <w:iCs/>
          <w:color w:val="auto"/>
          <w:szCs w:val="24"/>
        </w:rPr>
        <w:t>Berberis wilsonae</w:t>
      </w:r>
      <w:r>
        <w:rPr>
          <w:rFonts w:hint="default" w:ascii="Times New Roman" w:hAnsi="Times New Roman" w:eastAsia="宋体" w:cs="Times New Roman"/>
          <w:color w:val="auto"/>
          <w:szCs w:val="24"/>
        </w:rPr>
        <w:t>、</w:t>
      </w:r>
      <w:bookmarkEnd w:id="223"/>
      <w:r>
        <w:rPr>
          <w:rFonts w:hint="default" w:ascii="Times New Roman" w:hAnsi="Times New Roman" w:eastAsia="宋体" w:cs="Times New Roman"/>
          <w:color w:val="auto"/>
          <w:szCs w:val="24"/>
        </w:rPr>
        <w:t>过山青</w:t>
      </w:r>
      <w:r>
        <w:rPr>
          <w:rFonts w:hint="default" w:ascii="Times New Roman" w:hAnsi="Times New Roman" w:eastAsia="宋体" w:cs="Times New Roman"/>
          <w:i/>
          <w:iCs/>
          <w:color w:val="auto"/>
          <w:szCs w:val="24"/>
        </w:rPr>
        <w:t>Reinwardtia indica</w:t>
      </w:r>
      <w:r>
        <w:rPr>
          <w:rFonts w:hint="default" w:ascii="Times New Roman" w:hAnsi="Times New Roman" w:eastAsia="宋体" w:cs="Times New Roman"/>
          <w:color w:val="auto"/>
          <w:szCs w:val="24"/>
        </w:rPr>
        <w:t>、滇朴</w:t>
      </w:r>
      <w:r>
        <w:rPr>
          <w:rFonts w:hint="default" w:ascii="Times New Roman" w:hAnsi="Times New Roman" w:eastAsia="宋体" w:cs="Times New Roman"/>
          <w:i/>
          <w:iCs/>
          <w:color w:val="auto"/>
          <w:szCs w:val="24"/>
        </w:rPr>
        <w:t>Celtis tetrandra</w:t>
      </w:r>
      <w:r>
        <w:rPr>
          <w:rFonts w:hint="default" w:ascii="Times New Roman" w:hAnsi="Times New Roman" w:eastAsia="宋体" w:cs="Times New Roman"/>
          <w:color w:val="auto"/>
          <w:szCs w:val="24"/>
        </w:rPr>
        <w:t>、密蒙花</w:t>
      </w:r>
      <w:r>
        <w:rPr>
          <w:rFonts w:hint="default" w:ascii="Times New Roman" w:hAnsi="Times New Roman" w:eastAsia="宋体" w:cs="Times New Roman"/>
          <w:i/>
          <w:iCs/>
          <w:color w:val="auto"/>
          <w:szCs w:val="24"/>
        </w:rPr>
        <w:t>Buddleja officinali</w:t>
      </w:r>
      <w:r>
        <w:rPr>
          <w:rFonts w:hint="default" w:ascii="Times New Roman" w:hAnsi="Times New Roman" w:eastAsia="宋体" w:cs="Times New Roman"/>
          <w:color w:val="auto"/>
          <w:szCs w:val="24"/>
        </w:rPr>
        <w:t>、苦刺花</w:t>
      </w:r>
      <w:r>
        <w:rPr>
          <w:rFonts w:hint="default" w:ascii="Times New Roman" w:hAnsi="Times New Roman" w:eastAsia="宋体" w:cs="Times New Roman"/>
          <w:i/>
          <w:color w:val="auto"/>
          <w:szCs w:val="24"/>
        </w:rPr>
        <w:t>Sophora viciifolia、</w:t>
      </w:r>
      <w:r>
        <w:rPr>
          <w:rFonts w:hint="default" w:ascii="Times New Roman" w:hAnsi="Times New Roman" w:eastAsia="宋体" w:cs="Times New Roman"/>
          <w:color w:val="auto"/>
          <w:szCs w:val="24"/>
        </w:rPr>
        <w:t>烟管荚蒾</w:t>
      </w:r>
      <w:r>
        <w:rPr>
          <w:rFonts w:hint="default" w:ascii="Times New Roman" w:hAnsi="Times New Roman" w:eastAsia="宋体" w:cs="Times New Roman"/>
          <w:i/>
          <w:color w:val="auto"/>
          <w:szCs w:val="24"/>
        </w:rPr>
        <w:t>Viburnum utile </w:t>
      </w:r>
      <w:r>
        <w:rPr>
          <w:rFonts w:hint="default" w:ascii="Times New Roman" w:hAnsi="Times New Roman" w:eastAsia="宋体" w:cs="Times New Roman"/>
          <w:color w:val="auto"/>
          <w:szCs w:val="24"/>
        </w:rPr>
        <w:t>、毡毛栒子</w:t>
      </w:r>
      <w:r>
        <w:rPr>
          <w:rFonts w:hint="default" w:ascii="Times New Roman" w:hAnsi="Times New Roman" w:eastAsia="宋体" w:cs="Times New Roman"/>
          <w:i/>
          <w:color w:val="auto"/>
          <w:szCs w:val="24"/>
        </w:rPr>
        <w:t>Cotoneaster pannosus</w:t>
      </w:r>
      <w:r>
        <w:rPr>
          <w:rFonts w:hint="default" w:ascii="Times New Roman" w:hAnsi="Times New Roman" w:eastAsia="宋体" w:cs="Times New Roman"/>
          <w:color w:val="auto"/>
          <w:szCs w:val="24"/>
        </w:rPr>
        <w:t> 等组成，层高约为2m。特别是临近道路周边，苦刺花成分逐渐增多。</w:t>
      </w:r>
    </w:p>
    <w:p w14:paraId="4A89A898">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kern w:val="0"/>
          <w:szCs w:val="24"/>
          <w:lang w:bidi="ar"/>
        </w:rPr>
      </w:pPr>
      <w:r>
        <w:rPr>
          <w:rFonts w:hint="default" w:ascii="Times New Roman" w:hAnsi="Times New Roman" w:eastAsia="宋体" w:cs="Times New Roman"/>
          <w:color w:val="auto"/>
          <w:szCs w:val="24"/>
        </w:rPr>
        <w:t>草本层层盖度约为25%，层高约为1.5m，主要可见茅叶荩草</w:t>
      </w:r>
      <w:r>
        <w:rPr>
          <w:rFonts w:hint="default" w:ascii="Times New Roman" w:hAnsi="Times New Roman" w:eastAsia="宋体" w:cs="Times New Roman"/>
          <w:i/>
          <w:iCs/>
          <w:color w:val="auto"/>
          <w:szCs w:val="24"/>
        </w:rPr>
        <w:t>Arthraxon prionodes</w:t>
      </w:r>
      <w:r>
        <w:rPr>
          <w:rFonts w:hint="default" w:ascii="Times New Roman" w:hAnsi="Times New Roman" w:eastAsia="宋体" w:cs="Times New Roman"/>
          <w:color w:val="auto"/>
          <w:szCs w:val="24"/>
        </w:rPr>
        <w:t>、毛蕨菜</w:t>
      </w:r>
      <w:r>
        <w:rPr>
          <w:rFonts w:hint="default" w:ascii="Times New Roman" w:hAnsi="Times New Roman" w:eastAsia="宋体" w:cs="Times New Roman"/>
          <w:i/>
          <w:iCs/>
          <w:color w:val="auto"/>
          <w:szCs w:val="24"/>
        </w:rPr>
        <w:t xml:space="preserve">Pteridium aquilinum </w:t>
      </w:r>
      <w:r>
        <w:rPr>
          <w:rFonts w:hint="default" w:ascii="Times New Roman" w:hAnsi="Times New Roman" w:eastAsia="宋体" w:cs="Times New Roman"/>
          <w:color w:val="auto"/>
          <w:szCs w:val="24"/>
        </w:rPr>
        <w:t xml:space="preserve">var. </w:t>
      </w:r>
      <w:r>
        <w:rPr>
          <w:rFonts w:hint="default" w:ascii="Times New Roman" w:hAnsi="Times New Roman" w:eastAsia="宋体" w:cs="Times New Roman"/>
          <w:i/>
          <w:iCs/>
          <w:color w:val="auto"/>
          <w:szCs w:val="24"/>
        </w:rPr>
        <w:t>latiusculum、</w:t>
      </w:r>
      <w:r>
        <w:rPr>
          <w:rFonts w:hint="default" w:ascii="Times New Roman" w:hAnsi="Times New Roman" w:eastAsia="宋体" w:cs="Times New Roman"/>
          <w:color w:val="auto"/>
          <w:szCs w:val="24"/>
        </w:rPr>
        <w:t>大叶竹叶草</w:t>
      </w:r>
      <w:r>
        <w:rPr>
          <w:rFonts w:hint="default" w:ascii="Times New Roman" w:hAnsi="Times New Roman" w:eastAsia="宋体" w:cs="Times New Roman"/>
          <w:i/>
          <w:iCs/>
          <w:color w:val="auto"/>
          <w:szCs w:val="24"/>
        </w:rPr>
        <w:t>Oplismenus compositus</w:t>
      </w:r>
      <w:r>
        <w:rPr>
          <w:rFonts w:hint="default" w:ascii="Times New Roman" w:hAnsi="Times New Roman" w:eastAsia="宋体" w:cs="Times New Roman"/>
          <w:color w:val="auto"/>
          <w:szCs w:val="24"/>
        </w:rPr>
        <w:t>、白茅</w:t>
      </w:r>
      <w:r>
        <w:rPr>
          <w:rFonts w:hint="default" w:ascii="Times New Roman" w:hAnsi="Times New Roman" w:eastAsia="宋体" w:cs="Times New Roman"/>
          <w:i/>
          <w:iCs/>
          <w:color w:val="auto"/>
          <w:szCs w:val="24"/>
        </w:rPr>
        <w:t>Imperata cylindrica</w:t>
      </w:r>
      <w:r>
        <w:rPr>
          <w:rFonts w:hint="default" w:ascii="Times New Roman" w:hAnsi="Times New Roman" w:eastAsia="宋体" w:cs="Times New Roman"/>
          <w:color w:val="auto"/>
          <w:szCs w:val="24"/>
        </w:rPr>
        <w:t>、五节芒</w:t>
      </w:r>
      <w:r>
        <w:rPr>
          <w:rFonts w:hint="default" w:ascii="Times New Roman" w:hAnsi="Times New Roman" w:eastAsia="宋体" w:cs="Times New Roman"/>
          <w:i/>
          <w:iCs/>
          <w:color w:val="auto"/>
          <w:szCs w:val="24"/>
        </w:rPr>
        <w:t>Miscanthus floridulus</w:t>
      </w:r>
      <w:r>
        <w:rPr>
          <w:rFonts w:hint="default" w:ascii="Times New Roman" w:hAnsi="Times New Roman" w:eastAsia="宋体" w:cs="Times New Roman"/>
          <w:color w:val="auto"/>
          <w:szCs w:val="24"/>
        </w:rPr>
        <w:t>、小菅草</w:t>
      </w:r>
      <w:r>
        <w:rPr>
          <w:rFonts w:hint="default" w:ascii="Times New Roman" w:hAnsi="Times New Roman" w:eastAsia="宋体" w:cs="Times New Roman"/>
          <w:i/>
          <w:iCs/>
          <w:color w:val="auto"/>
          <w:szCs w:val="24"/>
        </w:rPr>
        <w:t>Themeda minor</w:t>
      </w:r>
      <w:r>
        <w:rPr>
          <w:rFonts w:hint="default" w:ascii="Times New Roman" w:hAnsi="Times New Roman" w:eastAsia="宋体" w:cs="Times New Roman"/>
          <w:color w:val="auto"/>
          <w:szCs w:val="24"/>
        </w:rPr>
        <w:t>、戟叶酸模</w:t>
      </w:r>
      <w:r>
        <w:rPr>
          <w:rFonts w:hint="default" w:ascii="Times New Roman" w:hAnsi="Times New Roman" w:eastAsia="宋体" w:cs="Times New Roman"/>
          <w:i/>
          <w:iCs/>
          <w:color w:val="auto"/>
          <w:szCs w:val="24"/>
        </w:rPr>
        <w:t>Rumex hastatus</w:t>
      </w:r>
      <w:r>
        <w:rPr>
          <w:rFonts w:hint="eastAsia" w:ascii="Times New Roman" w:hAnsi="Times New Roman" w:eastAsia="宋体" w:cs="Times New Roman"/>
          <w:i/>
          <w:iCs/>
          <w:color w:val="auto"/>
          <w:szCs w:val="24"/>
          <w:lang w:eastAsia="zh-CN"/>
        </w:rPr>
        <w:t>、</w:t>
      </w:r>
      <w:r>
        <w:rPr>
          <w:rFonts w:hint="default" w:ascii="Times New Roman" w:hAnsi="Times New Roman" w:eastAsia="宋体" w:cs="Times New Roman"/>
          <w:color w:val="auto"/>
          <w:szCs w:val="24"/>
        </w:rPr>
        <w:t>黄茅</w:t>
      </w:r>
      <w:r>
        <w:rPr>
          <w:rFonts w:hint="default" w:ascii="Times New Roman" w:hAnsi="Times New Roman" w:eastAsia="宋体" w:cs="Times New Roman"/>
          <w:i/>
          <w:color w:val="auto"/>
          <w:szCs w:val="24"/>
        </w:rPr>
        <w:t>Heteropogon contortus</w:t>
      </w:r>
      <w:r>
        <w:rPr>
          <w:rFonts w:hint="default" w:ascii="Times New Roman" w:hAnsi="Times New Roman" w:eastAsia="宋体" w:cs="Times New Roman"/>
          <w:color w:val="auto"/>
          <w:szCs w:val="24"/>
        </w:rPr>
        <w:t>、旱茅</w:t>
      </w:r>
      <w:r>
        <w:rPr>
          <w:rFonts w:hint="default" w:ascii="Times New Roman" w:hAnsi="Times New Roman" w:eastAsia="宋体" w:cs="Times New Roman"/>
          <w:i/>
          <w:color w:val="auto"/>
          <w:szCs w:val="24"/>
        </w:rPr>
        <w:t>Schizachyrium delavayi</w:t>
      </w:r>
      <w:r>
        <w:rPr>
          <w:rFonts w:hint="default" w:ascii="Times New Roman" w:hAnsi="Times New Roman" w:eastAsia="宋体" w:cs="Times New Roman"/>
          <w:color w:val="auto"/>
          <w:szCs w:val="24"/>
        </w:rPr>
        <w:t>、三花兔儿风</w:t>
      </w:r>
      <w:r>
        <w:rPr>
          <w:rFonts w:hint="default" w:ascii="Times New Roman" w:hAnsi="Times New Roman" w:eastAsia="宋体" w:cs="Times New Roman"/>
          <w:i/>
          <w:color w:val="auto"/>
          <w:szCs w:val="24"/>
        </w:rPr>
        <w:t>Ainsliaea latifolia</w:t>
      </w:r>
      <w:r>
        <w:rPr>
          <w:rFonts w:hint="default" w:ascii="Times New Roman" w:hAnsi="Times New Roman" w:eastAsia="宋体" w:cs="Times New Roman"/>
          <w:color w:val="auto"/>
          <w:szCs w:val="24"/>
        </w:rPr>
        <w:t>、唐松草</w:t>
      </w:r>
      <w:r>
        <w:rPr>
          <w:rFonts w:hint="default" w:ascii="Times New Roman" w:hAnsi="Times New Roman" w:eastAsia="宋体" w:cs="Times New Roman"/>
          <w:i/>
          <w:color w:val="auto"/>
          <w:szCs w:val="24"/>
        </w:rPr>
        <w:t>Thalictrum aquilegiifolium</w:t>
      </w:r>
      <w:r>
        <w:rPr>
          <w:rFonts w:hint="default" w:ascii="Times New Roman" w:hAnsi="Times New Roman" w:eastAsia="宋体" w:cs="Times New Roman"/>
          <w:color w:val="auto"/>
          <w:szCs w:val="24"/>
        </w:rPr>
        <w:t>等。</w:t>
      </w:r>
    </w:p>
    <w:p w14:paraId="347E0CC2">
      <w:pPr>
        <w:pStyle w:val="6"/>
        <w:adjustRightInd w:val="0"/>
        <w:snapToGrid w:val="0"/>
        <w:spacing w:line="440" w:lineRule="exact"/>
        <w:ind w:firstLine="482" w:firstLineChars="200"/>
        <w:rPr>
          <w:rFonts w:hint="default" w:ascii="Times New Roman" w:hAnsi="Times New Roman" w:cs="Times New Roman"/>
          <w:color w:val="auto"/>
        </w:rPr>
      </w:pPr>
      <w:r>
        <w:rPr>
          <w:rFonts w:hint="default" w:ascii="Times New Roman" w:hAnsi="Times New Roman" w:cs="Times New Roman"/>
          <w:color w:val="auto"/>
        </w:rPr>
        <w:t>2.3.3.2人工植被</w:t>
      </w:r>
    </w:p>
    <w:p w14:paraId="62BC3788">
      <w:pPr>
        <w:keepNext w:val="0"/>
        <w:keepLines w:val="0"/>
        <w:pageBreakBefore w:val="0"/>
        <w:widowControl w:val="0"/>
        <w:kinsoku/>
        <w:wordWrap/>
        <w:overflowPunct/>
        <w:topLinePunct w:val="0"/>
        <w:autoSpaceDE/>
        <w:autoSpaceDN/>
        <w:bidi w:val="0"/>
        <w:adjustRightInd w:val="0"/>
        <w:snapToGrid w:val="0"/>
        <w:spacing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（1）耕地</w:t>
      </w:r>
    </w:p>
    <w:p w14:paraId="69AB3A10">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b/>
          <w:color w:val="auto"/>
          <w:szCs w:val="24"/>
        </w:rPr>
      </w:pPr>
      <w:r>
        <w:rPr>
          <w:rFonts w:hint="default" w:ascii="Times New Roman" w:hAnsi="Times New Roman" w:eastAsia="宋体" w:cs="Times New Roman"/>
          <w:color w:val="auto"/>
          <w:szCs w:val="24"/>
        </w:rPr>
        <w:t>评价区内的耕地包括旱地和水田，分布广泛。水田多分布于评价区海拔较低地区，主要种植水稻</w:t>
      </w:r>
      <w:r>
        <w:rPr>
          <w:rFonts w:hint="default" w:ascii="Times New Roman" w:hAnsi="Times New Roman" w:eastAsia="宋体" w:cs="Times New Roman"/>
          <w:bCs/>
          <w:i/>
          <w:color w:val="auto"/>
          <w:szCs w:val="24"/>
        </w:rPr>
        <w:t>Oryza sativa</w:t>
      </w:r>
      <w:r>
        <w:rPr>
          <w:rFonts w:hint="default" w:ascii="Times New Roman" w:hAnsi="Times New Roman" w:eastAsia="宋体" w:cs="Times New Roman"/>
          <w:color w:val="auto"/>
          <w:szCs w:val="24"/>
        </w:rPr>
        <w:t>。旱地是评价区内分布最广的人工植被类型，主要种植玉米</w:t>
      </w:r>
      <w:r>
        <w:rPr>
          <w:rFonts w:hint="default" w:ascii="Times New Roman" w:hAnsi="Times New Roman" w:eastAsia="宋体" w:cs="Times New Roman"/>
          <w:bCs/>
          <w:i/>
          <w:color w:val="auto"/>
          <w:szCs w:val="24"/>
        </w:rPr>
        <w:t>Zea</w:t>
      </w:r>
      <w:r>
        <w:rPr>
          <w:rFonts w:hint="default" w:ascii="Times New Roman" w:hAnsi="Times New Roman" w:eastAsia="宋体" w:cs="Times New Roman"/>
          <w:bCs/>
          <w:color w:val="auto"/>
          <w:szCs w:val="24"/>
        </w:rPr>
        <w:t xml:space="preserve"> </w:t>
      </w:r>
      <w:r>
        <w:rPr>
          <w:rFonts w:hint="default" w:ascii="Times New Roman" w:hAnsi="Times New Roman" w:eastAsia="宋体" w:cs="Times New Roman"/>
          <w:bCs/>
          <w:i/>
          <w:color w:val="auto"/>
          <w:szCs w:val="24"/>
        </w:rPr>
        <w:t>mays</w:t>
      </w:r>
      <w:r>
        <w:rPr>
          <w:rFonts w:hint="default" w:ascii="Times New Roman" w:hAnsi="Times New Roman" w:eastAsia="宋体" w:cs="Times New Roman"/>
          <w:bCs/>
          <w:color w:val="auto"/>
          <w:szCs w:val="24"/>
        </w:rPr>
        <w:t>、阳芋</w:t>
      </w:r>
      <w:r>
        <w:rPr>
          <w:rFonts w:hint="default" w:ascii="Times New Roman" w:hAnsi="Times New Roman" w:eastAsia="宋体" w:cs="Times New Roman"/>
          <w:bCs/>
          <w:i/>
          <w:color w:val="auto"/>
          <w:szCs w:val="24"/>
        </w:rPr>
        <w:t>Solanum tuberosum</w:t>
      </w:r>
      <w:r>
        <w:rPr>
          <w:rFonts w:hint="default" w:ascii="Times New Roman" w:hAnsi="Times New Roman" w:eastAsia="宋体" w:cs="Times New Roman"/>
          <w:bCs/>
          <w:color w:val="auto"/>
          <w:szCs w:val="24"/>
        </w:rPr>
        <w:t>等</w:t>
      </w:r>
      <w:r>
        <w:rPr>
          <w:rFonts w:hint="default" w:ascii="Times New Roman" w:hAnsi="Times New Roman" w:eastAsia="宋体" w:cs="Times New Roman"/>
          <w:color w:val="auto"/>
          <w:szCs w:val="24"/>
        </w:rPr>
        <w:t>。</w:t>
      </w:r>
    </w:p>
    <w:p w14:paraId="68DF79F6">
      <w:pPr>
        <w:keepNext w:val="0"/>
        <w:keepLines w:val="0"/>
        <w:pageBreakBefore w:val="0"/>
        <w:widowControl w:val="0"/>
        <w:kinsoku/>
        <w:wordWrap/>
        <w:overflowPunct/>
        <w:topLinePunct w:val="0"/>
        <w:autoSpaceDE/>
        <w:autoSpaceDN/>
        <w:bidi w:val="0"/>
        <w:adjustRightInd w:val="0"/>
        <w:snapToGrid w:val="0"/>
        <w:spacing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（2）人工林</w:t>
      </w:r>
    </w:p>
    <w:p w14:paraId="6056BFC3">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评价区内分布有少量的人工林，包括云南松、华山松、柳杉</w:t>
      </w:r>
      <w:r>
        <w:rPr>
          <w:rFonts w:hint="default" w:ascii="Times New Roman" w:hAnsi="Times New Roman" w:eastAsia="宋体" w:cs="Times New Roman"/>
          <w:i/>
          <w:color w:val="auto"/>
          <w:szCs w:val="24"/>
        </w:rPr>
        <w:t>Cryptomeria fortunei </w:t>
      </w:r>
      <w:r>
        <w:rPr>
          <w:rFonts w:hint="default" w:ascii="Times New Roman" w:hAnsi="Times New Roman" w:eastAsia="宋体" w:cs="Times New Roman"/>
          <w:color w:val="auto"/>
          <w:szCs w:val="24"/>
        </w:rPr>
        <w:t>、杉木</w:t>
      </w:r>
      <w:r>
        <w:rPr>
          <w:rFonts w:hint="default" w:ascii="Times New Roman" w:hAnsi="Times New Roman" w:eastAsia="宋体" w:cs="Times New Roman"/>
          <w:i/>
          <w:color w:val="auto"/>
          <w:szCs w:val="24"/>
        </w:rPr>
        <w:t>Cunninghamia lanceolata</w:t>
      </w:r>
      <w:r>
        <w:rPr>
          <w:rFonts w:hint="default" w:ascii="Times New Roman" w:hAnsi="Times New Roman" w:eastAsia="宋体" w:cs="Times New Roman"/>
          <w:iCs/>
          <w:color w:val="auto"/>
          <w:szCs w:val="24"/>
        </w:rPr>
        <w:t>等</w:t>
      </w:r>
      <w:r>
        <w:rPr>
          <w:rFonts w:hint="default" w:ascii="Times New Roman" w:hAnsi="Times New Roman" w:eastAsia="宋体" w:cs="Times New Roman"/>
          <w:color w:val="auto"/>
          <w:szCs w:val="24"/>
        </w:rPr>
        <w:t>。</w:t>
      </w:r>
    </w:p>
    <w:p w14:paraId="7B077D2B">
      <w:pPr>
        <w:adjustRightInd w:val="0"/>
        <w:snapToGrid w:val="0"/>
        <w:spacing w:after="0" w:line="440" w:lineRule="exact"/>
        <w:ind w:firstLine="482"/>
        <w:outlineLvl w:val="2"/>
        <w:rPr>
          <w:rFonts w:hint="default" w:ascii="Times New Roman" w:hAnsi="Times New Roman" w:eastAsia="宋体" w:cs="Times New Roman"/>
          <w:color w:val="auto"/>
          <w:szCs w:val="24"/>
        </w:rPr>
      </w:pPr>
      <w:r>
        <w:rPr>
          <w:rFonts w:hint="default" w:ascii="Times New Roman" w:hAnsi="Times New Roman" w:eastAsia="宋体" w:cs="Times New Roman"/>
          <w:b/>
          <w:bCs/>
          <w:color w:val="auto"/>
          <w:szCs w:val="24"/>
        </w:rPr>
        <w:t>2.3.4 植被分布规律</w:t>
      </w:r>
    </w:p>
    <w:p w14:paraId="6959D8F3">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评价区在植被区划上属滇中、滇东高原半湿润常绿阔叶林、云南松林区，滇东北高原、中山云南松林羊草草甸亚区，本亚区暖温性针叶林植被发达，零星有落叶阔叶林残存分布。评价区的植被特点是裸子植物种类很少，但是分布面积最大，是云南松林为主；由于长期人为破坏，原生的落叶阔叶林几乎绝迹，现有大面积的暖温性针叶林大都是常绿阔叶林破坏后，自然萌生或飞播发育起来的次生性植被，主要树种为云南松，间有尼泊尔桤木等混生；半湿润常绿阔叶林、暖温性针叶林长期受到人为破坏形成稳定的灌丛及稀树灌木草丛植被；荒山坡地以刺芒野古草以及多种禾草组成，和以火棘、野棠梨、胡颓子、马桑、小檗等组成的有刺灌丛。</w:t>
      </w:r>
    </w:p>
    <w:p w14:paraId="36E4C5B5">
      <w:pPr>
        <w:numPr>
          <w:ilvl w:val="2"/>
          <w:numId w:val="0"/>
        </w:numPr>
        <w:adjustRightInd w:val="0"/>
        <w:snapToGrid w:val="0"/>
        <w:spacing w:line="440" w:lineRule="exact"/>
        <w:ind w:firstLine="420" w:firstLineChars="200"/>
        <w:rPr>
          <w:rFonts w:hint="default" w:ascii="Times New Roman" w:hAnsi="Times New Roman" w:cs="Times New Roman"/>
          <w:color w:val="auto"/>
        </w:rPr>
      </w:pPr>
      <w:r>
        <w:rPr>
          <w:rFonts w:hint="default" w:ascii="Times New Roman" w:hAnsi="Times New Roman" w:eastAsia="宋体" w:cs="Times New Roman"/>
          <w:color w:val="auto"/>
          <w:szCs w:val="24"/>
        </w:rPr>
        <w:t>评价区地势起伏不大，植被的垂直分异不是很明显，而土壤基质条件对植被分布的制约作用突出，在泥灰岩、砂页岩基质上，土层为深厚的赤红壤，土壤保水能力较强，或在红土层深厚的溶蚀洼地内部，以尼泊尔桤木为标志的落叶阔叶林有零星残存；在山地土壤条件较好的地段，有华山松林和云南松林的分布。</w:t>
      </w:r>
    </w:p>
    <w:p w14:paraId="01818C05">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25" w:name="_Toc25839"/>
      <w:r>
        <w:rPr>
          <w:rFonts w:hint="default" w:ascii="Times New Roman" w:hAnsi="Times New Roman" w:cs="Times New Roman"/>
          <w:color w:val="auto"/>
          <w:sz w:val="24"/>
          <w:szCs w:val="24"/>
        </w:rPr>
        <w:t>2.3.5植被类型面积统计</w:t>
      </w:r>
      <w:bookmarkEnd w:id="225"/>
    </w:p>
    <w:p w14:paraId="61E5586F">
      <w:pPr>
        <w:adjustRightInd w:val="0"/>
        <w:snapToGrid w:val="0"/>
        <w:spacing w:after="0" w:line="440" w:lineRule="exact"/>
        <w:ind w:firstLine="480"/>
        <w:jc w:val="left"/>
        <w:rPr>
          <w:rFonts w:hint="default" w:ascii="Times New Roman" w:hAnsi="Times New Roman" w:eastAsia="宋体" w:cs="Times New Roman"/>
          <w:color w:val="auto"/>
          <w:kern w:val="0"/>
          <w:szCs w:val="24"/>
        </w:rPr>
      </w:pPr>
      <w:r>
        <w:rPr>
          <w:rFonts w:hint="default" w:ascii="Times New Roman" w:hAnsi="Times New Roman" w:eastAsia="宋体" w:cs="Times New Roman"/>
          <w:color w:val="auto"/>
          <w:kern w:val="0"/>
          <w:szCs w:val="24"/>
        </w:rPr>
        <w:t>项目评价区总面积1072.183hm²。在评价区内，人工植被面积231.538hm²，自然植被面积798.777hm²。自然植被中以暖温性针叶林面积最大为427.240h</w:t>
      </w:r>
      <w:r>
        <w:rPr>
          <w:rFonts w:hint="default" w:ascii="Times New Roman" w:hAnsi="Times New Roman" w:eastAsia="黑体" w:cs="Times New Roman"/>
          <w:color w:val="auto"/>
          <w:kern w:val="0"/>
          <w:szCs w:val="24"/>
        </w:rPr>
        <w:t>m</w:t>
      </w:r>
      <w:r>
        <w:rPr>
          <w:rFonts w:hint="default" w:ascii="Times New Roman" w:hAnsi="Times New Roman" w:eastAsia="黑体" w:cs="Times New Roman"/>
          <w:color w:val="auto"/>
          <w:kern w:val="0"/>
          <w:szCs w:val="24"/>
          <w:vertAlign w:val="superscript"/>
        </w:rPr>
        <w:t>2</w:t>
      </w:r>
      <w:r>
        <w:rPr>
          <w:rFonts w:hint="default" w:ascii="Times New Roman" w:hAnsi="Times New Roman" w:eastAsia="宋体" w:cs="Times New Roman"/>
          <w:color w:val="auto"/>
          <w:kern w:val="0"/>
          <w:szCs w:val="24"/>
        </w:rPr>
        <w:t>，占评价区总面积的39.85%。</w:t>
      </w:r>
    </w:p>
    <w:p w14:paraId="367E7224">
      <w:pPr>
        <w:tabs>
          <w:tab w:val="left" w:pos="3260"/>
          <w:tab w:val="center" w:pos="4917"/>
        </w:tabs>
        <w:adjustRightInd w:val="0"/>
        <w:snapToGrid w:val="0"/>
        <w:spacing w:after="0" w:line="240" w:lineRule="auto"/>
        <w:ind w:firstLine="482" w:firstLineChars="0"/>
        <w:jc w:val="center"/>
        <w:rPr>
          <w:rFonts w:hint="default" w:ascii="Times New Roman" w:hAnsi="Times New Roman" w:cs="Times New Roman"/>
          <w:b/>
          <w:color w:val="auto"/>
          <w:szCs w:val="24"/>
        </w:rPr>
      </w:pPr>
      <w:r>
        <w:rPr>
          <w:rFonts w:hint="default" w:ascii="Times New Roman" w:hAnsi="Times New Roman" w:cs="Times New Roman"/>
          <w:b/>
          <w:color w:val="auto"/>
          <w:szCs w:val="24"/>
        </w:rPr>
        <w:t>表2.3-</w:t>
      </w:r>
      <w:r>
        <w:rPr>
          <w:rFonts w:hint="eastAsia" w:ascii="Times New Roman" w:hAnsi="Times New Roman" w:cs="Times New Roman"/>
          <w:b/>
          <w:color w:val="auto"/>
          <w:szCs w:val="24"/>
          <w:lang w:val="en-US" w:eastAsia="zh-CN"/>
        </w:rPr>
        <w:t>4</w:t>
      </w:r>
      <w:r>
        <w:rPr>
          <w:rFonts w:hint="default" w:ascii="Times New Roman" w:hAnsi="Times New Roman" w:cs="Times New Roman"/>
          <w:b/>
          <w:color w:val="auto"/>
          <w:szCs w:val="24"/>
        </w:rPr>
        <w:t xml:space="preserve">  评价区植被面积统计表</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6"/>
        <w:gridCol w:w="696"/>
        <w:gridCol w:w="1066"/>
        <w:gridCol w:w="1166"/>
        <w:gridCol w:w="1386"/>
        <w:gridCol w:w="1457"/>
        <w:gridCol w:w="1482"/>
      </w:tblGrid>
      <w:tr w14:paraId="3A2EA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60" w:type="pct"/>
            <w:gridSpan w:val="2"/>
            <w:shd w:val="clear" w:color="auto" w:fill="auto"/>
            <w:noWrap/>
            <w:vAlign w:val="center"/>
          </w:tcPr>
          <w:p w14:paraId="2BEDAFE3">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植被类型</w:t>
            </w:r>
          </w:p>
        </w:tc>
        <w:tc>
          <w:tcPr>
            <w:tcW w:w="634" w:type="pct"/>
            <w:shd w:val="clear" w:color="auto" w:fill="auto"/>
            <w:vAlign w:val="center"/>
          </w:tcPr>
          <w:p w14:paraId="58816504">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植被型</w:t>
            </w:r>
          </w:p>
        </w:tc>
        <w:tc>
          <w:tcPr>
            <w:tcW w:w="693" w:type="pct"/>
            <w:shd w:val="clear" w:color="auto" w:fill="auto"/>
            <w:vAlign w:val="center"/>
          </w:tcPr>
          <w:p w14:paraId="770D2437">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植被亚型</w:t>
            </w:r>
          </w:p>
        </w:tc>
        <w:tc>
          <w:tcPr>
            <w:tcW w:w="821" w:type="pct"/>
            <w:shd w:val="clear" w:color="auto" w:fill="auto"/>
            <w:vAlign w:val="center"/>
          </w:tcPr>
          <w:p w14:paraId="4E33430C">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植被群系</w:t>
            </w:r>
          </w:p>
        </w:tc>
        <w:tc>
          <w:tcPr>
            <w:tcW w:w="844" w:type="pct"/>
            <w:shd w:val="clear" w:color="auto" w:fill="auto"/>
            <w:noWrap/>
            <w:vAlign w:val="center"/>
          </w:tcPr>
          <w:p w14:paraId="1FA000F2">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面积（hm2）</w:t>
            </w:r>
          </w:p>
        </w:tc>
        <w:tc>
          <w:tcPr>
            <w:tcW w:w="845" w:type="pct"/>
            <w:shd w:val="clear" w:color="auto" w:fill="auto"/>
            <w:noWrap/>
            <w:vAlign w:val="center"/>
          </w:tcPr>
          <w:p w14:paraId="585118BB">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百分比（%）</w:t>
            </w:r>
          </w:p>
        </w:tc>
      </w:tr>
      <w:tr w14:paraId="0275C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pct"/>
            <w:vMerge w:val="restart"/>
            <w:shd w:val="clear" w:color="auto" w:fill="auto"/>
            <w:noWrap/>
            <w:vAlign w:val="center"/>
          </w:tcPr>
          <w:p w14:paraId="2C0DAFBC">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陆生植被</w:t>
            </w:r>
          </w:p>
        </w:tc>
        <w:tc>
          <w:tcPr>
            <w:tcW w:w="417" w:type="pct"/>
            <w:vMerge w:val="restart"/>
            <w:shd w:val="clear" w:color="auto" w:fill="auto"/>
            <w:vAlign w:val="center"/>
          </w:tcPr>
          <w:p w14:paraId="241B9AC9">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自然植被</w:t>
            </w:r>
          </w:p>
        </w:tc>
        <w:tc>
          <w:tcPr>
            <w:tcW w:w="634" w:type="pct"/>
            <w:shd w:val="clear" w:color="auto" w:fill="auto"/>
            <w:vAlign w:val="center"/>
          </w:tcPr>
          <w:p w14:paraId="520DE28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暖性针叶林</w:t>
            </w:r>
          </w:p>
        </w:tc>
        <w:tc>
          <w:tcPr>
            <w:tcW w:w="693" w:type="pct"/>
            <w:shd w:val="clear" w:color="auto" w:fill="auto"/>
            <w:vAlign w:val="center"/>
          </w:tcPr>
          <w:p w14:paraId="79B8B9F2">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暖温性针叶林</w:t>
            </w:r>
          </w:p>
        </w:tc>
        <w:tc>
          <w:tcPr>
            <w:tcW w:w="821" w:type="pct"/>
            <w:shd w:val="clear" w:color="auto" w:fill="auto"/>
            <w:vAlign w:val="center"/>
          </w:tcPr>
          <w:p w14:paraId="3EC275BF">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云南松林</w:t>
            </w:r>
          </w:p>
        </w:tc>
        <w:tc>
          <w:tcPr>
            <w:tcW w:w="844" w:type="pct"/>
            <w:shd w:val="clear" w:color="auto" w:fill="auto"/>
            <w:noWrap/>
            <w:vAlign w:val="center"/>
          </w:tcPr>
          <w:p w14:paraId="452BEB8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427.240 </w:t>
            </w:r>
          </w:p>
        </w:tc>
        <w:tc>
          <w:tcPr>
            <w:tcW w:w="845" w:type="pct"/>
            <w:shd w:val="clear" w:color="auto" w:fill="auto"/>
            <w:noWrap/>
            <w:vAlign w:val="center"/>
          </w:tcPr>
          <w:p w14:paraId="40F7EE17">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39.85 </w:t>
            </w:r>
          </w:p>
        </w:tc>
      </w:tr>
      <w:tr w14:paraId="51F4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pct"/>
            <w:vMerge w:val="continue"/>
            <w:shd w:val="clear" w:color="auto" w:fill="auto"/>
            <w:noWrap/>
            <w:vAlign w:val="center"/>
          </w:tcPr>
          <w:p w14:paraId="7AE706FD">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417" w:type="pct"/>
            <w:vMerge w:val="continue"/>
            <w:shd w:val="clear" w:color="auto" w:fill="auto"/>
            <w:vAlign w:val="center"/>
          </w:tcPr>
          <w:p w14:paraId="0C0409BB">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634" w:type="pct"/>
            <w:shd w:val="clear" w:color="auto" w:fill="auto"/>
            <w:vAlign w:val="center"/>
          </w:tcPr>
          <w:p w14:paraId="11F6120B">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灌丛</w:t>
            </w:r>
          </w:p>
        </w:tc>
        <w:tc>
          <w:tcPr>
            <w:tcW w:w="693" w:type="pct"/>
            <w:shd w:val="clear" w:color="auto" w:fill="auto"/>
            <w:vAlign w:val="center"/>
          </w:tcPr>
          <w:p w14:paraId="281EF1EF">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暖性石灰岩灌丛</w:t>
            </w:r>
          </w:p>
        </w:tc>
        <w:tc>
          <w:tcPr>
            <w:tcW w:w="821" w:type="pct"/>
            <w:shd w:val="clear" w:color="auto" w:fill="auto"/>
            <w:vAlign w:val="center"/>
          </w:tcPr>
          <w:p w14:paraId="463431AB">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马桑灌丛</w:t>
            </w:r>
          </w:p>
        </w:tc>
        <w:tc>
          <w:tcPr>
            <w:tcW w:w="844" w:type="pct"/>
            <w:shd w:val="clear" w:color="auto" w:fill="auto"/>
            <w:noWrap/>
            <w:vAlign w:val="center"/>
          </w:tcPr>
          <w:p w14:paraId="5B6250C6">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202.331 </w:t>
            </w:r>
          </w:p>
        </w:tc>
        <w:tc>
          <w:tcPr>
            <w:tcW w:w="845" w:type="pct"/>
            <w:shd w:val="clear" w:color="auto" w:fill="auto"/>
            <w:noWrap/>
            <w:vAlign w:val="center"/>
          </w:tcPr>
          <w:p w14:paraId="65C1AC18">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18.87 </w:t>
            </w:r>
          </w:p>
        </w:tc>
      </w:tr>
      <w:tr w14:paraId="2CAA3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pct"/>
            <w:vMerge w:val="continue"/>
            <w:shd w:val="clear" w:color="auto" w:fill="auto"/>
            <w:noWrap/>
            <w:vAlign w:val="center"/>
          </w:tcPr>
          <w:p w14:paraId="1B57D8F8">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417" w:type="pct"/>
            <w:vMerge w:val="continue"/>
            <w:shd w:val="clear" w:color="auto" w:fill="auto"/>
            <w:vAlign w:val="center"/>
          </w:tcPr>
          <w:p w14:paraId="142B6CE0">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634" w:type="pct"/>
            <w:shd w:val="clear" w:color="auto" w:fill="auto"/>
            <w:vAlign w:val="center"/>
          </w:tcPr>
          <w:p w14:paraId="60FC8B7D">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稀树灌木草丛</w:t>
            </w:r>
          </w:p>
        </w:tc>
        <w:tc>
          <w:tcPr>
            <w:tcW w:w="693" w:type="pct"/>
            <w:shd w:val="clear" w:color="auto" w:fill="auto"/>
            <w:vAlign w:val="center"/>
          </w:tcPr>
          <w:p w14:paraId="53802A81">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暖温性稀树灌木草丛</w:t>
            </w:r>
          </w:p>
        </w:tc>
        <w:tc>
          <w:tcPr>
            <w:tcW w:w="821" w:type="pct"/>
            <w:shd w:val="clear" w:color="auto" w:fill="auto"/>
            <w:vAlign w:val="center"/>
          </w:tcPr>
          <w:p w14:paraId="76EB6682">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含云南松、苦刺花的中草草丛</w:t>
            </w:r>
          </w:p>
        </w:tc>
        <w:tc>
          <w:tcPr>
            <w:tcW w:w="844" w:type="pct"/>
            <w:shd w:val="clear" w:color="auto" w:fill="auto"/>
            <w:noWrap/>
            <w:vAlign w:val="center"/>
          </w:tcPr>
          <w:p w14:paraId="3FC88CA7">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169.206 </w:t>
            </w:r>
          </w:p>
        </w:tc>
        <w:tc>
          <w:tcPr>
            <w:tcW w:w="845" w:type="pct"/>
            <w:shd w:val="clear" w:color="auto" w:fill="auto"/>
            <w:noWrap/>
            <w:vAlign w:val="center"/>
          </w:tcPr>
          <w:p w14:paraId="0BC8AD3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15.78 </w:t>
            </w:r>
          </w:p>
        </w:tc>
      </w:tr>
      <w:tr w14:paraId="0615F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pct"/>
            <w:vMerge w:val="continue"/>
            <w:shd w:val="clear" w:color="auto" w:fill="auto"/>
            <w:noWrap/>
            <w:vAlign w:val="center"/>
          </w:tcPr>
          <w:p w14:paraId="187E2740">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417" w:type="pct"/>
            <w:vMerge w:val="continue"/>
            <w:shd w:val="clear" w:color="auto" w:fill="auto"/>
            <w:vAlign w:val="center"/>
          </w:tcPr>
          <w:p w14:paraId="3AB490C7">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2148" w:type="pct"/>
            <w:gridSpan w:val="3"/>
            <w:shd w:val="clear" w:color="auto" w:fill="auto"/>
            <w:vAlign w:val="center"/>
          </w:tcPr>
          <w:p w14:paraId="3C22E38E">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小计</w:t>
            </w:r>
          </w:p>
        </w:tc>
        <w:tc>
          <w:tcPr>
            <w:tcW w:w="844" w:type="pct"/>
            <w:shd w:val="clear" w:color="auto" w:fill="auto"/>
            <w:noWrap/>
            <w:vAlign w:val="center"/>
          </w:tcPr>
          <w:p w14:paraId="2180A072">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798.777 </w:t>
            </w:r>
          </w:p>
        </w:tc>
        <w:tc>
          <w:tcPr>
            <w:tcW w:w="845" w:type="pct"/>
            <w:shd w:val="clear" w:color="auto" w:fill="auto"/>
            <w:noWrap/>
            <w:vAlign w:val="center"/>
          </w:tcPr>
          <w:p w14:paraId="5E97F16E">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74.50 </w:t>
            </w:r>
          </w:p>
        </w:tc>
      </w:tr>
      <w:tr w14:paraId="4E860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pct"/>
            <w:vMerge w:val="continue"/>
            <w:shd w:val="clear" w:color="auto" w:fill="auto"/>
            <w:noWrap/>
            <w:vAlign w:val="center"/>
          </w:tcPr>
          <w:p w14:paraId="1381E36E">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417" w:type="pct"/>
            <w:vMerge w:val="restart"/>
            <w:shd w:val="clear" w:color="auto" w:fill="auto"/>
            <w:vAlign w:val="center"/>
          </w:tcPr>
          <w:p w14:paraId="78FE9F2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人工植被</w:t>
            </w:r>
          </w:p>
        </w:tc>
        <w:tc>
          <w:tcPr>
            <w:tcW w:w="2148" w:type="pct"/>
            <w:gridSpan w:val="3"/>
            <w:shd w:val="clear" w:color="auto" w:fill="auto"/>
            <w:vAlign w:val="center"/>
          </w:tcPr>
          <w:p w14:paraId="5B2D14E7">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人工林植被</w:t>
            </w:r>
          </w:p>
        </w:tc>
        <w:tc>
          <w:tcPr>
            <w:tcW w:w="844" w:type="pct"/>
            <w:shd w:val="clear" w:color="auto" w:fill="auto"/>
            <w:noWrap/>
            <w:vAlign w:val="center"/>
          </w:tcPr>
          <w:p w14:paraId="6B87CB7D">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4.730 </w:t>
            </w:r>
          </w:p>
        </w:tc>
        <w:tc>
          <w:tcPr>
            <w:tcW w:w="845" w:type="pct"/>
            <w:shd w:val="clear" w:color="auto" w:fill="auto"/>
            <w:noWrap/>
            <w:vAlign w:val="center"/>
          </w:tcPr>
          <w:p w14:paraId="539677FD">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0.44 </w:t>
            </w:r>
          </w:p>
        </w:tc>
      </w:tr>
      <w:tr w14:paraId="557A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pct"/>
            <w:vMerge w:val="continue"/>
            <w:shd w:val="clear" w:color="auto" w:fill="auto"/>
            <w:noWrap/>
            <w:vAlign w:val="center"/>
          </w:tcPr>
          <w:p w14:paraId="080340F9">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417" w:type="pct"/>
            <w:vMerge w:val="continue"/>
            <w:shd w:val="clear" w:color="auto" w:fill="auto"/>
            <w:vAlign w:val="center"/>
          </w:tcPr>
          <w:p w14:paraId="7FE05191">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2148" w:type="pct"/>
            <w:gridSpan w:val="3"/>
            <w:shd w:val="clear" w:color="auto" w:fill="auto"/>
            <w:vAlign w:val="center"/>
          </w:tcPr>
          <w:p w14:paraId="5BA621F5">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耕地农作物植被</w:t>
            </w:r>
          </w:p>
        </w:tc>
        <w:tc>
          <w:tcPr>
            <w:tcW w:w="844" w:type="pct"/>
            <w:shd w:val="clear" w:color="auto" w:fill="auto"/>
            <w:noWrap/>
            <w:vAlign w:val="center"/>
          </w:tcPr>
          <w:p w14:paraId="0F719EA1">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226.808 </w:t>
            </w:r>
          </w:p>
        </w:tc>
        <w:tc>
          <w:tcPr>
            <w:tcW w:w="845" w:type="pct"/>
            <w:shd w:val="clear" w:color="auto" w:fill="auto"/>
            <w:noWrap/>
            <w:vAlign w:val="center"/>
          </w:tcPr>
          <w:p w14:paraId="14DF4C2D">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21.15 </w:t>
            </w:r>
          </w:p>
        </w:tc>
      </w:tr>
      <w:tr w14:paraId="3D844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pct"/>
            <w:vMerge w:val="continue"/>
            <w:shd w:val="clear" w:color="auto" w:fill="auto"/>
            <w:noWrap/>
            <w:vAlign w:val="center"/>
          </w:tcPr>
          <w:p w14:paraId="4603EE3D">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417" w:type="pct"/>
            <w:vMerge w:val="continue"/>
            <w:shd w:val="clear" w:color="auto" w:fill="auto"/>
            <w:vAlign w:val="center"/>
          </w:tcPr>
          <w:p w14:paraId="1FD776B3">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2148" w:type="pct"/>
            <w:gridSpan w:val="3"/>
            <w:shd w:val="clear" w:color="auto" w:fill="auto"/>
            <w:vAlign w:val="center"/>
          </w:tcPr>
          <w:p w14:paraId="27F17105">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小计</w:t>
            </w:r>
          </w:p>
        </w:tc>
        <w:tc>
          <w:tcPr>
            <w:tcW w:w="844" w:type="pct"/>
            <w:shd w:val="clear" w:color="auto" w:fill="auto"/>
            <w:noWrap/>
            <w:vAlign w:val="center"/>
          </w:tcPr>
          <w:p w14:paraId="748984EF">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231.538 </w:t>
            </w:r>
          </w:p>
        </w:tc>
        <w:tc>
          <w:tcPr>
            <w:tcW w:w="845" w:type="pct"/>
            <w:shd w:val="clear" w:color="auto" w:fill="auto"/>
            <w:noWrap/>
            <w:vAlign w:val="center"/>
          </w:tcPr>
          <w:p w14:paraId="5ABDC6E6">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21.60 </w:t>
            </w:r>
          </w:p>
        </w:tc>
      </w:tr>
      <w:tr w14:paraId="2E1AB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pct"/>
            <w:vMerge w:val="continue"/>
            <w:shd w:val="clear" w:color="auto" w:fill="auto"/>
            <w:noWrap/>
            <w:vAlign w:val="center"/>
          </w:tcPr>
          <w:p w14:paraId="1763C1A4">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2566" w:type="pct"/>
            <w:gridSpan w:val="4"/>
            <w:shd w:val="clear" w:color="auto" w:fill="auto"/>
            <w:vAlign w:val="center"/>
          </w:tcPr>
          <w:p w14:paraId="690861CE">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小计</w:t>
            </w:r>
          </w:p>
        </w:tc>
        <w:tc>
          <w:tcPr>
            <w:tcW w:w="844" w:type="pct"/>
            <w:shd w:val="clear" w:color="auto" w:fill="auto"/>
            <w:noWrap/>
            <w:vAlign w:val="center"/>
          </w:tcPr>
          <w:p w14:paraId="019D02A4">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1030.315 </w:t>
            </w:r>
          </w:p>
        </w:tc>
        <w:tc>
          <w:tcPr>
            <w:tcW w:w="845" w:type="pct"/>
            <w:shd w:val="clear" w:color="auto" w:fill="auto"/>
            <w:noWrap/>
            <w:vAlign w:val="center"/>
          </w:tcPr>
          <w:p w14:paraId="7F7B0924">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96.10 </w:t>
            </w:r>
          </w:p>
        </w:tc>
      </w:tr>
      <w:tr w14:paraId="2D7A2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pct"/>
            <w:vMerge w:val="restart"/>
            <w:shd w:val="clear" w:color="auto" w:fill="auto"/>
            <w:noWrap/>
            <w:vAlign w:val="center"/>
          </w:tcPr>
          <w:p w14:paraId="52566E99">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非植被覆盖</w:t>
            </w:r>
          </w:p>
        </w:tc>
        <w:tc>
          <w:tcPr>
            <w:tcW w:w="2566" w:type="pct"/>
            <w:gridSpan w:val="4"/>
            <w:shd w:val="clear" w:color="auto" w:fill="auto"/>
            <w:vAlign w:val="center"/>
          </w:tcPr>
          <w:p w14:paraId="58DDB2DB">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住宅用地</w:t>
            </w:r>
          </w:p>
        </w:tc>
        <w:tc>
          <w:tcPr>
            <w:tcW w:w="844" w:type="pct"/>
            <w:shd w:val="clear" w:color="auto" w:fill="auto"/>
            <w:noWrap/>
            <w:vAlign w:val="center"/>
          </w:tcPr>
          <w:p w14:paraId="4C235C24">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12.279 </w:t>
            </w:r>
          </w:p>
        </w:tc>
        <w:tc>
          <w:tcPr>
            <w:tcW w:w="845" w:type="pct"/>
            <w:shd w:val="clear" w:color="auto" w:fill="auto"/>
            <w:noWrap/>
            <w:vAlign w:val="center"/>
          </w:tcPr>
          <w:p w14:paraId="0392B017">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1.15 </w:t>
            </w:r>
          </w:p>
        </w:tc>
      </w:tr>
      <w:tr w14:paraId="6CB37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pct"/>
            <w:vMerge w:val="continue"/>
            <w:shd w:val="clear" w:color="auto" w:fill="auto"/>
            <w:noWrap/>
            <w:vAlign w:val="center"/>
          </w:tcPr>
          <w:p w14:paraId="417BC8D7">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2566" w:type="pct"/>
            <w:gridSpan w:val="4"/>
            <w:shd w:val="clear" w:color="auto" w:fill="auto"/>
            <w:vAlign w:val="center"/>
          </w:tcPr>
          <w:p w14:paraId="44D4C82E">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工矿企业用地</w:t>
            </w:r>
          </w:p>
        </w:tc>
        <w:tc>
          <w:tcPr>
            <w:tcW w:w="844" w:type="pct"/>
            <w:shd w:val="clear" w:color="auto" w:fill="auto"/>
            <w:noWrap/>
            <w:vAlign w:val="center"/>
          </w:tcPr>
          <w:p w14:paraId="32107204">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0.349 </w:t>
            </w:r>
          </w:p>
        </w:tc>
        <w:tc>
          <w:tcPr>
            <w:tcW w:w="845" w:type="pct"/>
            <w:shd w:val="clear" w:color="auto" w:fill="auto"/>
            <w:noWrap/>
            <w:vAlign w:val="center"/>
          </w:tcPr>
          <w:p w14:paraId="3BF2CD1C">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0.03 </w:t>
            </w:r>
          </w:p>
        </w:tc>
      </w:tr>
      <w:tr w14:paraId="4018C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pct"/>
            <w:vMerge w:val="continue"/>
            <w:shd w:val="clear" w:color="auto" w:fill="auto"/>
            <w:noWrap/>
            <w:vAlign w:val="center"/>
          </w:tcPr>
          <w:p w14:paraId="3B705361">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2566" w:type="pct"/>
            <w:gridSpan w:val="4"/>
            <w:shd w:val="clear" w:color="auto" w:fill="auto"/>
            <w:vAlign w:val="center"/>
          </w:tcPr>
          <w:p w14:paraId="5F3B7A57">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交通运输用地</w:t>
            </w:r>
          </w:p>
        </w:tc>
        <w:tc>
          <w:tcPr>
            <w:tcW w:w="844" w:type="pct"/>
            <w:shd w:val="clear" w:color="auto" w:fill="auto"/>
            <w:noWrap/>
            <w:vAlign w:val="center"/>
          </w:tcPr>
          <w:p w14:paraId="07D14E1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17.226 </w:t>
            </w:r>
          </w:p>
        </w:tc>
        <w:tc>
          <w:tcPr>
            <w:tcW w:w="845" w:type="pct"/>
            <w:shd w:val="clear" w:color="auto" w:fill="auto"/>
            <w:noWrap/>
            <w:vAlign w:val="center"/>
          </w:tcPr>
          <w:p w14:paraId="03ADDD8B">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1.61 </w:t>
            </w:r>
          </w:p>
        </w:tc>
      </w:tr>
      <w:tr w14:paraId="7FBCF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pct"/>
            <w:vMerge w:val="continue"/>
            <w:shd w:val="clear" w:color="auto" w:fill="auto"/>
            <w:noWrap/>
            <w:vAlign w:val="center"/>
          </w:tcPr>
          <w:p w14:paraId="110D698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2566" w:type="pct"/>
            <w:gridSpan w:val="4"/>
            <w:shd w:val="clear" w:color="auto" w:fill="auto"/>
            <w:vAlign w:val="center"/>
          </w:tcPr>
          <w:p w14:paraId="4A96972B">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水域及水利设施用地</w:t>
            </w:r>
          </w:p>
        </w:tc>
        <w:tc>
          <w:tcPr>
            <w:tcW w:w="844" w:type="pct"/>
            <w:shd w:val="clear" w:color="auto" w:fill="auto"/>
            <w:noWrap/>
            <w:vAlign w:val="center"/>
          </w:tcPr>
          <w:p w14:paraId="0E3223C4">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6.396 </w:t>
            </w:r>
          </w:p>
        </w:tc>
        <w:tc>
          <w:tcPr>
            <w:tcW w:w="845" w:type="pct"/>
            <w:shd w:val="clear" w:color="auto" w:fill="auto"/>
            <w:noWrap/>
            <w:vAlign w:val="center"/>
          </w:tcPr>
          <w:p w14:paraId="3492D332">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0.60 </w:t>
            </w:r>
          </w:p>
        </w:tc>
      </w:tr>
      <w:tr w14:paraId="10B76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pct"/>
            <w:vMerge w:val="continue"/>
            <w:shd w:val="clear" w:color="auto" w:fill="auto"/>
            <w:noWrap/>
            <w:vAlign w:val="center"/>
          </w:tcPr>
          <w:p w14:paraId="0FBAE49C">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2566" w:type="pct"/>
            <w:gridSpan w:val="4"/>
            <w:shd w:val="clear" w:color="auto" w:fill="auto"/>
            <w:vAlign w:val="center"/>
          </w:tcPr>
          <w:p w14:paraId="0FE0E5C1">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其他</w:t>
            </w:r>
          </w:p>
        </w:tc>
        <w:tc>
          <w:tcPr>
            <w:tcW w:w="844" w:type="pct"/>
            <w:shd w:val="clear" w:color="auto" w:fill="auto"/>
            <w:noWrap/>
            <w:vAlign w:val="center"/>
          </w:tcPr>
          <w:p w14:paraId="41DACF9D">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5.617 </w:t>
            </w:r>
          </w:p>
        </w:tc>
        <w:tc>
          <w:tcPr>
            <w:tcW w:w="845" w:type="pct"/>
            <w:shd w:val="clear" w:color="auto" w:fill="auto"/>
            <w:noWrap/>
            <w:vAlign w:val="center"/>
          </w:tcPr>
          <w:p w14:paraId="025BA436">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0.52 </w:t>
            </w:r>
          </w:p>
        </w:tc>
      </w:tr>
      <w:tr w14:paraId="667A4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pct"/>
            <w:vMerge w:val="continue"/>
            <w:shd w:val="clear" w:color="auto" w:fill="auto"/>
            <w:noWrap/>
            <w:vAlign w:val="center"/>
          </w:tcPr>
          <w:p w14:paraId="67FE33E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2566" w:type="pct"/>
            <w:gridSpan w:val="4"/>
            <w:shd w:val="clear" w:color="auto" w:fill="auto"/>
            <w:vAlign w:val="center"/>
          </w:tcPr>
          <w:p w14:paraId="1E1A822F">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小计</w:t>
            </w:r>
          </w:p>
        </w:tc>
        <w:tc>
          <w:tcPr>
            <w:tcW w:w="844" w:type="pct"/>
            <w:shd w:val="clear" w:color="auto" w:fill="auto"/>
            <w:noWrap/>
            <w:vAlign w:val="center"/>
          </w:tcPr>
          <w:p w14:paraId="7A01074F">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41.867 </w:t>
            </w:r>
          </w:p>
        </w:tc>
        <w:tc>
          <w:tcPr>
            <w:tcW w:w="845" w:type="pct"/>
            <w:shd w:val="clear" w:color="auto" w:fill="auto"/>
            <w:noWrap/>
            <w:vAlign w:val="center"/>
          </w:tcPr>
          <w:p w14:paraId="1482516C">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3.90 </w:t>
            </w:r>
          </w:p>
        </w:tc>
      </w:tr>
      <w:tr w14:paraId="7DF4D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pct"/>
            <w:vMerge w:val="continue"/>
            <w:shd w:val="clear" w:color="auto" w:fill="auto"/>
            <w:noWrap/>
            <w:vAlign w:val="center"/>
          </w:tcPr>
          <w:p w14:paraId="7C53D62B">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2566" w:type="pct"/>
            <w:gridSpan w:val="4"/>
            <w:shd w:val="clear" w:color="auto" w:fill="auto"/>
            <w:vAlign w:val="center"/>
          </w:tcPr>
          <w:p w14:paraId="374C1A65">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合计</w:t>
            </w:r>
          </w:p>
        </w:tc>
        <w:tc>
          <w:tcPr>
            <w:tcW w:w="844" w:type="pct"/>
            <w:shd w:val="clear" w:color="auto" w:fill="auto"/>
            <w:noWrap/>
            <w:vAlign w:val="center"/>
          </w:tcPr>
          <w:p w14:paraId="7D9D6862">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1072.183 </w:t>
            </w:r>
          </w:p>
        </w:tc>
        <w:tc>
          <w:tcPr>
            <w:tcW w:w="845" w:type="pct"/>
            <w:shd w:val="clear" w:color="auto" w:fill="auto"/>
            <w:noWrap/>
            <w:vAlign w:val="center"/>
          </w:tcPr>
          <w:p w14:paraId="1ABA73AF">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100.00 </w:t>
            </w:r>
          </w:p>
        </w:tc>
      </w:tr>
    </w:tbl>
    <w:p w14:paraId="3ACF479F">
      <w:pPr>
        <w:pStyle w:val="5"/>
        <w:numPr>
          <w:ilvl w:val="2"/>
          <w:numId w:val="0"/>
        </w:numPr>
        <w:adjustRightInd w:val="0"/>
        <w:snapToGrid w:val="0"/>
        <w:spacing w:line="440" w:lineRule="exact"/>
        <w:rPr>
          <w:rFonts w:hint="default" w:ascii="Times New Roman" w:hAnsi="Times New Roman" w:cs="Times New Roman"/>
          <w:color w:val="auto"/>
          <w:sz w:val="24"/>
          <w:szCs w:val="24"/>
          <w:lang w:val="zh-CN"/>
        </w:rPr>
      </w:pPr>
      <w:bookmarkStart w:id="226" w:name="_Toc29989"/>
      <w:r>
        <w:rPr>
          <w:rFonts w:hint="default" w:ascii="Times New Roman" w:hAnsi="Times New Roman" w:cs="Times New Roman"/>
          <w:color w:val="auto"/>
          <w:sz w:val="24"/>
          <w:szCs w:val="24"/>
        </w:rPr>
        <w:t>2.3.5</w:t>
      </w:r>
      <w:r>
        <w:rPr>
          <w:rFonts w:hint="default" w:ascii="Times New Roman" w:hAnsi="Times New Roman" w:cs="Times New Roman"/>
          <w:color w:val="auto"/>
          <w:sz w:val="24"/>
          <w:szCs w:val="24"/>
          <w:lang w:val="zh-CN"/>
        </w:rPr>
        <w:t>评价区植物资源现状</w:t>
      </w:r>
      <w:bookmarkEnd w:id="226"/>
    </w:p>
    <w:p w14:paraId="3CFB7A53">
      <w:pPr>
        <w:pStyle w:val="6"/>
        <w:adjustRightInd w:val="0"/>
        <w:snapToGrid w:val="0"/>
        <w:spacing w:line="440" w:lineRule="exact"/>
        <w:ind w:firstLine="482" w:firstLineChars="200"/>
        <w:rPr>
          <w:rFonts w:hint="default" w:ascii="Times New Roman" w:hAnsi="Times New Roman" w:cs="Times New Roman"/>
          <w:color w:val="auto"/>
        </w:rPr>
      </w:pPr>
      <w:r>
        <w:rPr>
          <w:rFonts w:hint="default" w:ascii="Times New Roman" w:hAnsi="Times New Roman" w:cs="Times New Roman"/>
          <w:color w:val="auto"/>
        </w:rPr>
        <w:t>2.3.5.1植物种类</w:t>
      </w:r>
    </w:p>
    <w:p w14:paraId="16909AA5">
      <w:pPr>
        <w:adjustRightInd w:val="0"/>
        <w:snapToGrid w:val="0"/>
        <w:spacing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（1）种类</w:t>
      </w:r>
    </w:p>
    <w:p w14:paraId="44897346">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lang w:val="zh-CN"/>
        </w:rPr>
        <w:t>评价区的地带性植被为半湿润常绿阔叶林，由于人为干扰较严重，区域内原生植被不可见，大部分地段形成了以人为活动为主导的次生性森林植被景观。根据野外考察、室内标本整理鉴定以及相关文献资料查阅，评价区共记录有维管植物</w:t>
      </w:r>
      <w:bookmarkStart w:id="227" w:name="_Hlk240723473"/>
      <w:r>
        <w:rPr>
          <w:rFonts w:hint="default" w:ascii="Times New Roman" w:hAnsi="Times New Roman" w:eastAsia="宋体" w:cs="Times New Roman"/>
          <w:color w:val="auto"/>
          <w:szCs w:val="24"/>
          <w:lang w:val="zh-CN"/>
        </w:rPr>
        <w:t>475种（包含种下等级），隶属于</w:t>
      </w:r>
      <w:r>
        <w:rPr>
          <w:rFonts w:hint="default" w:ascii="Times New Roman" w:hAnsi="Times New Roman" w:eastAsia="宋体" w:cs="Times New Roman"/>
          <w:color w:val="auto"/>
          <w:szCs w:val="24"/>
        </w:rPr>
        <w:t>98</w:t>
      </w:r>
      <w:r>
        <w:rPr>
          <w:rFonts w:hint="default" w:ascii="Times New Roman" w:hAnsi="Times New Roman" w:eastAsia="宋体" w:cs="Times New Roman"/>
          <w:color w:val="auto"/>
          <w:szCs w:val="24"/>
          <w:lang w:val="zh-CN"/>
        </w:rPr>
        <w:t>科、</w:t>
      </w:r>
      <w:r>
        <w:rPr>
          <w:rFonts w:hint="default" w:ascii="Times New Roman" w:hAnsi="Times New Roman" w:eastAsia="宋体" w:cs="Times New Roman"/>
          <w:color w:val="auto"/>
          <w:szCs w:val="24"/>
        </w:rPr>
        <w:t>327</w:t>
      </w:r>
      <w:r>
        <w:rPr>
          <w:rFonts w:hint="default" w:ascii="Times New Roman" w:hAnsi="Times New Roman" w:eastAsia="宋体" w:cs="Times New Roman"/>
          <w:color w:val="auto"/>
          <w:szCs w:val="24"/>
          <w:lang w:val="zh-CN"/>
        </w:rPr>
        <w:t>属。其中蕨类植物有</w:t>
      </w:r>
      <w:r>
        <w:rPr>
          <w:rFonts w:hint="default" w:ascii="Times New Roman" w:hAnsi="Times New Roman" w:eastAsia="宋体" w:cs="Times New Roman"/>
          <w:color w:val="auto"/>
          <w:szCs w:val="24"/>
        </w:rPr>
        <w:t>11</w:t>
      </w:r>
      <w:r>
        <w:rPr>
          <w:rFonts w:hint="default" w:ascii="Times New Roman" w:hAnsi="Times New Roman" w:eastAsia="宋体" w:cs="Times New Roman"/>
          <w:color w:val="auto"/>
          <w:szCs w:val="24"/>
          <w:lang w:val="zh-CN"/>
        </w:rPr>
        <w:t>科、</w:t>
      </w:r>
      <w:r>
        <w:rPr>
          <w:rFonts w:hint="default" w:ascii="Times New Roman" w:hAnsi="Times New Roman" w:eastAsia="宋体" w:cs="Times New Roman"/>
          <w:color w:val="auto"/>
          <w:szCs w:val="24"/>
        </w:rPr>
        <w:t>15</w:t>
      </w:r>
      <w:r>
        <w:rPr>
          <w:rFonts w:hint="default" w:ascii="Times New Roman" w:hAnsi="Times New Roman" w:eastAsia="宋体" w:cs="Times New Roman"/>
          <w:color w:val="auto"/>
          <w:szCs w:val="24"/>
          <w:lang w:val="zh-CN"/>
        </w:rPr>
        <w:t>属、</w:t>
      </w:r>
      <w:r>
        <w:rPr>
          <w:rFonts w:hint="default" w:ascii="Times New Roman" w:hAnsi="Times New Roman" w:eastAsia="宋体" w:cs="Times New Roman"/>
          <w:color w:val="auto"/>
          <w:szCs w:val="24"/>
        </w:rPr>
        <w:t>20</w:t>
      </w:r>
      <w:r>
        <w:rPr>
          <w:rFonts w:hint="default" w:ascii="Times New Roman" w:hAnsi="Times New Roman" w:eastAsia="宋体" w:cs="Times New Roman"/>
          <w:color w:val="auto"/>
          <w:szCs w:val="24"/>
          <w:lang w:val="zh-CN"/>
        </w:rPr>
        <w:t>种；裸子植物有3科、4属、5种；被子植物有84科、308属、450种。</w:t>
      </w:r>
      <w:bookmarkEnd w:id="227"/>
      <w:r>
        <w:rPr>
          <w:rFonts w:hint="default" w:ascii="Times New Roman" w:hAnsi="Times New Roman" w:eastAsia="宋体" w:cs="Times New Roman"/>
          <w:iCs/>
          <w:color w:val="auto"/>
          <w:spacing w:val="-12"/>
          <w:szCs w:val="24"/>
        </w:rPr>
        <w:t>详见下表。</w:t>
      </w:r>
    </w:p>
    <w:p w14:paraId="68181B45">
      <w:pPr>
        <w:tabs>
          <w:tab w:val="left" w:pos="3260"/>
          <w:tab w:val="center" w:pos="4917"/>
        </w:tabs>
        <w:spacing w:after="0" w:line="240" w:lineRule="auto"/>
        <w:ind w:firstLine="0" w:firstLineChars="0"/>
        <w:jc w:val="center"/>
        <w:rPr>
          <w:rFonts w:hint="default" w:ascii="Times New Roman" w:hAnsi="Times New Roman" w:eastAsia="宋体" w:cs="Times New Roman"/>
          <w:b/>
          <w:color w:val="auto"/>
          <w:szCs w:val="24"/>
        </w:rPr>
      </w:pPr>
      <w:r>
        <w:rPr>
          <w:rFonts w:hint="default" w:ascii="Times New Roman" w:hAnsi="Times New Roman" w:eastAsia="宋体" w:cs="Times New Roman"/>
          <w:b/>
          <w:color w:val="auto"/>
          <w:szCs w:val="24"/>
        </w:rPr>
        <w:t>表2.3-</w:t>
      </w:r>
      <w:r>
        <w:rPr>
          <w:rFonts w:hint="eastAsia" w:ascii="Times New Roman" w:hAnsi="Times New Roman" w:eastAsia="宋体" w:cs="Times New Roman"/>
          <w:b/>
          <w:color w:val="auto"/>
          <w:szCs w:val="24"/>
          <w:lang w:val="en-US" w:eastAsia="zh-CN"/>
        </w:rPr>
        <w:t>5</w:t>
      </w:r>
      <w:r>
        <w:rPr>
          <w:rFonts w:hint="default" w:ascii="Times New Roman" w:hAnsi="Times New Roman" w:eastAsia="宋体" w:cs="Times New Roman"/>
          <w:b/>
          <w:color w:val="auto"/>
          <w:szCs w:val="24"/>
        </w:rPr>
        <w:t xml:space="preserve">  评价区维管束植物组成</w:t>
      </w:r>
    </w:p>
    <w:tbl>
      <w:tblPr>
        <w:tblStyle w:val="30"/>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59"/>
        <w:gridCol w:w="1909"/>
        <w:gridCol w:w="1720"/>
        <w:gridCol w:w="1811"/>
        <w:gridCol w:w="1838"/>
      </w:tblGrid>
      <w:tr w14:paraId="281C9C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18" w:type="pct"/>
            <w:gridSpan w:val="2"/>
            <w:tcBorders>
              <w:tl2br w:val="nil"/>
              <w:tr2bl w:val="nil"/>
            </w:tcBorders>
            <w:shd w:val="clear" w:color="auto" w:fill="auto"/>
            <w:noWrap/>
            <w:vAlign w:val="center"/>
          </w:tcPr>
          <w:p w14:paraId="7FDB13E8">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统计项目</w:t>
            </w:r>
          </w:p>
        </w:tc>
        <w:tc>
          <w:tcPr>
            <w:tcW w:w="1019" w:type="pct"/>
            <w:vMerge w:val="restart"/>
            <w:tcBorders>
              <w:tl2br w:val="nil"/>
              <w:tr2bl w:val="nil"/>
            </w:tcBorders>
            <w:shd w:val="clear" w:color="auto" w:fill="auto"/>
            <w:noWrap/>
            <w:vAlign w:val="center"/>
          </w:tcPr>
          <w:p w14:paraId="1297B66D">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科</w:t>
            </w:r>
          </w:p>
        </w:tc>
        <w:tc>
          <w:tcPr>
            <w:tcW w:w="1073" w:type="pct"/>
            <w:vMerge w:val="restart"/>
            <w:tcBorders>
              <w:tl2br w:val="nil"/>
              <w:tr2bl w:val="nil"/>
            </w:tcBorders>
            <w:shd w:val="clear" w:color="auto" w:fill="auto"/>
            <w:noWrap/>
            <w:vAlign w:val="center"/>
          </w:tcPr>
          <w:p w14:paraId="613E32E9">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属</w:t>
            </w:r>
          </w:p>
        </w:tc>
        <w:tc>
          <w:tcPr>
            <w:tcW w:w="1089" w:type="pct"/>
            <w:vMerge w:val="restart"/>
            <w:tcBorders>
              <w:tl2br w:val="nil"/>
              <w:tr2bl w:val="nil"/>
            </w:tcBorders>
            <w:shd w:val="clear" w:color="auto" w:fill="auto"/>
            <w:noWrap/>
            <w:vAlign w:val="center"/>
          </w:tcPr>
          <w:p w14:paraId="2A340124">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种</w:t>
            </w:r>
          </w:p>
        </w:tc>
      </w:tr>
      <w:tr w14:paraId="588B62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18" w:type="pct"/>
            <w:gridSpan w:val="2"/>
            <w:tcBorders>
              <w:tl2br w:val="nil"/>
              <w:tr2bl w:val="nil"/>
            </w:tcBorders>
            <w:shd w:val="clear" w:color="auto" w:fill="auto"/>
            <w:noWrap/>
            <w:vAlign w:val="center"/>
          </w:tcPr>
          <w:p w14:paraId="6CAD5702">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植物类型</w:t>
            </w:r>
          </w:p>
        </w:tc>
        <w:tc>
          <w:tcPr>
            <w:tcW w:w="1019" w:type="pct"/>
            <w:vMerge w:val="continue"/>
            <w:tcBorders>
              <w:tl2br w:val="nil"/>
              <w:tr2bl w:val="nil"/>
            </w:tcBorders>
            <w:vAlign w:val="center"/>
          </w:tcPr>
          <w:p w14:paraId="50EFC683">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1073" w:type="pct"/>
            <w:vMerge w:val="continue"/>
            <w:tcBorders>
              <w:tl2br w:val="nil"/>
              <w:tr2bl w:val="nil"/>
            </w:tcBorders>
            <w:vAlign w:val="center"/>
          </w:tcPr>
          <w:p w14:paraId="199F60E4">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1089" w:type="pct"/>
            <w:vMerge w:val="continue"/>
            <w:tcBorders>
              <w:tl2br w:val="nil"/>
              <w:tr2bl w:val="nil"/>
            </w:tcBorders>
            <w:vAlign w:val="center"/>
          </w:tcPr>
          <w:p w14:paraId="1254C161">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r>
      <w:tr w14:paraId="7BDB0D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18" w:type="pct"/>
            <w:gridSpan w:val="2"/>
            <w:tcBorders>
              <w:tl2br w:val="nil"/>
              <w:tr2bl w:val="nil"/>
            </w:tcBorders>
            <w:shd w:val="clear" w:color="auto" w:fill="auto"/>
            <w:noWrap/>
            <w:vAlign w:val="center"/>
          </w:tcPr>
          <w:p w14:paraId="765683A1">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蕨类植物</w:t>
            </w:r>
          </w:p>
        </w:tc>
        <w:tc>
          <w:tcPr>
            <w:tcW w:w="1019" w:type="pct"/>
            <w:tcBorders>
              <w:tl2br w:val="nil"/>
              <w:tr2bl w:val="nil"/>
            </w:tcBorders>
            <w:shd w:val="clear" w:color="auto" w:fill="auto"/>
            <w:noWrap/>
            <w:vAlign w:val="center"/>
          </w:tcPr>
          <w:p w14:paraId="7004BB6F">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11</w:t>
            </w:r>
          </w:p>
        </w:tc>
        <w:tc>
          <w:tcPr>
            <w:tcW w:w="1073" w:type="pct"/>
            <w:tcBorders>
              <w:tl2br w:val="nil"/>
              <w:tr2bl w:val="nil"/>
            </w:tcBorders>
            <w:shd w:val="clear" w:color="auto" w:fill="auto"/>
            <w:noWrap/>
            <w:vAlign w:val="center"/>
          </w:tcPr>
          <w:p w14:paraId="00978C96">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w:t>
            </w:r>
          </w:p>
        </w:tc>
        <w:tc>
          <w:tcPr>
            <w:tcW w:w="1089" w:type="pct"/>
            <w:tcBorders>
              <w:tl2br w:val="nil"/>
              <w:tr2bl w:val="nil"/>
            </w:tcBorders>
            <w:shd w:val="clear" w:color="auto" w:fill="auto"/>
            <w:noWrap/>
            <w:vAlign w:val="center"/>
          </w:tcPr>
          <w:p w14:paraId="50F90253">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p>
        </w:tc>
      </w:tr>
      <w:tr w14:paraId="25F2A9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18" w:type="pct"/>
            <w:gridSpan w:val="2"/>
            <w:tcBorders>
              <w:tl2br w:val="nil"/>
              <w:tr2bl w:val="nil"/>
            </w:tcBorders>
            <w:shd w:val="clear" w:color="auto" w:fill="auto"/>
            <w:noWrap/>
            <w:vAlign w:val="center"/>
          </w:tcPr>
          <w:p w14:paraId="1DB35336">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裸子植物</w:t>
            </w:r>
          </w:p>
        </w:tc>
        <w:tc>
          <w:tcPr>
            <w:tcW w:w="1019" w:type="pct"/>
            <w:tcBorders>
              <w:tl2br w:val="nil"/>
              <w:tr2bl w:val="nil"/>
            </w:tcBorders>
            <w:shd w:val="clear" w:color="auto" w:fill="auto"/>
            <w:noWrap/>
            <w:vAlign w:val="center"/>
          </w:tcPr>
          <w:p w14:paraId="038C04FB">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1073" w:type="pct"/>
            <w:tcBorders>
              <w:tl2br w:val="nil"/>
              <w:tr2bl w:val="nil"/>
            </w:tcBorders>
            <w:shd w:val="clear" w:color="auto" w:fill="auto"/>
            <w:noWrap/>
            <w:vAlign w:val="center"/>
          </w:tcPr>
          <w:p w14:paraId="2DA7B3CD">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1089" w:type="pct"/>
            <w:tcBorders>
              <w:tl2br w:val="nil"/>
              <w:tr2bl w:val="nil"/>
            </w:tcBorders>
            <w:shd w:val="clear" w:color="auto" w:fill="auto"/>
            <w:noWrap/>
            <w:vAlign w:val="center"/>
          </w:tcPr>
          <w:p w14:paraId="15A9962B">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r>
      <w:tr w14:paraId="1E9712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87" w:type="pct"/>
            <w:vMerge w:val="restart"/>
            <w:tcBorders>
              <w:tl2br w:val="nil"/>
              <w:tr2bl w:val="nil"/>
            </w:tcBorders>
            <w:vAlign w:val="center"/>
          </w:tcPr>
          <w:p w14:paraId="69509D47">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被子植物</w:t>
            </w:r>
          </w:p>
        </w:tc>
        <w:tc>
          <w:tcPr>
            <w:tcW w:w="1130" w:type="pct"/>
            <w:tcBorders>
              <w:tl2br w:val="nil"/>
              <w:tr2bl w:val="nil"/>
            </w:tcBorders>
            <w:vAlign w:val="center"/>
          </w:tcPr>
          <w:p w14:paraId="54AE91A5">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双子叶植物</w:t>
            </w:r>
          </w:p>
        </w:tc>
        <w:tc>
          <w:tcPr>
            <w:tcW w:w="1019" w:type="pct"/>
            <w:tcBorders>
              <w:tl2br w:val="nil"/>
              <w:tr2bl w:val="nil"/>
            </w:tcBorders>
            <w:shd w:val="clear" w:color="auto" w:fill="auto"/>
            <w:noWrap/>
            <w:vAlign w:val="center"/>
          </w:tcPr>
          <w:p w14:paraId="48165383">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75</w:t>
            </w:r>
          </w:p>
        </w:tc>
        <w:tc>
          <w:tcPr>
            <w:tcW w:w="1073" w:type="pct"/>
            <w:tcBorders>
              <w:tl2br w:val="nil"/>
              <w:tr2bl w:val="nil"/>
            </w:tcBorders>
            <w:shd w:val="clear" w:color="auto" w:fill="auto"/>
            <w:noWrap/>
            <w:vAlign w:val="center"/>
          </w:tcPr>
          <w:p w14:paraId="1B8EAA00">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249</w:t>
            </w:r>
          </w:p>
        </w:tc>
        <w:tc>
          <w:tcPr>
            <w:tcW w:w="1089" w:type="pct"/>
            <w:tcBorders>
              <w:tl2br w:val="nil"/>
              <w:tr2bl w:val="nil"/>
            </w:tcBorders>
            <w:shd w:val="clear" w:color="auto" w:fill="auto"/>
            <w:noWrap/>
            <w:vAlign w:val="center"/>
          </w:tcPr>
          <w:p w14:paraId="4B1C7A92">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365</w:t>
            </w:r>
          </w:p>
        </w:tc>
      </w:tr>
      <w:tr w14:paraId="70F6CF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87" w:type="pct"/>
            <w:vMerge w:val="continue"/>
            <w:tcBorders>
              <w:tl2br w:val="nil"/>
              <w:tr2bl w:val="nil"/>
            </w:tcBorders>
            <w:vAlign w:val="center"/>
          </w:tcPr>
          <w:p w14:paraId="24A1FC3B">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1130" w:type="pct"/>
            <w:tcBorders>
              <w:tl2br w:val="nil"/>
              <w:tr2bl w:val="nil"/>
            </w:tcBorders>
            <w:vAlign w:val="center"/>
          </w:tcPr>
          <w:p w14:paraId="755624C5">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单子叶植物</w:t>
            </w:r>
          </w:p>
        </w:tc>
        <w:tc>
          <w:tcPr>
            <w:tcW w:w="1019" w:type="pct"/>
            <w:tcBorders>
              <w:tl2br w:val="nil"/>
              <w:tr2bl w:val="nil"/>
            </w:tcBorders>
            <w:shd w:val="clear" w:color="auto" w:fill="auto"/>
            <w:noWrap/>
            <w:vAlign w:val="center"/>
          </w:tcPr>
          <w:p w14:paraId="04CD8265">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w:t>
            </w:r>
          </w:p>
        </w:tc>
        <w:tc>
          <w:tcPr>
            <w:tcW w:w="1073" w:type="pct"/>
            <w:tcBorders>
              <w:tl2br w:val="nil"/>
              <w:tr2bl w:val="nil"/>
            </w:tcBorders>
            <w:shd w:val="clear" w:color="auto" w:fill="auto"/>
            <w:noWrap/>
            <w:vAlign w:val="center"/>
          </w:tcPr>
          <w:p w14:paraId="5B1014A9">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59</w:t>
            </w:r>
          </w:p>
        </w:tc>
        <w:tc>
          <w:tcPr>
            <w:tcW w:w="1089" w:type="pct"/>
            <w:tcBorders>
              <w:tl2br w:val="nil"/>
              <w:tr2bl w:val="nil"/>
            </w:tcBorders>
            <w:shd w:val="clear" w:color="auto" w:fill="auto"/>
            <w:noWrap/>
            <w:vAlign w:val="center"/>
          </w:tcPr>
          <w:p w14:paraId="12F58B89">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85</w:t>
            </w:r>
          </w:p>
        </w:tc>
      </w:tr>
      <w:tr w14:paraId="4A8213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87" w:type="pct"/>
            <w:vMerge w:val="continue"/>
            <w:tcBorders>
              <w:tl2br w:val="nil"/>
              <w:tr2bl w:val="nil"/>
            </w:tcBorders>
            <w:vAlign w:val="center"/>
          </w:tcPr>
          <w:p w14:paraId="4772F09B">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1130" w:type="pct"/>
            <w:tcBorders>
              <w:tl2br w:val="nil"/>
              <w:tr2bl w:val="nil"/>
            </w:tcBorders>
            <w:vAlign w:val="center"/>
          </w:tcPr>
          <w:p w14:paraId="1F8548F2">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小计</w:t>
            </w:r>
          </w:p>
        </w:tc>
        <w:tc>
          <w:tcPr>
            <w:tcW w:w="1019" w:type="pct"/>
            <w:tcBorders>
              <w:tl2br w:val="nil"/>
              <w:tr2bl w:val="nil"/>
            </w:tcBorders>
            <w:shd w:val="clear" w:color="auto" w:fill="auto"/>
            <w:noWrap/>
            <w:vAlign w:val="center"/>
          </w:tcPr>
          <w:p w14:paraId="574C2F33">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84</w:t>
            </w:r>
          </w:p>
        </w:tc>
        <w:tc>
          <w:tcPr>
            <w:tcW w:w="1073" w:type="pct"/>
            <w:tcBorders>
              <w:tl2br w:val="nil"/>
              <w:tr2bl w:val="nil"/>
            </w:tcBorders>
            <w:shd w:val="clear" w:color="auto" w:fill="auto"/>
            <w:noWrap/>
            <w:vAlign w:val="center"/>
          </w:tcPr>
          <w:p w14:paraId="20BB95B7">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308</w:t>
            </w:r>
          </w:p>
        </w:tc>
        <w:tc>
          <w:tcPr>
            <w:tcW w:w="1089" w:type="pct"/>
            <w:tcBorders>
              <w:tl2br w:val="nil"/>
              <w:tr2bl w:val="nil"/>
            </w:tcBorders>
            <w:shd w:val="clear" w:color="auto" w:fill="auto"/>
            <w:noWrap/>
            <w:vAlign w:val="center"/>
          </w:tcPr>
          <w:p w14:paraId="576B4D51">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450</w:t>
            </w:r>
          </w:p>
        </w:tc>
      </w:tr>
      <w:tr w14:paraId="180593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18" w:type="pct"/>
            <w:gridSpan w:val="2"/>
            <w:tcBorders>
              <w:tl2br w:val="nil"/>
              <w:tr2bl w:val="nil"/>
            </w:tcBorders>
            <w:shd w:val="clear" w:color="auto" w:fill="auto"/>
            <w:noWrap/>
            <w:vAlign w:val="center"/>
          </w:tcPr>
          <w:p w14:paraId="7B2CAE31">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合 计</w:t>
            </w:r>
          </w:p>
        </w:tc>
        <w:tc>
          <w:tcPr>
            <w:tcW w:w="1019" w:type="pct"/>
            <w:tcBorders>
              <w:tl2br w:val="nil"/>
              <w:tr2bl w:val="nil"/>
            </w:tcBorders>
            <w:shd w:val="clear" w:color="auto" w:fill="auto"/>
            <w:noWrap/>
            <w:vAlign w:val="center"/>
          </w:tcPr>
          <w:p w14:paraId="7C2399D7">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98</w:t>
            </w:r>
          </w:p>
        </w:tc>
        <w:tc>
          <w:tcPr>
            <w:tcW w:w="1073" w:type="pct"/>
            <w:tcBorders>
              <w:tl2br w:val="nil"/>
              <w:tr2bl w:val="nil"/>
            </w:tcBorders>
            <w:shd w:val="clear" w:color="auto" w:fill="auto"/>
            <w:noWrap/>
            <w:vAlign w:val="center"/>
          </w:tcPr>
          <w:p w14:paraId="7CD1B9AC">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327</w:t>
            </w:r>
          </w:p>
        </w:tc>
        <w:tc>
          <w:tcPr>
            <w:tcW w:w="1089" w:type="pct"/>
            <w:tcBorders>
              <w:tl2br w:val="nil"/>
              <w:tr2bl w:val="nil"/>
            </w:tcBorders>
            <w:shd w:val="clear" w:color="auto" w:fill="auto"/>
            <w:noWrap/>
            <w:vAlign w:val="center"/>
          </w:tcPr>
          <w:p w14:paraId="14CD0355">
            <w:pPr>
              <w:widowControl/>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475</w:t>
            </w:r>
          </w:p>
        </w:tc>
      </w:tr>
    </w:tbl>
    <w:p w14:paraId="28F82AC8">
      <w:pPr>
        <w:widowControl/>
        <w:spacing w:after="0" w:line="360" w:lineRule="atLeast"/>
        <w:ind w:firstLine="480"/>
        <w:jc w:val="left"/>
        <w:rPr>
          <w:rFonts w:hint="default" w:ascii="Times New Roman" w:hAnsi="Times New Roman" w:cs="Times New Roman"/>
          <w:color w:val="auto"/>
          <w:szCs w:val="24"/>
        </w:rPr>
      </w:pPr>
      <w:r>
        <w:rPr>
          <w:rFonts w:hint="default" w:ascii="Times New Roman" w:hAnsi="Times New Roman" w:eastAsia="宋体" w:cs="Times New Roman"/>
          <w:color w:val="auto"/>
          <w:kern w:val="0"/>
          <w:szCs w:val="24"/>
          <w:lang w:bidi="ar"/>
        </w:rPr>
        <w:t>评价区维管束植物名录见附录。</w:t>
      </w:r>
    </w:p>
    <w:p w14:paraId="538E049C">
      <w:pPr>
        <w:adjustRightInd w:val="0"/>
        <w:snapToGrid w:val="0"/>
        <w:spacing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（2）资源植物</w:t>
      </w:r>
    </w:p>
    <w:p w14:paraId="0A53B93B">
      <w:pPr>
        <w:adjustRightInd w:val="0"/>
        <w:snapToGrid w:val="0"/>
        <w:spacing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评价区内分布有一定数量的资源植物，但大多数的资源植物资源蕴藏量不高，没有深加工和大规模开发的条件，很多的资源植物仅限于当地居民在日常生活中少量采集利用，或者仅仅记载于一些文献。评价区内分布的主要资源植物有以下种类：</w:t>
      </w:r>
    </w:p>
    <w:p w14:paraId="48F5B6C5">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①用材植物常见的材用植物有以下种类：云南松、旱冬瓜、华山松等。</w:t>
      </w:r>
    </w:p>
    <w:p w14:paraId="15716F19">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②药用植物该地区由于气候干旱，现存植被多为干旱灌丛等为单优种的草丛，药用植物种类稀少，仅有少数耐旱的种类，常见的有凤尾蕨、葛等。这些常见的药用植物均呈零星散布，考察中未发现集中成规模分布的种类；另一方面，这些种类在云南省其他多数地区均有分布。</w:t>
      </w:r>
    </w:p>
    <w:p w14:paraId="3BBFC928">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③淀粉植物多为栽培植物，如玉米等。</w:t>
      </w:r>
    </w:p>
    <w:p w14:paraId="4794CA6A">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④花卉及绿化植物多为一些在干旱河谷常见种类，这些种类分布范围较广。种类相对较少。</w:t>
      </w:r>
    </w:p>
    <w:p w14:paraId="322617E7">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⑤油脂和香料植物此两类资源植物种类少，多为栽培植物。常见的香料植物有香薷等。</w:t>
      </w:r>
    </w:p>
    <w:p w14:paraId="7A6FD91F">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⑥野生蔬菜及水果种类较少，常见的有蛇葡萄、野草莓等。</w:t>
      </w:r>
    </w:p>
    <w:p w14:paraId="2FE98328">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⑦工业原料资源植物主要指鞣料植物、树脂植物、树胶植物等三类资源植物。常见种类有苎麻等。</w:t>
      </w:r>
    </w:p>
    <w:p w14:paraId="4B984FB3">
      <w:pPr>
        <w:adjustRightInd w:val="0"/>
        <w:snapToGrid w:val="0"/>
        <w:spacing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（3）区系特征</w:t>
      </w:r>
    </w:p>
    <w:p w14:paraId="2D3655AD">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bCs/>
          <w:color w:val="auto"/>
          <w:szCs w:val="24"/>
        </w:rPr>
        <w:t>评价区位于云南省东北部，处于四川盆地西南部向云南高原东北部过渡的高原倾斜面上，地貌上属乌蒙山地区的中山河谷地貌，为云南亚热带东部地带的滇东北边沿中山河谷区。</w:t>
      </w:r>
      <w:r>
        <w:rPr>
          <w:rFonts w:hint="default" w:ascii="Times New Roman" w:hAnsi="Times New Roman" w:eastAsia="宋体" w:cs="Times New Roman"/>
          <w:color w:val="auto"/>
          <w:szCs w:val="24"/>
        </w:rPr>
        <w:t>根据中国种子植物区系区划，评价区域属于东亚植物区（Ⅲ）、中国—日本森林植物亚区（ⅢD）、华中地区（ⅢD10）、贵州高原亚地区（ⅢD10d）。该区域地处中国—日本森林植物亚区（ⅢD）和中国-喜马拉雅植物亚区（ⅢE）的</w:t>
      </w:r>
      <w:r>
        <w:rPr>
          <w:rFonts w:hint="eastAsia" w:ascii="Times New Roman" w:hAnsi="Times New Roman" w:eastAsia="宋体" w:cs="Times New Roman"/>
          <w:color w:val="auto"/>
          <w:szCs w:val="24"/>
          <w:lang w:eastAsia="zh-CN"/>
        </w:rPr>
        <w:t>过渡</w:t>
      </w:r>
      <w:r>
        <w:rPr>
          <w:rFonts w:hint="default" w:ascii="Times New Roman" w:hAnsi="Times New Roman" w:eastAsia="宋体" w:cs="Times New Roman"/>
          <w:color w:val="auto"/>
          <w:szCs w:val="24"/>
        </w:rPr>
        <w:t>地段，植物区系成分较为复杂。</w:t>
      </w:r>
    </w:p>
    <w:p w14:paraId="2C5969FA">
      <w:pPr>
        <w:pStyle w:val="6"/>
        <w:adjustRightInd w:val="0"/>
        <w:snapToGrid w:val="0"/>
        <w:spacing w:line="440" w:lineRule="exact"/>
        <w:ind w:firstLine="482" w:firstLineChars="200"/>
        <w:rPr>
          <w:rFonts w:hint="default" w:ascii="Times New Roman" w:hAnsi="Times New Roman" w:cs="Times New Roman"/>
          <w:color w:val="auto"/>
        </w:rPr>
      </w:pPr>
      <w:r>
        <w:rPr>
          <w:rFonts w:hint="default" w:ascii="Times New Roman" w:hAnsi="Times New Roman" w:cs="Times New Roman"/>
          <w:color w:val="auto"/>
        </w:rPr>
        <w:t>2.3.5.2评价区重点野生植物现状</w:t>
      </w:r>
    </w:p>
    <w:p w14:paraId="7D436A7E">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（1）重点保护野生植物</w:t>
      </w:r>
    </w:p>
    <w:p w14:paraId="1E595957">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根据《国家重点保护野生植物名录（2021版）》《云南省各州市分布的国家重点保护野生动植物名录（2021年）》（云南省林业和草原局，2022年10月12日）及《云南省重点保护野生植物名录》（云南省人民政府，2023年12月），评价区范围内未发现国家级、云南省级保护野生植物。</w:t>
      </w:r>
    </w:p>
    <w:p w14:paraId="64C511EE">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（2）古树名木</w:t>
      </w:r>
    </w:p>
    <w:p w14:paraId="774DC18E">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据云南省林业厅文件云林保护字〔1996〕65号《关于印发云南省古树名木名录的通知》和实地走访，在评价范围内没有发现古树名木分布。</w:t>
      </w:r>
    </w:p>
    <w:p w14:paraId="7D076C94">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（3）珍稀濒危野生植物</w:t>
      </w:r>
    </w:p>
    <w:p w14:paraId="20DD5DAF">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依据《中国生物多样性红色名录 高等植物卷》（生态环境部、中国科学院，2023年第15号），参考项目所在地有关珍稀濒危植物及其分布的相关资料，根据标本及文献资料查证，野外实地调查及访问调查，现阶段在评价区未发现有极危、濒危、易危植物分布。</w:t>
      </w:r>
    </w:p>
    <w:p w14:paraId="675FB60C">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（4）极小种群物种</w:t>
      </w:r>
    </w:p>
    <w:p w14:paraId="5DD7E265">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根据现场调查，并结合《全国极小种群野生植物拯救保护工程规划（2011—2015年）》和《云南省极小种群物种拯救保护规划纲要（2010—2020年）》中颁布的极小种群野生植物名单，调查区未发现极小种群野生植物分布。</w:t>
      </w:r>
    </w:p>
    <w:p w14:paraId="3E151615">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（5）外来入侵植物</w:t>
      </w:r>
    </w:p>
    <w:p w14:paraId="678830CD">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根据《云南省外来入侵物种名录（2019版）》（云南省生态环境厅等，2019年），参考本项目所在行政区内关于外来入侵植物的相关资料，通过现场实地调查期间，在评价区发现有紫茎泽兰</w:t>
      </w:r>
      <w:r>
        <w:rPr>
          <w:rFonts w:hint="default" w:ascii="Times New Roman" w:hAnsi="Times New Roman" w:eastAsia="宋体" w:cs="Times New Roman"/>
          <w:i/>
          <w:iCs/>
          <w:color w:val="auto"/>
          <w:szCs w:val="24"/>
        </w:rPr>
        <w:t>Ageratina adenophora</w:t>
      </w:r>
      <w:r>
        <w:rPr>
          <w:rFonts w:hint="default" w:ascii="Times New Roman" w:hAnsi="Times New Roman" w:eastAsia="宋体" w:cs="Times New Roman"/>
          <w:color w:val="auto"/>
          <w:szCs w:val="24"/>
        </w:rPr>
        <w:t>、白酒草</w:t>
      </w:r>
      <w:r>
        <w:rPr>
          <w:rFonts w:hint="default" w:ascii="Times New Roman" w:hAnsi="Times New Roman" w:eastAsia="宋体" w:cs="Times New Roman"/>
          <w:i/>
          <w:iCs/>
          <w:color w:val="auto"/>
          <w:szCs w:val="24"/>
        </w:rPr>
        <w:t>Eschenbachia japonica</w:t>
      </w:r>
      <w:r>
        <w:rPr>
          <w:rFonts w:hint="default" w:ascii="Times New Roman" w:hAnsi="Times New Roman" w:eastAsia="宋体" w:cs="Times New Roman"/>
          <w:color w:val="auto"/>
          <w:szCs w:val="24"/>
        </w:rPr>
        <w:t> 、革命菜</w:t>
      </w:r>
      <w:r>
        <w:rPr>
          <w:rFonts w:hint="default" w:ascii="Times New Roman" w:hAnsi="Times New Roman" w:eastAsia="宋体" w:cs="Times New Roman"/>
          <w:i/>
          <w:iCs/>
          <w:color w:val="auto"/>
          <w:szCs w:val="24"/>
        </w:rPr>
        <w:t>Crassocephalum crepidioides</w:t>
      </w:r>
      <w:r>
        <w:rPr>
          <w:rFonts w:hint="default" w:ascii="Times New Roman" w:hAnsi="Times New Roman" w:eastAsia="宋体" w:cs="Times New Roman"/>
          <w:color w:val="auto"/>
          <w:szCs w:val="24"/>
        </w:rPr>
        <w:t>、牛膝菊</w:t>
      </w:r>
      <w:r>
        <w:rPr>
          <w:rFonts w:hint="default" w:ascii="Times New Roman" w:hAnsi="Times New Roman" w:eastAsia="宋体" w:cs="Times New Roman"/>
          <w:i/>
          <w:iCs/>
          <w:color w:val="auto"/>
          <w:szCs w:val="24"/>
        </w:rPr>
        <w:t>Galinsoga parviflora</w:t>
      </w:r>
      <w:r>
        <w:rPr>
          <w:rFonts w:hint="default" w:ascii="Times New Roman" w:hAnsi="Times New Roman" w:eastAsia="宋体" w:cs="Times New Roman"/>
          <w:color w:val="auto"/>
          <w:szCs w:val="24"/>
        </w:rPr>
        <w:t>、牛膝菊、鬼针草</w:t>
      </w:r>
      <w:r>
        <w:rPr>
          <w:rFonts w:hint="default" w:ascii="Times New Roman" w:hAnsi="Times New Roman" w:eastAsia="宋体" w:cs="Times New Roman"/>
          <w:i/>
          <w:iCs/>
          <w:color w:val="auto"/>
          <w:szCs w:val="24"/>
        </w:rPr>
        <w:t>Biden spilosa</w:t>
      </w:r>
      <w:r>
        <w:rPr>
          <w:rFonts w:hint="default" w:ascii="Times New Roman" w:hAnsi="Times New Roman" w:eastAsia="宋体" w:cs="Times New Roman"/>
          <w:color w:val="auto"/>
          <w:szCs w:val="24"/>
        </w:rPr>
        <w:t>等5种外来入侵种分布，均生于开阔、空旷、森林郁闭度显著降低、人畜干扰活动频繁的区域。</w:t>
      </w:r>
    </w:p>
    <w:p w14:paraId="6EC5059B">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 xml:space="preserve">紫茎泽兰为菊科多年生草本植物，是世界上危害最严重的100种外来入侵种之一。在云南南部、西南部、东南部和中部入侵情况十分严重。在本项目评价区，紫茎泽兰也是严重的入侵植物，十分常见，尤其在上层乔木郁闭度小于70%的林地、灌木林地、旷野、林缘等生境。现场调查时，绝大部分塔基范围出现了紫茎泽兰，这些区域都受到了较强的人为活动影响。 </w:t>
      </w:r>
    </w:p>
    <w:p w14:paraId="1775030C">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鬼针草为菊科多年生草本植物，是世界上危害最严重的100种外来入侵种之一。原产于南美洲和中美洲，现广布于亚洲和美洲的热带和亚热带地区；在中国华东、华中、华南、西南各省区均有分布，在本项目评价区，鬼针草也是严重的入侵植物，十分常见，包括灌木草丛、灌木林地、旷野、林缘等生境均有出现。现场调查时，绝大部分调查范围的山坡、林缘均出现了鬼针草。</w:t>
      </w:r>
    </w:p>
    <w:p w14:paraId="7F02A106">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白酒草为菊科白酒草属的一年生或二年生草本植物。原产北美，常生长于山谷田边、山坡草地或林缘及海拔700-2500米处。</w:t>
      </w:r>
    </w:p>
    <w:p w14:paraId="22E84FD4">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革命菜为菊科野茼蒿属的直立草本植物。原产热带非洲，现在中国云南的大部分地区及西南、华中、华东、华南均有分布。</w:t>
      </w:r>
    </w:p>
    <w:p w14:paraId="454B3A2D">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牛膝菊为菊科牛膝菊属的一年生草本。原产于南美，在中国分布于四川、云南、贵州、西藏等地区。</w:t>
      </w:r>
    </w:p>
    <w:p w14:paraId="78D75F83">
      <w:pPr>
        <w:pStyle w:val="6"/>
        <w:adjustRightInd w:val="0"/>
        <w:snapToGrid w:val="0"/>
        <w:spacing w:line="440" w:lineRule="exact"/>
        <w:ind w:firstLine="482" w:firstLineChars="200"/>
        <w:rPr>
          <w:rFonts w:hint="default" w:ascii="Times New Roman" w:hAnsi="Times New Roman" w:cs="Times New Roman"/>
          <w:color w:val="auto"/>
        </w:rPr>
      </w:pPr>
      <w:r>
        <w:rPr>
          <w:rFonts w:hint="default" w:ascii="Times New Roman" w:hAnsi="Times New Roman" w:cs="Times New Roman"/>
          <w:color w:val="auto"/>
        </w:rPr>
        <w:t>2.5.3.3评价区植物资源小结</w:t>
      </w:r>
    </w:p>
    <w:p w14:paraId="79781F78">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评价区共记录有维管植物</w:t>
      </w:r>
      <w:r>
        <w:rPr>
          <w:rFonts w:hint="default" w:ascii="Times New Roman" w:hAnsi="Times New Roman" w:eastAsia="宋体" w:cs="Times New Roman"/>
          <w:color w:val="auto"/>
          <w:szCs w:val="24"/>
          <w:lang w:val="zh-CN"/>
        </w:rPr>
        <w:t>475种（包含种下等级），隶属于</w:t>
      </w:r>
      <w:r>
        <w:rPr>
          <w:rFonts w:hint="default" w:ascii="Times New Roman" w:hAnsi="Times New Roman" w:eastAsia="宋体" w:cs="Times New Roman"/>
          <w:color w:val="auto"/>
          <w:szCs w:val="24"/>
        </w:rPr>
        <w:t>98</w:t>
      </w:r>
      <w:r>
        <w:rPr>
          <w:rFonts w:hint="default" w:ascii="Times New Roman" w:hAnsi="Times New Roman" w:eastAsia="宋体" w:cs="Times New Roman"/>
          <w:color w:val="auto"/>
          <w:szCs w:val="24"/>
          <w:lang w:val="zh-CN"/>
        </w:rPr>
        <w:t>科、</w:t>
      </w:r>
      <w:r>
        <w:rPr>
          <w:rFonts w:hint="default" w:ascii="Times New Roman" w:hAnsi="Times New Roman" w:eastAsia="宋体" w:cs="Times New Roman"/>
          <w:color w:val="auto"/>
          <w:szCs w:val="24"/>
        </w:rPr>
        <w:t>327</w:t>
      </w:r>
      <w:r>
        <w:rPr>
          <w:rFonts w:hint="default" w:ascii="Times New Roman" w:hAnsi="Times New Roman" w:eastAsia="宋体" w:cs="Times New Roman"/>
          <w:color w:val="auto"/>
          <w:szCs w:val="24"/>
          <w:lang w:val="zh-CN"/>
        </w:rPr>
        <w:t>属。其中蕨类植物有</w:t>
      </w:r>
      <w:r>
        <w:rPr>
          <w:rFonts w:hint="default" w:ascii="Times New Roman" w:hAnsi="Times New Roman" w:eastAsia="宋体" w:cs="Times New Roman"/>
          <w:color w:val="auto"/>
          <w:szCs w:val="24"/>
        </w:rPr>
        <w:t>11</w:t>
      </w:r>
      <w:r>
        <w:rPr>
          <w:rFonts w:hint="default" w:ascii="Times New Roman" w:hAnsi="Times New Roman" w:eastAsia="宋体" w:cs="Times New Roman"/>
          <w:color w:val="auto"/>
          <w:szCs w:val="24"/>
          <w:lang w:val="zh-CN"/>
        </w:rPr>
        <w:t>科、</w:t>
      </w:r>
      <w:r>
        <w:rPr>
          <w:rFonts w:hint="default" w:ascii="Times New Roman" w:hAnsi="Times New Roman" w:eastAsia="宋体" w:cs="Times New Roman"/>
          <w:color w:val="auto"/>
          <w:szCs w:val="24"/>
        </w:rPr>
        <w:t>15</w:t>
      </w:r>
      <w:r>
        <w:rPr>
          <w:rFonts w:hint="default" w:ascii="Times New Roman" w:hAnsi="Times New Roman" w:eastAsia="宋体" w:cs="Times New Roman"/>
          <w:color w:val="auto"/>
          <w:szCs w:val="24"/>
          <w:lang w:val="zh-CN"/>
        </w:rPr>
        <w:t>属、</w:t>
      </w:r>
      <w:r>
        <w:rPr>
          <w:rFonts w:hint="default" w:ascii="Times New Roman" w:hAnsi="Times New Roman" w:eastAsia="宋体" w:cs="Times New Roman"/>
          <w:color w:val="auto"/>
          <w:szCs w:val="24"/>
        </w:rPr>
        <w:t>20</w:t>
      </w:r>
      <w:r>
        <w:rPr>
          <w:rFonts w:hint="default" w:ascii="Times New Roman" w:hAnsi="Times New Roman" w:eastAsia="宋体" w:cs="Times New Roman"/>
          <w:color w:val="auto"/>
          <w:szCs w:val="24"/>
          <w:lang w:val="zh-CN"/>
        </w:rPr>
        <w:t>种；裸子植物有3科、4属、5种；被子植物有84科、308属、450种。</w:t>
      </w:r>
      <w:r>
        <w:rPr>
          <w:rFonts w:hint="default" w:ascii="Times New Roman" w:hAnsi="Times New Roman" w:eastAsia="宋体" w:cs="Times New Roman"/>
          <w:color w:val="auto"/>
          <w:szCs w:val="24"/>
        </w:rPr>
        <w:t>根据野外考察结果，本项目生态影响评价区范围内无国家级、云南省级野生保护植物，无珍稀濒危植物，无极小种群物种，无狭域特有物种，无名木古树分布。</w:t>
      </w:r>
    </w:p>
    <w:p w14:paraId="105C3A9A">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28" w:name="_Toc22823"/>
      <w:r>
        <w:rPr>
          <w:rFonts w:hint="default" w:ascii="Times New Roman" w:hAnsi="Times New Roman" w:cs="Times New Roman"/>
          <w:color w:val="auto"/>
          <w:sz w:val="24"/>
          <w:szCs w:val="24"/>
        </w:rPr>
        <w:t>2.3.6评价区植物群落调查结论</w:t>
      </w:r>
      <w:bookmarkEnd w:id="228"/>
    </w:p>
    <w:p w14:paraId="3D40F119">
      <w:pPr>
        <w:adjustRightInd w:val="0"/>
        <w:snapToGrid w:val="0"/>
        <w:spacing w:after="0" w:line="240" w:lineRule="auto"/>
        <w:ind w:firstLine="0" w:firstLineChars="0"/>
        <w:jc w:val="center"/>
        <w:rPr>
          <w:rFonts w:hint="default" w:ascii="Times New Roman" w:hAnsi="Times New Roman" w:eastAsia="宋体" w:cs="Times New Roman"/>
          <w:b/>
          <w:color w:val="auto"/>
          <w:szCs w:val="24"/>
        </w:rPr>
      </w:pPr>
      <w:r>
        <w:rPr>
          <w:rFonts w:hint="default" w:ascii="Times New Roman" w:hAnsi="Times New Roman" w:eastAsia="宋体" w:cs="Times New Roman"/>
          <w:b/>
          <w:color w:val="auto"/>
          <w:szCs w:val="24"/>
        </w:rPr>
        <w:t>表2.3-</w:t>
      </w:r>
      <w:r>
        <w:rPr>
          <w:rFonts w:hint="eastAsia" w:ascii="Times New Roman" w:hAnsi="Times New Roman" w:eastAsia="宋体" w:cs="Times New Roman"/>
          <w:b/>
          <w:color w:val="auto"/>
          <w:szCs w:val="24"/>
          <w:lang w:val="en-US" w:eastAsia="zh-CN"/>
        </w:rPr>
        <w:t>6</w:t>
      </w:r>
      <w:r>
        <w:rPr>
          <w:rFonts w:hint="default" w:ascii="Times New Roman" w:hAnsi="Times New Roman" w:eastAsia="宋体" w:cs="Times New Roman"/>
          <w:b/>
          <w:color w:val="auto"/>
          <w:szCs w:val="24"/>
        </w:rPr>
        <w:t xml:space="preserve">  植物群落调查一览表  单位：hm</w:t>
      </w:r>
      <w:r>
        <w:rPr>
          <w:rFonts w:hint="default" w:ascii="Times New Roman" w:hAnsi="Times New Roman" w:eastAsia="宋体" w:cs="Times New Roman"/>
          <w:b/>
          <w:color w:val="auto"/>
          <w:szCs w:val="24"/>
          <w:vertAlign w:val="superscript"/>
        </w:rPr>
        <w:t>2</w:t>
      </w:r>
    </w:p>
    <w:tbl>
      <w:tblPr>
        <w:tblStyle w:val="133"/>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76"/>
        <w:gridCol w:w="1427"/>
        <w:gridCol w:w="1152"/>
        <w:gridCol w:w="1275"/>
        <w:gridCol w:w="1795"/>
        <w:gridCol w:w="1045"/>
        <w:gridCol w:w="949"/>
      </w:tblGrid>
      <w:tr w14:paraId="135782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vMerge w:val="restart"/>
            <w:tcBorders>
              <w:tl2br w:val="nil"/>
              <w:tr2bl w:val="nil"/>
            </w:tcBorders>
            <w:vAlign w:val="center"/>
          </w:tcPr>
          <w:p w14:paraId="7F6E2D09">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植被型组</w:t>
            </w:r>
          </w:p>
        </w:tc>
        <w:tc>
          <w:tcPr>
            <w:tcW w:w="837" w:type="pct"/>
            <w:vMerge w:val="restart"/>
            <w:tcBorders>
              <w:tl2br w:val="nil"/>
              <w:tr2bl w:val="nil"/>
            </w:tcBorders>
            <w:vAlign w:val="center"/>
          </w:tcPr>
          <w:p w14:paraId="40C2B41F">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植被型</w:t>
            </w:r>
          </w:p>
        </w:tc>
        <w:tc>
          <w:tcPr>
            <w:tcW w:w="676" w:type="pct"/>
            <w:vMerge w:val="restart"/>
            <w:tcBorders>
              <w:tl2br w:val="nil"/>
              <w:tr2bl w:val="nil"/>
            </w:tcBorders>
            <w:vAlign w:val="center"/>
          </w:tcPr>
          <w:p w14:paraId="0884DADD">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植被亚型</w:t>
            </w:r>
          </w:p>
        </w:tc>
        <w:tc>
          <w:tcPr>
            <w:tcW w:w="748" w:type="pct"/>
            <w:vMerge w:val="restart"/>
            <w:tcBorders>
              <w:tl2br w:val="nil"/>
              <w:tr2bl w:val="nil"/>
            </w:tcBorders>
            <w:vAlign w:val="center"/>
          </w:tcPr>
          <w:p w14:paraId="6BCCFC57">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群系</w:t>
            </w:r>
          </w:p>
        </w:tc>
        <w:tc>
          <w:tcPr>
            <w:tcW w:w="1053" w:type="pct"/>
            <w:vMerge w:val="restart"/>
            <w:tcBorders>
              <w:tl2br w:val="nil"/>
              <w:tr2bl w:val="nil"/>
            </w:tcBorders>
            <w:vAlign w:val="center"/>
          </w:tcPr>
          <w:p w14:paraId="31F98E51">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分布区域</w:t>
            </w:r>
          </w:p>
        </w:tc>
        <w:tc>
          <w:tcPr>
            <w:tcW w:w="1170" w:type="pct"/>
            <w:gridSpan w:val="2"/>
            <w:tcBorders>
              <w:tl2br w:val="nil"/>
              <w:tr2bl w:val="nil"/>
            </w:tcBorders>
            <w:vAlign w:val="center"/>
          </w:tcPr>
          <w:p w14:paraId="4DD584E1">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工程占用情况</w:t>
            </w:r>
          </w:p>
        </w:tc>
      </w:tr>
      <w:tr w14:paraId="04EA41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vMerge w:val="continue"/>
            <w:tcBorders>
              <w:tl2br w:val="nil"/>
              <w:tr2bl w:val="nil"/>
            </w:tcBorders>
            <w:vAlign w:val="center"/>
          </w:tcPr>
          <w:p w14:paraId="1F2AF642">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p>
        </w:tc>
        <w:tc>
          <w:tcPr>
            <w:tcW w:w="837" w:type="pct"/>
            <w:vMerge w:val="continue"/>
            <w:tcBorders>
              <w:tl2br w:val="nil"/>
              <w:tr2bl w:val="nil"/>
            </w:tcBorders>
            <w:vAlign w:val="center"/>
          </w:tcPr>
          <w:p w14:paraId="4E3614FF">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p>
        </w:tc>
        <w:tc>
          <w:tcPr>
            <w:tcW w:w="676" w:type="pct"/>
            <w:vMerge w:val="continue"/>
            <w:tcBorders>
              <w:tl2br w:val="nil"/>
              <w:tr2bl w:val="nil"/>
            </w:tcBorders>
            <w:vAlign w:val="center"/>
          </w:tcPr>
          <w:p w14:paraId="0BD05E5F">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p>
        </w:tc>
        <w:tc>
          <w:tcPr>
            <w:tcW w:w="748" w:type="pct"/>
            <w:vMerge w:val="continue"/>
            <w:tcBorders>
              <w:tl2br w:val="nil"/>
              <w:tr2bl w:val="nil"/>
            </w:tcBorders>
            <w:vAlign w:val="center"/>
          </w:tcPr>
          <w:p w14:paraId="53C10CEC">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p>
        </w:tc>
        <w:tc>
          <w:tcPr>
            <w:tcW w:w="1053" w:type="pct"/>
            <w:vMerge w:val="continue"/>
            <w:tcBorders>
              <w:tl2br w:val="nil"/>
              <w:tr2bl w:val="nil"/>
            </w:tcBorders>
            <w:vAlign w:val="center"/>
          </w:tcPr>
          <w:p w14:paraId="30198C3B">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p>
        </w:tc>
        <w:tc>
          <w:tcPr>
            <w:tcW w:w="613" w:type="pct"/>
            <w:tcBorders>
              <w:tl2br w:val="nil"/>
              <w:tr2bl w:val="nil"/>
            </w:tcBorders>
            <w:vAlign w:val="center"/>
          </w:tcPr>
          <w:p w14:paraId="5F258CBF">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占用面积（hm²）</w:t>
            </w:r>
          </w:p>
        </w:tc>
        <w:tc>
          <w:tcPr>
            <w:tcW w:w="556" w:type="pct"/>
            <w:tcBorders>
              <w:tl2br w:val="nil"/>
              <w:tr2bl w:val="nil"/>
            </w:tcBorders>
            <w:vAlign w:val="center"/>
          </w:tcPr>
          <w:p w14:paraId="3E956902">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占用比例（%）</w:t>
            </w:r>
          </w:p>
        </w:tc>
      </w:tr>
      <w:tr w14:paraId="614C3F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14" w:type="pct"/>
            <w:vMerge w:val="restart"/>
            <w:tcBorders>
              <w:tl2br w:val="nil"/>
              <w:tr2bl w:val="nil"/>
            </w:tcBorders>
            <w:vAlign w:val="center"/>
          </w:tcPr>
          <w:p w14:paraId="29E37C8D">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A.天然植被</w:t>
            </w:r>
          </w:p>
        </w:tc>
        <w:tc>
          <w:tcPr>
            <w:tcW w:w="837" w:type="pct"/>
            <w:tcBorders>
              <w:tl2br w:val="nil"/>
              <w:tr2bl w:val="nil"/>
            </w:tcBorders>
            <w:shd w:val="clear" w:color="auto" w:fill="auto"/>
            <w:vAlign w:val="center"/>
          </w:tcPr>
          <w:p w14:paraId="172DEB44">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一、针叶林</w:t>
            </w:r>
          </w:p>
        </w:tc>
        <w:tc>
          <w:tcPr>
            <w:tcW w:w="676" w:type="pct"/>
            <w:tcBorders>
              <w:tl2br w:val="nil"/>
              <w:tr2bl w:val="nil"/>
            </w:tcBorders>
            <w:shd w:val="clear" w:color="auto" w:fill="auto"/>
            <w:vAlign w:val="center"/>
          </w:tcPr>
          <w:p w14:paraId="57A75277">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（I）暖性针叶林</w:t>
            </w:r>
          </w:p>
        </w:tc>
        <w:tc>
          <w:tcPr>
            <w:tcW w:w="748" w:type="pct"/>
            <w:tcBorders>
              <w:tl2br w:val="nil"/>
              <w:tr2bl w:val="nil"/>
            </w:tcBorders>
            <w:vAlign w:val="center"/>
          </w:tcPr>
          <w:p w14:paraId="49137300">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1、暖温性针叶林</w:t>
            </w:r>
          </w:p>
        </w:tc>
        <w:tc>
          <w:tcPr>
            <w:tcW w:w="1053" w:type="pct"/>
            <w:tcBorders>
              <w:tl2br w:val="nil"/>
              <w:tr2bl w:val="nil"/>
            </w:tcBorders>
            <w:vAlign w:val="center"/>
          </w:tcPr>
          <w:p w14:paraId="0A2FA3B1">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山顶区域</w:t>
            </w:r>
          </w:p>
        </w:tc>
        <w:tc>
          <w:tcPr>
            <w:tcW w:w="613" w:type="pct"/>
            <w:tcBorders>
              <w:tl2br w:val="nil"/>
              <w:tr2bl w:val="nil"/>
            </w:tcBorders>
            <w:shd w:val="clear" w:color="auto" w:fill="auto"/>
            <w:vAlign w:val="center"/>
          </w:tcPr>
          <w:p w14:paraId="60A764DC">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0.43782</w:t>
            </w:r>
          </w:p>
        </w:tc>
        <w:tc>
          <w:tcPr>
            <w:tcW w:w="556" w:type="pct"/>
            <w:tcBorders>
              <w:tl2br w:val="nil"/>
              <w:tr2bl w:val="nil"/>
            </w:tcBorders>
            <w:shd w:val="clear" w:color="auto" w:fill="auto"/>
            <w:vAlign w:val="center"/>
          </w:tcPr>
          <w:p w14:paraId="10D54888">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w:t>
            </w:r>
            <w:r>
              <w:rPr>
                <w:rFonts w:hint="eastAsia"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rPr>
              <w:t xml:space="preserve"> </w:t>
            </w:r>
          </w:p>
        </w:tc>
      </w:tr>
      <w:tr w14:paraId="564200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14" w:type="pct"/>
            <w:vMerge w:val="continue"/>
            <w:tcBorders>
              <w:tl2br w:val="nil"/>
              <w:tr2bl w:val="nil"/>
            </w:tcBorders>
            <w:vAlign w:val="center"/>
          </w:tcPr>
          <w:p w14:paraId="452D173F">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p>
        </w:tc>
        <w:tc>
          <w:tcPr>
            <w:tcW w:w="837" w:type="pct"/>
            <w:tcBorders>
              <w:tl2br w:val="nil"/>
              <w:tr2bl w:val="nil"/>
            </w:tcBorders>
            <w:shd w:val="clear" w:color="auto" w:fill="auto"/>
            <w:vAlign w:val="center"/>
          </w:tcPr>
          <w:p w14:paraId="6DE1AE7D">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二、灌丛</w:t>
            </w:r>
          </w:p>
        </w:tc>
        <w:tc>
          <w:tcPr>
            <w:tcW w:w="676" w:type="pct"/>
            <w:tcBorders>
              <w:tl2br w:val="nil"/>
              <w:tr2bl w:val="nil"/>
            </w:tcBorders>
            <w:shd w:val="clear" w:color="auto" w:fill="auto"/>
            <w:vAlign w:val="center"/>
          </w:tcPr>
          <w:p w14:paraId="05EFF31D">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（Ⅱ）暖性石灰岩灌</w:t>
            </w:r>
          </w:p>
        </w:tc>
        <w:tc>
          <w:tcPr>
            <w:tcW w:w="748" w:type="pct"/>
            <w:tcBorders>
              <w:tl2br w:val="nil"/>
              <w:tr2bl w:val="nil"/>
            </w:tcBorders>
            <w:vAlign w:val="center"/>
          </w:tcPr>
          <w:p w14:paraId="614E6332">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2、马桑灌丛</w:t>
            </w:r>
          </w:p>
        </w:tc>
        <w:tc>
          <w:tcPr>
            <w:tcW w:w="1053" w:type="pct"/>
            <w:tcBorders>
              <w:tl2br w:val="nil"/>
              <w:tr2bl w:val="nil"/>
            </w:tcBorders>
            <w:vAlign w:val="center"/>
          </w:tcPr>
          <w:p w14:paraId="17404FD5">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石灰岩发育山坡</w:t>
            </w:r>
          </w:p>
        </w:tc>
        <w:tc>
          <w:tcPr>
            <w:tcW w:w="613" w:type="pct"/>
            <w:tcBorders>
              <w:tl2br w:val="nil"/>
              <w:tr2bl w:val="nil"/>
            </w:tcBorders>
            <w:shd w:val="clear" w:color="auto" w:fill="auto"/>
            <w:vAlign w:val="center"/>
          </w:tcPr>
          <w:p w14:paraId="1943499D">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w:t>
            </w:r>
          </w:p>
        </w:tc>
        <w:tc>
          <w:tcPr>
            <w:tcW w:w="556" w:type="pct"/>
            <w:tcBorders>
              <w:tl2br w:val="nil"/>
              <w:tr2bl w:val="nil"/>
            </w:tcBorders>
            <w:shd w:val="clear" w:color="auto" w:fill="auto"/>
            <w:vAlign w:val="center"/>
          </w:tcPr>
          <w:p w14:paraId="456BDE75">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0.00 </w:t>
            </w:r>
          </w:p>
        </w:tc>
      </w:tr>
      <w:tr w14:paraId="4B7A33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514" w:type="pct"/>
            <w:vMerge w:val="continue"/>
            <w:tcBorders>
              <w:tl2br w:val="nil"/>
              <w:tr2bl w:val="nil"/>
            </w:tcBorders>
            <w:vAlign w:val="center"/>
          </w:tcPr>
          <w:p w14:paraId="3D277693">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p>
        </w:tc>
        <w:tc>
          <w:tcPr>
            <w:tcW w:w="837" w:type="pct"/>
            <w:tcBorders>
              <w:tl2br w:val="nil"/>
              <w:tr2bl w:val="nil"/>
            </w:tcBorders>
            <w:shd w:val="clear" w:color="auto" w:fill="auto"/>
            <w:vAlign w:val="center"/>
          </w:tcPr>
          <w:p w14:paraId="2DFCB4E7">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三、稀树灌木草丛</w:t>
            </w:r>
          </w:p>
        </w:tc>
        <w:tc>
          <w:tcPr>
            <w:tcW w:w="676" w:type="pct"/>
            <w:tcBorders>
              <w:tl2br w:val="nil"/>
              <w:tr2bl w:val="nil"/>
            </w:tcBorders>
            <w:shd w:val="clear" w:color="auto" w:fill="auto"/>
            <w:vAlign w:val="center"/>
          </w:tcPr>
          <w:p w14:paraId="52B4D10B">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（Ⅲ）暖温性稀树灌木草丛</w:t>
            </w:r>
          </w:p>
        </w:tc>
        <w:tc>
          <w:tcPr>
            <w:tcW w:w="748" w:type="pct"/>
            <w:tcBorders>
              <w:tl2br w:val="nil"/>
              <w:tr2bl w:val="nil"/>
            </w:tcBorders>
            <w:vAlign w:val="center"/>
          </w:tcPr>
          <w:p w14:paraId="7DC465A3">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3、含云南松、苦刺花的中草草丛</w:t>
            </w:r>
          </w:p>
        </w:tc>
        <w:tc>
          <w:tcPr>
            <w:tcW w:w="1053" w:type="pct"/>
            <w:tcBorders>
              <w:tl2br w:val="nil"/>
              <w:tr2bl w:val="nil"/>
            </w:tcBorders>
            <w:vAlign w:val="center"/>
          </w:tcPr>
          <w:p w14:paraId="727C2BD4">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广泛分布于评价区内的荒坡、河道、旱地边缘周边</w:t>
            </w:r>
          </w:p>
        </w:tc>
        <w:tc>
          <w:tcPr>
            <w:tcW w:w="613" w:type="pct"/>
            <w:tcBorders>
              <w:tl2br w:val="nil"/>
              <w:tr2bl w:val="nil"/>
            </w:tcBorders>
            <w:shd w:val="clear" w:color="auto" w:fill="auto"/>
            <w:vAlign w:val="center"/>
          </w:tcPr>
          <w:p w14:paraId="20AA498C">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0.</w:t>
            </w:r>
            <w:r>
              <w:rPr>
                <w:rFonts w:hint="eastAsia" w:ascii="Times New Roman" w:hAnsi="Times New Roman" w:eastAsia="宋体" w:cs="Times New Roman"/>
                <w:color w:val="auto"/>
                <w:kern w:val="0"/>
                <w:sz w:val="21"/>
                <w:szCs w:val="21"/>
                <w:lang w:val="en-US" w:eastAsia="zh-CN"/>
              </w:rPr>
              <w:t>11</w:t>
            </w:r>
          </w:p>
        </w:tc>
        <w:tc>
          <w:tcPr>
            <w:tcW w:w="556" w:type="pct"/>
            <w:tcBorders>
              <w:tl2br w:val="nil"/>
              <w:tr2bl w:val="nil"/>
            </w:tcBorders>
            <w:shd w:val="clear" w:color="auto" w:fill="auto"/>
            <w:vAlign w:val="center"/>
          </w:tcPr>
          <w:p w14:paraId="3FD43822">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0.0</w:t>
            </w:r>
            <w:r>
              <w:rPr>
                <w:rFonts w:hint="eastAsia"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rPr>
              <w:t xml:space="preserve"> </w:t>
            </w:r>
          </w:p>
        </w:tc>
      </w:tr>
      <w:tr w14:paraId="2FF434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4" w:type="pct"/>
            <w:vMerge w:val="restart"/>
            <w:tcBorders>
              <w:tl2br w:val="nil"/>
              <w:tr2bl w:val="nil"/>
            </w:tcBorders>
            <w:vAlign w:val="center"/>
          </w:tcPr>
          <w:p w14:paraId="2A1BD267">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B.人工植被</w:t>
            </w:r>
          </w:p>
        </w:tc>
        <w:tc>
          <w:tcPr>
            <w:tcW w:w="837" w:type="pct"/>
            <w:tcBorders>
              <w:tl2br w:val="nil"/>
              <w:tr2bl w:val="nil"/>
            </w:tcBorders>
            <w:vAlign w:val="center"/>
          </w:tcPr>
          <w:p w14:paraId="08637943">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676" w:type="pct"/>
            <w:tcBorders>
              <w:tl2br w:val="nil"/>
              <w:tr2bl w:val="nil"/>
            </w:tcBorders>
            <w:vAlign w:val="center"/>
          </w:tcPr>
          <w:p w14:paraId="6B2FA986">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748" w:type="pct"/>
            <w:tcBorders>
              <w:tl2br w:val="nil"/>
              <w:tr2bl w:val="nil"/>
            </w:tcBorders>
            <w:vAlign w:val="center"/>
          </w:tcPr>
          <w:p w14:paraId="1E875DA3">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耕地农作物</w:t>
            </w:r>
          </w:p>
        </w:tc>
        <w:tc>
          <w:tcPr>
            <w:tcW w:w="1053" w:type="pct"/>
            <w:tcBorders>
              <w:tl2br w:val="nil"/>
              <w:tr2bl w:val="nil"/>
            </w:tcBorders>
            <w:vAlign w:val="center"/>
          </w:tcPr>
          <w:p w14:paraId="4A1FF5AE">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613" w:type="pct"/>
            <w:tcBorders>
              <w:tl2br w:val="nil"/>
              <w:tr2bl w:val="nil"/>
            </w:tcBorders>
            <w:shd w:val="clear" w:color="auto" w:fill="auto"/>
            <w:vAlign w:val="center"/>
          </w:tcPr>
          <w:p w14:paraId="4720E848">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0.06113</w:t>
            </w:r>
          </w:p>
        </w:tc>
        <w:tc>
          <w:tcPr>
            <w:tcW w:w="556" w:type="pct"/>
            <w:tcBorders>
              <w:tl2br w:val="nil"/>
              <w:tr2bl w:val="nil"/>
            </w:tcBorders>
            <w:shd w:val="clear" w:color="auto" w:fill="auto"/>
            <w:vAlign w:val="center"/>
          </w:tcPr>
          <w:p w14:paraId="547BE45A">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0.0</w:t>
            </w:r>
            <w:r>
              <w:rPr>
                <w:rFonts w:hint="eastAsia" w:ascii="Times New Roman" w:hAnsi="Times New Roman" w:eastAsia="宋体" w:cs="Times New Roman"/>
                <w:color w:val="auto"/>
                <w:kern w:val="0"/>
                <w:sz w:val="21"/>
                <w:szCs w:val="21"/>
                <w:lang w:val="en-US" w:eastAsia="zh-CN"/>
              </w:rPr>
              <w:t>3</w:t>
            </w:r>
            <w:r>
              <w:rPr>
                <w:rFonts w:hint="default" w:ascii="Times New Roman" w:hAnsi="Times New Roman" w:eastAsia="宋体" w:cs="Times New Roman"/>
                <w:color w:val="auto"/>
                <w:kern w:val="0"/>
                <w:sz w:val="21"/>
                <w:szCs w:val="21"/>
              </w:rPr>
              <w:t xml:space="preserve"> </w:t>
            </w:r>
          </w:p>
        </w:tc>
      </w:tr>
      <w:tr w14:paraId="2A0257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514" w:type="pct"/>
            <w:vMerge w:val="continue"/>
            <w:tcBorders>
              <w:tl2br w:val="nil"/>
              <w:tr2bl w:val="nil"/>
            </w:tcBorders>
            <w:vAlign w:val="center"/>
          </w:tcPr>
          <w:p w14:paraId="468EEA3E">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p>
        </w:tc>
        <w:tc>
          <w:tcPr>
            <w:tcW w:w="837" w:type="pct"/>
            <w:tcBorders>
              <w:tl2br w:val="nil"/>
              <w:tr2bl w:val="nil"/>
            </w:tcBorders>
            <w:vAlign w:val="center"/>
          </w:tcPr>
          <w:p w14:paraId="73BD1AE5">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676" w:type="pct"/>
            <w:tcBorders>
              <w:tl2br w:val="nil"/>
              <w:tr2bl w:val="nil"/>
            </w:tcBorders>
            <w:vAlign w:val="center"/>
          </w:tcPr>
          <w:p w14:paraId="38BDC33F">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748" w:type="pct"/>
            <w:tcBorders>
              <w:tl2br w:val="nil"/>
              <w:tr2bl w:val="nil"/>
            </w:tcBorders>
            <w:vAlign w:val="center"/>
          </w:tcPr>
          <w:p w14:paraId="62F80BB2">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园地</w:t>
            </w:r>
          </w:p>
        </w:tc>
        <w:tc>
          <w:tcPr>
            <w:tcW w:w="1053" w:type="pct"/>
            <w:tcBorders>
              <w:tl2br w:val="nil"/>
              <w:tr2bl w:val="nil"/>
            </w:tcBorders>
            <w:vAlign w:val="center"/>
          </w:tcPr>
          <w:p w14:paraId="60E59443">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613" w:type="pct"/>
            <w:tcBorders>
              <w:tl2br w:val="nil"/>
              <w:tr2bl w:val="nil"/>
            </w:tcBorders>
            <w:shd w:val="clear" w:color="auto" w:fill="auto"/>
            <w:vAlign w:val="center"/>
          </w:tcPr>
          <w:p w14:paraId="6275BE0E">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0</w:t>
            </w:r>
          </w:p>
        </w:tc>
        <w:tc>
          <w:tcPr>
            <w:tcW w:w="556" w:type="pct"/>
            <w:tcBorders>
              <w:tl2br w:val="nil"/>
              <w:tr2bl w:val="nil"/>
            </w:tcBorders>
            <w:shd w:val="clear" w:color="auto" w:fill="auto"/>
            <w:vAlign w:val="center"/>
          </w:tcPr>
          <w:p w14:paraId="5A09189E">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 xml:space="preserve">0.00 </w:t>
            </w:r>
          </w:p>
        </w:tc>
      </w:tr>
      <w:tr w14:paraId="64B6C5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514" w:type="pct"/>
            <w:vMerge w:val="continue"/>
            <w:tcBorders>
              <w:tl2br w:val="nil"/>
              <w:tr2bl w:val="nil"/>
            </w:tcBorders>
            <w:vAlign w:val="center"/>
          </w:tcPr>
          <w:p w14:paraId="36D2EFB5">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p>
        </w:tc>
        <w:tc>
          <w:tcPr>
            <w:tcW w:w="837" w:type="pct"/>
            <w:tcBorders>
              <w:tl2br w:val="nil"/>
              <w:tr2bl w:val="nil"/>
            </w:tcBorders>
            <w:vAlign w:val="center"/>
          </w:tcPr>
          <w:p w14:paraId="5542C600">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676" w:type="pct"/>
            <w:tcBorders>
              <w:tl2br w:val="nil"/>
              <w:tr2bl w:val="nil"/>
            </w:tcBorders>
            <w:vAlign w:val="center"/>
          </w:tcPr>
          <w:p w14:paraId="7DB2C045">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748" w:type="pct"/>
            <w:tcBorders>
              <w:tl2br w:val="nil"/>
              <w:tr2bl w:val="nil"/>
            </w:tcBorders>
            <w:vAlign w:val="center"/>
          </w:tcPr>
          <w:p w14:paraId="4D8701D7">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人工林</w:t>
            </w:r>
          </w:p>
        </w:tc>
        <w:tc>
          <w:tcPr>
            <w:tcW w:w="1053" w:type="pct"/>
            <w:tcBorders>
              <w:tl2br w:val="nil"/>
              <w:tr2bl w:val="nil"/>
            </w:tcBorders>
            <w:vAlign w:val="center"/>
          </w:tcPr>
          <w:p w14:paraId="4F5E68CD">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613" w:type="pct"/>
            <w:tcBorders>
              <w:tl2br w:val="nil"/>
              <w:tr2bl w:val="nil"/>
            </w:tcBorders>
            <w:shd w:val="clear" w:color="auto" w:fill="auto"/>
            <w:vAlign w:val="center"/>
          </w:tcPr>
          <w:p w14:paraId="73E75630">
            <w:pPr>
              <w:adjustRightInd w:val="0"/>
              <w:snapToGrid w:val="0"/>
              <w:spacing w:after="0" w:line="240" w:lineRule="auto"/>
              <w:ind w:firstLine="0" w:firstLineChars="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w:t>
            </w:r>
          </w:p>
        </w:tc>
        <w:tc>
          <w:tcPr>
            <w:tcW w:w="556" w:type="pct"/>
            <w:tcBorders>
              <w:tl2br w:val="nil"/>
              <w:tr2bl w:val="nil"/>
            </w:tcBorders>
            <w:shd w:val="clear" w:color="auto" w:fill="auto"/>
            <w:vAlign w:val="center"/>
          </w:tcPr>
          <w:p w14:paraId="0CE267DA">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0.00</w:t>
            </w:r>
          </w:p>
        </w:tc>
      </w:tr>
    </w:tbl>
    <w:p w14:paraId="52CE23E1">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229" w:name="_Toc5276"/>
      <w:bookmarkStart w:id="230" w:name="_Toc28799"/>
      <w:r>
        <w:rPr>
          <w:rFonts w:hint="default" w:ascii="Times New Roman" w:hAnsi="Times New Roman" w:eastAsia="宋体" w:cs="Times New Roman"/>
          <w:bCs w:val="0"/>
          <w:color w:val="auto"/>
          <w:kern w:val="0"/>
          <w:sz w:val="28"/>
          <w:szCs w:val="28"/>
          <w:lang w:val="zh-CN"/>
        </w:rPr>
        <w:t>2.4 陆生脊椎动物</w:t>
      </w:r>
      <w:bookmarkEnd w:id="229"/>
      <w:bookmarkEnd w:id="230"/>
    </w:p>
    <w:p w14:paraId="49435E9B">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31" w:name="_Toc28623"/>
      <w:r>
        <w:rPr>
          <w:rFonts w:hint="default" w:ascii="Times New Roman" w:hAnsi="Times New Roman" w:cs="Times New Roman"/>
          <w:color w:val="auto"/>
          <w:sz w:val="24"/>
          <w:szCs w:val="24"/>
        </w:rPr>
        <w:t>2.4.1 调查方法、范围及内容</w:t>
      </w:r>
      <w:bookmarkEnd w:id="231"/>
    </w:p>
    <w:p w14:paraId="3891416B">
      <w:pPr>
        <w:pStyle w:val="6"/>
        <w:adjustRightInd w:val="0"/>
        <w:snapToGrid w:val="0"/>
        <w:spacing w:line="440" w:lineRule="exact"/>
        <w:ind w:firstLine="482" w:firstLineChars="200"/>
        <w:rPr>
          <w:rFonts w:hint="default" w:ascii="Times New Roman" w:hAnsi="Times New Roman" w:cs="Times New Roman"/>
          <w:color w:val="auto"/>
        </w:rPr>
      </w:pPr>
      <w:r>
        <w:rPr>
          <w:rFonts w:hint="default" w:ascii="Times New Roman" w:hAnsi="Times New Roman" w:cs="Times New Roman"/>
          <w:color w:val="auto"/>
        </w:rPr>
        <w:t>2.4.1.1调查方法</w:t>
      </w:r>
    </w:p>
    <w:p w14:paraId="378768EF">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评价单位组织相关专家分别于2025年10月13日—10月20日、2026年4月12日-18日、2026年6月1日—6月5日，对评价区及邻近地区的陆栖脊椎动物进行了专业调查。在调查过程中，确定评价区内动物的种类、资源状况及生存状况，尤其是重点保护种类。调查方法主要有样线法、样点法、访问和资料查询。调查时间已涵盖动物迁徙、越冬、繁殖季节。</w:t>
      </w:r>
    </w:p>
    <w:p w14:paraId="3DFA3358">
      <w:pPr>
        <w:pStyle w:val="23"/>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ascii="Times New Roman" w:hAnsi="Times New Roman"/>
          <w:b/>
          <w:bCs/>
          <w:smallCaps w:val="0"/>
          <w:color w:val="auto"/>
          <w:sz w:val="24"/>
        </w:rPr>
      </w:pPr>
      <w:r>
        <w:rPr>
          <w:rFonts w:hint="eastAsia" w:ascii="Times New Roman" w:hAnsi="Times New Roman"/>
          <w:b/>
          <w:bCs/>
          <w:smallCaps w:val="0"/>
          <w:color w:val="auto"/>
          <w:sz w:val="24"/>
        </w:rPr>
        <w:t>表</w:t>
      </w:r>
      <w:r>
        <w:rPr>
          <w:rFonts w:hint="eastAsia" w:ascii="Times New Roman" w:hAnsi="Times New Roman"/>
          <w:b/>
          <w:bCs/>
          <w:smallCaps w:val="0"/>
          <w:color w:val="auto"/>
          <w:sz w:val="24"/>
          <w:lang w:val="en-US" w:eastAsia="zh-CN"/>
        </w:rPr>
        <w:t>2.4-1</w:t>
      </w:r>
      <w:r>
        <w:rPr>
          <w:rFonts w:hint="eastAsia" w:ascii="Times New Roman" w:hAnsi="Times New Roman"/>
          <w:b/>
          <w:bCs/>
          <w:smallCaps w:val="0"/>
          <w:color w:val="auto"/>
          <w:sz w:val="24"/>
        </w:rPr>
        <w:t xml:space="preserve">  陆生脊椎动物资源调查人员一览表</w:t>
      </w:r>
    </w:p>
    <w:tbl>
      <w:tblPr>
        <w:tblStyle w:val="160"/>
        <w:tblW w:w="840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1" w:type="dxa"/>
          <w:bottom w:w="0" w:type="dxa"/>
          <w:right w:w="51" w:type="dxa"/>
        </w:tblCellMar>
      </w:tblPr>
      <w:tblGrid>
        <w:gridCol w:w="4201"/>
        <w:gridCol w:w="4201"/>
      </w:tblGrid>
      <w:tr w14:paraId="23F404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0" w:type="auto"/>
            <w:tcBorders>
              <w:tl2br w:val="nil"/>
              <w:tr2bl w:val="nil"/>
            </w:tcBorders>
            <w:vAlign w:val="center"/>
          </w:tcPr>
          <w:p w14:paraId="5B903128">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center"/>
              <w:rPr>
                <w:rFonts w:hint="default" w:ascii="Times New Roman" w:hAnsi="Times New Roman" w:cs="Times New Roman" w:eastAsiaTheme="minorEastAsia"/>
                <w:b/>
                <w:bCs/>
                <w:color w:val="auto"/>
                <w:kern w:val="0"/>
                <w:sz w:val="21"/>
                <w:szCs w:val="21"/>
                <w:lang w:bidi="ar"/>
                <w14:ligatures w14:val="standardContextual"/>
              </w:rPr>
            </w:pPr>
            <w:r>
              <w:rPr>
                <w:rFonts w:hint="default" w:ascii="Times New Roman" w:hAnsi="Times New Roman" w:cs="Times New Roman" w:eastAsiaTheme="minorEastAsia"/>
                <w:b/>
                <w:bCs/>
                <w:color w:val="auto"/>
                <w:kern w:val="0"/>
                <w:sz w:val="21"/>
                <w:szCs w:val="21"/>
                <w:lang w:bidi="ar"/>
                <w14:ligatures w14:val="standardContextual"/>
              </w:rPr>
              <w:t>调查人员</w:t>
            </w:r>
          </w:p>
        </w:tc>
        <w:tc>
          <w:tcPr>
            <w:tcW w:w="4201" w:type="dxa"/>
            <w:tcBorders>
              <w:tl2br w:val="nil"/>
              <w:tr2bl w:val="nil"/>
            </w:tcBorders>
            <w:vAlign w:val="center"/>
          </w:tcPr>
          <w:p w14:paraId="45BAA260">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center"/>
              <w:rPr>
                <w:rFonts w:hint="default" w:ascii="Times New Roman" w:hAnsi="Times New Roman" w:cs="Times New Roman" w:eastAsiaTheme="minorEastAsia"/>
                <w:b/>
                <w:bCs/>
                <w:color w:val="auto"/>
                <w:kern w:val="0"/>
                <w:sz w:val="21"/>
                <w:szCs w:val="21"/>
                <w:lang w:bidi="ar"/>
                <w14:ligatures w14:val="standardContextual"/>
              </w:rPr>
            </w:pPr>
            <w:r>
              <w:rPr>
                <w:rFonts w:hint="default" w:ascii="Times New Roman" w:hAnsi="Times New Roman" w:cs="Times New Roman" w:eastAsiaTheme="minorEastAsia"/>
                <w:b/>
                <w:bCs/>
                <w:color w:val="auto"/>
                <w:kern w:val="0"/>
                <w:sz w:val="21"/>
                <w:szCs w:val="21"/>
                <w:lang w:bidi="ar"/>
                <w14:ligatures w14:val="standardContextual"/>
              </w:rPr>
              <w:t>涉及专业</w:t>
            </w:r>
          </w:p>
        </w:tc>
      </w:tr>
      <w:tr w14:paraId="607CE3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4201" w:type="dxa"/>
            <w:tcBorders>
              <w:tl2br w:val="nil"/>
              <w:tr2bl w:val="nil"/>
            </w:tcBorders>
            <w:vAlign w:val="center"/>
          </w:tcPr>
          <w:p w14:paraId="6357FBD6">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center"/>
              <w:rPr>
                <w:rFonts w:hint="default" w:ascii="Times New Roman" w:hAnsi="Times New Roman" w:cs="Times New Roman" w:eastAsiaTheme="minorEastAsia"/>
                <w:color w:val="auto"/>
                <w:kern w:val="0"/>
                <w:sz w:val="21"/>
                <w:szCs w:val="21"/>
                <w:lang w:bidi="ar"/>
                <w14:ligatures w14:val="standardContextual"/>
              </w:rPr>
            </w:pPr>
            <w:r>
              <w:rPr>
                <w:rFonts w:hint="default" w:ascii="Times New Roman" w:hAnsi="Times New Roman" w:cs="Times New Roman" w:eastAsiaTheme="minorEastAsia"/>
                <w:color w:val="auto"/>
                <w:kern w:val="0"/>
                <w:sz w:val="21"/>
                <w:szCs w:val="21"/>
                <w:lang w:bidi="ar"/>
                <w14:ligatures w14:val="standardContextual"/>
              </w:rPr>
              <w:t>李仕林</w:t>
            </w:r>
          </w:p>
        </w:tc>
        <w:tc>
          <w:tcPr>
            <w:tcW w:w="4201" w:type="dxa"/>
            <w:tcBorders>
              <w:tl2br w:val="nil"/>
              <w:tr2bl w:val="nil"/>
            </w:tcBorders>
            <w:vAlign w:val="center"/>
          </w:tcPr>
          <w:p w14:paraId="41652658">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center"/>
              <w:rPr>
                <w:rFonts w:hint="default" w:ascii="Times New Roman" w:hAnsi="Times New Roman" w:cs="Times New Roman" w:eastAsiaTheme="minorEastAsia"/>
                <w:color w:val="auto"/>
                <w:kern w:val="0"/>
                <w:sz w:val="21"/>
                <w:szCs w:val="21"/>
                <w:lang w:bidi="ar"/>
                <w14:ligatures w14:val="standardContextual"/>
              </w:rPr>
            </w:pPr>
            <w:r>
              <w:rPr>
                <w:rFonts w:hint="default" w:ascii="Times New Roman" w:hAnsi="Times New Roman" w:cs="Times New Roman" w:eastAsiaTheme="minorEastAsia"/>
                <w:color w:val="auto"/>
                <w:kern w:val="0"/>
                <w:sz w:val="21"/>
                <w:szCs w:val="21"/>
                <w:lang w:bidi="ar"/>
                <w14:ligatures w14:val="standardContextual"/>
              </w:rPr>
              <w:t>动物学</w:t>
            </w:r>
          </w:p>
        </w:tc>
      </w:tr>
      <w:tr w14:paraId="4AD44F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0" w:hRule="atLeast"/>
          <w:jc w:val="center"/>
        </w:trPr>
        <w:tc>
          <w:tcPr>
            <w:tcW w:w="4201" w:type="dxa"/>
            <w:tcBorders>
              <w:tl2br w:val="nil"/>
              <w:tr2bl w:val="nil"/>
            </w:tcBorders>
            <w:vAlign w:val="center"/>
          </w:tcPr>
          <w:p w14:paraId="7D4854F6">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center"/>
              <w:rPr>
                <w:rFonts w:hint="eastAsia" w:ascii="Times New Roman" w:hAnsi="Times New Roman" w:cs="Times New Roman" w:eastAsiaTheme="minorEastAsia"/>
                <w:color w:val="auto"/>
                <w:kern w:val="0"/>
                <w:sz w:val="21"/>
                <w:szCs w:val="21"/>
                <w:lang w:val="en-US" w:eastAsia="zh-CN" w:bidi="ar"/>
                <w14:ligatures w14:val="standardContextual"/>
              </w:rPr>
            </w:pPr>
            <w:r>
              <w:rPr>
                <w:rFonts w:hint="eastAsia" w:ascii="Times New Roman" w:hAnsi="Times New Roman" w:eastAsia="等线" w:cs="Times New Roman"/>
                <w:color w:val="auto"/>
                <w:kern w:val="0"/>
                <w:sz w:val="21"/>
                <w:szCs w:val="21"/>
                <w:lang w:val="en-US" w:eastAsia="zh-CN" w:bidi="ar"/>
                <w14:ligatures w14:val="standardContextual"/>
              </w:rPr>
              <w:t>胥昊</w:t>
            </w:r>
          </w:p>
        </w:tc>
        <w:tc>
          <w:tcPr>
            <w:tcW w:w="4201" w:type="dxa"/>
            <w:tcBorders>
              <w:tl2br w:val="nil"/>
              <w:tr2bl w:val="nil"/>
            </w:tcBorders>
            <w:vAlign w:val="center"/>
          </w:tcPr>
          <w:p w14:paraId="7E76E564">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center"/>
              <w:rPr>
                <w:rFonts w:hint="default" w:ascii="Times New Roman" w:hAnsi="Times New Roman" w:cs="Times New Roman" w:eastAsiaTheme="minorEastAsia"/>
                <w:color w:val="auto"/>
                <w:kern w:val="0"/>
                <w:sz w:val="21"/>
                <w:szCs w:val="21"/>
                <w:lang w:bidi="ar"/>
                <w14:ligatures w14:val="standardContextual"/>
              </w:rPr>
            </w:pPr>
            <w:r>
              <w:rPr>
                <w:rFonts w:hint="default" w:ascii="Times New Roman" w:hAnsi="Times New Roman" w:cs="Times New Roman" w:eastAsiaTheme="minorEastAsia"/>
                <w:color w:val="auto"/>
                <w:kern w:val="0"/>
                <w:sz w:val="21"/>
                <w:szCs w:val="21"/>
                <w:lang w:bidi="ar"/>
                <w14:ligatures w14:val="standardContextual"/>
              </w:rPr>
              <w:t>动物学</w:t>
            </w:r>
          </w:p>
        </w:tc>
      </w:tr>
    </w:tbl>
    <w:p w14:paraId="60D1621A">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（1）文献资料</w:t>
      </w:r>
    </w:p>
    <w:p w14:paraId="5BAD7202">
      <w:pPr>
        <w:keepNext w:val="0"/>
        <w:keepLines w:val="0"/>
        <w:pageBreakBefore w:val="0"/>
        <w:widowControl w:val="0"/>
        <w:kinsoku/>
        <w:wordWrap/>
        <w:overflowPunct/>
        <w:topLinePunct w:val="0"/>
        <w:autoSpaceDE/>
        <w:autoSpaceDN/>
        <w:bidi w:val="0"/>
        <w:adjustRightInd w:val="0"/>
        <w:snapToGrid w:val="0"/>
        <w:spacing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通过走访曲靖市、会泽县林草、生态环境、自然资源等主管部门，收集项目涉及区域现有生物多样性资料以及周边生态敏感区资料等。并参考《中国云南野生动物》（中国林业出版社，1994年）；《中国动物志（两栖纲、爬行纲、鸟纲、哺乳纲）》（科学出版社，1978—2006年）；《中国濒危动物红皮书（两栖类、爬行类、鸟类、兽类）》（科学出版社，1998年）等多篇专业著作及科研论文。</w:t>
      </w:r>
    </w:p>
    <w:p w14:paraId="27FBAC84">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（2）现场调查</w:t>
      </w:r>
    </w:p>
    <w:p w14:paraId="7D160C1B">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①两栖爬行类</w:t>
      </w:r>
    </w:p>
    <w:p w14:paraId="51DB64F0">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本次评价两栖爬行类动物调查以样线法为主。</w:t>
      </w:r>
    </w:p>
    <w:p w14:paraId="68BC3236">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②鸟类</w:t>
      </w:r>
    </w:p>
    <w:p w14:paraId="16DF3875">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鸟类现场调查主要采用样线法。通过设置的样线观察记数所见鸟类种类、数量以及痕迹，详细记录生境条件。对鸟类的数量等级采用路线统计法进行统计。</w:t>
      </w:r>
    </w:p>
    <w:p w14:paraId="0C859721">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③兽类</w:t>
      </w:r>
    </w:p>
    <w:p w14:paraId="7C03906C">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兽类主要采用现场环境调查，野外踪迹调查，包括：足迹链、窝迹、粪便，再结合访问调查确定种类及数量等。</w:t>
      </w:r>
    </w:p>
    <w:p w14:paraId="2FC86B5B">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（3）走访调查</w:t>
      </w:r>
    </w:p>
    <w:p w14:paraId="36CB6018">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访问当地居民、当地护林员、在山上放牧的群众和工作人员，了解当地陆生脊椎动物的种类及其分布情况。</w:t>
      </w:r>
    </w:p>
    <w:p w14:paraId="333250FC">
      <w:pPr>
        <w:pStyle w:val="6"/>
        <w:adjustRightInd w:val="0"/>
        <w:snapToGrid w:val="0"/>
        <w:spacing w:line="440" w:lineRule="exact"/>
        <w:ind w:firstLine="482" w:firstLineChars="200"/>
        <w:rPr>
          <w:rFonts w:hint="default" w:ascii="Times New Roman" w:hAnsi="Times New Roman" w:cs="Times New Roman"/>
          <w:color w:val="auto"/>
        </w:rPr>
      </w:pPr>
      <w:r>
        <w:rPr>
          <w:rFonts w:hint="default" w:ascii="Times New Roman" w:hAnsi="Times New Roman" w:cs="Times New Roman"/>
          <w:color w:val="auto"/>
        </w:rPr>
        <w:t>2.4.1.2调查范围</w:t>
      </w:r>
    </w:p>
    <w:p w14:paraId="2C59AC57">
      <w:pPr>
        <w:adjustRightInd w:val="0"/>
        <w:snapToGrid w:val="0"/>
        <w:spacing w:line="440" w:lineRule="exact"/>
        <w:ind w:firstLine="480"/>
        <w:rPr>
          <w:rFonts w:hint="default" w:ascii="Times New Roman" w:hAnsi="Times New Roman" w:cs="Times New Roman"/>
          <w:color w:val="auto"/>
        </w:rPr>
      </w:pPr>
      <w:r>
        <w:rPr>
          <w:rFonts w:hint="default" w:ascii="Times New Roman" w:hAnsi="Times New Roman" w:cs="Times New Roman"/>
          <w:color w:val="auto"/>
        </w:rPr>
        <w:t>野外调查工作的重点为线路跨越生态保护红线区域等受工程建设直接影响的区域，以及受近接影响的区域，其次是与评价区相邻的地区；主要调查区域海拔范围为1874-2648m，评价范围总面积共1072.183hm²。</w:t>
      </w:r>
    </w:p>
    <w:p w14:paraId="07354273">
      <w:pPr>
        <w:pStyle w:val="6"/>
        <w:adjustRightInd w:val="0"/>
        <w:snapToGrid w:val="0"/>
        <w:spacing w:line="440" w:lineRule="exact"/>
        <w:ind w:firstLine="482" w:firstLineChars="200"/>
        <w:rPr>
          <w:rFonts w:hint="default" w:ascii="Times New Roman" w:hAnsi="Times New Roman" w:cs="Times New Roman"/>
          <w:color w:val="auto"/>
        </w:rPr>
      </w:pPr>
      <w:r>
        <w:rPr>
          <w:rFonts w:hint="default" w:ascii="Times New Roman" w:hAnsi="Times New Roman" w:cs="Times New Roman"/>
          <w:color w:val="auto"/>
        </w:rPr>
        <w:t>2.4.1.3调查内容</w:t>
      </w:r>
    </w:p>
    <w:p w14:paraId="2142FC23">
      <w:pPr>
        <w:adjustRightInd w:val="0"/>
        <w:snapToGrid w:val="0"/>
        <w:spacing w:after="0" w:line="440" w:lineRule="exact"/>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主要调查评价区内的两栖类、爬行类、鸟类、兽类的种类，国家重点保护野生动物分布，云南省级重点保护野生动物分布情况。</w:t>
      </w:r>
    </w:p>
    <w:p w14:paraId="24C582EC">
      <w:pPr>
        <w:pStyle w:val="6"/>
        <w:adjustRightInd w:val="0"/>
        <w:snapToGrid w:val="0"/>
        <w:spacing w:line="440" w:lineRule="exact"/>
        <w:ind w:firstLine="482"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2.4.1.4调查样线设置情况</w:t>
      </w:r>
    </w:p>
    <w:p w14:paraId="5457ED15">
      <w:pPr>
        <w:adjustRightInd w:val="0"/>
        <w:snapToGrid w:val="0"/>
        <w:spacing w:line="440" w:lineRule="exact"/>
        <w:ind w:firstLine="480"/>
        <w:rPr>
          <w:rFonts w:hint="eastAsia" w:ascii="Times New Roman" w:hAnsi="Times New Roman" w:eastAsia="宋体" w:cs="Times New Roman"/>
          <w:color w:val="auto"/>
          <w:szCs w:val="24"/>
        </w:rPr>
      </w:pPr>
      <w:r>
        <w:rPr>
          <w:rFonts w:hint="eastAsia" w:ascii="Times New Roman" w:hAnsi="Times New Roman" w:eastAsia="宋体" w:cs="Times New Roman"/>
          <w:color w:val="auto"/>
          <w:szCs w:val="24"/>
        </w:rPr>
        <w:t>整体来说，陆生脊椎动物现状调查分</w:t>
      </w:r>
      <w:r>
        <w:rPr>
          <w:rFonts w:hint="eastAsia" w:ascii="Times New Roman" w:hAnsi="Times New Roman" w:eastAsia="宋体" w:cs="Times New Roman"/>
          <w:color w:val="auto"/>
          <w:szCs w:val="24"/>
          <w:lang w:val="en-US" w:eastAsia="zh-CN"/>
        </w:rPr>
        <w:t>3</w:t>
      </w:r>
      <w:r>
        <w:rPr>
          <w:rFonts w:hint="eastAsia" w:ascii="Times New Roman" w:hAnsi="Times New Roman" w:eastAsia="宋体" w:cs="Times New Roman"/>
          <w:color w:val="auto"/>
          <w:szCs w:val="24"/>
        </w:rPr>
        <w:t>期进行，设置样线</w:t>
      </w:r>
      <w:r>
        <w:rPr>
          <w:rFonts w:hint="eastAsia" w:ascii="Times New Roman" w:hAnsi="Times New Roman" w:eastAsia="宋体" w:cs="Times New Roman"/>
          <w:color w:val="auto"/>
          <w:szCs w:val="24"/>
          <w:lang w:val="en-US" w:eastAsia="zh-CN"/>
        </w:rPr>
        <w:t>6</w:t>
      </w:r>
      <w:r>
        <w:rPr>
          <w:rFonts w:hint="eastAsia" w:ascii="Times New Roman" w:hAnsi="Times New Roman" w:eastAsia="宋体" w:cs="Times New Roman"/>
          <w:color w:val="auto"/>
          <w:szCs w:val="24"/>
        </w:rPr>
        <w:t>条，涵盖了针叶林、人工林、灌草丛、农用地、水域、道路、居住地等</w:t>
      </w:r>
      <w:r>
        <w:rPr>
          <w:rFonts w:hint="eastAsia" w:ascii="Times New Roman" w:hAnsi="Times New Roman" w:eastAsia="宋体" w:cs="Times New Roman"/>
          <w:color w:val="auto"/>
          <w:szCs w:val="24"/>
          <w:lang w:val="en-US" w:eastAsia="zh-CN"/>
        </w:rPr>
        <w:t>7</w:t>
      </w:r>
      <w:r>
        <w:rPr>
          <w:rFonts w:hint="eastAsia" w:ascii="Times New Roman" w:hAnsi="Times New Roman" w:eastAsia="宋体" w:cs="Times New Roman"/>
          <w:color w:val="auto"/>
          <w:szCs w:val="24"/>
        </w:rPr>
        <w:t>种动物分布生境，记录沿途出现的野生动物种类及数量，涉及各个生境的样线均超过3条，满足生态导则二级评价要求。</w:t>
      </w:r>
    </w:p>
    <w:p w14:paraId="3DDD9BD2">
      <w:pPr>
        <w:spacing w:line="240" w:lineRule="auto"/>
        <w:ind w:firstLine="482"/>
        <w:jc w:val="center"/>
        <w:rPr>
          <w:rFonts w:hint="eastAsia" w:ascii="Times New Roman" w:hAnsi="Times New Roman" w:cs="Times New Roman"/>
          <w:b/>
          <w:bCs/>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8E1358C">
      <w:pPr>
        <w:spacing w:line="240" w:lineRule="auto"/>
        <w:ind w:firstLine="482"/>
        <w:jc w:val="center"/>
        <w:rPr>
          <w:rFonts w:ascii="Times New Roman" w:hAnsi="Times New Roman" w:cs="Times New Roman"/>
          <w:b/>
          <w:bCs/>
          <w:color w:val="auto"/>
        </w:rPr>
      </w:pPr>
      <w:r>
        <w:rPr>
          <w:rFonts w:hint="eastAsia" w:ascii="Times New Roman" w:hAnsi="Times New Roman" w:cs="Times New Roman"/>
          <w:b/>
          <w:bCs/>
          <w:color w:val="auto"/>
        </w:rPr>
        <w:t>表2.4-</w:t>
      </w:r>
      <w:r>
        <w:rPr>
          <w:rFonts w:hint="eastAsia" w:ascii="Times New Roman" w:hAnsi="Times New Roman" w:cs="Times New Roman"/>
          <w:b/>
          <w:bCs/>
          <w:color w:val="auto"/>
          <w:lang w:val="en-US" w:eastAsia="zh-CN"/>
        </w:rPr>
        <w:t>2</w:t>
      </w:r>
      <w:r>
        <w:rPr>
          <w:rFonts w:hint="eastAsia" w:ascii="Times New Roman" w:hAnsi="Times New Roman" w:cs="Times New Roman"/>
          <w:b/>
          <w:bCs/>
          <w:color w:val="auto"/>
        </w:rPr>
        <w:t xml:space="preserve">  动物调查样线设置一览表</w:t>
      </w:r>
    </w:p>
    <w:tbl>
      <w:tblPr>
        <w:tblStyle w:val="30"/>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2177"/>
        <w:gridCol w:w="1321"/>
        <w:gridCol w:w="1392"/>
        <w:gridCol w:w="2174"/>
        <w:gridCol w:w="2129"/>
        <w:gridCol w:w="2067"/>
        <w:gridCol w:w="1814"/>
      </w:tblGrid>
      <w:tr w14:paraId="570547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4" w:type="pct"/>
            <w:tcBorders>
              <w:tl2br w:val="nil"/>
              <w:tr2bl w:val="nil"/>
            </w:tcBorders>
            <w:shd w:val="clear" w:color="auto" w:fill="auto"/>
            <w:vAlign w:val="center"/>
          </w:tcPr>
          <w:p w14:paraId="3ED16D7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样线编号</w:t>
            </w:r>
          </w:p>
        </w:tc>
        <w:tc>
          <w:tcPr>
            <w:tcW w:w="768" w:type="pct"/>
            <w:tcBorders>
              <w:tl2br w:val="nil"/>
              <w:tr2bl w:val="nil"/>
            </w:tcBorders>
            <w:shd w:val="clear" w:color="auto" w:fill="auto"/>
            <w:vAlign w:val="center"/>
          </w:tcPr>
          <w:p w14:paraId="4682715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调查时间</w:t>
            </w:r>
          </w:p>
        </w:tc>
        <w:tc>
          <w:tcPr>
            <w:tcW w:w="466" w:type="pct"/>
            <w:tcBorders>
              <w:tl2br w:val="nil"/>
              <w:tr2bl w:val="nil"/>
            </w:tcBorders>
            <w:shd w:val="clear" w:color="auto" w:fill="auto"/>
            <w:vAlign w:val="center"/>
          </w:tcPr>
          <w:p w14:paraId="671230F2">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样线长度</w:t>
            </w:r>
          </w:p>
          <w:p w14:paraId="78683B9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（m</w:t>
            </w:r>
            <w:r>
              <w:rPr>
                <w:rFonts w:hint="default" w:ascii="Times New Roman" w:hAnsi="Times New Roman" w:eastAsia="宋体" w:cs="Times New Roman"/>
                <w:b/>
                <w:bCs/>
                <w:color w:val="auto"/>
                <w:kern w:val="0"/>
                <w:sz w:val="21"/>
                <w:szCs w:val="21"/>
                <w:lang w:eastAsia="zh-CN"/>
              </w:rPr>
              <w:t>)</w:t>
            </w:r>
          </w:p>
        </w:tc>
        <w:tc>
          <w:tcPr>
            <w:tcW w:w="491" w:type="pct"/>
            <w:tcBorders>
              <w:tl2br w:val="nil"/>
              <w:tr2bl w:val="nil"/>
            </w:tcBorders>
            <w:shd w:val="clear" w:color="auto" w:fill="auto"/>
            <w:vAlign w:val="center"/>
          </w:tcPr>
          <w:p w14:paraId="74A68D4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海拔区间</w:t>
            </w:r>
          </w:p>
          <w:p w14:paraId="7439082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（m</w:t>
            </w:r>
            <w:r>
              <w:rPr>
                <w:rFonts w:hint="default" w:ascii="Times New Roman" w:hAnsi="Times New Roman" w:eastAsia="宋体" w:cs="Times New Roman"/>
                <w:b/>
                <w:bCs/>
                <w:color w:val="auto"/>
                <w:kern w:val="0"/>
                <w:sz w:val="21"/>
                <w:szCs w:val="21"/>
                <w:lang w:eastAsia="zh-CN"/>
              </w:rPr>
              <w:t>)</w:t>
            </w:r>
          </w:p>
        </w:tc>
        <w:tc>
          <w:tcPr>
            <w:tcW w:w="767" w:type="pct"/>
            <w:tcBorders>
              <w:tl2br w:val="nil"/>
              <w:tr2bl w:val="nil"/>
            </w:tcBorders>
            <w:shd w:val="clear" w:color="auto" w:fill="auto"/>
            <w:vAlign w:val="center"/>
          </w:tcPr>
          <w:p w14:paraId="1A5ACFB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生境类型</w:t>
            </w:r>
          </w:p>
        </w:tc>
        <w:tc>
          <w:tcPr>
            <w:tcW w:w="751" w:type="pct"/>
            <w:tcBorders>
              <w:tl2br w:val="nil"/>
              <w:tr2bl w:val="nil"/>
            </w:tcBorders>
            <w:shd w:val="clear" w:color="auto" w:fill="auto"/>
            <w:vAlign w:val="center"/>
          </w:tcPr>
          <w:p w14:paraId="6BA13A4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样线起点坐标</w:t>
            </w:r>
          </w:p>
        </w:tc>
        <w:tc>
          <w:tcPr>
            <w:tcW w:w="729" w:type="pct"/>
            <w:tcBorders>
              <w:tl2br w:val="nil"/>
              <w:tr2bl w:val="nil"/>
            </w:tcBorders>
            <w:shd w:val="clear" w:color="auto" w:fill="auto"/>
            <w:vAlign w:val="center"/>
          </w:tcPr>
          <w:p w14:paraId="3800643D">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样线终点坐标</w:t>
            </w:r>
          </w:p>
        </w:tc>
        <w:tc>
          <w:tcPr>
            <w:tcW w:w="640" w:type="pct"/>
            <w:tcBorders>
              <w:tl2br w:val="nil"/>
              <w:tr2bl w:val="nil"/>
            </w:tcBorders>
            <w:shd w:val="clear" w:color="auto" w:fill="auto"/>
            <w:vAlign w:val="center"/>
          </w:tcPr>
          <w:p w14:paraId="52DF8AED">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人为干扰因素</w:t>
            </w:r>
          </w:p>
        </w:tc>
      </w:tr>
      <w:tr w14:paraId="51F929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4" w:type="pct"/>
            <w:tcBorders>
              <w:tl2br w:val="nil"/>
              <w:tr2bl w:val="nil"/>
            </w:tcBorders>
            <w:shd w:val="clear" w:color="auto" w:fill="auto"/>
            <w:vAlign w:val="center"/>
          </w:tcPr>
          <w:p w14:paraId="208B880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样线1</w:t>
            </w:r>
          </w:p>
        </w:tc>
        <w:tc>
          <w:tcPr>
            <w:tcW w:w="768" w:type="pct"/>
            <w:tcBorders>
              <w:tl2br w:val="nil"/>
              <w:tr2bl w:val="nil"/>
            </w:tcBorders>
            <w:shd w:val="clear" w:color="auto" w:fill="auto"/>
            <w:vAlign w:val="center"/>
          </w:tcPr>
          <w:p w14:paraId="2B9F436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2025.10.13-2025.10.20</w:t>
            </w:r>
          </w:p>
        </w:tc>
        <w:tc>
          <w:tcPr>
            <w:tcW w:w="466" w:type="pct"/>
            <w:tcBorders>
              <w:tl2br w:val="nil"/>
              <w:tr2bl w:val="nil"/>
            </w:tcBorders>
            <w:shd w:val="clear" w:color="auto" w:fill="auto"/>
            <w:vAlign w:val="center"/>
          </w:tcPr>
          <w:p w14:paraId="02D11A6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i w:val="0"/>
                <w:iCs w:val="0"/>
                <w:color w:val="auto"/>
                <w:kern w:val="2"/>
                <w:sz w:val="21"/>
                <w:szCs w:val="21"/>
                <w:u w:val="none"/>
                <w:lang w:val="en-US" w:eastAsia="zh-CN" w:bidi="ar-SA"/>
              </w:rPr>
              <w:t>2588.585</w:t>
            </w:r>
          </w:p>
        </w:tc>
        <w:tc>
          <w:tcPr>
            <w:tcW w:w="491" w:type="pct"/>
            <w:tcBorders>
              <w:tl2br w:val="nil"/>
              <w:tr2bl w:val="nil"/>
            </w:tcBorders>
            <w:shd w:val="clear" w:color="auto" w:fill="auto"/>
            <w:vAlign w:val="center"/>
          </w:tcPr>
          <w:p w14:paraId="6B1A7D52">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cs="Times New Roman"/>
                <w:color w:val="auto"/>
                <w:sz w:val="21"/>
                <w:szCs w:val="21"/>
                <w:highlight w:val="none"/>
                <w:lang w:val="en-US" w:eastAsia="zh-CN"/>
              </w:rPr>
              <w:t>1925-2500</w:t>
            </w:r>
          </w:p>
        </w:tc>
        <w:tc>
          <w:tcPr>
            <w:tcW w:w="767" w:type="pct"/>
            <w:tcBorders>
              <w:tl2br w:val="nil"/>
              <w:tr2bl w:val="nil"/>
            </w:tcBorders>
            <w:shd w:val="clear" w:color="auto" w:fill="auto"/>
            <w:vAlign w:val="center"/>
          </w:tcPr>
          <w:p w14:paraId="7D6D1A7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灌草丛、农用地、森林、道路</w:t>
            </w:r>
            <w:r>
              <w:rPr>
                <w:rFonts w:hint="default" w:ascii="Times New Roman" w:hAnsi="Times New Roman"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lang w:val="en-US" w:eastAsia="zh-CN"/>
              </w:rPr>
              <w:t>水域</w:t>
            </w:r>
          </w:p>
        </w:tc>
        <w:tc>
          <w:tcPr>
            <w:tcW w:w="751" w:type="pct"/>
            <w:tcBorders>
              <w:tl2br w:val="nil"/>
              <w:tr2bl w:val="nil"/>
            </w:tcBorders>
            <w:shd w:val="clear" w:color="auto" w:fill="auto"/>
            <w:vAlign w:val="center"/>
          </w:tcPr>
          <w:p w14:paraId="69C6179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103° 21' 18.999" E</w:t>
            </w:r>
          </w:p>
          <w:p w14:paraId="59964AB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26° 30' 38.224" N</w:t>
            </w:r>
          </w:p>
        </w:tc>
        <w:tc>
          <w:tcPr>
            <w:tcW w:w="729" w:type="pct"/>
            <w:tcBorders>
              <w:tl2br w:val="nil"/>
              <w:tr2bl w:val="nil"/>
            </w:tcBorders>
            <w:shd w:val="clear" w:color="auto" w:fill="auto"/>
            <w:vAlign w:val="center"/>
          </w:tcPr>
          <w:p w14:paraId="48317F4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103° 21' 58.767" E</w:t>
            </w:r>
          </w:p>
          <w:p w14:paraId="6D253B7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rPr>
              <w:t>26° 30' 32.353" N</w:t>
            </w:r>
          </w:p>
        </w:tc>
        <w:tc>
          <w:tcPr>
            <w:tcW w:w="640" w:type="pct"/>
            <w:tcBorders>
              <w:tl2br w:val="nil"/>
              <w:tr2bl w:val="nil"/>
            </w:tcBorders>
            <w:shd w:val="clear" w:color="auto" w:fill="auto"/>
            <w:vAlign w:val="center"/>
          </w:tcPr>
          <w:p w14:paraId="2A3F191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放牧、樵采、村庄周边，干扰强度：强</w:t>
            </w:r>
          </w:p>
        </w:tc>
      </w:tr>
      <w:tr w14:paraId="128958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4" w:type="pct"/>
            <w:tcBorders>
              <w:tl2br w:val="nil"/>
              <w:tr2bl w:val="nil"/>
            </w:tcBorders>
            <w:shd w:val="clear" w:color="auto" w:fill="auto"/>
            <w:vAlign w:val="center"/>
          </w:tcPr>
          <w:p w14:paraId="62844DD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样线2</w:t>
            </w:r>
          </w:p>
        </w:tc>
        <w:tc>
          <w:tcPr>
            <w:tcW w:w="768" w:type="pct"/>
            <w:tcBorders>
              <w:tl2br w:val="nil"/>
              <w:tr2bl w:val="nil"/>
            </w:tcBorders>
            <w:shd w:val="clear" w:color="auto" w:fill="auto"/>
            <w:vAlign w:val="center"/>
          </w:tcPr>
          <w:p w14:paraId="317DA7ED">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lang w:val="en-US" w:eastAsia="zh-CN"/>
              </w:rPr>
              <w:t>202</w:t>
            </w:r>
            <w:r>
              <w:rPr>
                <w:rFonts w:hint="default" w:ascii="Times New Roman" w:hAnsi="Times New Roman" w:cs="Times New Roman"/>
                <w:color w:val="auto"/>
                <w:kern w:val="0"/>
                <w:sz w:val="21"/>
                <w:szCs w:val="21"/>
                <w:highlight w:val="none"/>
                <w:lang w:val="en-US" w:eastAsia="zh-CN"/>
              </w:rPr>
              <w:t>5.10.13-2025.10.20</w:t>
            </w:r>
          </w:p>
        </w:tc>
        <w:tc>
          <w:tcPr>
            <w:tcW w:w="466" w:type="pct"/>
            <w:tcBorders>
              <w:tl2br w:val="nil"/>
              <w:tr2bl w:val="nil"/>
            </w:tcBorders>
            <w:shd w:val="clear" w:color="auto" w:fill="auto"/>
            <w:vAlign w:val="center"/>
          </w:tcPr>
          <w:p w14:paraId="424E121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i w:val="0"/>
                <w:iCs w:val="0"/>
                <w:color w:val="auto"/>
                <w:kern w:val="2"/>
                <w:sz w:val="21"/>
                <w:szCs w:val="21"/>
                <w:u w:val="none"/>
                <w:lang w:val="en-US" w:eastAsia="zh-CN" w:bidi="ar-SA"/>
              </w:rPr>
              <w:t>2351.224</w:t>
            </w:r>
          </w:p>
        </w:tc>
        <w:tc>
          <w:tcPr>
            <w:tcW w:w="491" w:type="pct"/>
            <w:tcBorders>
              <w:tl2br w:val="nil"/>
              <w:tr2bl w:val="nil"/>
            </w:tcBorders>
            <w:shd w:val="clear" w:color="auto" w:fill="auto"/>
            <w:vAlign w:val="center"/>
          </w:tcPr>
          <w:p w14:paraId="7B06DC5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cs="Times New Roman"/>
                <w:color w:val="auto"/>
                <w:sz w:val="21"/>
                <w:szCs w:val="21"/>
                <w:highlight w:val="none"/>
                <w:lang w:val="en-US" w:eastAsia="zh-CN"/>
              </w:rPr>
              <w:t>2008-2150</w:t>
            </w:r>
          </w:p>
        </w:tc>
        <w:tc>
          <w:tcPr>
            <w:tcW w:w="767" w:type="pct"/>
            <w:tcBorders>
              <w:tl2br w:val="nil"/>
              <w:tr2bl w:val="nil"/>
            </w:tcBorders>
            <w:shd w:val="clear" w:color="auto" w:fill="auto"/>
            <w:vAlign w:val="center"/>
          </w:tcPr>
          <w:p w14:paraId="1DC81E1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highlight w:val="none"/>
                <w:lang w:val="en-US" w:eastAsia="zh-CN"/>
              </w:rPr>
              <w:t>居民点、</w:t>
            </w:r>
            <w:r>
              <w:rPr>
                <w:rFonts w:hint="default" w:ascii="Times New Roman" w:hAnsi="Times New Roman" w:eastAsia="宋体" w:cs="Times New Roman"/>
                <w:color w:val="auto"/>
                <w:kern w:val="0"/>
                <w:sz w:val="21"/>
                <w:szCs w:val="21"/>
                <w:highlight w:val="none"/>
              </w:rPr>
              <w:t>灌草丛、农用地、森林、道路</w:t>
            </w:r>
          </w:p>
        </w:tc>
        <w:tc>
          <w:tcPr>
            <w:tcW w:w="751" w:type="pct"/>
            <w:tcBorders>
              <w:tl2br w:val="nil"/>
              <w:tr2bl w:val="nil"/>
            </w:tcBorders>
            <w:shd w:val="clear" w:color="auto" w:fill="auto"/>
            <w:vAlign w:val="center"/>
          </w:tcPr>
          <w:p w14:paraId="1B62399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103° 22' 25.498" E</w:t>
            </w:r>
          </w:p>
          <w:p w14:paraId="168BF27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rPr>
              <w:t>26° 31' 23.415" N</w:t>
            </w:r>
          </w:p>
        </w:tc>
        <w:tc>
          <w:tcPr>
            <w:tcW w:w="729" w:type="pct"/>
            <w:tcBorders>
              <w:tl2br w:val="nil"/>
              <w:tr2bl w:val="nil"/>
            </w:tcBorders>
            <w:shd w:val="clear" w:color="auto" w:fill="auto"/>
            <w:vAlign w:val="center"/>
          </w:tcPr>
          <w:p w14:paraId="654D4413">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103° 21' 59.301" E</w:t>
            </w:r>
          </w:p>
          <w:p w14:paraId="7667A843">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rPr>
              <w:t>26° 31' 0.000" N</w:t>
            </w:r>
          </w:p>
        </w:tc>
        <w:tc>
          <w:tcPr>
            <w:tcW w:w="640" w:type="pct"/>
            <w:tcBorders>
              <w:tl2br w:val="nil"/>
              <w:tr2bl w:val="nil"/>
            </w:tcBorders>
            <w:shd w:val="clear" w:color="auto" w:fill="auto"/>
            <w:vAlign w:val="center"/>
          </w:tcPr>
          <w:p w14:paraId="52ED734C">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放牧，干扰强度：中</w:t>
            </w:r>
          </w:p>
        </w:tc>
      </w:tr>
      <w:tr w14:paraId="02A37E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4" w:type="pct"/>
            <w:tcBorders>
              <w:tl2br w:val="nil"/>
              <w:tr2bl w:val="nil"/>
            </w:tcBorders>
            <w:shd w:val="clear" w:color="auto" w:fill="auto"/>
            <w:vAlign w:val="center"/>
          </w:tcPr>
          <w:p w14:paraId="2F9D98F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样线3</w:t>
            </w:r>
          </w:p>
        </w:tc>
        <w:tc>
          <w:tcPr>
            <w:tcW w:w="768" w:type="pct"/>
            <w:tcBorders>
              <w:tl2br w:val="nil"/>
              <w:tr2bl w:val="nil"/>
            </w:tcBorders>
            <w:shd w:val="clear" w:color="auto" w:fill="auto"/>
            <w:vAlign w:val="center"/>
          </w:tcPr>
          <w:p w14:paraId="393EA22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lang w:val="en-US" w:eastAsia="zh-CN"/>
              </w:rPr>
              <w:t>202</w:t>
            </w:r>
            <w:r>
              <w:rPr>
                <w:rFonts w:hint="default" w:ascii="Times New Roman" w:hAnsi="Times New Roman" w:cs="Times New Roman"/>
                <w:color w:val="auto"/>
                <w:kern w:val="0"/>
                <w:sz w:val="21"/>
                <w:szCs w:val="21"/>
                <w:highlight w:val="none"/>
                <w:lang w:val="en-US" w:eastAsia="zh-CN"/>
              </w:rPr>
              <w:t>6.04.12-2026.04.18</w:t>
            </w:r>
          </w:p>
        </w:tc>
        <w:tc>
          <w:tcPr>
            <w:tcW w:w="466" w:type="pct"/>
            <w:tcBorders>
              <w:tl2br w:val="nil"/>
              <w:tr2bl w:val="nil"/>
            </w:tcBorders>
            <w:shd w:val="clear" w:color="auto" w:fill="auto"/>
            <w:vAlign w:val="center"/>
          </w:tcPr>
          <w:p w14:paraId="4D861FE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i w:val="0"/>
                <w:iCs w:val="0"/>
                <w:color w:val="auto"/>
                <w:kern w:val="2"/>
                <w:sz w:val="21"/>
                <w:szCs w:val="21"/>
                <w:u w:val="none"/>
                <w:lang w:val="en-US" w:eastAsia="zh-CN" w:bidi="ar-SA"/>
              </w:rPr>
              <w:t>1530.17</w:t>
            </w:r>
            <w:r>
              <w:rPr>
                <w:rFonts w:hint="default" w:ascii="Times New Roman" w:hAnsi="Times New Roman" w:cs="Times New Roman"/>
                <w:i w:val="0"/>
                <w:iCs w:val="0"/>
                <w:color w:val="auto"/>
                <w:kern w:val="2"/>
                <w:sz w:val="21"/>
                <w:szCs w:val="21"/>
                <w:u w:val="none"/>
                <w:lang w:val="en-US" w:eastAsia="zh-CN" w:bidi="ar-SA"/>
              </w:rPr>
              <w:t>1</w:t>
            </w:r>
          </w:p>
        </w:tc>
        <w:tc>
          <w:tcPr>
            <w:tcW w:w="491" w:type="pct"/>
            <w:tcBorders>
              <w:tl2br w:val="nil"/>
              <w:tr2bl w:val="nil"/>
            </w:tcBorders>
            <w:shd w:val="clear" w:color="auto" w:fill="auto"/>
            <w:vAlign w:val="center"/>
          </w:tcPr>
          <w:p w14:paraId="1B2394E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cs="Times New Roman"/>
                <w:color w:val="auto"/>
                <w:sz w:val="21"/>
                <w:szCs w:val="21"/>
                <w:highlight w:val="none"/>
                <w:lang w:val="en-US" w:eastAsia="zh-CN"/>
              </w:rPr>
              <w:t>2105-2448</w:t>
            </w:r>
          </w:p>
        </w:tc>
        <w:tc>
          <w:tcPr>
            <w:tcW w:w="767" w:type="pct"/>
            <w:tcBorders>
              <w:tl2br w:val="nil"/>
              <w:tr2bl w:val="nil"/>
            </w:tcBorders>
            <w:shd w:val="clear" w:color="auto" w:fill="auto"/>
            <w:vAlign w:val="center"/>
          </w:tcPr>
          <w:p w14:paraId="09AC03A2">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rPr>
              <w:t>居民点、灌草丛、农用地、森林、道路</w:t>
            </w:r>
          </w:p>
        </w:tc>
        <w:tc>
          <w:tcPr>
            <w:tcW w:w="751" w:type="pct"/>
            <w:tcBorders>
              <w:tl2br w:val="nil"/>
              <w:tr2bl w:val="nil"/>
            </w:tcBorders>
            <w:shd w:val="clear" w:color="auto" w:fill="auto"/>
            <w:vAlign w:val="center"/>
          </w:tcPr>
          <w:p w14:paraId="3D528A4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103° 23' 36.270" E</w:t>
            </w:r>
          </w:p>
          <w:p w14:paraId="75054DD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rPr>
              <w:t>26° 31' 37.622" N</w:t>
            </w:r>
          </w:p>
        </w:tc>
        <w:tc>
          <w:tcPr>
            <w:tcW w:w="729" w:type="pct"/>
            <w:tcBorders>
              <w:tl2br w:val="nil"/>
              <w:tr2bl w:val="nil"/>
            </w:tcBorders>
            <w:shd w:val="clear" w:color="auto" w:fill="auto"/>
            <w:vAlign w:val="center"/>
          </w:tcPr>
          <w:p w14:paraId="4A4A8D2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103° 23' 44.375" E</w:t>
            </w:r>
          </w:p>
          <w:p w14:paraId="3325F1DD">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rPr>
              <w:t>26° 32' 8.871" N</w:t>
            </w:r>
          </w:p>
        </w:tc>
        <w:tc>
          <w:tcPr>
            <w:tcW w:w="640" w:type="pct"/>
            <w:tcBorders>
              <w:tl2br w:val="nil"/>
              <w:tr2bl w:val="nil"/>
            </w:tcBorders>
            <w:shd w:val="clear" w:color="auto" w:fill="auto"/>
            <w:vAlign w:val="center"/>
          </w:tcPr>
          <w:p w14:paraId="4C152992">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农耕活动，干扰强度：强</w:t>
            </w:r>
          </w:p>
        </w:tc>
      </w:tr>
      <w:tr w14:paraId="0B7DDC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4" w:type="pct"/>
            <w:tcBorders>
              <w:tl2br w:val="nil"/>
              <w:tr2bl w:val="nil"/>
            </w:tcBorders>
            <w:shd w:val="clear" w:color="auto" w:fill="auto"/>
            <w:vAlign w:val="center"/>
          </w:tcPr>
          <w:p w14:paraId="2CBE9372">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样线4</w:t>
            </w:r>
          </w:p>
        </w:tc>
        <w:tc>
          <w:tcPr>
            <w:tcW w:w="768" w:type="pct"/>
            <w:tcBorders>
              <w:tl2br w:val="nil"/>
              <w:tr2bl w:val="nil"/>
            </w:tcBorders>
            <w:shd w:val="clear" w:color="auto" w:fill="auto"/>
            <w:vAlign w:val="center"/>
          </w:tcPr>
          <w:p w14:paraId="29AB36B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lang w:val="en-US" w:eastAsia="zh-CN"/>
              </w:rPr>
              <w:t>202</w:t>
            </w:r>
            <w:r>
              <w:rPr>
                <w:rFonts w:hint="default" w:ascii="Times New Roman" w:hAnsi="Times New Roman" w:cs="Times New Roman"/>
                <w:color w:val="auto"/>
                <w:kern w:val="0"/>
                <w:sz w:val="21"/>
                <w:szCs w:val="21"/>
                <w:highlight w:val="none"/>
                <w:lang w:val="en-US" w:eastAsia="zh-CN"/>
              </w:rPr>
              <w:t>6.04.12-2026.04.18</w:t>
            </w:r>
          </w:p>
        </w:tc>
        <w:tc>
          <w:tcPr>
            <w:tcW w:w="466" w:type="pct"/>
            <w:tcBorders>
              <w:tl2br w:val="nil"/>
              <w:tr2bl w:val="nil"/>
            </w:tcBorders>
            <w:shd w:val="clear" w:color="auto" w:fill="auto"/>
            <w:vAlign w:val="center"/>
          </w:tcPr>
          <w:p w14:paraId="24A8A15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i w:val="0"/>
                <w:iCs w:val="0"/>
                <w:color w:val="auto"/>
                <w:kern w:val="2"/>
                <w:sz w:val="21"/>
                <w:szCs w:val="21"/>
                <w:u w:val="none"/>
                <w:lang w:val="en-US" w:eastAsia="zh-CN" w:bidi="ar-SA"/>
              </w:rPr>
              <w:t>3287.998</w:t>
            </w:r>
          </w:p>
        </w:tc>
        <w:tc>
          <w:tcPr>
            <w:tcW w:w="491" w:type="pct"/>
            <w:tcBorders>
              <w:tl2br w:val="nil"/>
              <w:tr2bl w:val="nil"/>
            </w:tcBorders>
            <w:shd w:val="clear" w:color="auto" w:fill="auto"/>
            <w:vAlign w:val="center"/>
          </w:tcPr>
          <w:p w14:paraId="1DB7043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lang w:val="en-US" w:eastAsia="zh-CN"/>
              </w:rPr>
              <w:t>1908-2040</w:t>
            </w:r>
          </w:p>
        </w:tc>
        <w:tc>
          <w:tcPr>
            <w:tcW w:w="767" w:type="pct"/>
            <w:tcBorders>
              <w:tl2br w:val="nil"/>
              <w:tr2bl w:val="nil"/>
            </w:tcBorders>
            <w:shd w:val="clear" w:color="auto" w:fill="auto"/>
            <w:vAlign w:val="center"/>
          </w:tcPr>
          <w:p w14:paraId="427673B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rPr>
              <w:t>居民点、灌草丛、农用地、道路</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水域、</w:t>
            </w:r>
            <w:r>
              <w:rPr>
                <w:rFonts w:hint="default" w:ascii="Times New Roman" w:hAnsi="Times New Roman" w:eastAsia="宋体" w:cs="Times New Roman"/>
                <w:color w:val="auto"/>
                <w:kern w:val="0"/>
                <w:sz w:val="21"/>
                <w:szCs w:val="21"/>
                <w:highlight w:val="none"/>
              </w:rPr>
              <w:t>森林</w:t>
            </w:r>
          </w:p>
        </w:tc>
        <w:tc>
          <w:tcPr>
            <w:tcW w:w="751" w:type="pct"/>
            <w:tcBorders>
              <w:tl2br w:val="nil"/>
              <w:tr2bl w:val="nil"/>
            </w:tcBorders>
            <w:shd w:val="clear" w:color="auto" w:fill="auto"/>
            <w:vAlign w:val="center"/>
          </w:tcPr>
          <w:p w14:paraId="16A9639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103° 24' 37.454" E</w:t>
            </w:r>
          </w:p>
          <w:p w14:paraId="4F7E47B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rPr>
              <w:t>26° 32' 53.651" N</w:t>
            </w:r>
          </w:p>
        </w:tc>
        <w:tc>
          <w:tcPr>
            <w:tcW w:w="729" w:type="pct"/>
            <w:tcBorders>
              <w:tl2br w:val="nil"/>
              <w:tr2bl w:val="nil"/>
            </w:tcBorders>
            <w:shd w:val="clear" w:color="auto" w:fill="auto"/>
            <w:vAlign w:val="center"/>
          </w:tcPr>
          <w:p w14:paraId="0A3B078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103° 25' 9.215" E</w:t>
            </w:r>
          </w:p>
          <w:p w14:paraId="25239E4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rPr>
              <w:t>26° 33' 37.744" N</w:t>
            </w:r>
          </w:p>
        </w:tc>
        <w:tc>
          <w:tcPr>
            <w:tcW w:w="640" w:type="pct"/>
            <w:tcBorders>
              <w:tl2br w:val="nil"/>
              <w:tr2bl w:val="nil"/>
            </w:tcBorders>
            <w:shd w:val="clear" w:color="auto" w:fill="auto"/>
            <w:vAlign w:val="center"/>
          </w:tcPr>
          <w:p w14:paraId="15EA5E0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放牧，农耕活动，干扰强度：强</w:t>
            </w:r>
          </w:p>
        </w:tc>
      </w:tr>
      <w:tr w14:paraId="64F8D2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4" w:type="pct"/>
            <w:tcBorders>
              <w:tl2br w:val="nil"/>
              <w:tr2bl w:val="nil"/>
            </w:tcBorders>
            <w:shd w:val="clear" w:color="auto" w:fill="auto"/>
            <w:vAlign w:val="center"/>
          </w:tcPr>
          <w:p w14:paraId="1870DBA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样线5</w:t>
            </w:r>
          </w:p>
        </w:tc>
        <w:tc>
          <w:tcPr>
            <w:tcW w:w="768" w:type="pct"/>
            <w:tcBorders>
              <w:tl2br w:val="nil"/>
              <w:tr2bl w:val="nil"/>
            </w:tcBorders>
            <w:shd w:val="clear" w:color="auto" w:fill="auto"/>
            <w:vAlign w:val="center"/>
          </w:tcPr>
          <w:p w14:paraId="358A4DC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lang w:val="en-US" w:eastAsia="zh-CN"/>
              </w:rPr>
              <w:t>202</w:t>
            </w:r>
            <w:r>
              <w:rPr>
                <w:rFonts w:hint="default" w:ascii="Times New Roman" w:hAnsi="Times New Roman" w:cs="Times New Roman"/>
                <w:color w:val="auto"/>
                <w:kern w:val="0"/>
                <w:sz w:val="21"/>
                <w:szCs w:val="21"/>
                <w:highlight w:val="none"/>
                <w:lang w:val="en-US" w:eastAsia="zh-CN"/>
              </w:rPr>
              <w:t>6.6.1-2026.6.5</w:t>
            </w:r>
          </w:p>
        </w:tc>
        <w:tc>
          <w:tcPr>
            <w:tcW w:w="466" w:type="pct"/>
            <w:tcBorders>
              <w:tl2br w:val="nil"/>
              <w:tr2bl w:val="nil"/>
            </w:tcBorders>
            <w:shd w:val="clear" w:color="auto" w:fill="auto"/>
            <w:vAlign w:val="center"/>
          </w:tcPr>
          <w:p w14:paraId="6A55190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i w:val="0"/>
                <w:iCs w:val="0"/>
                <w:color w:val="auto"/>
                <w:kern w:val="2"/>
                <w:sz w:val="21"/>
                <w:szCs w:val="21"/>
                <w:u w:val="none"/>
                <w:lang w:val="en-US" w:eastAsia="zh-CN" w:bidi="ar-SA"/>
              </w:rPr>
              <w:t>1534.409</w:t>
            </w:r>
          </w:p>
        </w:tc>
        <w:tc>
          <w:tcPr>
            <w:tcW w:w="491" w:type="pct"/>
            <w:tcBorders>
              <w:tl2br w:val="nil"/>
              <w:tr2bl w:val="nil"/>
            </w:tcBorders>
            <w:shd w:val="clear" w:color="auto" w:fill="auto"/>
            <w:vAlign w:val="center"/>
          </w:tcPr>
          <w:p w14:paraId="3FE6416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highlight w:val="none"/>
                <w:lang w:val="en-US" w:eastAsia="zh-CN"/>
              </w:rPr>
              <w:t>2234-2347</w:t>
            </w:r>
          </w:p>
        </w:tc>
        <w:tc>
          <w:tcPr>
            <w:tcW w:w="767" w:type="pct"/>
            <w:tcBorders>
              <w:tl2br w:val="nil"/>
              <w:tr2bl w:val="nil"/>
            </w:tcBorders>
            <w:shd w:val="clear" w:color="auto" w:fill="auto"/>
            <w:vAlign w:val="center"/>
          </w:tcPr>
          <w:p w14:paraId="59CB0FA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rPr>
              <w:t>居民点、灌草丛、农用地、道路</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水域、</w:t>
            </w:r>
            <w:r>
              <w:rPr>
                <w:rFonts w:hint="default" w:ascii="Times New Roman" w:hAnsi="Times New Roman" w:eastAsia="宋体" w:cs="Times New Roman"/>
                <w:color w:val="auto"/>
                <w:kern w:val="0"/>
                <w:sz w:val="21"/>
                <w:szCs w:val="21"/>
                <w:highlight w:val="none"/>
              </w:rPr>
              <w:t>森林</w:t>
            </w:r>
          </w:p>
        </w:tc>
        <w:tc>
          <w:tcPr>
            <w:tcW w:w="751" w:type="pct"/>
            <w:tcBorders>
              <w:tl2br w:val="nil"/>
              <w:tr2bl w:val="nil"/>
            </w:tcBorders>
            <w:shd w:val="clear" w:color="auto" w:fill="auto"/>
            <w:vAlign w:val="center"/>
          </w:tcPr>
          <w:p w14:paraId="68B45AD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103° 25' 26.151" E</w:t>
            </w:r>
          </w:p>
          <w:p w14:paraId="3A0D547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rPr>
              <w:t>26° 34' 8.954" N</w:t>
            </w:r>
          </w:p>
        </w:tc>
        <w:tc>
          <w:tcPr>
            <w:tcW w:w="729" w:type="pct"/>
            <w:tcBorders>
              <w:tl2br w:val="nil"/>
              <w:tr2bl w:val="nil"/>
            </w:tcBorders>
            <w:shd w:val="clear" w:color="auto" w:fill="auto"/>
            <w:vAlign w:val="center"/>
          </w:tcPr>
          <w:p w14:paraId="10ACA20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103° 25' 19.527" E</w:t>
            </w:r>
          </w:p>
          <w:p w14:paraId="536BF4C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rPr>
              <w:t>26° 33' 42.851" N</w:t>
            </w:r>
          </w:p>
        </w:tc>
        <w:tc>
          <w:tcPr>
            <w:tcW w:w="640" w:type="pct"/>
            <w:tcBorders>
              <w:tl2br w:val="nil"/>
              <w:tr2bl w:val="nil"/>
            </w:tcBorders>
            <w:shd w:val="clear" w:color="auto" w:fill="auto"/>
            <w:vAlign w:val="center"/>
          </w:tcPr>
          <w:p w14:paraId="0391D97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村庄周边，农耕活动区，干扰强度：强</w:t>
            </w:r>
          </w:p>
        </w:tc>
      </w:tr>
      <w:tr w14:paraId="782567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4" w:type="pct"/>
            <w:tcBorders>
              <w:tl2br w:val="nil"/>
              <w:tr2bl w:val="nil"/>
            </w:tcBorders>
            <w:shd w:val="clear" w:color="auto" w:fill="auto"/>
            <w:vAlign w:val="center"/>
          </w:tcPr>
          <w:p w14:paraId="205CCD3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样线6</w:t>
            </w:r>
          </w:p>
        </w:tc>
        <w:tc>
          <w:tcPr>
            <w:tcW w:w="768" w:type="pct"/>
            <w:tcBorders>
              <w:tl2br w:val="nil"/>
              <w:tr2bl w:val="nil"/>
            </w:tcBorders>
            <w:shd w:val="clear" w:color="auto" w:fill="auto"/>
            <w:vAlign w:val="center"/>
          </w:tcPr>
          <w:p w14:paraId="0D79972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lang w:val="en-US" w:eastAsia="zh-CN"/>
              </w:rPr>
              <w:t>202</w:t>
            </w:r>
            <w:r>
              <w:rPr>
                <w:rFonts w:hint="default" w:ascii="Times New Roman" w:hAnsi="Times New Roman" w:cs="Times New Roman"/>
                <w:color w:val="auto"/>
                <w:kern w:val="0"/>
                <w:sz w:val="21"/>
                <w:szCs w:val="21"/>
                <w:highlight w:val="none"/>
                <w:lang w:val="en-US" w:eastAsia="zh-CN"/>
              </w:rPr>
              <w:t>6.6.1-2026.6.5</w:t>
            </w:r>
          </w:p>
        </w:tc>
        <w:tc>
          <w:tcPr>
            <w:tcW w:w="466" w:type="pct"/>
            <w:tcBorders>
              <w:tl2br w:val="nil"/>
              <w:tr2bl w:val="nil"/>
            </w:tcBorders>
            <w:shd w:val="clear" w:color="auto" w:fill="auto"/>
            <w:vAlign w:val="center"/>
          </w:tcPr>
          <w:p w14:paraId="4744E4A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i w:val="0"/>
                <w:iCs w:val="0"/>
                <w:color w:val="auto"/>
                <w:kern w:val="2"/>
                <w:sz w:val="21"/>
                <w:szCs w:val="21"/>
                <w:u w:val="none"/>
                <w:lang w:val="en-US" w:eastAsia="zh-CN" w:bidi="ar-SA"/>
              </w:rPr>
              <w:t>1501.86</w:t>
            </w:r>
            <w:r>
              <w:rPr>
                <w:rFonts w:hint="default" w:ascii="Times New Roman" w:hAnsi="Times New Roman" w:cs="Times New Roman"/>
                <w:i w:val="0"/>
                <w:iCs w:val="0"/>
                <w:color w:val="auto"/>
                <w:kern w:val="2"/>
                <w:sz w:val="21"/>
                <w:szCs w:val="21"/>
                <w:u w:val="none"/>
                <w:lang w:val="en-US" w:eastAsia="zh-CN" w:bidi="ar-SA"/>
              </w:rPr>
              <w:t>1</w:t>
            </w:r>
          </w:p>
        </w:tc>
        <w:tc>
          <w:tcPr>
            <w:tcW w:w="491" w:type="pct"/>
            <w:tcBorders>
              <w:tl2br w:val="nil"/>
              <w:tr2bl w:val="nil"/>
            </w:tcBorders>
            <w:shd w:val="clear" w:color="auto" w:fill="auto"/>
            <w:vAlign w:val="center"/>
          </w:tcPr>
          <w:p w14:paraId="5ACE224C">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lang w:val="en-US" w:eastAsia="zh-CN"/>
              </w:rPr>
              <w:t>2009-2110</w:t>
            </w:r>
          </w:p>
        </w:tc>
        <w:tc>
          <w:tcPr>
            <w:tcW w:w="767" w:type="pct"/>
            <w:tcBorders>
              <w:tl2br w:val="nil"/>
              <w:tr2bl w:val="nil"/>
            </w:tcBorders>
            <w:shd w:val="clear" w:color="auto" w:fill="auto"/>
            <w:vAlign w:val="center"/>
          </w:tcPr>
          <w:p w14:paraId="717F2D0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rPr>
              <w:t>居民点、灌草丛、农用地、森林、道路</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水域</w:t>
            </w:r>
          </w:p>
        </w:tc>
        <w:tc>
          <w:tcPr>
            <w:tcW w:w="751" w:type="pct"/>
            <w:tcBorders>
              <w:tl2br w:val="nil"/>
              <w:tr2bl w:val="nil"/>
            </w:tcBorders>
            <w:shd w:val="clear" w:color="auto" w:fill="auto"/>
            <w:vAlign w:val="center"/>
          </w:tcPr>
          <w:p w14:paraId="2C11F12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103° 26' 30.102" E</w:t>
            </w:r>
          </w:p>
          <w:p w14:paraId="7D3A800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rPr>
              <w:t>26° 35' 19.226" N</w:t>
            </w:r>
          </w:p>
        </w:tc>
        <w:tc>
          <w:tcPr>
            <w:tcW w:w="729" w:type="pct"/>
            <w:tcBorders>
              <w:tl2br w:val="nil"/>
              <w:tr2bl w:val="nil"/>
            </w:tcBorders>
            <w:shd w:val="clear" w:color="auto" w:fill="auto"/>
            <w:vAlign w:val="center"/>
          </w:tcPr>
          <w:p w14:paraId="0C23232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103° 26' 35.969" E</w:t>
            </w:r>
          </w:p>
          <w:p w14:paraId="7FE7039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highlight w:val="none"/>
              </w:rPr>
              <w:t>26° 35' 9.407" N</w:t>
            </w:r>
          </w:p>
        </w:tc>
        <w:tc>
          <w:tcPr>
            <w:tcW w:w="640" w:type="pct"/>
            <w:tcBorders>
              <w:tl2br w:val="nil"/>
              <w:tr2bl w:val="nil"/>
            </w:tcBorders>
            <w:shd w:val="clear" w:color="auto" w:fill="auto"/>
            <w:vAlign w:val="center"/>
          </w:tcPr>
          <w:p w14:paraId="1051E58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放牧，干扰强度：中</w:t>
            </w:r>
          </w:p>
        </w:tc>
      </w:tr>
    </w:tbl>
    <w:p w14:paraId="6318D10C">
      <w:pPr>
        <w:spacing w:line="240" w:lineRule="auto"/>
        <w:ind w:firstLine="482"/>
        <w:jc w:val="center"/>
        <w:rPr>
          <w:rFonts w:hint="eastAsia" w:ascii="Times New Roman" w:hAnsi="Times New Roman" w:cs="Times New Roman"/>
          <w:b/>
          <w:bCs/>
          <w:color w:val="auto"/>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1CF93B2">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32" w:name="_Toc13189"/>
      <w:r>
        <w:rPr>
          <w:rFonts w:hint="default" w:ascii="Times New Roman" w:hAnsi="Times New Roman" w:cs="Times New Roman"/>
          <w:color w:val="auto"/>
          <w:sz w:val="24"/>
          <w:szCs w:val="24"/>
        </w:rPr>
        <w:t>2.4.2 动物资源现状及区系分析</w:t>
      </w:r>
      <w:bookmarkEnd w:id="232"/>
    </w:p>
    <w:p w14:paraId="3361EA5B">
      <w:pPr>
        <w:pStyle w:val="6"/>
        <w:adjustRightInd w:val="0"/>
        <w:snapToGrid w:val="0"/>
        <w:spacing w:line="440" w:lineRule="exact"/>
        <w:ind w:firstLine="482" w:firstLineChars="200"/>
        <w:rPr>
          <w:rFonts w:hint="default" w:ascii="Times New Roman" w:hAnsi="Times New Roman" w:cs="Times New Roman"/>
          <w:color w:val="auto"/>
        </w:rPr>
      </w:pPr>
      <w:r>
        <w:rPr>
          <w:rFonts w:hint="default" w:ascii="Times New Roman" w:hAnsi="Times New Roman" w:cs="Times New Roman"/>
          <w:color w:val="auto"/>
        </w:rPr>
        <w:t>2.4.2.1 陆生脊椎动物现状</w:t>
      </w:r>
    </w:p>
    <w:p w14:paraId="4E6884F7">
      <w:pPr>
        <w:adjustRightInd w:val="0"/>
        <w:snapToGrid w:val="0"/>
        <w:spacing w:line="440" w:lineRule="exact"/>
        <w:ind w:firstLine="480"/>
        <w:rPr>
          <w:rFonts w:hint="default" w:ascii="Times New Roman" w:hAnsi="Times New Roman" w:cs="Times New Roman"/>
          <w:color w:val="auto"/>
          <w:szCs w:val="24"/>
        </w:rPr>
      </w:pPr>
      <w:r>
        <w:rPr>
          <w:rFonts w:hint="default" w:ascii="Times New Roman" w:hAnsi="Times New Roman" w:eastAsia="宋体" w:cs="Times New Roman"/>
          <w:color w:val="auto"/>
          <w:szCs w:val="24"/>
        </w:rPr>
        <w:t>项目位于会泽县境内，属滇中山山源亚区，地势东部海河河谷低且平坦，西部高。评价区主要地貌为深切河谷，两岸高山散布针叶林，谷地灌丛、草丛丰茂，部分山坡为石灰岩灌丛。陆栖脊椎动物栖息环境相对丰富。经统计，评价区分布有陆栖脊椎动物73种。</w:t>
      </w:r>
      <w:r>
        <w:rPr>
          <w:rFonts w:hint="default" w:ascii="Times New Roman" w:hAnsi="Times New Roman" w:cs="Times New Roman"/>
          <w:color w:val="auto"/>
          <w:szCs w:val="24"/>
        </w:rPr>
        <w:t>见下表。</w:t>
      </w:r>
    </w:p>
    <w:p w14:paraId="1AC1E4C1">
      <w:pPr>
        <w:spacing w:line="240" w:lineRule="auto"/>
        <w:ind w:firstLine="482"/>
        <w:jc w:val="center"/>
        <w:rPr>
          <w:rFonts w:hint="default" w:ascii="Times New Roman" w:hAnsi="Times New Roman" w:cs="Times New Roman"/>
          <w:b/>
          <w:color w:val="auto"/>
          <w:szCs w:val="24"/>
        </w:rPr>
      </w:pPr>
      <w:r>
        <w:rPr>
          <w:rFonts w:hint="default" w:ascii="Times New Roman" w:hAnsi="Times New Roman" w:cs="Times New Roman"/>
          <w:b/>
          <w:color w:val="auto"/>
          <w:szCs w:val="24"/>
        </w:rPr>
        <w:t>表2.4-</w:t>
      </w:r>
      <w:r>
        <w:rPr>
          <w:rFonts w:hint="eastAsia" w:ascii="Times New Roman" w:hAnsi="Times New Roman" w:cs="Times New Roman"/>
          <w:b/>
          <w:color w:val="auto"/>
          <w:szCs w:val="24"/>
          <w:lang w:val="en-US" w:eastAsia="zh-CN"/>
        </w:rPr>
        <w:t>3</w:t>
      </w:r>
      <w:r>
        <w:rPr>
          <w:rFonts w:hint="default" w:ascii="Times New Roman" w:hAnsi="Times New Roman" w:cs="Times New Roman"/>
          <w:b/>
          <w:color w:val="auto"/>
          <w:szCs w:val="24"/>
        </w:rPr>
        <w:t xml:space="preserve">  陆栖脊椎动物各纲下分类阶元数量</w:t>
      </w:r>
    </w:p>
    <w:tbl>
      <w:tblPr>
        <w:tblStyle w:val="30"/>
        <w:tblW w:w="50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727"/>
        <w:gridCol w:w="1730"/>
        <w:gridCol w:w="1732"/>
        <w:gridCol w:w="1732"/>
        <w:gridCol w:w="1731"/>
      </w:tblGrid>
      <w:tr w14:paraId="10A147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998" w:type="pct"/>
            <w:tcBorders>
              <w:tl2br w:val="nil"/>
              <w:tr2bl w:val="nil"/>
            </w:tcBorders>
            <w:noWrap/>
            <w:tcMar>
              <w:top w:w="15" w:type="dxa"/>
              <w:left w:w="15" w:type="dxa"/>
              <w:bottom w:w="0" w:type="dxa"/>
              <w:right w:w="15" w:type="dxa"/>
            </w:tcMar>
            <w:vAlign w:val="center"/>
          </w:tcPr>
          <w:p w14:paraId="1B717E9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种类</w:t>
            </w:r>
          </w:p>
        </w:tc>
        <w:tc>
          <w:tcPr>
            <w:tcW w:w="1000" w:type="pct"/>
            <w:tcBorders>
              <w:tl2br w:val="nil"/>
              <w:tr2bl w:val="nil"/>
            </w:tcBorders>
            <w:noWrap/>
            <w:tcMar>
              <w:top w:w="15" w:type="dxa"/>
              <w:left w:w="15" w:type="dxa"/>
              <w:bottom w:w="0" w:type="dxa"/>
              <w:right w:w="15" w:type="dxa"/>
            </w:tcMar>
            <w:vAlign w:val="center"/>
          </w:tcPr>
          <w:p w14:paraId="6C12C68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目</w:t>
            </w:r>
          </w:p>
        </w:tc>
        <w:tc>
          <w:tcPr>
            <w:tcW w:w="1001" w:type="pct"/>
            <w:tcBorders>
              <w:tl2br w:val="nil"/>
              <w:tr2bl w:val="nil"/>
            </w:tcBorders>
            <w:noWrap/>
            <w:tcMar>
              <w:top w:w="15" w:type="dxa"/>
              <w:left w:w="15" w:type="dxa"/>
              <w:bottom w:w="0" w:type="dxa"/>
              <w:right w:w="15" w:type="dxa"/>
            </w:tcMar>
            <w:vAlign w:val="center"/>
          </w:tcPr>
          <w:p w14:paraId="2756975D">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科</w:t>
            </w:r>
          </w:p>
        </w:tc>
        <w:tc>
          <w:tcPr>
            <w:tcW w:w="1001" w:type="pct"/>
            <w:tcBorders>
              <w:tl2br w:val="nil"/>
              <w:tr2bl w:val="nil"/>
            </w:tcBorders>
            <w:noWrap/>
            <w:tcMar>
              <w:top w:w="15" w:type="dxa"/>
              <w:left w:w="15" w:type="dxa"/>
              <w:bottom w:w="0" w:type="dxa"/>
              <w:right w:w="15" w:type="dxa"/>
            </w:tcMar>
            <w:vAlign w:val="center"/>
          </w:tcPr>
          <w:p w14:paraId="3FF9835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属</w:t>
            </w:r>
          </w:p>
        </w:tc>
        <w:tc>
          <w:tcPr>
            <w:tcW w:w="1000" w:type="pct"/>
            <w:tcBorders>
              <w:tl2br w:val="nil"/>
              <w:tr2bl w:val="nil"/>
            </w:tcBorders>
            <w:noWrap/>
            <w:tcMar>
              <w:top w:w="15" w:type="dxa"/>
              <w:left w:w="15" w:type="dxa"/>
              <w:bottom w:w="0" w:type="dxa"/>
              <w:right w:w="15" w:type="dxa"/>
            </w:tcMar>
            <w:vAlign w:val="center"/>
          </w:tcPr>
          <w:p w14:paraId="6231193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种</w:t>
            </w:r>
          </w:p>
        </w:tc>
      </w:tr>
      <w:tr w14:paraId="2773BE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998" w:type="pct"/>
            <w:noWrap/>
            <w:tcMar>
              <w:top w:w="15" w:type="dxa"/>
              <w:left w:w="15" w:type="dxa"/>
              <w:bottom w:w="0" w:type="dxa"/>
              <w:right w:w="15" w:type="dxa"/>
            </w:tcMar>
            <w:vAlign w:val="bottom"/>
          </w:tcPr>
          <w:p w14:paraId="162F58B3">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两栖类</w:t>
            </w:r>
          </w:p>
        </w:tc>
        <w:tc>
          <w:tcPr>
            <w:tcW w:w="1000" w:type="pct"/>
            <w:noWrap/>
            <w:tcMar>
              <w:top w:w="15" w:type="dxa"/>
              <w:left w:w="15" w:type="dxa"/>
              <w:bottom w:w="0" w:type="dxa"/>
              <w:right w:w="15" w:type="dxa"/>
            </w:tcMar>
            <w:vAlign w:val="bottom"/>
          </w:tcPr>
          <w:p w14:paraId="316A8D7D">
            <w:pPr>
              <w:pStyle w:val="140"/>
              <w:adjustRightInd w:val="0"/>
              <w:snapToGrid w:val="0"/>
              <w:spacing w:before="0" w:after="0"/>
              <w:rPr>
                <w:rFonts w:hint="default" w:ascii="Times New Roman" w:hAnsi="Times New Roman" w:cs="Times New Roman"/>
                <w:color w:val="auto"/>
                <w:szCs w:val="21"/>
              </w:rPr>
            </w:pPr>
            <w:r>
              <w:rPr>
                <w:rFonts w:hint="default" w:ascii="Times New Roman" w:hAnsi="Times New Roman" w:cs="Times New Roman"/>
                <w:color w:val="auto"/>
              </w:rPr>
              <w:t>1</w:t>
            </w:r>
          </w:p>
        </w:tc>
        <w:tc>
          <w:tcPr>
            <w:tcW w:w="1001" w:type="pct"/>
            <w:noWrap/>
            <w:tcMar>
              <w:top w:w="15" w:type="dxa"/>
              <w:left w:w="15" w:type="dxa"/>
              <w:bottom w:w="0" w:type="dxa"/>
              <w:right w:w="15" w:type="dxa"/>
            </w:tcMar>
            <w:vAlign w:val="bottom"/>
          </w:tcPr>
          <w:p w14:paraId="5FC2D2AB">
            <w:pPr>
              <w:pStyle w:val="140"/>
              <w:adjustRightInd w:val="0"/>
              <w:snapToGrid w:val="0"/>
              <w:spacing w:before="0" w:after="0"/>
              <w:rPr>
                <w:rFonts w:hint="default" w:ascii="Times New Roman" w:hAnsi="Times New Roman" w:cs="Times New Roman"/>
                <w:color w:val="auto"/>
                <w:szCs w:val="21"/>
              </w:rPr>
            </w:pPr>
            <w:r>
              <w:rPr>
                <w:rFonts w:hint="default" w:ascii="Times New Roman" w:hAnsi="Times New Roman" w:cs="Times New Roman"/>
                <w:color w:val="auto"/>
              </w:rPr>
              <w:t>3</w:t>
            </w:r>
          </w:p>
        </w:tc>
        <w:tc>
          <w:tcPr>
            <w:tcW w:w="1001" w:type="pct"/>
            <w:noWrap/>
            <w:tcMar>
              <w:top w:w="15" w:type="dxa"/>
              <w:left w:w="15" w:type="dxa"/>
              <w:bottom w:w="0" w:type="dxa"/>
              <w:right w:w="15" w:type="dxa"/>
            </w:tcMar>
            <w:vAlign w:val="bottom"/>
          </w:tcPr>
          <w:p w14:paraId="5018D74A">
            <w:pPr>
              <w:pStyle w:val="140"/>
              <w:adjustRightInd w:val="0"/>
              <w:snapToGrid w:val="0"/>
              <w:spacing w:before="0" w:after="0"/>
              <w:rPr>
                <w:rFonts w:hint="default" w:ascii="Times New Roman" w:hAnsi="Times New Roman" w:cs="Times New Roman"/>
                <w:color w:val="auto"/>
                <w:szCs w:val="21"/>
              </w:rPr>
            </w:pPr>
            <w:r>
              <w:rPr>
                <w:rFonts w:hint="default" w:ascii="Times New Roman" w:hAnsi="Times New Roman" w:cs="Times New Roman"/>
                <w:color w:val="auto"/>
              </w:rPr>
              <w:t>4</w:t>
            </w:r>
          </w:p>
        </w:tc>
        <w:tc>
          <w:tcPr>
            <w:tcW w:w="1000" w:type="pct"/>
            <w:noWrap/>
            <w:tcMar>
              <w:top w:w="15" w:type="dxa"/>
              <w:left w:w="15" w:type="dxa"/>
              <w:bottom w:w="0" w:type="dxa"/>
              <w:right w:w="15" w:type="dxa"/>
            </w:tcMar>
            <w:vAlign w:val="bottom"/>
          </w:tcPr>
          <w:p w14:paraId="640824AC">
            <w:pPr>
              <w:pStyle w:val="140"/>
              <w:adjustRightInd w:val="0"/>
              <w:snapToGrid w:val="0"/>
              <w:spacing w:before="0" w:after="0"/>
              <w:rPr>
                <w:rFonts w:hint="default" w:ascii="Times New Roman" w:hAnsi="Times New Roman" w:cs="Times New Roman"/>
                <w:color w:val="auto"/>
                <w:szCs w:val="21"/>
              </w:rPr>
            </w:pPr>
            <w:r>
              <w:rPr>
                <w:rFonts w:hint="default" w:ascii="Times New Roman" w:hAnsi="Times New Roman" w:cs="Times New Roman"/>
                <w:color w:val="auto"/>
                <w:szCs w:val="21"/>
              </w:rPr>
              <w:t>6</w:t>
            </w:r>
          </w:p>
        </w:tc>
      </w:tr>
      <w:tr w14:paraId="2B1B2A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998" w:type="pct"/>
            <w:noWrap/>
            <w:tcMar>
              <w:top w:w="15" w:type="dxa"/>
              <w:left w:w="15" w:type="dxa"/>
              <w:bottom w:w="0" w:type="dxa"/>
              <w:right w:w="15" w:type="dxa"/>
            </w:tcMar>
            <w:vAlign w:val="bottom"/>
          </w:tcPr>
          <w:p w14:paraId="1E6C13B9">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爬行类</w:t>
            </w:r>
          </w:p>
        </w:tc>
        <w:tc>
          <w:tcPr>
            <w:tcW w:w="1000" w:type="pct"/>
            <w:noWrap/>
            <w:tcMar>
              <w:top w:w="15" w:type="dxa"/>
              <w:left w:w="15" w:type="dxa"/>
              <w:bottom w:w="0" w:type="dxa"/>
              <w:right w:w="15" w:type="dxa"/>
            </w:tcMar>
            <w:vAlign w:val="bottom"/>
          </w:tcPr>
          <w:p w14:paraId="333D51BC">
            <w:pPr>
              <w:pStyle w:val="140"/>
              <w:adjustRightInd w:val="0"/>
              <w:snapToGrid w:val="0"/>
              <w:spacing w:before="0" w:after="0"/>
              <w:rPr>
                <w:rFonts w:hint="default" w:ascii="Times New Roman" w:hAnsi="Times New Roman" w:cs="Times New Roman"/>
                <w:color w:val="auto"/>
                <w:szCs w:val="21"/>
              </w:rPr>
            </w:pPr>
            <w:r>
              <w:rPr>
                <w:rFonts w:hint="default" w:ascii="Times New Roman" w:hAnsi="Times New Roman" w:cs="Times New Roman"/>
                <w:color w:val="auto"/>
              </w:rPr>
              <w:t>2</w:t>
            </w:r>
          </w:p>
        </w:tc>
        <w:tc>
          <w:tcPr>
            <w:tcW w:w="1001" w:type="pct"/>
            <w:noWrap/>
            <w:tcMar>
              <w:top w:w="15" w:type="dxa"/>
              <w:left w:w="15" w:type="dxa"/>
              <w:bottom w:w="0" w:type="dxa"/>
              <w:right w:w="15" w:type="dxa"/>
            </w:tcMar>
            <w:vAlign w:val="bottom"/>
          </w:tcPr>
          <w:p w14:paraId="5275759C">
            <w:pPr>
              <w:pStyle w:val="140"/>
              <w:adjustRightInd w:val="0"/>
              <w:snapToGrid w:val="0"/>
              <w:spacing w:before="0" w:after="0"/>
              <w:rPr>
                <w:rFonts w:hint="default" w:ascii="Times New Roman" w:hAnsi="Times New Roman" w:cs="Times New Roman"/>
                <w:color w:val="auto"/>
                <w:szCs w:val="21"/>
              </w:rPr>
            </w:pPr>
            <w:r>
              <w:rPr>
                <w:rFonts w:hint="default" w:ascii="Times New Roman" w:hAnsi="Times New Roman" w:cs="Times New Roman"/>
                <w:color w:val="auto"/>
              </w:rPr>
              <w:t>5</w:t>
            </w:r>
          </w:p>
        </w:tc>
        <w:tc>
          <w:tcPr>
            <w:tcW w:w="1001" w:type="pct"/>
            <w:noWrap/>
            <w:tcMar>
              <w:top w:w="15" w:type="dxa"/>
              <w:left w:w="15" w:type="dxa"/>
              <w:bottom w:w="0" w:type="dxa"/>
              <w:right w:w="15" w:type="dxa"/>
            </w:tcMar>
            <w:vAlign w:val="bottom"/>
          </w:tcPr>
          <w:p w14:paraId="7F2DB31E">
            <w:pPr>
              <w:pStyle w:val="140"/>
              <w:adjustRightInd w:val="0"/>
              <w:snapToGrid w:val="0"/>
              <w:spacing w:before="0" w:after="0"/>
              <w:rPr>
                <w:rFonts w:hint="default" w:ascii="Times New Roman" w:hAnsi="Times New Roman" w:cs="Times New Roman"/>
                <w:color w:val="auto"/>
                <w:szCs w:val="21"/>
              </w:rPr>
            </w:pPr>
            <w:r>
              <w:rPr>
                <w:rFonts w:hint="default" w:ascii="Times New Roman" w:hAnsi="Times New Roman" w:cs="Times New Roman"/>
                <w:color w:val="auto"/>
              </w:rPr>
              <w:t>6</w:t>
            </w:r>
          </w:p>
        </w:tc>
        <w:tc>
          <w:tcPr>
            <w:tcW w:w="1000" w:type="pct"/>
            <w:noWrap/>
            <w:tcMar>
              <w:top w:w="15" w:type="dxa"/>
              <w:left w:w="15" w:type="dxa"/>
              <w:bottom w:w="0" w:type="dxa"/>
              <w:right w:w="15" w:type="dxa"/>
            </w:tcMar>
            <w:vAlign w:val="bottom"/>
          </w:tcPr>
          <w:p w14:paraId="173D70C0">
            <w:pPr>
              <w:pStyle w:val="140"/>
              <w:adjustRightInd w:val="0"/>
              <w:snapToGrid w:val="0"/>
              <w:spacing w:before="0" w:after="0"/>
              <w:rPr>
                <w:rFonts w:hint="default" w:ascii="Times New Roman" w:hAnsi="Times New Roman" w:cs="Times New Roman"/>
                <w:color w:val="auto"/>
                <w:szCs w:val="21"/>
              </w:rPr>
            </w:pPr>
            <w:r>
              <w:rPr>
                <w:rFonts w:hint="default" w:ascii="Times New Roman" w:hAnsi="Times New Roman" w:cs="Times New Roman"/>
                <w:color w:val="auto"/>
              </w:rPr>
              <w:t>6</w:t>
            </w:r>
          </w:p>
        </w:tc>
      </w:tr>
      <w:tr w14:paraId="5B1430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998" w:type="pct"/>
            <w:noWrap/>
            <w:tcMar>
              <w:top w:w="15" w:type="dxa"/>
              <w:left w:w="15" w:type="dxa"/>
              <w:bottom w:w="0" w:type="dxa"/>
              <w:right w:w="15" w:type="dxa"/>
            </w:tcMar>
            <w:vAlign w:val="bottom"/>
          </w:tcPr>
          <w:p w14:paraId="4C2BE63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鸟类</w:t>
            </w:r>
          </w:p>
        </w:tc>
        <w:tc>
          <w:tcPr>
            <w:tcW w:w="1000" w:type="pct"/>
            <w:noWrap/>
            <w:tcMar>
              <w:top w:w="15" w:type="dxa"/>
              <w:left w:w="15" w:type="dxa"/>
              <w:bottom w:w="0" w:type="dxa"/>
              <w:right w:w="15" w:type="dxa"/>
            </w:tcMar>
            <w:vAlign w:val="bottom"/>
          </w:tcPr>
          <w:p w14:paraId="4B2AB41A">
            <w:pPr>
              <w:pStyle w:val="140"/>
              <w:adjustRightInd w:val="0"/>
              <w:snapToGrid w:val="0"/>
              <w:spacing w:before="0" w:after="0"/>
              <w:rPr>
                <w:rFonts w:hint="default" w:ascii="Times New Roman" w:hAnsi="Times New Roman" w:cs="Times New Roman"/>
                <w:color w:val="auto"/>
                <w:szCs w:val="21"/>
              </w:rPr>
            </w:pPr>
            <w:r>
              <w:rPr>
                <w:rFonts w:hint="default" w:ascii="Times New Roman" w:hAnsi="Times New Roman" w:cs="Times New Roman"/>
                <w:color w:val="auto"/>
              </w:rPr>
              <w:t>10</w:t>
            </w:r>
          </w:p>
        </w:tc>
        <w:tc>
          <w:tcPr>
            <w:tcW w:w="1001" w:type="pct"/>
            <w:noWrap/>
            <w:tcMar>
              <w:top w:w="15" w:type="dxa"/>
              <w:left w:w="15" w:type="dxa"/>
              <w:bottom w:w="0" w:type="dxa"/>
              <w:right w:w="15" w:type="dxa"/>
            </w:tcMar>
            <w:vAlign w:val="bottom"/>
          </w:tcPr>
          <w:p w14:paraId="404C1C2B">
            <w:pPr>
              <w:pStyle w:val="140"/>
              <w:adjustRightInd w:val="0"/>
              <w:snapToGrid w:val="0"/>
              <w:spacing w:before="0" w:after="0"/>
              <w:rPr>
                <w:rFonts w:hint="default" w:ascii="Times New Roman" w:hAnsi="Times New Roman" w:cs="Times New Roman"/>
                <w:color w:val="auto"/>
                <w:szCs w:val="21"/>
              </w:rPr>
            </w:pPr>
            <w:r>
              <w:rPr>
                <w:rFonts w:hint="default" w:ascii="Times New Roman" w:hAnsi="Times New Roman" w:cs="Times New Roman"/>
                <w:color w:val="auto"/>
              </w:rPr>
              <w:t>23</w:t>
            </w:r>
          </w:p>
        </w:tc>
        <w:tc>
          <w:tcPr>
            <w:tcW w:w="1001" w:type="pct"/>
            <w:noWrap/>
            <w:tcMar>
              <w:top w:w="15" w:type="dxa"/>
              <w:left w:w="15" w:type="dxa"/>
              <w:bottom w:w="0" w:type="dxa"/>
              <w:right w:w="15" w:type="dxa"/>
            </w:tcMar>
            <w:vAlign w:val="bottom"/>
          </w:tcPr>
          <w:p w14:paraId="42E1657A">
            <w:pPr>
              <w:pStyle w:val="140"/>
              <w:adjustRightInd w:val="0"/>
              <w:snapToGrid w:val="0"/>
              <w:spacing w:before="0" w:after="0"/>
              <w:rPr>
                <w:rFonts w:hint="default" w:ascii="Times New Roman" w:hAnsi="Times New Roman" w:cs="Times New Roman"/>
                <w:color w:val="auto"/>
                <w:szCs w:val="21"/>
              </w:rPr>
            </w:pPr>
            <w:r>
              <w:rPr>
                <w:rFonts w:hint="default" w:ascii="Times New Roman" w:hAnsi="Times New Roman" w:cs="Times New Roman"/>
                <w:color w:val="auto"/>
              </w:rPr>
              <w:t>43</w:t>
            </w:r>
          </w:p>
        </w:tc>
        <w:tc>
          <w:tcPr>
            <w:tcW w:w="1000" w:type="pct"/>
            <w:noWrap/>
            <w:tcMar>
              <w:top w:w="15" w:type="dxa"/>
              <w:left w:w="15" w:type="dxa"/>
              <w:bottom w:w="0" w:type="dxa"/>
              <w:right w:w="15" w:type="dxa"/>
            </w:tcMar>
            <w:vAlign w:val="bottom"/>
          </w:tcPr>
          <w:p w14:paraId="5BFEDA93">
            <w:pPr>
              <w:pStyle w:val="140"/>
              <w:adjustRightInd w:val="0"/>
              <w:snapToGrid w:val="0"/>
              <w:spacing w:before="0" w:after="0"/>
              <w:rPr>
                <w:rFonts w:hint="default" w:ascii="Times New Roman" w:hAnsi="Times New Roman" w:cs="Times New Roman"/>
                <w:color w:val="auto"/>
                <w:szCs w:val="21"/>
              </w:rPr>
            </w:pPr>
            <w:r>
              <w:rPr>
                <w:rFonts w:hint="default" w:ascii="Times New Roman" w:hAnsi="Times New Roman" w:cs="Times New Roman"/>
                <w:color w:val="auto"/>
              </w:rPr>
              <w:t>51</w:t>
            </w:r>
          </w:p>
        </w:tc>
      </w:tr>
      <w:tr w14:paraId="121DD9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998" w:type="pct"/>
            <w:noWrap/>
            <w:tcMar>
              <w:top w:w="15" w:type="dxa"/>
              <w:left w:w="15" w:type="dxa"/>
              <w:bottom w:w="0" w:type="dxa"/>
              <w:right w:w="15" w:type="dxa"/>
            </w:tcMar>
            <w:vAlign w:val="bottom"/>
          </w:tcPr>
          <w:p w14:paraId="309F903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哺乳类</w:t>
            </w:r>
          </w:p>
        </w:tc>
        <w:tc>
          <w:tcPr>
            <w:tcW w:w="1000" w:type="pct"/>
            <w:noWrap/>
            <w:tcMar>
              <w:top w:w="15" w:type="dxa"/>
              <w:left w:w="15" w:type="dxa"/>
              <w:bottom w:w="0" w:type="dxa"/>
              <w:right w:w="15" w:type="dxa"/>
            </w:tcMar>
            <w:vAlign w:val="bottom"/>
          </w:tcPr>
          <w:p w14:paraId="746D6779">
            <w:pPr>
              <w:pStyle w:val="140"/>
              <w:adjustRightInd w:val="0"/>
              <w:snapToGrid w:val="0"/>
              <w:spacing w:before="0" w:after="0"/>
              <w:rPr>
                <w:rFonts w:hint="default" w:ascii="Times New Roman" w:hAnsi="Times New Roman" w:cs="Times New Roman"/>
                <w:color w:val="auto"/>
                <w:szCs w:val="21"/>
              </w:rPr>
            </w:pPr>
            <w:r>
              <w:rPr>
                <w:rFonts w:hint="default" w:ascii="Times New Roman" w:hAnsi="Times New Roman" w:cs="Times New Roman"/>
                <w:color w:val="auto"/>
              </w:rPr>
              <w:t>4</w:t>
            </w:r>
          </w:p>
        </w:tc>
        <w:tc>
          <w:tcPr>
            <w:tcW w:w="1001" w:type="pct"/>
            <w:noWrap/>
            <w:tcMar>
              <w:top w:w="15" w:type="dxa"/>
              <w:left w:w="15" w:type="dxa"/>
              <w:bottom w:w="0" w:type="dxa"/>
              <w:right w:w="15" w:type="dxa"/>
            </w:tcMar>
            <w:vAlign w:val="bottom"/>
          </w:tcPr>
          <w:p w14:paraId="24277BB4">
            <w:pPr>
              <w:pStyle w:val="140"/>
              <w:adjustRightInd w:val="0"/>
              <w:snapToGrid w:val="0"/>
              <w:spacing w:before="0" w:after="0"/>
              <w:rPr>
                <w:rFonts w:hint="default" w:ascii="Times New Roman" w:hAnsi="Times New Roman" w:cs="Times New Roman"/>
                <w:color w:val="auto"/>
                <w:szCs w:val="21"/>
              </w:rPr>
            </w:pPr>
            <w:r>
              <w:rPr>
                <w:rFonts w:hint="default" w:ascii="Times New Roman" w:hAnsi="Times New Roman" w:cs="Times New Roman"/>
                <w:color w:val="auto"/>
              </w:rPr>
              <w:t>7</w:t>
            </w:r>
          </w:p>
        </w:tc>
        <w:tc>
          <w:tcPr>
            <w:tcW w:w="1001" w:type="pct"/>
            <w:noWrap/>
            <w:tcMar>
              <w:top w:w="15" w:type="dxa"/>
              <w:left w:w="15" w:type="dxa"/>
              <w:bottom w:w="0" w:type="dxa"/>
              <w:right w:w="15" w:type="dxa"/>
            </w:tcMar>
            <w:vAlign w:val="bottom"/>
          </w:tcPr>
          <w:p w14:paraId="19C16DDA">
            <w:pPr>
              <w:pStyle w:val="140"/>
              <w:adjustRightInd w:val="0"/>
              <w:snapToGrid w:val="0"/>
              <w:spacing w:before="0" w:after="0"/>
              <w:rPr>
                <w:rFonts w:hint="default" w:ascii="Times New Roman" w:hAnsi="Times New Roman" w:cs="Times New Roman"/>
                <w:color w:val="auto"/>
                <w:szCs w:val="21"/>
              </w:rPr>
            </w:pPr>
            <w:r>
              <w:rPr>
                <w:rFonts w:hint="default" w:ascii="Times New Roman" w:hAnsi="Times New Roman" w:cs="Times New Roman"/>
                <w:color w:val="auto"/>
              </w:rPr>
              <w:t>10</w:t>
            </w:r>
          </w:p>
        </w:tc>
        <w:tc>
          <w:tcPr>
            <w:tcW w:w="1000" w:type="pct"/>
            <w:noWrap/>
            <w:tcMar>
              <w:top w:w="15" w:type="dxa"/>
              <w:left w:w="15" w:type="dxa"/>
              <w:bottom w:w="0" w:type="dxa"/>
              <w:right w:w="15" w:type="dxa"/>
            </w:tcMar>
            <w:vAlign w:val="bottom"/>
          </w:tcPr>
          <w:p w14:paraId="2CA00649">
            <w:pPr>
              <w:pStyle w:val="140"/>
              <w:adjustRightInd w:val="0"/>
              <w:snapToGrid w:val="0"/>
              <w:spacing w:before="0" w:after="0"/>
              <w:rPr>
                <w:rFonts w:hint="default" w:ascii="Times New Roman" w:hAnsi="Times New Roman" w:cs="Times New Roman"/>
                <w:color w:val="auto"/>
                <w:szCs w:val="21"/>
              </w:rPr>
            </w:pPr>
            <w:r>
              <w:rPr>
                <w:rFonts w:hint="default" w:ascii="Times New Roman" w:hAnsi="Times New Roman" w:cs="Times New Roman"/>
                <w:color w:val="auto"/>
              </w:rPr>
              <w:t>10</w:t>
            </w:r>
          </w:p>
        </w:tc>
      </w:tr>
      <w:tr w14:paraId="6F6E4A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998" w:type="pct"/>
            <w:noWrap/>
            <w:tcMar>
              <w:top w:w="15" w:type="dxa"/>
              <w:left w:w="15" w:type="dxa"/>
              <w:bottom w:w="0" w:type="dxa"/>
              <w:right w:w="15" w:type="dxa"/>
            </w:tcMar>
            <w:vAlign w:val="bottom"/>
          </w:tcPr>
          <w:p w14:paraId="1E3EA79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小计</w:t>
            </w:r>
          </w:p>
        </w:tc>
        <w:tc>
          <w:tcPr>
            <w:tcW w:w="1000" w:type="pct"/>
            <w:noWrap/>
            <w:tcMar>
              <w:top w:w="15" w:type="dxa"/>
              <w:left w:w="15" w:type="dxa"/>
              <w:bottom w:w="0" w:type="dxa"/>
              <w:right w:w="15" w:type="dxa"/>
            </w:tcMar>
            <w:vAlign w:val="bottom"/>
          </w:tcPr>
          <w:p w14:paraId="64B0897F">
            <w:pPr>
              <w:pStyle w:val="140"/>
              <w:adjustRightInd w:val="0"/>
              <w:snapToGrid w:val="0"/>
              <w:spacing w:before="0" w:after="0"/>
              <w:rPr>
                <w:rFonts w:hint="default" w:ascii="Times New Roman" w:hAnsi="Times New Roman" w:cs="Times New Roman"/>
                <w:color w:val="auto"/>
                <w:szCs w:val="21"/>
              </w:rPr>
            </w:pPr>
            <w:r>
              <w:rPr>
                <w:rFonts w:hint="default" w:ascii="Times New Roman" w:hAnsi="Times New Roman" w:cs="Times New Roman"/>
                <w:color w:val="auto"/>
              </w:rPr>
              <w:t>17</w:t>
            </w:r>
          </w:p>
        </w:tc>
        <w:tc>
          <w:tcPr>
            <w:tcW w:w="1001" w:type="pct"/>
            <w:noWrap/>
            <w:tcMar>
              <w:top w:w="15" w:type="dxa"/>
              <w:left w:w="15" w:type="dxa"/>
              <w:bottom w:w="0" w:type="dxa"/>
              <w:right w:w="15" w:type="dxa"/>
            </w:tcMar>
            <w:vAlign w:val="bottom"/>
          </w:tcPr>
          <w:p w14:paraId="6397C312">
            <w:pPr>
              <w:pStyle w:val="140"/>
              <w:adjustRightInd w:val="0"/>
              <w:snapToGrid w:val="0"/>
              <w:spacing w:before="0" w:after="0"/>
              <w:rPr>
                <w:rFonts w:hint="default" w:ascii="Times New Roman" w:hAnsi="Times New Roman" w:cs="Times New Roman"/>
                <w:color w:val="auto"/>
                <w:szCs w:val="21"/>
              </w:rPr>
            </w:pPr>
            <w:r>
              <w:rPr>
                <w:rFonts w:hint="default" w:ascii="Times New Roman" w:hAnsi="Times New Roman" w:cs="Times New Roman"/>
                <w:color w:val="auto"/>
              </w:rPr>
              <w:t>39</w:t>
            </w:r>
          </w:p>
        </w:tc>
        <w:tc>
          <w:tcPr>
            <w:tcW w:w="1001" w:type="pct"/>
            <w:noWrap/>
            <w:tcMar>
              <w:top w:w="15" w:type="dxa"/>
              <w:left w:w="15" w:type="dxa"/>
              <w:bottom w:w="0" w:type="dxa"/>
              <w:right w:w="15" w:type="dxa"/>
            </w:tcMar>
            <w:vAlign w:val="bottom"/>
          </w:tcPr>
          <w:p w14:paraId="502385FF">
            <w:pPr>
              <w:pStyle w:val="140"/>
              <w:adjustRightInd w:val="0"/>
              <w:snapToGrid w:val="0"/>
              <w:spacing w:before="0" w:after="0"/>
              <w:rPr>
                <w:rFonts w:hint="default" w:ascii="Times New Roman" w:hAnsi="Times New Roman" w:cs="Times New Roman"/>
                <w:color w:val="auto"/>
                <w:szCs w:val="21"/>
              </w:rPr>
            </w:pPr>
            <w:r>
              <w:rPr>
                <w:rFonts w:hint="default" w:ascii="Times New Roman" w:hAnsi="Times New Roman" w:cs="Times New Roman"/>
                <w:color w:val="auto"/>
              </w:rPr>
              <w:t>63</w:t>
            </w:r>
          </w:p>
        </w:tc>
        <w:tc>
          <w:tcPr>
            <w:tcW w:w="1000" w:type="pct"/>
            <w:noWrap/>
            <w:tcMar>
              <w:top w:w="15" w:type="dxa"/>
              <w:left w:w="15" w:type="dxa"/>
              <w:bottom w:w="0" w:type="dxa"/>
              <w:right w:w="15" w:type="dxa"/>
            </w:tcMar>
            <w:vAlign w:val="bottom"/>
          </w:tcPr>
          <w:p w14:paraId="7DD85628">
            <w:pPr>
              <w:pStyle w:val="140"/>
              <w:adjustRightInd w:val="0"/>
              <w:snapToGrid w:val="0"/>
              <w:spacing w:before="0" w:after="0"/>
              <w:rPr>
                <w:rFonts w:hint="default" w:ascii="Times New Roman" w:hAnsi="Times New Roman" w:cs="Times New Roman"/>
                <w:color w:val="auto"/>
                <w:szCs w:val="21"/>
              </w:rPr>
            </w:pPr>
            <w:r>
              <w:rPr>
                <w:rFonts w:hint="default" w:ascii="Times New Roman" w:hAnsi="Times New Roman" w:cs="Times New Roman"/>
                <w:color w:val="auto"/>
              </w:rPr>
              <w:t>73</w:t>
            </w:r>
          </w:p>
        </w:tc>
      </w:tr>
    </w:tbl>
    <w:p w14:paraId="752DB23F">
      <w:pPr>
        <w:pStyle w:val="6"/>
        <w:adjustRightInd w:val="0"/>
        <w:snapToGrid w:val="0"/>
        <w:spacing w:line="440" w:lineRule="exact"/>
        <w:ind w:firstLine="482" w:firstLineChars="200"/>
        <w:rPr>
          <w:rFonts w:hint="default" w:ascii="Times New Roman" w:hAnsi="Times New Roman" w:cs="Times New Roman"/>
          <w:color w:val="auto"/>
        </w:rPr>
      </w:pPr>
      <w:r>
        <w:rPr>
          <w:rFonts w:hint="default" w:ascii="Times New Roman" w:hAnsi="Times New Roman" w:cs="Times New Roman"/>
          <w:color w:val="auto"/>
        </w:rPr>
        <w:t>2.4.2.2 陆生脊椎动物现状分类</w:t>
      </w:r>
    </w:p>
    <w:p w14:paraId="751C044F">
      <w:pPr>
        <w:adjustRightInd w:val="0"/>
        <w:snapToGrid w:val="0"/>
        <w:spacing w:after="0" w:line="440" w:lineRule="exact"/>
        <w:ind w:firstLine="480"/>
        <w:rPr>
          <w:rFonts w:hint="default" w:ascii="Times New Roman" w:hAnsi="Times New Roman" w:eastAsia="宋体" w:cs="Times New Roman"/>
          <w:b/>
          <w:bCs/>
          <w:color w:val="auto"/>
        </w:rPr>
      </w:pPr>
      <w:r>
        <w:rPr>
          <w:rFonts w:hint="default" w:ascii="Times New Roman" w:hAnsi="Times New Roman" w:eastAsia="宋体" w:cs="Times New Roman"/>
          <w:b/>
          <w:bCs/>
          <w:color w:val="auto"/>
        </w:rPr>
        <w:t>（1）两栖类</w:t>
      </w:r>
    </w:p>
    <w:p w14:paraId="4EDE3A6B">
      <w:pPr>
        <w:adjustRightInd w:val="0"/>
        <w:snapToGrid w:val="0"/>
        <w:spacing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调查及资料表明，评价区内分布有两栖动物6种，隶属于1目、3科、4属。这些两栖动物在当地都为偶见种。</w:t>
      </w:r>
    </w:p>
    <w:p w14:paraId="3E73EE1E">
      <w:pPr>
        <w:adjustRightInd w:val="0"/>
        <w:snapToGrid w:val="0"/>
        <w:spacing w:after="0" w:line="240" w:lineRule="auto"/>
        <w:ind w:firstLine="0" w:firstLineChars="0"/>
        <w:jc w:val="center"/>
        <w:rPr>
          <w:rFonts w:hint="default" w:ascii="Times New Roman" w:hAnsi="Times New Roman" w:eastAsia="宋体" w:cs="Times New Roman"/>
          <w:b/>
          <w:color w:val="auto"/>
          <w:szCs w:val="24"/>
        </w:rPr>
      </w:pPr>
      <w:r>
        <w:rPr>
          <w:rFonts w:hint="default" w:ascii="Times New Roman" w:hAnsi="Times New Roman" w:eastAsia="宋体" w:cs="Times New Roman"/>
          <w:b/>
          <w:color w:val="auto"/>
          <w:szCs w:val="24"/>
        </w:rPr>
        <w:t>表2.4-</w:t>
      </w:r>
      <w:r>
        <w:rPr>
          <w:rFonts w:hint="eastAsia" w:ascii="Times New Roman" w:hAnsi="Times New Roman" w:eastAsia="宋体" w:cs="Times New Roman"/>
          <w:b/>
          <w:color w:val="auto"/>
          <w:szCs w:val="24"/>
          <w:lang w:val="en-US" w:eastAsia="zh-CN"/>
        </w:rPr>
        <w:t>4</w:t>
      </w:r>
      <w:r>
        <w:rPr>
          <w:rFonts w:hint="default" w:ascii="Times New Roman" w:hAnsi="Times New Roman" w:eastAsia="宋体" w:cs="Times New Roman"/>
          <w:b/>
          <w:color w:val="auto"/>
          <w:szCs w:val="24"/>
        </w:rPr>
        <w:t xml:space="preserve">  评价区两栖动物组成</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02"/>
        <w:gridCol w:w="4530"/>
        <w:gridCol w:w="2018"/>
      </w:tblGrid>
      <w:tr w14:paraId="7EEA54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58" w:type="pct"/>
            <w:tcBorders>
              <w:tl2br w:val="nil"/>
              <w:tr2bl w:val="nil"/>
            </w:tcBorders>
            <w:noWrap/>
            <w:vAlign w:val="center"/>
          </w:tcPr>
          <w:p w14:paraId="0082C72D">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目</w:t>
            </w:r>
          </w:p>
        </w:tc>
        <w:tc>
          <w:tcPr>
            <w:tcW w:w="2588" w:type="pct"/>
            <w:tcBorders>
              <w:tl2br w:val="nil"/>
              <w:tr2bl w:val="nil"/>
            </w:tcBorders>
            <w:noWrap/>
            <w:vAlign w:val="center"/>
          </w:tcPr>
          <w:p w14:paraId="341FA765">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科</w:t>
            </w:r>
          </w:p>
        </w:tc>
        <w:tc>
          <w:tcPr>
            <w:tcW w:w="1153" w:type="pct"/>
            <w:tcBorders>
              <w:tl2br w:val="nil"/>
              <w:tr2bl w:val="nil"/>
            </w:tcBorders>
            <w:vAlign w:val="center"/>
          </w:tcPr>
          <w:p w14:paraId="3D65A150">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种数</w:t>
            </w:r>
          </w:p>
        </w:tc>
      </w:tr>
      <w:tr w14:paraId="606F3B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58" w:type="pct"/>
            <w:vMerge w:val="restart"/>
            <w:tcBorders>
              <w:tl2br w:val="nil"/>
              <w:tr2bl w:val="nil"/>
            </w:tcBorders>
            <w:noWrap/>
            <w:vAlign w:val="center"/>
          </w:tcPr>
          <w:p w14:paraId="7EB165EA">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无尾目ANURA</w:t>
            </w:r>
          </w:p>
        </w:tc>
        <w:tc>
          <w:tcPr>
            <w:tcW w:w="2588" w:type="pct"/>
            <w:tcBorders>
              <w:tl2br w:val="nil"/>
              <w:tr2bl w:val="nil"/>
            </w:tcBorders>
            <w:shd w:val="clear" w:color="auto" w:fill="auto"/>
            <w:noWrap/>
            <w:vAlign w:val="center"/>
          </w:tcPr>
          <w:p w14:paraId="769FAEBA">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树蟾科Hylidae</w:t>
            </w:r>
          </w:p>
        </w:tc>
        <w:tc>
          <w:tcPr>
            <w:tcW w:w="1153" w:type="pct"/>
            <w:tcBorders>
              <w:tl2br w:val="nil"/>
              <w:tr2bl w:val="nil"/>
            </w:tcBorders>
            <w:shd w:val="clear" w:color="auto" w:fill="auto"/>
            <w:vAlign w:val="center"/>
          </w:tcPr>
          <w:p w14:paraId="66FF04FD">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r>
      <w:tr w14:paraId="4B3AD1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58" w:type="pct"/>
            <w:vMerge w:val="continue"/>
            <w:tcBorders>
              <w:tl2br w:val="nil"/>
              <w:tr2bl w:val="nil"/>
            </w:tcBorders>
            <w:noWrap/>
            <w:vAlign w:val="center"/>
          </w:tcPr>
          <w:p w14:paraId="26500BB3">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p>
        </w:tc>
        <w:tc>
          <w:tcPr>
            <w:tcW w:w="2588" w:type="pct"/>
            <w:tcBorders>
              <w:tl2br w:val="nil"/>
              <w:tr2bl w:val="nil"/>
            </w:tcBorders>
            <w:shd w:val="clear" w:color="auto" w:fill="auto"/>
            <w:noWrap/>
            <w:vAlign w:val="center"/>
          </w:tcPr>
          <w:p w14:paraId="67DD94F0">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蟾蜍科Bufonidae</w:t>
            </w:r>
          </w:p>
        </w:tc>
        <w:tc>
          <w:tcPr>
            <w:tcW w:w="1153" w:type="pct"/>
            <w:tcBorders>
              <w:tl2br w:val="nil"/>
              <w:tr2bl w:val="nil"/>
            </w:tcBorders>
            <w:shd w:val="clear" w:color="auto" w:fill="auto"/>
            <w:vAlign w:val="center"/>
          </w:tcPr>
          <w:p w14:paraId="3AA79CE5">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p>
        </w:tc>
      </w:tr>
      <w:tr w14:paraId="7FA581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58" w:type="pct"/>
            <w:vMerge w:val="continue"/>
            <w:tcBorders>
              <w:tl2br w:val="nil"/>
              <w:tr2bl w:val="nil"/>
            </w:tcBorders>
            <w:noWrap/>
            <w:vAlign w:val="center"/>
          </w:tcPr>
          <w:p w14:paraId="2A8928E4">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p>
        </w:tc>
        <w:tc>
          <w:tcPr>
            <w:tcW w:w="2588" w:type="pct"/>
            <w:tcBorders>
              <w:tl2br w:val="nil"/>
              <w:tr2bl w:val="nil"/>
            </w:tcBorders>
            <w:shd w:val="clear" w:color="auto" w:fill="auto"/>
            <w:noWrap/>
            <w:vAlign w:val="center"/>
          </w:tcPr>
          <w:p w14:paraId="6AF28206">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蛙科Ranidae</w:t>
            </w:r>
          </w:p>
        </w:tc>
        <w:tc>
          <w:tcPr>
            <w:tcW w:w="1153" w:type="pct"/>
            <w:tcBorders>
              <w:tl2br w:val="nil"/>
              <w:tr2bl w:val="nil"/>
            </w:tcBorders>
            <w:shd w:val="clear" w:color="auto" w:fill="auto"/>
            <w:vAlign w:val="center"/>
          </w:tcPr>
          <w:p w14:paraId="74732028">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w:t>
            </w:r>
          </w:p>
        </w:tc>
      </w:tr>
    </w:tbl>
    <w:p w14:paraId="0B6C163A">
      <w:pPr>
        <w:adjustRightInd w:val="0"/>
        <w:snapToGrid w:val="0"/>
        <w:spacing w:after="0" w:line="440" w:lineRule="exact"/>
        <w:ind w:firstLine="480"/>
        <w:rPr>
          <w:rFonts w:hint="default" w:ascii="Times New Roman" w:hAnsi="Times New Roman" w:eastAsia="宋体" w:cs="Times New Roman"/>
          <w:b/>
          <w:bCs/>
          <w:color w:val="auto"/>
        </w:rPr>
      </w:pPr>
      <w:r>
        <w:rPr>
          <w:rFonts w:hint="default" w:ascii="Times New Roman" w:hAnsi="Times New Roman" w:eastAsia="宋体" w:cs="Times New Roman"/>
          <w:b/>
          <w:bCs/>
          <w:color w:val="auto"/>
        </w:rPr>
        <w:t>（2）爬行类</w:t>
      </w:r>
    </w:p>
    <w:p w14:paraId="4C9D5CDA">
      <w:pPr>
        <w:adjustRightInd w:val="0"/>
        <w:snapToGrid w:val="0"/>
        <w:spacing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调查及资料表明，评价区内分布有爬行动物6种，隶属于2目、5科、6属。评价区主要是深切河谷，分布于该区域的爬行动物主要为攀蜥、游蛇。访问得知该区域赤链蛇、红脖颈槽蛇数量较多。云南竹叶青为偶见种。</w:t>
      </w:r>
    </w:p>
    <w:p w14:paraId="4BFFF05C">
      <w:pPr>
        <w:adjustRightInd w:val="0"/>
        <w:snapToGrid w:val="0"/>
        <w:spacing w:after="0" w:line="240" w:lineRule="auto"/>
        <w:ind w:firstLine="0" w:firstLineChars="0"/>
        <w:jc w:val="center"/>
        <w:rPr>
          <w:rFonts w:hint="default" w:ascii="Times New Roman" w:hAnsi="Times New Roman" w:eastAsia="宋体" w:cs="Times New Roman"/>
          <w:b/>
          <w:color w:val="auto"/>
          <w:szCs w:val="24"/>
        </w:rPr>
      </w:pPr>
      <w:r>
        <w:rPr>
          <w:rFonts w:hint="default" w:ascii="Times New Roman" w:hAnsi="Times New Roman" w:eastAsia="宋体" w:cs="Times New Roman"/>
          <w:b/>
          <w:color w:val="auto"/>
          <w:szCs w:val="24"/>
        </w:rPr>
        <w:t>表2.4-</w:t>
      </w:r>
      <w:r>
        <w:rPr>
          <w:rFonts w:hint="eastAsia" w:ascii="Times New Roman" w:hAnsi="Times New Roman" w:eastAsia="宋体" w:cs="Times New Roman"/>
          <w:b/>
          <w:color w:val="auto"/>
          <w:szCs w:val="24"/>
          <w:lang w:val="en-US" w:eastAsia="zh-CN"/>
        </w:rPr>
        <w:t>5</w:t>
      </w:r>
      <w:r>
        <w:rPr>
          <w:rFonts w:hint="default" w:ascii="Times New Roman" w:hAnsi="Times New Roman" w:eastAsia="宋体" w:cs="Times New Roman"/>
          <w:b/>
          <w:color w:val="auto"/>
          <w:szCs w:val="24"/>
        </w:rPr>
        <w:t xml:space="preserve">  评价区爬行动物组成</w:t>
      </w:r>
    </w:p>
    <w:tbl>
      <w:tblPr>
        <w:tblStyle w:val="30"/>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55"/>
        <w:gridCol w:w="4499"/>
        <w:gridCol w:w="1998"/>
      </w:tblGrid>
      <w:tr w14:paraId="683B23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88" w:type="pct"/>
            <w:tcBorders>
              <w:tl2br w:val="nil"/>
              <w:tr2bl w:val="nil"/>
            </w:tcBorders>
            <w:noWrap/>
            <w:vAlign w:val="center"/>
          </w:tcPr>
          <w:p w14:paraId="34B4D91B">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目</w:t>
            </w:r>
          </w:p>
        </w:tc>
        <w:tc>
          <w:tcPr>
            <w:tcW w:w="2569" w:type="pct"/>
            <w:tcBorders>
              <w:tl2br w:val="nil"/>
              <w:tr2bl w:val="nil"/>
            </w:tcBorders>
            <w:noWrap/>
            <w:vAlign w:val="center"/>
          </w:tcPr>
          <w:p w14:paraId="18F9B8ED">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科</w:t>
            </w:r>
          </w:p>
        </w:tc>
        <w:tc>
          <w:tcPr>
            <w:tcW w:w="1141" w:type="pct"/>
            <w:tcBorders>
              <w:tl2br w:val="nil"/>
              <w:tr2bl w:val="nil"/>
            </w:tcBorders>
            <w:noWrap/>
            <w:vAlign w:val="center"/>
          </w:tcPr>
          <w:p w14:paraId="3F3826F4">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种数</w:t>
            </w:r>
          </w:p>
        </w:tc>
      </w:tr>
      <w:tr w14:paraId="353DDE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88" w:type="pct"/>
            <w:vMerge w:val="restart"/>
            <w:tcBorders>
              <w:tl2br w:val="nil"/>
              <w:tr2bl w:val="nil"/>
            </w:tcBorders>
            <w:noWrap/>
            <w:vAlign w:val="center"/>
          </w:tcPr>
          <w:p w14:paraId="3FD65C2E">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蜥蜴目ACETILA</w:t>
            </w:r>
          </w:p>
        </w:tc>
        <w:tc>
          <w:tcPr>
            <w:tcW w:w="2569" w:type="pct"/>
            <w:tcBorders>
              <w:tl2br w:val="nil"/>
              <w:tr2bl w:val="nil"/>
            </w:tcBorders>
            <w:noWrap/>
            <w:vAlign w:val="center"/>
          </w:tcPr>
          <w:p w14:paraId="1D9B20BD">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鬣蜥科Agamidae</w:t>
            </w:r>
          </w:p>
        </w:tc>
        <w:tc>
          <w:tcPr>
            <w:tcW w:w="1141" w:type="pct"/>
            <w:tcBorders>
              <w:tl2br w:val="nil"/>
              <w:tr2bl w:val="nil"/>
            </w:tcBorders>
            <w:noWrap/>
            <w:vAlign w:val="center"/>
          </w:tcPr>
          <w:p w14:paraId="6343A5D6">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r>
      <w:tr w14:paraId="1E2F6B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88" w:type="pct"/>
            <w:vMerge w:val="continue"/>
            <w:tcBorders>
              <w:tl2br w:val="nil"/>
              <w:tr2bl w:val="nil"/>
            </w:tcBorders>
            <w:noWrap/>
            <w:vAlign w:val="center"/>
          </w:tcPr>
          <w:p w14:paraId="219D2DCB">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p>
        </w:tc>
        <w:tc>
          <w:tcPr>
            <w:tcW w:w="2569" w:type="pct"/>
            <w:tcBorders>
              <w:tl2br w:val="nil"/>
              <w:tr2bl w:val="nil"/>
            </w:tcBorders>
            <w:noWrap/>
            <w:vAlign w:val="center"/>
          </w:tcPr>
          <w:p w14:paraId="25F29179">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石龙子科Scincidae</w:t>
            </w:r>
          </w:p>
        </w:tc>
        <w:tc>
          <w:tcPr>
            <w:tcW w:w="1141" w:type="pct"/>
            <w:tcBorders>
              <w:tl2br w:val="nil"/>
              <w:tr2bl w:val="nil"/>
            </w:tcBorders>
            <w:noWrap/>
            <w:vAlign w:val="center"/>
          </w:tcPr>
          <w:p w14:paraId="65C3A8CB">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r>
      <w:tr w14:paraId="4A1D09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88" w:type="pct"/>
            <w:vMerge w:val="continue"/>
            <w:tcBorders>
              <w:tl2br w:val="nil"/>
              <w:tr2bl w:val="nil"/>
            </w:tcBorders>
            <w:noWrap/>
            <w:vAlign w:val="center"/>
          </w:tcPr>
          <w:p w14:paraId="1C46B10C">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p>
        </w:tc>
        <w:tc>
          <w:tcPr>
            <w:tcW w:w="2569" w:type="pct"/>
            <w:tcBorders>
              <w:tl2br w:val="nil"/>
              <w:tr2bl w:val="nil"/>
            </w:tcBorders>
            <w:noWrap/>
            <w:vAlign w:val="center"/>
          </w:tcPr>
          <w:p w14:paraId="5F02E795">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壁虎科Gekkonidae</w:t>
            </w:r>
          </w:p>
        </w:tc>
        <w:tc>
          <w:tcPr>
            <w:tcW w:w="1141" w:type="pct"/>
            <w:tcBorders>
              <w:tl2br w:val="nil"/>
              <w:tr2bl w:val="nil"/>
            </w:tcBorders>
            <w:noWrap/>
            <w:vAlign w:val="center"/>
          </w:tcPr>
          <w:p w14:paraId="0D7B3140">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r>
      <w:tr w14:paraId="50A4E0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88" w:type="pct"/>
            <w:vMerge w:val="restart"/>
            <w:tcBorders>
              <w:tl2br w:val="nil"/>
              <w:tr2bl w:val="nil"/>
            </w:tcBorders>
            <w:noWrap/>
            <w:vAlign w:val="center"/>
          </w:tcPr>
          <w:p w14:paraId="5710442B">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蛇目SERPENTES</w:t>
            </w:r>
          </w:p>
        </w:tc>
        <w:tc>
          <w:tcPr>
            <w:tcW w:w="2569" w:type="pct"/>
            <w:tcBorders>
              <w:tl2br w:val="nil"/>
              <w:tr2bl w:val="nil"/>
            </w:tcBorders>
            <w:noWrap/>
            <w:vAlign w:val="center"/>
          </w:tcPr>
          <w:p w14:paraId="2613FA24">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游蛇科Colubridae</w:t>
            </w:r>
          </w:p>
        </w:tc>
        <w:tc>
          <w:tcPr>
            <w:tcW w:w="1141" w:type="pct"/>
            <w:tcBorders>
              <w:tl2br w:val="nil"/>
              <w:tr2bl w:val="nil"/>
            </w:tcBorders>
            <w:noWrap/>
            <w:vAlign w:val="center"/>
          </w:tcPr>
          <w:p w14:paraId="67700CB8">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p>
        </w:tc>
      </w:tr>
      <w:tr w14:paraId="40E38F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88" w:type="pct"/>
            <w:vMerge w:val="continue"/>
            <w:tcBorders>
              <w:tl2br w:val="nil"/>
              <w:tr2bl w:val="nil"/>
            </w:tcBorders>
            <w:noWrap/>
            <w:vAlign w:val="center"/>
          </w:tcPr>
          <w:p w14:paraId="603D2A82">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p>
        </w:tc>
        <w:tc>
          <w:tcPr>
            <w:tcW w:w="2569" w:type="pct"/>
            <w:tcBorders>
              <w:tl2br w:val="nil"/>
              <w:tr2bl w:val="nil"/>
            </w:tcBorders>
            <w:noWrap/>
            <w:vAlign w:val="center"/>
          </w:tcPr>
          <w:p w14:paraId="25949CD6">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蝰蛇科Viperidae</w:t>
            </w:r>
          </w:p>
        </w:tc>
        <w:tc>
          <w:tcPr>
            <w:tcW w:w="1141" w:type="pct"/>
            <w:tcBorders>
              <w:tl2br w:val="nil"/>
              <w:tr2bl w:val="nil"/>
            </w:tcBorders>
            <w:noWrap/>
            <w:vAlign w:val="center"/>
          </w:tcPr>
          <w:p w14:paraId="51518EE4">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r>
    </w:tbl>
    <w:p w14:paraId="7510968B">
      <w:pPr>
        <w:adjustRightInd w:val="0"/>
        <w:snapToGrid w:val="0"/>
        <w:spacing w:after="0" w:line="440" w:lineRule="exact"/>
        <w:ind w:firstLine="480"/>
        <w:rPr>
          <w:rFonts w:hint="default" w:ascii="Times New Roman" w:hAnsi="Times New Roman" w:eastAsia="宋体" w:cs="Times New Roman"/>
          <w:b/>
          <w:bCs/>
          <w:color w:val="auto"/>
        </w:rPr>
      </w:pPr>
      <w:r>
        <w:rPr>
          <w:rFonts w:hint="default" w:ascii="Times New Roman" w:hAnsi="Times New Roman" w:eastAsia="宋体" w:cs="Times New Roman"/>
          <w:b/>
          <w:bCs/>
          <w:color w:val="auto"/>
        </w:rPr>
        <w:t>（3）鸟类</w:t>
      </w:r>
    </w:p>
    <w:p w14:paraId="186C41FE">
      <w:pPr>
        <w:adjustRightInd w:val="0"/>
        <w:snapToGrid w:val="0"/>
        <w:spacing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根据对评价区现场调查及文献记载，评价范围分布有鸟类51种，隶属于10目、23科、43属（云南鸟类志分类系统）。评价区主要地貌为深切河谷，两岸高山散布阔叶林、针叶林，部分山坡为荒坡，鸟类栖息环境良好。实际调查中见到戴胜、家燕、白鹡鸰、黄臀鹎、黑卷尾、红尾水鸲、白颊噪鹛、黄腹柳莺、大山雀、树麻雀，其中红尾水鸲、白鹡鸰、黄臀鹎为优势种。其他种类，普通鵟、红隼为以礼河河谷常见种，其他猛禽由于其活动范围大，有可能在评价区内出现；环颈雉为以礼河河谷面山第一层山脊以上区域常见种；鸻形目种类较少，数量亦少，主要在开阔河滩处偶见；鸠鸽类为山顶针叶林区域常见种；鹡鸰类、鹎类、鹛类、鸫亚科等种类在评价区常见。</w:t>
      </w:r>
    </w:p>
    <w:p w14:paraId="0C2C6B8B">
      <w:pPr>
        <w:adjustRightInd w:val="0"/>
        <w:snapToGrid w:val="0"/>
        <w:spacing w:after="0" w:line="240" w:lineRule="auto"/>
        <w:ind w:firstLine="482"/>
        <w:jc w:val="center"/>
        <w:rPr>
          <w:rFonts w:hint="default" w:ascii="Times New Roman" w:hAnsi="Times New Roman" w:eastAsia="宋体" w:cs="Times New Roman"/>
          <w:b/>
          <w:color w:val="auto"/>
          <w:szCs w:val="24"/>
        </w:rPr>
      </w:pPr>
      <w:r>
        <w:rPr>
          <w:rFonts w:hint="default" w:ascii="Times New Roman" w:hAnsi="Times New Roman" w:eastAsia="宋体" w:cs="Times New Roman"/>
          <w:b/>
          <w:color w:val="auto"/>
          <w:szCs w:val="24"/>
        </w:rPr>
        <w:t>表2.4-</w:t>
      </w:r>
      <w:r>
        <w:rPr>
          <w:rFonts w:hint="eastAsia" w:ascii="Times New Roman" w:hAnsi="Times New Roman" w:eastAsia="宋体" w:cs="Times New Roman"/>
          <w:b/>
          <w:color w:val="auto"/>
          <w:szCs w:val="24"/>
          <w:lang w:val="en-US" w:eastAsia="zh-CN"/>
        </w:rPr>
        <w:t>6</w:t>
      </w:r>
      <w:r>
        <w:rPr>
          <w:rFonts w:hint="default" w:ascii="Times New Roman" w:hAnsi="Times New Roman" w:eastAsia="宋体" w:cs="Times New Roman"/>
          <w:b/>
          <w:color w:val="auto"/>
          <w:szCs w:val="24"/>
        </w:rPr>
        <w:t xml:space="preserve">  评价区鸟类组成</w:t>
      </w:r>
    </w:p>
    <w:tbl>
      <w:tblPr>
        <w:tblStyle w:val="30"/>
        <w:tblW w:w="928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91"/>
        <w:gridCol w:w="3440"/>
        <w:gridCol w:w="1755"/>
      </w:tblGrid>
      <w:tr w14:paraId="1DF5B0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tcBorders>
              <w:tl2br w:val="nil"/>
              <w:tr2bl w:val="nil"/>
            </w:tcBorders>
            <w:vAlign w:val="center"/>
          </w:tcPr>
          <w:p w14:paraId="1F2664CD">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目</w:t>
            </w:r>
          </w:p>
        </w:tc>
        <w:tc>
          <w:tcPr>
            <w:tcW w:w="3440" w:type="dxa"/>
            <w:tcBorders>
              <w:tl2br w:val="nil"/>
              <w:tr2bl w:val="nil"/>
            </w:tcBorders>
            <w:vAlign w:val="center"/>
          </w:tcPr>
          <w:p w14:paraId="1EF5D3E2">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科</w:t>
            </w:r>
          </w:p>
        </w:tc>
        <w:tc>
          <w:tcPr>
            <w:tcW w:w="1755" w:type="dxa"/>
            <w:tcBorders>
              <w:tl2br w:val="nil"/>
              <w:tr2bl w:val="nil"/>
            </w:tcBorders>
            <w:vAlign w:val="center"/>
          </w:tcPr>
          <w:p w14:paraId="57CE3C8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种数</w:t>
            </w:r>
          </w:p>
        </w:tc>
      </w:tr>
      <w:tr w14:paraId="1E99BF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restart"/>
            <w:tcBorders>
              <w:tl2br w:val="nil"/>
              <w:tr2bl w:val="nil"/>
            </w:tcBorders>
            <w:vAlign w:val="center"/>
          </w:tcPr>
          <w:p w14:paraId="7584294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隼形目 FALCONIFORMES</w:t>
            </w:r>
          </w:p>
        </w:tc>
        <w:tc>
          <w:tcPr>
            <w:tcW w:w="3440" w:type="dxa"/>
            <w:tcBorders>
              <w:tl2br w:val="nil"/>
              <w:tr2bl w:val="nil"/>
            </w:tcBorders>
            <w:vAlign w:val="center"/>
          </w:tcPr>
          <w:p w14:paraId="6A30913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鹰科 </w:t>
            </w:r>
            <w:r>
              <w:rPr>
                <w:rFonts w:hint="default" w:ascii="Times New Roman" w:hAnsi="Times New Roman" w:eastAsia="宋体" w:cs="Times New Roman"/>
                <w:i/>
                <w:color w:val="auto"/>
                <w:sz w:val="21"/>
                <w:szCs w:val="21"/>
              </w:rPr>
              <w:t>Accipitridae</w:t>
            </w:r>
          </w:p>
        </w:tc>
        <w:tc>
          <w:tcPr>
            <w:tcW w:w="1755" w:type="dxa"/>
            <w:tcBorders>
              <w:tl2br w:val="nil"/>
              <w:tr2bl w:val="nil"/>
            </w:tcBorders>
            <w:vAlign w:val="center"/>
          </w:tcPr>
          <w:p w14:paraId="6440A22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r>
      <w:tr w14:paraId="05AB6D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0B6500C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3440" w:type="dxa"/>
            <w:tcBorders>
              <w:tl2br w:val="nil"/>
              <w:tr2bl w:val="nil"/>
            </w:tcBorders>
            <w:vAlign w:val="bottom"/>
          </w:tcPr>
          <w:p w14:paraId="3CDB9AAD">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隼科 </w:t>
            </w:r>
            <w:r>
              <w:rPr>
                <w:rFonts w:hint="default" w:ascii="Times New Roman" w:hAnsi="Times New Roman" w:eastAsia="宋体" w:cs="Times New Roman"/>
                <w:i/>
                <w:color w:val="auto"/>
                <w:sz w:val="21"/>
                <w:szCs w:val="21"/>
              </w:rPr>
              <w:t>Falconidae</w:t>
            </w:r>
          </w:p>
        </w:tc>
        <w:tc>
          <w:tcPr>
            <w:tcW w:w="1755" w:type="dxa"/>
            <w:tcBorders>
              <w:tl2br w:val="nil"/>
              <w:tr2bl w:val="nil"/>
            </w:tcBorders>
            <w:vAlign w:val="bottom"/>
          </w:tcPr>
          <w:p w14:paraId="4FC9A42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18E993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tcBorders>
              <w:tl2br w:val="nil"/>
              <w:tr2bl w:val="nil"/>
            </w:tcBorders>
            <w:vAlign w:val="center"/>
          </w:tcPr>
          <w:p w14:paraId="1C83290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鹳形目 CICONIIFORMES</w:t>
            </w:r>
          </w:p>
        </w:tc>
        <w:tc>
          <w:tcPr>
            <w:tcW w:w="3440" w:type="dxa"/>
            <w:tcBorders>
              <w:tl2br w:val="nil"/>
              <w:tr2bl w:val="nil"/>
            </w:tcBorders>
            <w:vAlign w:val="center"/>
          </w:tcPr>
          <w:p w14:paraId="6EC97F7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鹭科</w:t>
            </w:r>
            <w:r>
              <w:rPr>
                <w:rFonts w:hint="default" w:ascii="Times New Roman" w:hAnsi="Times New Roman" w:eastAsia="宋体" w:cs="Times New Roman"/>
                <w:i/>
                <w:color w:val="auto"/>
                <w:sz w:val="21"/>
                <w:szCs w:val="21"/>
              </w:rPr>
              <w:t xml:space="preserve"> Ardeidae</w:t>
            </w:r>
          </w:p>
        </w:tc>
        <w:tc>
          <w:tcPr>
            <w:tcW w:w="1755" w:type="dxa"/>
            <w:tcBorders>
              <w:tl2br w:val="nil"/>
              <w:tr2bl w:val="nil"/>
            </w:tcBorders>
            <w:vAlign w:val="center"/>
          </w:tcPr>
          <w:p w14:paraId="432C634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r>
      <w:tr w14:paraId="3235FF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tcBorders>
              <w:tl2br w:val="nil"/>
              <w:tr2bl w:val="nil"/>
            </w:tcBorders>
            <w:vAlign w:val="center"/>
          </w:tcPr>
          <w:p w14:paraId="53D246F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鸻形目 CHARDRIFORME</w:t>
            </w:r>
          </w:p>
        </w:tc>
        <w:tc>
          <w:tcPr>
            <w:tcW w:w="3440" w:type="dxa"/>
            <w:tcBorders>
              <w:tl2br w:val="nil"/>
              <w:tr2bl w:val="nil"/>
            </w:tcBorders>
            <w:vAlign w:val="center"/>
          </w:tcPr>
          <w:p w14:paraId="44F9F8C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鹬科 </w:t>
            </w:r>
            <w:r>
              <w:rPr>
                <w:rFonts w:hint="default" w:ascii="Times New Roman" w:hAnsi="Times New Roman" w:eastAsia="宋体" w:cs="Times New Roman"/>
                <w:i/>
                <w:color w:val="auto"/>
                <w:sz w:val="21"/>
                <w:szCs w:val="21"/>
              </w:rPr>
              <w:t>Scolopacidae</w:t>
            </w:r>
          </w:p>
        </w:tc>
        <w:tc>
          <w:tcPr>
            <w:tcW w:w="1755" w:type="dxa"/>
            <w:tcBorders>
              <w:tl2br w:val="nil"/>
              <w:tr2bl w:val="nil"/>
            </w:tcBorders>
            <w:vAlign w:val="center"/>
          </w:tcPr>
          <w:p w14:paraId="44CAC6B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23D36E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tcBorders>
              <w:tl2br w:val="nil"/>
              <w:tr2bl w:val="nil"/>
            </w:tcBorders>
            <w:vAlign w:val="center"/>
          </w:tcPr>
          <w:p w14:paraId="5CA01A3F">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鸡形目 GALLIFORMES</w:t>
            </w:r>
          </w:p>
        </w:tc>
        <w:tc>
          <w:tcPr>
            <w:tcW w:w="3440" w:type="dxa"/>
            <w:tcBorders>
              <w:tl2br w:val="nil"/>
              <w:tr2bl w:val="nil"/>
            </w:tcBorders>
            <w:vAlign w:val="center"/>
          </w:tcPr>
          <w:p w14:paraId="051BCC0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雉科 </w:t>
            </w:r>
            <w:r>
              <w:rPr>
                <w:rFonts w:hint="default" w:ascii="Times New Roman" w:hAnsi="Times New Roman" w:eastAsia="宋体" w:cs="Times New Roman"/>
                <w:i/>
                <w:color w:val="auto"/>
                <w:sz w:val="21"/>
                <w:szCs w:val="21"/>
              </w:rPr>
              <w:t>Pheasianidae</w:t>
            </w:r>
          </w:p>
        </w:tc>
        <w:tc>
          <w:tcPr>
            <w:tcW w:w="1755" w:type="dxa"/>
            <w:tcBorders>
              <w:tl2br w:val="nil"/>
              <w:tr2bl w:val="nil"/>
            </w:tcBorders>
            <w:vAlign w:val="center"/>
          </w:tcPr>
          <w:p w14:paraId="166E62DD">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0E0AC1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tcBorders>
              <w:tl2br w:val="nil"/>
              <w:tr2bl w:val="nil"/>
            </w:tcBorders>
            <w:vAlign w:val="center"/>
          </w:tcPr>
          <w:p w14:paraId="0147249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鸽形目 COLUMBIFORMES</w:t>
            </w:r>
          </w:p>
        </w:tc>
        <w:tc>
          <w:tcPr>
            <w:tcW w:w="3440" w:type="dxa"/>
            <w:tcBorders>
              <w:tl2br w:val="nil"/>
              <w:tr2bl w:val="nil"/>
            </w:tcBorders>
            <w:vAlign w:val="center"/>
          </w:tcPr>
          <w:p w14:paraId="2153D7D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鸠鸽科</w:t>
            </w:r>
            <w:r>
              <w:rPr>
                <w:rFonts w:hint="default" w:ascii="Times New Roman" w:hAnsi="Times New Roman" w:eastAsia="宋体" w:cs="Times New Roman"/>
                <w:i/>
                <w:color w:val="auto"/>
                <w:sz w:val="21"/>
                <w:szCs w:val="21"/>
              </w:rPr>
              <w:t xml:space="preserve"> Columbidae</w:t>
            </w:r>
          </w:p>
        </w:tc>
        <w:tc>
          <w:tcPr>
            <w:tcW w:w="1755" w:type="dxa"/>
            <w:tcBorders>
              <w:tl2br w:val="nil"/>
              <w:tr2bl w:val="nil"/>
            </w:tcBorders>
            <w:vAlign w:val="center"/>
          </w:tcPr>
          <w:p w14:paraId="288B961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r>
      <w:tr w14:paraId="03F5C1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tcBorders>
              <w:tl2br w:val="nil"/>
              <w:tr2bl w:val="nil"/>
            </w:tcBorders>
            <w:vAlign w:val="center"/>
          </w:tcPr>
          <w:p w14:paraId="4DAB1720">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鹃形目 CUCULIFORMES</w:t>
            </w:r>
          </w:p>
        </w:tc>
        <w:tc>
          <w:tcPr>
            <w:tcW w:w="3440" w:type="dxa"/>
            <w:tcBorders>
              <w:tl2br w:val="nil"/>
              <w:tr2bl w:val="nil"/>
            </w:tcBorders>
            <w:vAlign w:val="center"/>
          </w:tcPr>
          <w:p w14:paraId="37A30260">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杜鹃科 </w:t>
            </w:r>
            <w:r>
              <w:rPr>
                <w:rFonts w:hint="default" w:ascii="Times New Roman" w:hAnsi="Times New Roman" w:eastAsia="宋体" w:cs="Times New Roman"/>
                <w:i/>
                <w:color w:val="auto"/>
                <w:sz w:val="21"/>
                <w:szCs w:val="21"/>
              </w:rPr>
              <w:t>Cuculidae</w:t>
            </w:r>
          </w:p>
        </w:tc>
        <w:tc>
          <w:tcPr>
            <w:tcW w:w="1755" w:type="dxa"/>
            <w:tcBorders>
              <w:tl2br w:val="nil"/>
              <w:tr2bl w:val="nil"/>
            </w:tcBorders>
            <w:vAlign w:val="center"/>
          </w:tcPr>
          <w:p w14:paraId="039EF3A5">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r>
      <w:tr w14:paraId="03B609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tcBorders>
              <w:tl2br w:val="nil"/>
              <w:tr2bl w:val="nil"/>
            </w:tcBorders>
            <w:vAlign w:val="center"/>
          </w:tcPr>
          <w:p w14:paraId="060B680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夜鹰目 CAPRIMULGIFORMES</w:t>
            </w:r>
          </w:p>
        </w:tc>
        <w:tc>
          <w:tcPr>
            <w:tcW w:w="3440" w:type="dxa"/>
            <w:tcBorders>
              <w:tl2br w:val="nil"/>
              <w:tr2bl w:val="nil"/>
            </w:tcBorders>
            <w:vAlign w:val="center"/>
          </w:tcPr>
          <w:p w14:paraId="7EA32CD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夜鹰科 </w:t>
            </w:r>
            <w:r>
              <w:rPr>
                <w:rFonts w:hint="default" w:ascii="Times New Roman" w:hAnsi="Times New Roman" w:eastAsia="宋体" w:cs="Times New Roman"/>
                <w:i/>
                <w:color w:val="auto"/>
                <w:sz w:val="21"/>
                <w:szCs w:val="21"/>
              </w:rPr>
              <w:t>Caprimulgidae</w:t>
            </w:r>
          </w:p>
        </w:tc>
        <w:tc>
          <w:tcPr>
            <w:tcW w:w="1755" w:type="dxa"/>
            <w:tcBorders>
              <w:tl2br w:val="nil"/>
              <w:tr2bl w:val="nil"/>
            </w:tcBorders>
            <w:vAlign w:val="center"/>
          </w:tcPr>
          <w:p w14:paraId="54FCDCF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066743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tcBorders>
              <w:tl2br w:val="nil"/>
              <w:tr2bl w:val="nil"/>
            </w:tcBorders>
            <w:vAlign w:val="center"/>
          </w:tcPr>
          <w:p w14:paraId="7993C98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雨燕目 APODIFORMES</w:t>
            </w:r>
          </w:p>
        </w:tc>
        <w:tc>
          <w:tcPr>
            <w:tcW w:w="3440" w:type="dxa"/>
            <w:tcBorders>
              <w:tl2br w:val="nil"/>
              <w:tr2bl w:val="nil"/>
            </w:tcBorders>
            <w:vAlign w:val="center"/>
          </w:tcPr>
          <w:p w14:paraId="35A7055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雨燕科 </w:t>
            </w:r>
            <w:r>
              <w:rPr>
                <w:rFonts w:hint="default" w:ascii="Times New Roman" w:hAnsi="Times New Roman" w:eastAsia="宋体" w:cs="Times New Roman"/>
                <w:i/>
                <w:color w:val="auto"/>
                <w:sz w:val="21"/>
                <w:szCs w:val="21"/>
              </w:rPr>
              <w:t>Apodidae</w:t>
            </w:r>
          </w:p>
        </w:tc>
        <w:tc>
          <w:tcPr>
            <w:tcW w:w="1755" w:type="dxa"/>
            <w:tcBorders>
              <w:tl2br w:val="nil"/>
              <w:tr2bl w:val="nil"/>
            </w:tcBorders>
            <w:vAlign w:val="center"/>
          </w:tcPr>
          <w:p w14:paraId="6385284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44C6C7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tcBorders>
              <w:tl2br w:val="nil"/>
              <w:tr2bl w:val="nil"/>
            </w:tcBorders>
            <w:vAlign w:val="center"/>
          </w:tcPr>
          <w:p w14:paraId="4287DF59">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佛法僧目 CORACIIFORMES</w:t>
            </w:r>
          </w:p>
        </w:tc>
        <w:tc>
          <w:tcPr>
            <w:tcW w:w="3440" w:type="dxa"/>
            <w:tcBorders>
              <w:tl2br w:val="nil"/>
              <w:tr2bl w:val="nil"/>
            </w:tcBorders>
            <w:vAlign w:val="center"/>
          </w:tcPr>
          <w:p w14:paraId="71902B4D">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戴胜科 </w:t>
            </w:r>
            <w:r>
              <w:rPr>
                <w:rFonts w:hint="default" w:ascii="Times New Roman" w:hAnsi="Times New Roman" w:eastAsia="宋体" w:cs="Times New Roman"/>
                <w:i/>
                <w:color w:val="auto"/>
                <w:sz w:val="21"/>
                <w:szCs w:val="21"/>
              </w:rPr>
              <w:t>Upupidae</w:t>
            </w:r>
          </w:p>
        </w:tc>
        <w:tc>
          <w:tcPr>
            <w:tcW w:w="1755" w:type="dxa"/>
            <w:tcBorders>
              <w:tl2br w:val="nil"/>
              <w:tr2bl w:val="nil"/>
            </w:tcBorders>
            <w:vAlign w:val="center"/>
          </w:tcPr>
          <w:p w14:paraId="42DA1E3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1D75CE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restart"/>
            <w:tcBorders>
              <w:tl2br w:val="nil"/>
              <w:tr2bl w:val="nil"/>
            </w:tcBorders>
            <w:vAlign w:val="center"/>
          </w:tcPr>
          <w:p w14:paraId="18F2960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雀形目 PASSERIFORMES</w:t>
            </w:r>
          </w:p>
        </w:tc>
        <w:tc>
          <w:tcPr>
            <w:tcW w:w="3440" w:type="dxa"/>
            <w:tcBorders>
              <w:tl2br w:val="nil"/>
              <w:tr2bl w:val="nil"/>
            </w:tcBorders>
            <w:vAlign w:val="center"/>
          </w:tcPr>
          <w:p w14:paraId="2D72DDC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燕科 </w:t>
            </w:r>
            <w:r>
              <w:rPr>
                <w:rFonts w:hint="default" w:ascii="Times New Roman" w:hAnsi="Times New Roman" w:eastAsia="宋体" w:cs="Times New Roman"/>
                <w:i/>
                <w:color w:val="auto"/>
                <w:sz w:val="21"/>
                <w:szCs w:val="21"/>
              </w:rPr>
              <w:t>Hirundinidae</w:t>
            </w:r>
          </w:p>
        </w:tc>
        <w:tc>
          <w:tcPr>
            <w:tcW w:w="1755" w:type="dxa"/>
            <w:tcBorders>
              <w:tl2br w:val="nil"/>
              <w:tr2bl w:val="nil"/>
            </w:tcBorders>
            <w:vAlign w:val="center"/>
          </w:tcPr>
          <w:p w14:paraId="2AB283C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2BC870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4B8749FF">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3440" w:type="dxa"/>
            <w:tcBorders>
              <w:tl2br w:val="nil"/>
              <w:tr2bl w:val="nil"/>
            </w:tcBorders>
            <w:vAlign w:val="center"/>
          </w:tcPr>
          <w:p w14:paraId="202E927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鹡鸰科 </w:t>
            </w:r>
            <w:r>
              <w:rPr>
                <w:rFonts w:hint="default" w:ascii="Times New Roman" w:hAnsi="Times New Roman" w:eastAsia="宋体" w:cs="Times New Roman"/>
                <w:i/>
                <w:color w:val="auto"/>
                <w:sz w:val="21"/>
                <w:szCs w:val="21"/>
              </w:rPr>
              <w:t>Motacillidae</w:t>
            </w:r>
          </w:p>
        </w:tc>
        <w:tc>
          <w:tcPr>
            <w:tcW w:w="1755" w:type="dxa"/>
            <w:tcBorders>
              <w:tl2br w:val="nil"/>
              <w:tr2bl w:val="nil"/>
            </w:tcBorders>
            <w:vAlign w:val="center"/>
          </w:tcPr>
          <w:p w14:paraId="35B6402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r>
      <w:tr w14:paraId="4EF6BB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437EEEDF">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3440" w:type="dxa"/>
            <w:tcBorders>
              <w:tl2br w:val="nil"/>
              <w:tr2bl w:val="nil"/>
            </w:tcBorders>
            <w:vAlign w:val="center"/>
          </w:tcPr>
          <w:p w14:paraId="779EC689">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山椒鸟科 </w:t>
            </w:r>
            <w:r>
              <w:rPr>
                <w:rFonts w:hint="default" w:ascii="Times New Roman" w:hAnsi="Times New Roman" w:eastAsia="宋体" w:cs="Times New Roman"/>
                <w:i/>
                <w:color w:val="auto"/>
                <w:sz w:val="21"/>
                <w:szCs w:val="21"/>
              </w:rPr>
              <w:t>Campephagidae</w:t>
            </w:r>
          </w:p>
        </w:tc>
        <w:tc>
          <w:tcPr>
            <w:tcW w:w="1755" w:type="dxa"/>
            <w:tcBorders>
              <w:tl2br w:val="nil"/>
              <w:tr2bl w:val="nil"/>
            </w:tcBorders>
            <w:vAlign w:val="center"/>
          </w:tcPr>
          <w:p w14:paraId="21337AB2">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2B4D2E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6A75D13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3440" w:type="dxa"/>
            <w:tcBorders>
              <w:tl2br w:val="nil"/>
              <w:tr2bl w:val="nil"/>
            </w:tcBorders>
            <w:vAlign w:val="center"/>
          </w:tcPr>
          <w:p w14:paraId="44E8A205">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鹎科 </w:t>
            </w:r>
            <w:r>
              <w:rPr>
                <w:rFonts w:hint="default" w:ascii="Times New Roman" w:hAnsi="Times New Roman" w:eastAsia="宋体" w:cs="Times New Roman"/>
                <w:i/>
                <w:color w:val="auto"/>
                <w:sz w:val="21"/>
                <w:szCs w:val="21"/>
              </w:rPr>
              <w:t>Pycnonotidae</w:t>
            </w:r>
          </w:p>
        </w:tc>
        <w:tc>
          <w:tcPr>
            <w:tcW w:w="1755" w:type="dxa"/>
            <w:tcBorders>
              <w:tl2br w:val="nil"/>
              <w:tr2bl w:val="nil"/>
            </w:tcBorders>
            <w:vAlign w:val="center"/>
          </w:tcPr>
          <w:p w14:paraId="2B9C6EA3">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r>
      <w:tr w14:paraId="738EE4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4AF8AD1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3440" w:type="dxa"/>
            <w:tcBorders>
              <w:tl2br w:val="nil"/>
              <w:tr2bl w:val="nil"/>
            </w:tcBorders>
            <w:vAlign w:val="center"/>
          </w:tcPr>
          <w:p w14:paraId="4115C04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伯劳科</w:t>
            </w:r>
            <w:r>
              <w:rPr>
                <w:rFonts w:hint="default" w:ascii="Times New Roman" w:hAnsi="Times New Roman" w:eastAsia="宋体" w:cs="Times New Roman"/>
                <w:i/>
                <w:color w:val="auto"/>
                <w:sz w:val="21"/>
                <w:szCs w:val="21"/>
              </w:rPr>
              <w:t xml:space="preserve"> Laniidae</w:t>
            </w:r>
          </w:p>
        </w:tc>
        <w:tc>
          <w:tcPr>
            <w:tcW w:w="1755" w:type="dxa"/>
            <w:tcBorders>
              <w:tl2br w:val="nil"/>
              <w:tr2bl w:val="nil"/>
            </w:tcBorders>
            <w:vAlign w:val="center"/>
          </w:tcPr>
          <w:p w14:paraId="7A7EF52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r>
      <w:tr w14:paraId="0B72C3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4BEC896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3440" w:type="dxa"/>
            <w:tcBorders>
              <w:tl2br w:val="nil"/>
              <w:tr2bl w:val="nil"/>
            </w:tcBorders>
            <w:vAlign w:val="center"/>
          </w:tcPr>
          <w:p w14:paraId="4C5F2049">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卷尾科 </w:t>
            </w:r>
            <w:r>
              <w:rPr>
                <w:rFonts w:hint="default" w:ascii="Times New Roman" w:hAnsi="Times New Roman" w:eastAsia="宋体" w:cs="Times New Roman"/>
                <w:i/>
                <w:color w:val="auto"/>
                <w:sz w:val="21"/>
                <w:szCs w:val="21"/>
              </w:rPr>
              <w:t>Dicruridae</w:t>
            </w:r>
          </w:p>
        </w:tc>
        <w:tc>
          <w:tcPr>
            <w:tcW w:w="1755" w:type="dxa"/>
            <w:tcBorders>
              <w:tl2br w:val="nil"/>
              <w:tr2bl w:val="nil"/>
            </w:tcBorders>
            <w:vAlign w:val="center"/>
          </w:tcPr>
          <w:p w14:paraId="78666662">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36F072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4CD40EF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3440" w:type="dxa"/>
            <w:tcBorders>
              <w:tl2br w:val="nil"/>
              <w:tr2bl w:val="nil"/>
            </w:tcBorders>
            <w:vAlign w:val="center"/>
          </w:tcPr>
          <w:p w14:paraId="7E4F7485">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鸦科 </w:t>
            </w:r>
            <w:r>
              <w:rPr>
                <w:rFonts w:hint="default" w:ascii="Times New Roman" w:hAnsi="Times New Roman" w:eastAsia="宋体" w:cs="Times New Roman"/>
                <w:i/>
                <w:color w:val="auto"/>
                <w:sz w:val="21"/>
                <w:szCs w:val="21"/>
              </w:rPr>
              <w:t>Corvidae</w:t>
            </w:r>
          </w:p>
        </w:tc>
        <w:tc>
          <w:tcPr>
            <w:tcW w:w="1755" w:type="dxa"/>
            <w:tcBorders>
              <w:tl2br w:val="nil"/>
              <w:tr2bl w:val="nil"/>
            </w:tcBorders>
            <w:vAlign w:val="center"/>
          </w:tcPr>
          <w:p w14:paraId="4935FB2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7F6A12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41621A49">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3440" w:type="dxa"/>
            <w:tcBorders>
              <w:tl2br w:val="nil"/>
              <w:tr2bl w:val="nil"/>
            </w:tcBorders>
            <w:vAlign w:val="center"/>
          </w:tcPr>
          <w:p w14:paraId="6B972AD3">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鹟科 </w:t>
            </w:r>
            <w:r>
              <w:rPr>
                <w:rFonts w:hint="default" w:ascii="Times New Roman" w:hAnsi="Times New Roman" w:eastAsia="宋体" w:cs="Times New Roman"/>
                <w:i/>
                <w:color w:val="auto"/>
                <w:sz w:val="21"/>
                <w:szCs w:val="21"/>
              </w:rPr>
              <w:t>Muscicapidae</w:t>
            </w:r>
          </w:p>
        </w:tc>
        <w:tc>
          <w:tcPr>
            <w:tcW w:w="1755" w:type="dxa"/>
            <w:tcBorders>
              <w:tl2br w:val="nil"/>
              <w:tr2bl w:val="nil"/>
            </w:tcBorders>
            <w:vAlign w:val="center"/>
          </w:tcPr>
          <w:p w14:paraId="2152C55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w:t>
            </w:r>
          </w:p>
        </w:tc>
      </w:tr>
      <w:tr w14:paraId="1603DC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235BF9F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3440" w:type="dxa"/>
            <w:tcBorders>
              <w:tl2br w:val="nil"/>
              <w:tr2bl w:val="nil"/>
            </w:tcBorders>
            <w:vAlign w:val="center"/>
          </w:tcPr>
          <w:p w14:paraId="1A90BD9D">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1. 鸫亚科 </w:t>
            </w:r>
            <w:r>
              <w:rPr>
                <w:rFonts w:hint="default" w:ascii="Times New Roman" w:hAnsi="Times New Roman" w:eastAsia="宋体" w:cs="Times New Roman"/>
                <w:i/>
                <w:color w:val="auto"/>
                <w:sz w:val="21"/>
                <w:szCs w:val="21"/>
              </w:rPr>
              <w:t>Turdinae</w:t>
            </w:r>
          </w:p>
        </w:tc>
        <w:tc>
          <w:tcPr>
            <w:tcW w:w="1755" w:type="dxa"/>
            <w:tcBorders>
              <w:tl2br w:val="nil"/>
              <w:tr2bl w:val="nil"/>
            </w:tcBorders>
            <w:vAlign w:val="center"/>
          </w:tcPr>
          <w:p w14:paraId="3DC6FDD0">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r>
      <w:tr w14:paraId="47D085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2D3D155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3440" w:type="dxa"/>
            <w:tcBorders>
              <w:tl2br w:val="nil"/>
              <w:tr2bl w:val="nil"/>
            </w:tcBorders>
            <w:vAlign w:val="center"/>
          </w:tcPr>
          <w:p w14:paraId="1B68FC55">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2. 画眉亚科 </w:t>
            </w:r>
            <w:r>
              <w:rPr>
                <w:rFonts w:hint="default" w:ascii="Times New Roman" w:hAnsi="Times New Roman" w:eastAsia="宋体" w:cs="Times New Roman"/>
                <w:i/>
                <w:color w:val="auto"/>
                <w:sz w:val="21"/>
                <w:szCs w:val="21"/>
              </w:rPr>
              <w:t>Timaliinae</w:t>
            </w:r>
          </w:p>
        </w:tc>
        <w:tc>
          <w:tcPr>
            <w:tcW w:w="1755" w:type="dxa"/>
            <w:tcBorders>
              <w:tl2br w:val="nil"/>
              <w:tr2bl w:val="nil"/>
            </w:tcBorders>
            <w:vAlign w:val="center"/>
          </w:tcPr>
          <w:p w14:paraId="25A50C2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r>
      <w:tr w14:paraId="2D8F8E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259C264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3440" w:type="dxa"/>
            <w:tcBorders>
              <w:tl2br w:val="nil"/>
              <w:tr2bl w:val="nil"/>
            </w:tcBorders>
            <w:vAlign w:val="center"/>
          </w:tcPr>
          <w:p w14:paraId="72745C29">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3. 莺亚科 </w:t>
            </w:r>
            <w:r>
              <w:rPr>
                <w:rFonts w:hint="default" w:ascii="Times New Roman" w:hAnsi="Times New Roman" w:eastAsia="宋体" w:cs="Times New Roman"/>
                <w:i/>
                <w:color w:val="auto"/>
                <w:sz w:val="21"/>
                <w:szCs w:val="21"/>
              </w:rPr>
              <w:t>Sylviinae</w:t>
            </w:r>
          </w:p>
        </w:tc>
        <w:tc>
          <w:tcPr>
            <w:tcW w:w="1755" w:type="dxa"/>
            <w:tcBorders>
              <w:tl2br w:val="nil"/>
              <w:tr2bl w:val="nil"/>
            </w:tcBorders>
            <w:vAlign w:val="center"/>
          </w:tcPr>
          <w:p w14:paraId="750074D9">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r>
      <w:tr w14:paraId="0369DC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7760BD89">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3440" w:type="dxa"/>
            <w:tcBorders>
              <w:tl2br w:val="nil"/>
              <w:tr2bl w:val="nil"/>
            </w:tcBorders>
            <w:vAlign w:val="center"/>
          </w:tcPr>
          <w:p w14:paraId="5554304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4. 鹟亚科 </w:t>
            </w:r>
            <w:r>
              <w:rPr>
                <w:rFonts w:hint="default" w:ascii="Times New Roman" w:hAnsi="Times New Roman" w:eastAsia="宋体" w:cs="Times New Roman"/>
                <w:i/>
                <w:color w:val="auto"/>
                <w:sz w:val="21"/>
                <w:szCs w:val="21"/>
              </w:rPr>
              <w:t>Muscicapinae</w:t>
            </w:r>
          </w:p>
        </w:tc>
        <w:tc>
          <w:tcPr>
            <w:tcW w:w="1755" w:type="dxa"/>
            <w:tcBorders>
              <w:tl2br w:val="nil"/>
              <w:tr2bl w:val="nil"/>
            </w:tcBorders>
            <w:vAlign w:val="center"/>
          </w:tcPr>
          <w:p w14:paraId="19CDB372">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r>
      <w:tr w14:paraId="0344E4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0F2DBA6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3440" w:type="dxa"/>
            <w:tcBorders>
              <w:tl2br w:val="nil"/>
              <w:tr2bl w:val="nil"/>
            </w:tcBorders>
            <w:vAlign w:val="center"/>
          </w:tcPr>
          <w:p w14:paraId="6855871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山雀科</w:t>
            </w:r>
            <w:r>
              <w:rPr>
                <w:rFonts w:hint="default" w:ascii="Times New Roman" w:hAnsi="Times New Roman" w:eastAsia="宋体" w:cs="Times New Roman"/>
                <w:i/>
                <w:color w:val="auto"/>
                <w:sz w:val="21"/>
                <w:szCs w:val="21"/>
              </w:rPr>
              <w:t xml:space="preserve"> Paridae</w:t>
            </w:r>
          </w:p>
        </w:tc>
        <w:tc>
          <w:tcPr>
            <w:tcW w:w="1755" w:type="dxa"/>
            <w:tcBorders>
              <w:tl2br w:val="nil"/>
              <w:tr2bl w:val="nil"/>
            </w:tcBorders>
            <w:vAlign w:val="center"/>
          </w:tcPr>
          <w:p w14:paraId="342B7C1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43DB50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051174D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3440" w:type="dxa"/>
            <w:tcBorders>
              <w:tl2br w:val="nil"/>
              <w:tr2bl w:val="nil"/>
            </w:tcBorders>
            <w:vAlign w:val="center"/>
          </w:tcPr>
          <w:p w14:paraId="09BBEEB2">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啄花鸟科</w:t>
            </w:r>
            <w:r>
              <w:rPr>
                <w:rFonts w:hint="default" w:ascii="Times New Roman" w:hAnsi="Times New Roman" w:eastAsia="宋体" w:cs="Times New Roman"/>
                <w:i/>
                <w:color w:val="auto"/>
                <w:sz w:val="21"/>
                <w:szCs w:val="21"/>
              </w:rPr>
              <w:t xml:space="preserve"> Dicaeidae</w:t>
            </w:r>
          </w:p>
        </w:tc>
        <w:tc>
          <w:tcPr>
            <w:tcW w:w="1755" w:type="dxa"/>
            <w:tcBorders>
              <w:tl2br w:val="nil"/>
              <w:tr2bl w:val="nil"/>
            </w:tcBorders>
            <w:vAlign w:val="center"/>
          </w:tcPr>
          <w:p w14:paraId="09C0C892">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2FE826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4F9F97B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3440" w:type="dxa"/>
            <w:tcBorders>
              <w:tl2br w:val="nil"/>
              <w:tr2bl w:val="nil"/>
            </w:tcBorders>
            <w:vAlign w:val="center"/>
          </w:tcPr>
          <w:p w14:paraId="388B4B8D">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绣眼鸟科 </w:t>
            </w:r>
            <w:r>
              <w:rPr>
                <w:rFonts w:hint="default" w:ascii="Times New Roman" w:hAnsi="Times New Roman" w:eastAsia="宋体" w:cs="Times New Roman"/>
                <w:i/>
                <w:color w:val="auto"/>
                <w:sz w:val="21"/>
                <w:szCs w:val="21"/>
              </w:rPr>
              <w:t>Zosteropidae</w:t>
            </w:r>
          </w:p>
        </w:tc>
        <w:tc>
          <w:tcPr>
            <w:tcW w:w="1755" w:type="dxa"/>
            <w:tcBorders>
              <w:tl2br w:val="nil"/>
              <w:tr2bl w:val="nil"/>
            </w:tcBorders>
            <w:vAlign w:val="center"/>
          </w:tcPr>
          <w:p w14:paraId="52DE296D">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r>
      <w:tr w14:paraId="05F330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780E1FB5">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3440" w:type="dxa"/>
            <w:tcBorders>
              <w:tl2br w:val="nil"/>
              <w:tr2bl w:val="nil"/>
            </w:tcBorders>
            <w:vAlign w:val="center"/>
          </w:tcPr>
          <w:p w14:paraId="50E350E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文鸟科 </w:t>
            </w:r>
            <w:r>
              <w:rPr>
                <w:rFonts w:hint="default" w:ascii="Times New Roman" w:hAnsi="Times New Roman" w:eastAsia="宋体" w:cs="Times New Roman"/>
                <w:i/>
                <w:color w:val="auto"/>
                <w:sz w:val="21"/>
                <w:szCs w:val="21"/>
              </w:rPr>
              <w:t>Ploceidae</w:t>
            </w:r>
          </w:p>
        </w:tc>
        <w:tc>
          <w:tcPr>
            <w:tcW w:w="1755" w:type="dxa"/>
            <w:tcBorders>
              <w:tl2br w:val="nil"/>
              <w:tr2bl w:val="nil"/>
            </w:tcBorders>
            <w:vAlign w:val="center"/>
          </w:tcPr>
          <w:p w14:paraId="3BA361F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r>
      <w:tr w14:paraId="29FB62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vMerge w:val="continue"/>
            <w:tcBorders>
              <w:tl2br w:val="nil"/>
              <w:tr2bl w:val="nil"/>
            </w:tcBorders>
            <w:vAlign w:val="center"/>
          </w:tcPr>
          <w:p w14:paraId="5D91E54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3440" w:type="dxa"/>
            <w:tcBorders>
              <w:tl2br w:val="nil"/>
              <w:tr2bl w:val="nil"/>
            </w:tcBorders>
            <w:vAlign w:val="center"/>
          </w:tcPr>
          <w:p w14:paraId="41168C32">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雀科 </w:t>
            </w:r>
            <w:r>
              <w:rPr>
                <w:rFonts w:hint="default" w:ascii="Times New Roman" w:hAnsi="Times New Roman" w:eastAsia="宋体" w:cs="Times New Roman"/>
                <w:i/>
                <w:color w:val="auto"/>
                <w:sz w:val="21"/>
                <w:szCs w:val="21"/>
              </w:rPr>
              <w:t>Fringillidae</w:t>
            </w:r>
          </w:p>
        </w:tc>
        <w:tc>
          <w:tcPr>
            <w:tcW w:w="1755" w:type="dxa"/>
            <w:tcBorders>
              <w:tl2br w:val="nil"/>
              <w:tr2bl w:val="nil"/>
            </w:tcBorders>
            <w:vAlign w:val="center"/>
          </w:tcPr>
          <w:p w14:paraId="190D301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r>
      <w:tr w14:paraId="25AE3E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1" w:type="dxa"/>
            <w:tcBorders>
              <w:tl2br w:val="nil"/>
              <w:tr2bl w:val="nil"/>
            </w:tcBorders>
            <w:vAlign w:val="center"/>
          </w:tcPr>
          <w:p w14:paraId="2C089C59">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10目</w:t>
            </w:r>
          </w:p>
        </w:tc>
        <w:tc>
          <w:tcPr>
            <w:tcW w:w="3440" w:type="dxa"/>
            <w:tcBorders>
              <w:tl2br w:val="nil"/>
              <w:tr2bl w:val="nil"/>
            </w:tcBorders>
            <w:vAlign w:val="center"/>
          </w:tcPr>
          <w:p w14:paraId="6162BD13">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23科</w:t>
            </w:r>
          </w:p>
        </w:tc>
        <w:tc>
          <w:tcPr>
            <w:tcW w:w="1755" w:type="dxa"/>
            <w:tcBorders>
              <w:tl2br w:val="nil"/>
              <w:tr2bl w:val="nil"/>
            </w:tcBorders>
            <w:vAlign w:val="center"/>
          </w:tcPr>
          <w:p w14:paraId="23FC6B5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51种</w:t>
            </w:r>
          </w:p>
        </w:tc>
      </w:tr>
    </w:tbl>
    <w:p w14:paraId="28ABE450">
      <w:pPr>
        <w:adjustRightInd w:val="0"/>
        <w:snapToGrid w:val="0"/>
        <w:spacing w:after="0" w:line="440" w:lineRule="exact"/>
        <w:ind w:firstLine="480"/>
        <w:rPr>
          <w:rFonts w:hint="default" w:ascii="Times New Roman" w:hAnsi="Times New Roman" w:eastAsia="宋体" w:cs="Times New Roman"/>
          <w:b/>
          <w:bCs/>
          <w:color w:val="auto"/>
        </w:rPr>
      </w:pPr>
      <w:r>
        <w:rPr>
          <w:rFonts w:hint="default" w:ascii="Times New Roman" w:hAnsi="Times New Roman" w:eastAsia="宋体" w:cs="Times New Roman"/>
          <w:b/>
          <w:bCs/>
          <w:color w:val="auto"/>
        </w:rPr>
        <w:t>（4）哺乳类</w:t>
      </w:r>
    </w:p>
    <w:p w14:paraId="6C6285E5">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评价区分布有哺乳动物10种，隶属于4目、7科、10属。评价区哺乳动物栖息环境多样，区域内哺乳动物种类相对丰富，但是种群数量较为贫乏，大多为偶见种，只有小型啮齿类部分种类常见。访问调查中得知该区域内缺乏大型兽类；短尾鼩主要栖息于阔叶林、针叶林、针阔混交林内；食肉目小型兽类的黄鼬主要栖息于河谷靠近河边的灌丛、阔叶林、针叶林、针阔混交林地带；其他小型啮齿生境广泛，常见种类黄胸鼠、褐家鼠；调查中于公路边山坡见到赤腹松鼠。</w:t>
      </w:r>
    </w:p>
    <w:p w14:paraId="1AB797E8">
      <w:pPr>
        <w:adjustRightInd w:val="0"/>
        <w:snapToGrid w:val="0"/>
        <w:spacing w:after="0" w:line="240" w:lineRule="auto"/>
        <w:ind w:firstLine="0" w:firstLineChars="0"/>
        <w:jc w:val="center"/>
        <w:rPr>
          <w:rFonts w:hint="default" w:ascii="Times New Roman" w:hAnsi="Times New Roman" w:eastAsia="宋体" w:cs="Times New Roman"/>
          <w:b/>
          <w:color w:val="auto"/>
          <w:szCs w:val="32"/>
        </w:rPr>
      </w:pPr>
      <w:r>
        <w:rPr>
          <w:rFonts w:hint="default" w:ascii="Times New Roman" w:hAnsi="Times New Roman" w:eastAsia="宋体" w:cs="Times New Roman"/>
          <w:b/>
          <w:color w:val="auto"/>
          <w:szCs w:val="32"/>
        </w:rPr>
        <w:t>表</w:t>
      </w:r>
      <w:r>
        <w:rPr>
          <w:rFonts w:hint="eastAsia" w:ascii="Times New Roman" w:hAnsi="Times New Roman" w:eastAsia="宋体" w:cs="Times New Roman"/>
          <w:b/>
          <w:color w:val="auto"/>
          <w:szCs w:val="32"/>
          <w:lang w:val="en-US" w:eastAsia="zh-CN"/>
        </w:rPr>
        <w:t xml:space="preserve">2.4-7 </w:t>
      </w:r>
      <w:r>
        <w:rPr>
          <w:rFonts w:hint="default" w:ascii="Times New Roman" w:hAnsi="Times New Roman" w:eastAsia="宋体" w:cs="Times New Roman"/>
          <w:b/>
          <w:color w:val="auto"/>
          <w:szCs w:val="32"/>
        </w:rPr>
        <w:t xml:space="preserve"> 评价区哺乳动物组成</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056"/>
        <w:gridCol w:w="4165"/>
        <w:gridCol w:w="1529"/>
      </w:tblGrid>
      <w:tr w14:paraId="2D0D0E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1746" w:type="pct"/>
            <w:tcBorders>
              <w:tl2br w:val="nil"/>
              <w:tr2bl w:val="nil"/>
            </w:tcBorders>
            <w:noWrap/>
            <w:vAlign w:val="center"/>
          </w:tcPr>
          <w:p w14:paraId="104B608C">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目</w:t>
            </w:r>
          </w:p>
        </w:tc>
        <w:tc>
          <w:tcPr>
            <w:tcW w:w="2380" w:type="pct"/>
            <w:tcBorders>
              <w:tl2br w:val="nil"/>
              <w:tr2bl w:val="nil"/>
            </w:tcBorders>
            <w:noWrap/>
            <w:vAlign w:val="center"/>
          </w:tcPr>
          <w:p w14:paraId="36C3965A">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科</w:t>
            </w:r>
          </w:p>
        </w:tc>
        <w:tc>
          <w:tcPr>
            <w:tcW w:w="874" w:type="pct"/>
            <w:tcBorders>
              <w:tl2br w:val="nil"/>
              <w:tr2bl w:val="nil"/>
            </w:tcBorders>
            <w:vAlign w:val="center"/>
          </w:tcPr>
          <w:p w14:paraId="086BDD14">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种数</w:t>
            </w:r>
          </w:p>
        </w:tc>
      </w:tr>
      <w:tr w14:paraId="54EC1F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46" w:type="pct"/>
            <w:vMerge w:val="restart"/>
            <w:tcBorders>
              <w:tl2br w:val="nil"/>
              <w:tr2bl w:val="nil"/>
            </w:tcBorders>
            <w:noWrap/>
            <w:vAlign w:val="center"/>
          </w:tcPr>
          <w:p w14:paraId="68F9B8F9">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食虫目INSECTIVORA</w:t>
            </w:r>
          </w:p>
        </w:tc>
        <w:tc>
          <w:tcPr>
            <w:tcW w:w="2380" w:type="pct"/>
            <w:tcBorders>
              <w:tl2br w:val="nil"/>
              <w:tr2bl w:val="nil"/>
            </w:tcBorders>
            <w:noWrap/>
            <w:vAlign w:val="center"/>
          </w:tcPr>
          <w:p w14:paraId="4F3A2164">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鼩鼱科Soricidae</w:t>
            </w:r>
          </w:p>
        </w:tc>
        <w:tc>
          <w:tcPr>
            <w:tcW w:w="874" w:type="pct"/>
            <w:tcBorders>
              <w:tl2br w:val="nil"/>
              <w:tr2bl w:val="nil"/>
            </w:tcBorders>
            <w:vAlign w:val="center"/>
          </w:tcPr>
          <w:p w14:paraId="041FD99D">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r>
      <w:tr w14:paraId="527A8D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46" w:type="pct"/>
            <w:vMerge w:val="continue"/>
            <w:tcBorders>
              <w:tl2br w:val="nil"/>
              <w:tr2bl w:val="nil"/>
            </w:tcBorders>
            <w:noWrap/>
            <w:vAlign w:val="center"/>
          </w:tcPr>
          <w:p w14:paraId="0174AB3D">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p>
        </w:tc>
        <w:tc>
          <w:tcPr>
            <w:tcW w:w="2380" w:type="pct"/>
            <w:tcBorders>
              <w:tl2br w:val="nil"/>
              <w:tr2bl w:val="nil"/>
            </w:tcBorders>
            <w:noWrap/>
            <w:vAlign w:val="center"/>
          </w:tcPr>
          <w:p w14:paraId="73D9E4E0">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鼹科Talpidae</w:t>
            </w:r>
          </w:p>
        </w:tc>
        <w:tc>
          <w:tcPr>
            <w:tcW w:w="874" w:type="pct"/>
            <w:tcBorders>
              <w:tl2br w:val="nil"/>
              <w:tr2bl w:val="nil"/>
            </w:tcBorders>
            <w:vAlign w:val="center"/>
          </w:tcPr>
          <w:p w14:paraId="092E5B8B">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r>
      <w:tr w14:paraId="2C5C0F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1746" w:type="pct"/>
            <w:vMerge w:val="restart"/>
            <w:tcBorders>
              <w:tl2br w:val="nil"/>
              <w:tr2bl w:val="nil"/>
            </w:tcBorders>
            <w:noWrap/>
            <w:vAlign w:val="center"/>
          </w:tcPr>
          <w:p w14:paraId="428EB0AF">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食肉目CARNIVORA</w:t>
            </w:r>
          </w:p>
        </w:tc>
        <w:tc>
          <w:tcPr>
            <w:tcW w:w="2380" w:type="pct"/>
            <w:tcBorders>
              <w:tl2br w:val="nil"/>
              <w:tr2bl w:val="nil"/>
            </w:tcBorders>
            <w:noWrap/>
            <w:vAlign w:val="center"/>
          </w:tcPr>
          <w:p w14:paraId="771CF95F">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鼬科Mustelidae</w:t>
            </w:r>
          </w:p>
        </w:tc>
        <w:tc>
          <w:tcPr>
            <w:tcW w:w="874" w:type="pct"/>
            <w:tcBorders>
              <w:tl2br w:val="nil"/>
              <w:tr2bl w:val="nil"/>
            </w:tcBorders>
            <w:vAlign w:val="center"/>
          </w:tcPr>
          <w:p w14:paraId="2D979C83">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r>
      <w:tr w14:paraId="31A3E8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746" w:type="pct"/>
            <w:vMerge w:val="continue"/>
            <w:tcBorders>
              <w:tl2br w:val="nil"/>
              <w:tr2bl w:val="nil"/>
            </w:tcBorders>
            <w:noWrap/>
            <w:vAlign w:val="center"/>
          </w:tcPr>
          <w:p w14:paraId="62D5217F">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p>
        </w:tc>
        <w:tc>
          <w:tcPr>
            <w:tcW w:w="2380" w:type="pct"/>
            <w:tcBorders>
              <w:tl2br w:val="nil"/>
              <w:tr2bl w:val="nil"/>
            </w:tcBorders>
            <w:noWrap/>
            <w:vAlign w:val="center"/>
          </w:tcPr>
          <w:p w14:paraId="257302CB">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猫科Felidae</w:t>
            </w:r>
          </w:p>
        </w:tc>
        <w:tc>
          <w:tcPr>
            <w:tcW w:w="874" w:type="pct"/>
            <w:tcBorders>
              <w:tl2br w:val="nil"/>
              <w:tr2bl w:val="nil"/>
            </w:tcBorders>
            <w:vAlign w:val="center"/>
          </w:tcPr>
          <w:p w14:paraId="483EF0AD">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r>
      <w:tr w14:paraId="09D998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46" w:type="pct"/>
            <w:tcBorders>
              <w:tl2br w:val="nil"/>
              <w:tr2bl w:val="nil"/>
            </w:tcBorders>
            <w:noWrap/>
            <w:vAlign w:val="center"/>
          </w:tcPr>
          <w:p w14:paraId="782AA767">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兔形目LAGOMORPHA</w:t>
            </w:r>
          </w:p>
        </w:tc>
        <w:tc>
          <w:tcPr>
            <w:tcW w:w="2380" w:type="pct"/>
            <w:tcBorders>
              <w:tl2br w:val="nil"/>
              <w:tr2bl w:val="nil"/>
            </w:tcBorders>
            <w:noWrap/>
            <w:vAlign w:val="center"/>
          </w:tcPr>
          <w:p w14:paraId="1765112F">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兔科Leporidae</w:t>
            </w:r>
          </w:p>
        </w:tc>
        <w:tc>
          <w:tcPr>
            <w:tcW w:w="874" w:type="pct"/>
            <w:tcBorders>
              <w:tl2br w:val="nil"/>
              <w:tr2bl w:val="nil"/>
            </w:tcBorders>
            <w:vAlign w:val="center"/>
          </w:tcPr>
          <w:p w14:paraId="1B50E7CE">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r>
      <w:tr w14:paraId="572440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46" w:type="pct"/>
            <w:vMerge w:val="restart"/>
            <w:tcBorders>
              <w:tl2br w:val="nil"/>
              <w:tr2bl w:val="nil"/>
            </w:tcBorders>
            <w:noWrap/>
            <w:vAlign w:val="center"/>
          </w:tcPr>
          <w:p w14:paraId="7BB6E90B">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啮齿目RODENTIA</w:t>
            </w:r>
          </w:p>
        </w:tc>
        <w:tc>
          <w:tcPr>
            <w:tcW w:w="2380" w:type="pct"/>
            <w:tcBorders>
              <w:tl2br w:val="nil"/>
              <w:tr2bl w:val="nil"/>
            </w:tcBorders>
            <w:noWrap/>
            <w:vAlign w:val="center"/>
          </w:tcPr>
          <w:p w14:paraId="33175338">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松鼠科Sciuridae</w:t>
            </w:r>
          </w:p>
        </w:tc>
        <w:tc>
          <w:tcPr>
            <w:tcW w:w="874" w:type="pct"/>
            <w:tcBorders>
              <w:tl2br w:val="nil"/>
              <w:tr2bl w:val="nil"/>
            </w:tcBorders>
            <w:vAlign w:val="center"/>
          </w:tcPr>
          <w:p w14:paraId="20E04783">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p>
        </w:tc>
      </w:tr>
      <w:tr w14:paraId="4E2AA6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46" w:type="pct"/>
            <w:vMerge w:val="continue"/>
            <w:tcBorders>
              <w:tl2br w:val="nil"/>
              <w:tr2bl w:val="nil"/>
            </w:tcBorders>
            <w:noWrap/>
            <w:vAlign w:val="center"/>
          </w:tcPr>
          <w:p w14:paraId="24DCE513">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p>
        </w:tc>
        <w:tc>
          <w:tcPr>
            <w:tcW w:w="2380" w:type="pct"/>
            <w:tcBorders>
              <w:tl2br w:val="nil"/>
              <w:tr2bl w:val="nil"/>
            </w:tcBorders>
            <w:noWrap/>
            <w:vAlign w:val="center"/>
          </w:tcPr>
          <w:p w14:paraId="494CDD39">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鼠科Muridae</w:t>
            </w:r>
          </w:p>
        </w:tc>
        <w:tc>
          <w:tcPr>
            <w:tcW w:w="874" w:type="pct"/>
            <w:tcBorders>
              <w:tl2br w:val="nil"/>
              <w:tr2bl w:val="nil"/>
            </w:tcBorders>
            <w:vAlign w:val="center"/>
          </w:tcPr>
          <w:p w14:paraId="24CFACF3">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w:t>
            </w:r>
          </w:p>
        </w:tc>
      </w:tr>
    </w:tbl>
    <w:p w14:paraId="4BDAC948">
      <w:pPr>
        <w:adjustRightInd w:val="0"/>
        <w:snapToGrid w:val="0"/>
        <w:spacing w:after="0" w:line="440" w:lineRule="exact"/>
        <w:ind w:firstLine="480"/>
        <w:rPr>
          <w:rFonts w:hint="default" w:ascii="Times New Roman" w:hAnsi="Times New Roman" w:eastAsia="宋体" w:cs="Times New Roman"/>
          <w:b/>
          <w:bCs/>
          <w:color w:val="auto"/>
        </w:rPr>
      </w:pPr>
      <w:r>
        <w:rPr>
          <w:rFonts w:hint="default" w:ascii="Times New Roman" w:hAnsi="Times New Roman" w:eastAsia="宋体" w:cs="Times New Roman"/>
          <w:b/>
          <w:bCs/>
          <w:color w:val="auto"/>
        </w:rPr>
        <w:t>（5）陆栖脊椎动物资源现状小结</w:t>
      </w:r>
    </w:p>
    <w:p w14:paraId="2368ADF1">
      <w:pPr>
        <w:adjustRightInd w:val="0"/>
        <w:snapToGrid w:val="0"/>
        <w:spacing w:after="0" w:line="440" w:lineRule="exact"/>
        <w:ind w:firstLine="480"/>
        <w:rPr>
          <w:rFonts w:hint="default" w:ascii="Times New Roman" w:hAnsi="Times New Roman" w:cs="Times New Roman"/>
          <w:color w:val="auto"/>
          <w:szCs w:val="24"/>
        </w:rPr>
      </w:pPr>
      <w:r>
        <w:rPr>
          <w:rFonts w:hint="default" w:ascii="Times New Roman" w:hAnsi="Times New Roman" w:eastAsia="宋体" w:cs="Times New Roman"/>
          <w:color w:val="auto"/>
          <w:szCs w:val="24"/>
        </w:rPr>
        <w:t>评价区地貌主要为深切河谷，两岸高山散布针叶林，谷地灌丛丰茂，部分山坡为荒坡。河流水量相对较大，陆栖脊椎动物栖息环境多样。区域内陆栖脊椎动物种类相对丰富，但是种群数量较为贫乏，这主要与当地人为干扰有关，以及陡峭的深切河谷栖息环境较为恶劣有关。</w:t>
      </w:r>
    </w:p>
    <w:p w14:paraId="01E5C7C7">
      <w:pPr>
        <w:pStyle w:val="6"/>
        <w:adjustRightInd w:val="0"/>
        <w:snapToGrid w:val="0"/>
        <w:spacing w:line="440" w:lineRule="exact"/>
        <w:ind w:firstLine="482" w:firstLineChars="200"/>
        <w:rPr>
          <w:rFonts w:hint="default" w:ascii="Times New Roman" w:hAnsi="Times New Roman" w:cs="Times New Roman"/>
          <w:color w:val="auto"/>
        </w:rPr>
      </w:pPr>
      <w:bookmarkStart w:id="233" w:name="_Toc3739"/>
      <w:r>
        <w:rPr>
          <w:rFonts w:hint="default" w:ascii="Times New Roman" w:hAnsi="Times New Roman" w:cs="Times New Roman"/>
          <w:color w:val="auto"/>
        </w:rPr>
        <w:t>2.4.2.3区系分析</w:t>
      </w:r>
    </w:p>
    <w:p w14:paraId="672DCCDF">
      <w:pPr>
        <w:adjustRightInd w:val="0"/>
        <w:snapToGrid w:val="0"/>
        <w:spacing w:after="0" w:line="440" w:lineRule="exact"/>
        <w:ind w:firstLine="480"/>
        <w:rPr>
          <w:rFonts w:hint="default" w:ascii="Times New Roman" w:hAnsi="Times New Roman" w:eastAsia="宋体" w:cs="Times New Roman"/>
          <w:b/>
          <w:bCs/>
          <w:color w:val="auto"/>
        </w:rPr>
      </w:pPr>
      <w:r>
        <w:rPr>
          <w:rFonts w:hint="default" w:ascii="Times New Roman" w:hAnsi="Times New Roman" w:eastAsia="宋体" w:cs="Times New Roman"/>
          <w:b/>
          <w:bCs/>
          <w:color w:val="auto"/>
        </w:rPr>
        <w:t>①两栖类</w:t>
      </w:r>
    </w:p>
    <w:p w14:paraId="63196DF7">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在评价区分布的6种两栖动物中，东洋界种类占优势，有5种，占全部两栖类种数的83.33%；古北东洋两界种类有1种，占全部两栖类种数的16.67%；迄今未发现有古北界成分和分布。在5种东洋界两栖动物中，东洋界广布种占优势，有4种，分别占全部东洋界两栖类种数的80.00%；西南区种类有1种，占全部两栖类种数的16.67%；无华中区种类和华中—华南区种类分布；也无华南区种类分布。</w:t>
      </w:r>
    </w:p>
    <w:p w14:paraId="619C7D3D">
      <w:pPr>
        <w:adjustRightInd w:val="0"/>
        <w:snapToGrid w:val="0"/>
        <w:spacing w:after="0" w:line="440" w:lineRule="exact"/>
        <w:ind w:firstLine="480"/>
        <w:rPr>
          <w:rFonts w:hint="default" w:ascii="Times New Roman" w:hAnsi="Times New Roman" w:eastAsia="宋体" w:cs="Times New Roman"/>
          <w:b/>
          <w:bCs/>
          <w:color w:val="auto"/>
        </w:rPr>
      </w:pPr>
      <w:r>
        <w:rPr>
          <w:rFonts w:hint="default" w:ascii="Times New Roman" w:hAnsi="Times New Roman" w:eastAsia="宋体" w:cs="Times New Roman"/>
          <w:b/>
          <w:bCs/>
          <w:color w:val="auto"/>
        </w:rPr>
        <w:t>②爬行类</w:t>
      </w:r>
    </w:p>
    <w:p w14:paraId="4B7D6533">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在评价区分布的6种爬行动物中，东洋界种类占优势，有5种，占全部爬行动物种数的83.33%；古北东洋两界种类有1种，占全部爬行动物种数的16.67%；迄今未发现有古北界成分分布。在东洋界种类中，东洋界广布种有2种，占全部东洋界爬行动物种数的40.00%；华中—华南区种类有2种，占全部东洋界爬行动物种数的40.00%；西南区种类有1种，占全部东洋界爬行动物种数的20.00%；无华南区种类和华中区种类分布。</w:t>
      </w:r>
    </w:p>
    <w:p w14:paraId="24A03FC7">
      <w:pPr>
        <w:adjustRightInd w:val="0"/>
        <w:snapToGrid w:val="0"/>
        <w:spacing w:after="0" w:line="440" w:lineRule="exact"/>
        <w:ind w:firstLine="480"/>
        <w:rPr>
          <w:rFonts w:hint="default" w:ascii="Times New Roman" w:hAnsi="Times New Roman" w:eastAsia="宋体" w:cs="Times New Roman"/>
          <w:b/>
          <w:bCs/>
          <w:color w:val="auto"/>
          <w:lang w:val="zh-CN"/>
        </w:rPr>
      </w:pPr>
      <w:r>
        <w:rPr>
          <w:rFonts w:hint="default" w:ascii="Times New Roman" w:hAnsi="Times New Roman" w:eastAsia="宋体" w:cs="Times New Roman"/>
          <w:b/>
          <w:bCs/>
          <w:color w:val="auto"/>
          <w:lang w:val="zh-CN"/>
        </w:rPr>
        <w:t>③鸟类</w:t>
      </w:r>
    </w:p>
    <w:p w14:paraId="32BB7E80">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资料分析表明，评价区内51种鸟类中，旅鸟2种，冬候鸟4种，夏候鸟9种，留鸟36种。</w:t>
      </w:r>
    </w:p>
    <w:p w14:paraId="63CE7E7F">
      <w:pPr>
        <w:spacing w:line="240" w:lineRule="auto"/>
        <w:ind w:firstLine="482"/>
        <w:jc w:val="center"/>
        <w:rPr>
          <w:rFonts w:hint="default" w:ascii="Times New Roman" w:hAnsi="Times New Roman" w:eastAsia="宋体" w:cs="Times New Roman"/>
          <w:b/>
          <w:color w:val="auto"/>
          <w:szCs w:val="24"/>
        </w:rPr>
      </w:pPr>
    </w:p>
    <w:p w14:paraId="5DF0B9BB">
      <w:pPr>
        <w:spacing w:line="240" w:lineRule="auto"/>
        <w:ind w:firstLine="482"/>
        <w:jc w:val="center"/>
        <w:rPr>
          <w:rFonts w:hint="default" w:ascii="Times New Roman" w:hAnsi="Times New Roman" w:eastAsia="宋体" w:cs="Times New Roman"/>
          <w:b/>
          <w:color w:val="auto"/>
          <w:szCs w:val="24"/>
        </w:rPr>
      </w:pPr>
      <w:r>
        <w:rPr>
          <w:rFonts w:hint="default" w:ascii="Times New Roman" w:hAnsi="Times New Roman" w:eastAsia="宋体" w:cs="Times New Roman"/>
          <w:b/>
          <w:color w:val="auto"/>
          <w:szCs w:val="24"/>
        </w:rPr>
        <w:t>表2.4-</w:t>
      </w:r>
      <w:r>
        <w:rPr>
          <w:rFonts w:hint="eastAsia" w:ascii="Times New Roman" w:hAnsi="Times New Roman" w:eastAsia="宋体" w:cs="Times New Roman"/>
          <w:b/>
          <w:color w:val="auto"/>
          <w:szCs w:val="24"/>
          <w:lang w:val="en-US" w:eastAsia="zh-CN"/>
        </w:rPr>
        <w:t>8</w:t>
      </w:r>
      <w:r>
        <w:rPr>
          <w:rFonts w:hint="default" w:ascii="Times New Roman" w:hAnsi="Times New Roman" w:eastAsia="宋体" w:cs="Times New Roman"/>
          <w:b/>
          <w:color w:val="auto"/>
          <w:szCs w:val="24"/>
        </w:rPr>
        <w:t xml:space="preserve">  评价区鸟类居留状态</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1726"/>
        <w:gridCol w:w="1706"/>
        <w:gridCol w:w="1706"/>
        <w:gridCol w:w="1706"/>
        <w:gridCol w:w="1706"/>
      </w:tblGrid>
      <w:tr w14:paraId="567F14A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1009" w:type="pct"/>
            <w:tcBorders>
              <w:tl2br w:val="nil"/>
              <w:tr2bl w:val="nil"/>
            </w:tcBorders>
            <w:vAlign w:val="center"/>
          </w:tcPr>
          <w:p w14:paraId="771234D7">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居留状况</w:t>
            </w:r>
          </w:p>
        </w:tc>
        <w:tc>
          <w:tcPr>
            <w:tcW w:w="997" w:type="pct"/>
            <w:tcBorders>
              <w:tl2br w:val="nil"/>
              <w:tr2bl w:val="nil"/>
            </w:tcBorders>
            <w:tcMar>
              <w:top w:w="15" w:type="dxa"/>
              <w:left w:w="15" w:type="dxa"/>
              <w:bottom w:w="0" w:type="dxa"/>
              <w:right w:w="15" w:type="dxa"/>
            </w:tcMar>
            <w:vAlign w:val="center"/>
          </w:tcPr>
          <w:p w14:paraId="10820A41">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旅鸟</w:t>
            </w:r>
          </w:p>
        </w:tc>
        <w:tc>
          <w:tcPr>
            <w:tcW w:w="997" w:type="pct"/>
            <w:tcBorders>
              <w:tl2br w:val="nil"/>
              <w:tr2bl w:val="nil"/>
            </w:tcBorders>
            <w:tcMar>
              <w:top w:w="15" w:type="dxa"/>
              <w:left w:w="15" w:type="dxa"/>
              <w:bottom w:w="0" w:type="dxa"/>
              <w:right w:w="15" w:type="dxa"/>
            </w:tcMar>
            <w:vAlign w:val="center"/>
          </w:tcPr>
          <w:p w14:paraId="67D013B0">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冬候鸟</w:t>
            </w:r>
          </w:p>
        </w:tc>
        <w:tc>
          <w:tcPr>
            <w:tcW w:w="997" w:type="pct"/>
            <w:tcBorders>
              <w:tl2br w:val="nil"/>
              <w:tr2bl w:val="nil"/>
            </w:tcBorders>
            <w:tcMar>
              <w:top w:w="15" w:type="dxa"/>
              <w:left w:w="15" w:type="dxa"/>
              <w:bottom w:w="0" w:type="dxa"/>
              <w:right w:w="15" w:type="dxa"/>
            </w:tcMar>
            <w:vAlign w:val="center"/>
          </w:tcPr>
          <w:p w14:paraId="349029FE">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夏候鸟</w:t>
            </w:r>
          </w:p>
        </w:tc>
        <w:tc>
          <w:tcPr>
            <w:tcW w:w="997" w:type="pct"/>
            <w:tcBorders>
              <w:tl2br w:val="nil"/>
              <w:tr2bl w:val="nil"/>
            </w:tcBorders>
            <w:tcMar>
              <w:top w:w="15" w:type="dxa"/>
              <w:left w:w="15" w:type="dxa"/>
              <w:bottom w:w="0" w:type="dxa"/>
              <w:right w:w="15" w:type="dxa"/>
            </w:tcMar>
            <w:vAlign w:val="center"/>
          </w:tcPr>
          <w:p w14:paraId="19A7D40F">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留鸟</w:t>
            </w:r>
          </w:p>
        </w:tc>
      </w:tr>
      <w:tr w14:paraId="4B28B2B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1009" w:type="pct"/>
            <w:tcBorders>
              <w:tl2br w:val="nil"/>
              <w:tr2bl w:val="nil"/>
            </w:tcBorders>
            <w:vAlign w:val="center"/>
          </w:tcPr>
          <w:p w14:paraId="6448E06D">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种数</w:t>
            </w:r>
          </w:p>
        </w:tc>
        <w:tc>
          <w:tcPr>
            <w:tcW w:w="997" w:type="pct"/>
            <w:tcBorders>
              <w:tl2br w:val="nil"/>
              <w:tr2bl w:val="nil"/>
            </w:tcBorders>
            <w:tcMar>
              <w:top w:w="15" w:type="dxa"/>
              <w:left w:w="15" w:type="dxa"/>
              <w:bottom w:w="0" w:type="dxa"/>
              <w:right w:w="15" w:type="dxa"/>
            </w:tcMar>
            <w:vAlign w:val="center"/>
          </w:tcPr>
          <w:p w14:paraId="5AD69C8C">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p>
        </w:tc>
        <w:tc>
          <w:tcPr>
            <w:tcW w:w="997" w:type="pct"/>
            <w:tcBorders>
              <w:tl2br w:val="nil"/>
              <w:tr2bl w:val="nil"/>
            </w:tcBorders>
            <w:tcMar>
              <w:top w:w="15" w:type="dxa"/>
              <w:left w:w="15" w:type="dxa"/>
              <w:bottom w:w="0" w:type="dxa"/>
              <w:right w:w="15" w:type="dxa"/>
            </w:tcMar>
            <w:vAlign w:val="center"/>
          </w:tcPr>
          <w:p w14:paraId="764096B9">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w:t>
            </w:r>
          </w:p>
        </w:tc>
        <w:tc>
          <w:tcPr>
            <w:tcW w:w="997" w:type="pct"/>
            <w:tcBorders>
              <w:tl2br w:val="nil"/>
              <w:tr2bl w:val="nil"/>
            </w:tcBorders>
            <w:tcMar>
              <w:top w:w="15" w:type="dxa"/>
              <w:left w:w="15" w:type="dxa"/>
              <w:bottom w:w="0" w:type="dxa"/>
              <w:right w:w="15" w:type="dxa"/>
            </w:tcMar>
            <w:vAlign w:val="center"/>
          </w:tcPr>
          <w:p w14:paraId="26E33EAE">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w:t>
            </w:r>
          </w:p>
        </w:tc>
        <w:tc>
          <w:tcPr>
            <w:tcW w:w="997" w:type="pct"/>
            <w:tcBorders>
              <w:tl2br w:val="nil"/>
              <w:tr2bl w:val="nil"/>
            </w:tcBorders>
            <w:tcMar>
              <w:top w:w="15" w:type="dxa"/>
              <w:left w:w="15" w:type="dxa"/>
              <w:bottom w:w="0" w:type="dxa"/>
              <w:right w:w="15" w:type="dxa"/>
            </w:tcMar>
            <w:vAlign w:val="center"/>
          </w:tcPr>
          <w:p w14:paraId="76E85C45">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36</w:t>
            </w:r>
          </w:p>
        </w:tc>
      </w:tr>
      <w:tr w14:paraId="66CA6E1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1009" w:type="pct"/>
            <w:tcBorders>
              <w:tl2br w:val="nil"/>
              <w:tr2bl w:val="nil"/>
            </w:tcBorders>
            <w:vAlign w:val="center"/>
          </w:tcPr>
          <w:p w14:paraId="735CBC77">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997" w:type="pct"/>
            <w:tcBorders>
              <w:tl2br w:val="nil"/>
              <w:tr2bl w:val="nil"/>
            </w:tcBorders>
            <w:tcMar>
              <w:top w:w="15" w:type="dxa"/>
              <w:left w:w="15" w:type="dxa"/>
              <w:bottom w:w="0" w:type="dxa"/>
              <w:right w:w="15" w:type="dxa"/>
            </w:tcMar>
            <w:vAlign w:val="center"/>
          </w:tcPr>
          <w:p w14:paraId="47B724F4">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3.92</w:t>
            </w:r>
          </w:p>
        </w:tc>
        <w:tc>
          <w:tcPr>
            <w:tcW w:w="997" w:type="pct"/>
            <w:tcBorders>
              <w:tl2br w:val="nil"/>
              <w:tr2bl w:val="nil"/>
            </w:tcBorders>
            <w:tcMar>
              <w:top w:w="15" w:type="dxa"/>
              <w:left w:w="15" w:type="dxa"/>
              <w:bottom w:w="0" w:type="dxa"/>
              <w:right w:w="15" w:type="dxa"/>
            </w:tcMar>
            <w:vAlign w:val="center"/>
          </w:tcPr>
          <w:p w14:paraId="58118B11">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7.84</w:t>
            </w:r>
          </w:p>
        </w:tc>
        <w:tc>
          <w:tcPr>
            <w:tcW w:w="997" w:type="pct"/>
            <w:tcBorders>
              <w:tl2br w:val="nil"/>
              <w:tr2bl w:val="nil"/>
            </w:tcBorders>
            <w:tcMar>
              <w:top w:w="15" w:type="dxa"/>
              <w:left w:w="15" w:type="dxa"/>
              <w:bottom w:w="0" w:type="dxa"/>
              <w:right w:w="15" w:type="dxa"/>
            </w:tcMar>
            <w:vAlign w:val="center"/>
          </w:tcPr>
          <w:p w14:paraId="3410F0A1">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17.65</w:t>
            </w:r>
          </w:p>
        </w:tc>
        <w:tc>
          <w:tcPr>
            <w:tcW w:w="997" w:type="pct"/>
            <w:tcBorders>
              <w:tl2br w:val="nil"/>
              <w:tr2bl w:val="nil"/>
            </w:tcBorders>
            <w:tcMar>
              <w:top w:w="15" w:type="dxa"/>
              <w:left w:w="15" w:type="dxa"/>
              <w:bottom w:w="0" w:type="dxa"/>
              <w:right w:w="15" w:type="dxa"/>
            </w:tcMar>
            <w:vAlign w:val="center"/>
          </w:tcPr>
          <w:p w14:paraId="08EC2815">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70.59</w:t>
            </w:r>
          </w:p>
        </w:tc>
      </w:tr>
    </w:tbl>
    <w:p w14:paraId="7EED641B">
      <w:pPr>
        <w:adjustRightInd w:val="0"/>
        <w:snapToGrid w:val="0"/>
        <w:spacing w:after="0" w:line="440" w:lineRule="exact"/>
        <w:ind w:firstLine="480"/>
        <w:rPr>
          <w:rFonts w:hint="default" w:ascii="Times New Roman" w:hAnsi="Times New Roman" w:eastAsia="黑体" w:cs="Times New Roman"/>
          <w:color w:val="auto"/>
          <w:szCs w:val="21"/>
        </w:rPr>
      </w:pPr>
      <w:r>
        <w:rPr>
          <w:rFonts w:hint="default" w:ascii="Times New Roman" w:hAnsi="Times New Roman" w:eastAsia="宋体" w:cs="Times New Roman"/>
          <w:color w:val="auto"/>
          <w:szCs w:val="24"/>
          <w:lang w:val="zh-CN"/>
        </w:rPr>
        <w:t>评价区鸟类共有繁殖鸟类45种，繁殖鸟类区系以东洋界物种为主，符合区域鸟类分布规律。</w:t>
      </w:r>
    </w:p>
    <w:p w14:paraId="74264928">
      <w:pPr>
        <w:spacing w:line="240" w:lineRule="auto"/>
        <w:ind w:firstLine="482"/>
        <w:jc w:val="center"/>
        <w:rPr>
          <w:rFonts w:hint="default" w:ascii="Times New Roman" w:hAnsi="Times New Roman" w:eastAsia="宋体" w:cs="Times New Roman"/>
          <w:b/>
          <w:color w:val="auto"/>
          <w:szCs w:val="24"/>
        </w:rPr>
      </w:pPr>
      <w:r>
        <w:rPr>
          <w:rFonts w:hint="default" w:ascii="Times New Roman" w:hAnsi="Times New Roman" w:eastAsia="宋体" w:cs="Times New Roman"/>
          <w:b/>
          <w:color w:val="auto"/>
          <w:szCs w:val="24"/>
        </w:rPr>
        <w:t>表2.4-</w:t>
      </w:r>
      <w:r>
        <w:rPr>
          <w:rFonts w:hint="eastAsia" w:ascii="Times New Roman" w:hAnsi="Times New Roman" w:eastAsia="宋体" w:cs="Times New Roman"/>
          <w:b/>
          <w:color w:val="auto"/>
          <w:szCs w:val="24"/>
          <w:lang w:val="en-US" w:eastAsia="zh-CN"/>
        </w:rPr>
        <w:t>9</w:t>
      </w:r>
      <w:r>
        <w:rPr>
          <w:rFonts w:hint="default" w:ascii="Times New Roman" w:hAnsi="Times New Roman" w:eastAsia="宋体" w:cs="Times New Roman"/>
          <w:b/>
          <w:color w:val="auto"/>
          <w:szCs w:val="24"/>
        </w:rPr>
        <w:t xml:space="preserve">  评价区繁殖鸟类区系成分</w:t>
      </w:r>
    </w:p>
    <w:tbl>
      <w:tblPr>
        <w:tblStyle w:val="30"/>
        <w:tblW w:w="4999"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2681"/>
        <w:gridCol w:w="3050"/>
        <w:gridCol w:w="2805"/>
      </w:tblGrid>
      <w:tr w14:paraId="3D6B38C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1570" w:type="pct"/>
            <w:tcBorders>
              <w:tl2br w:val="nil"/>
              <w:tr2bl w:val="nil"/>
            </w:tcBorders>
            <w:vAlign w:val="center"/>
          </w:tcPr>
          <w:p w14:paraId="7BD16C5A">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繁殖鸟</w:t>
            </w:r>
          </w:p>
        </w:tc>
        <w:tc>
          <w:tcPr>
            <w:tcW w:w="1786" w:type="pct"/>
            <w:tcBorders>
              <w:tl2br w:val="nil"/>
              <w:tr2bl w:val="nil"/>
            </w:tcBorders>
            <w:vAlign w:val="center"/>
          </w:tcPr>
          <w:p w14:paraId="2C36BD65">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种数</w:t>
            </w:r>
          </w:p>
        </w:tc>
        <w:tc>
          <w:tcPr>
            <w:tcW w:w="1642" w:type="pct"/>
            <w:tcBorders>
              <w:tl2br w:val="nil"/>
              <w:tr2bl w:val="nil"/>
            </w:tcBorders>
            <w:vAlign w:val="center"/>
          </w:tcPr>
          <w:p w14:paraId="4B0C998B">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r>
      <w:tr w14:paraId="6C2742F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1570" w:type="pct"/>
            <w:tcBorders>
              <w:tl2br w:val="nil"/>
              <w:tr2bl w:val="nil"/>
            </w:tcBorders>
            <w:vAlign w:val="center"/>
          </w:tcPr>
          <w:p w14:paraId="556DBE26">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古北种</w:t>
            </w:r>
          </w:p>
        </w:tc>
        <w:tc>
          <w:tcPr>
            <w:tcW w:w="1786" w:type="pct"/>
            <w:tcBorders>
              <w:tl2br w:val="nil"/>
              <w:tr2bl w:val="nil"/>
            </w:tcBorders>
            <w:vAlign w:val="center"/>
          </w:tcPr>
          <w:p w14:paraId="6E2496D0">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w:t>
            </w:r>
          </w:p>
        </w:tc>
        <w:tc>
          <w:tcPr>
            <w:tcW w:w="1642" w:type="pct"/>
            <w:tcBorders>
              <w:tl2br w:val="nil"/>
              <w:tr2bl w:val="nil"/>
            </w:tcBorders>
            <w:vAlign w:val="center"/>
          </w:tcPr>
          <w:p w14:paraId="0CBA8FB1">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6.67</w:t>
            </w:r>
          </w:p>
        </w:tc>
      </w:tr>
      <w:tr w14:paraId="5A39C75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1570" w:type="pct"/>
            <w:tcBorders>
              <w:tl2br w:val="nil"/>
              <w:tr2bl w:val="nil"/>
            </w:tcBorders>
            <w:vAlign w:val="center"/>
          </w:tcPr>
          <w:p w14:paraId="394079AF">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东洋种</w:t>
            </w:r>
          </w:p>
        </w:tc>
        <w:tc>
          <w:tcPr>
            <w:tcW w:w="1786" w:type="pct"/>
            <w:tcBorders>
              <w:tl2br w:val="nil"/>
              <w:tr2bl w:val="nil"/>
            </w:tcBorders>
            <w:vAlign w:val="center"/>
          </w:tcPr>
          <w:p w14:paraId="79890FE7">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26</w:t>
            </w:r>
          </w:p>
        </w:tc>
        <w:tc>
          <w:tcPr>
            <w:tcW w:w="1642" w:type="pct"/>
            <w:tcBorders>
              <w:tl2br w:val="nil"/>
              <w:tr2bl w:val="nil"/>
            </w:tcBorders>
            <w:vAlign w:val="center"/>
          </w:tcPr>
          <w:p w14:paraId="1A340F40">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50.98</w:t>
            </w:r>
          </w:p>
        </w:tc>
      </w:tr>
      <w:tr w14:paraId="597C98A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1570" w:type="pct"/>
            <w:tcBorders>
              <w:tl2br w:val="nil"/>
              <w:tr2bl w:val="nil"/>
            </w:tcBorders>
            <w:vAlign w:val="center"/>
          </w:tcPr>
          <w:p w14:paraId="75A049AF">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广布种</w:t>
            </w:r>
          </w:p>
        </w:tc>
        <w:tc>
          <w:tcPr>
            <w:tcW w:w="1786" w:type="pct"/>
            <w:tcBorders>
              <w:tl2br w:val="nil"/>
              <w:tr2bl w:val="nil"/>
            </w:tcBorders>
            <w:vAlign w:val="center"/>
          </w:tcPr>
          <w:p w14:paraId="2137C7EC">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16</w:t>
            </w:r>
          </w:p>
        </w:tc>
        <w:tc>
          <w:tcPr>
            <w:tcW w:w="1642" w:type="pct"/>
            <w:tcBorders>
              <w:tl2br w:val="nil"/>
              <w:tr2bl w:val="nil"/>
            </w:tcBorders>
            <w:vAlign w:val="center"/>
          </w:tcPr>
          <w:p w14:paraId="73FD5A42">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42.35</w:t>
            </w:r>
          </w:p>
        </w:tc>
      </w:tr>
      <w:tr w14:paraId="56F32F6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1570" w:type="pct"/>
            <w:tcBorders>
              <w:tl2br w:val="nil"/>
              <w:tr2bl w:val="nil"/>
            </w:tcBorders>
            <w:vAlign w:val="center"/>
          </w:tcPr>
          <w:p w14:paraId="1BF9101E">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合  计</w:t>
            </w:r>
          </w:p>
        </w:tc>
        <w:tc>
          <w:tcPr>
            <w:tcW w:w="1786" w:type="pct"/>
            <w:tcBorders>
              <w:tl2br w:val="nil"/>
              <w:tr2bl w:val="nil"/>
            </w:tcBorders>
            <w:vAlign w:val="center"/>
          </w:tcPr>
          <w:p w14:paraId="3CEC1362">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45</w:t>
            </w:r>
          </w:p>
        </w:tc>
        <w:tc>
          <w:tcPr>
            <w:tcW w:w="1642" w:type="pct"/>
            <w:tcBorders>
              <w:tl2br w:val="nil"/>
              <w:tr2bl w:val="nil"/>
            </w:tcBorders>
            <w:vAlign w:val="center"/>
          </w:tcPr>
          <w:p w14:paraId="47B07131">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100</w:t>
            </w:r>
          </w:p>
        </w:tc>
      </w:tr>
    </w:tbl>
    <w:p w14:paraId="4A6F6581">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从上表可知，在评价区内繁殖的鸟类中，古北种仅占有很小的比例，主要为东洋种，占50.98%，其次为广布种，占42.35%。</w:t>
      </w:r>
    </w:p>
    <w:p w14:paraId="2E95D7D6">
      <w:pPr>
        <w:adjustRightInd w:val="0"/>
        <w:snapToGrid w:val="0"/>
        <w:spacing w:after="0" w:line="440" w:lineRule="exact"/>
        <w:ind w:firstLine="480"/>
        <w:rPr>
          <w:rFonts w:hint="default" w:ascii="Times New Roman" w:hAnsi="Times New Roman" w:eastAsia="宋体" w:cs="Times New Roman"/>
          <w:b/>
          <w:bCs/>
          <w:color w:val="auto"/>
          <w:lang w:val="zh-CN"/>
        </w:rPr>
      </w:pPr>
      <w:r>
        <w:rPr>
          <w:rFonts w:hint="default" w:ascii="Times New Roman" w:hAnsi="Times New Roman" w:eastAsia="宋体" w:cs="Times New Roman"/>
          <w:b/>
          <w:bCs/>
          <w:color w:val="auto"/>
          <w:lang w:val="zh-CN"/>
        </w:rPr>
        <w:t>④哺乳类</w:t>
      </w:r>
    </w:p>
    <w:p w14:paraId="3201E976">
      <w:pPr>
        <w:adjustRightInd w:val="0"/>
        <w:snapToGrid w:val="0"/>
        <w:spacing w:after="0" w:line="440" w:lineRule="exact"/>
        <w:ind w:firstLine="480"/>
        <w:rPr>
          <w:rFonts w:hint="default" w:ascii="Times New Roman" w:hAnsi="Times New Roman" w:eastAsia="宋体" w:cs="Times New Roman"/>
          <w:color w:val="auto"/>
          <w:szCs w:val="24"/>
          <w:lang w:val="zh-CN"/>
        </w:rPr>
      </w:pPr>
      <w:bookmarkStart w:id="234" w:name="_Toc52191726"/>
      <w:r>
        <w:rPr>
          <w:rFonts w:hint="default" w:ascii="Times New Roman" w:hAnsi="Times New Roman" w:eastAsia="宋体" w:cs="Times New Roman"/>
          <w:color w:val="auto"/>
          <w:szCs w:val="24"/>
          <w:lang w:val="zh-CN"/>
        </w:rPr>
        <w:t>在评价区分布的</w:t>
      </w:r>
      <w:r>
        <w:rPr>
          <w:rFonts w:hint="default" w:ascii="Times New Roman" w:hAnsi="Times New Roman" w:eastAsia="宋体" w:cs="Times New Roman"/>
          <w:color w:val="auto"/>
          <w:szCs w:val="24"/>
        </w:rPr>
        <w:t>10</w:t>
      </w:r>
      <w:r>
        <w:rPr>
          <w:rFonts w:hint="default" w:ascii="Times New Roman" w:hAnsi="Times New Roman" w:eastAsia="宋体" w:cs="Times New Roman"/>
          <w:color w:val="auto"/>
          <w:szCs w:val="24"/>
          <w:lang w:val="zh-CN"/>
        </w:rPr>
        <w:t>种哺乳动物中，东洋界种类占优势，有8种，占全部哺乳动物种数的</w:t>
      </w:r>
      <w:r>
        <w:rPr>
          <w:rFonts w:hint="default" w:ascii="Times New Roman" w:hAnsi="Times New Roman" w:eastAsia="宋体" w:cs="Times New Roman"/>
          <w:color w:val="auto"/>
          <w:szCs w:val="24"/>
        </w:rPr>
        <w:t>80</w:t>
      </w:r>
      <w:r>
        <w:rPr>
          <w:rFonts w:hint="default" w:ascii="Times New Roman" w:hAnsi="Times New Roman" w:eastAsia="宋体" w:cs="Times New Roman"/>
          <w:color w:val="auto"/>
          <w:szCs w:val="24"/>
          <w:lang w:val="zh-CN"/>
        </w:rPr>
        <w:t>%；古北东洋两界共有种类有</w:t>
      </w:r>
      <w:r>
        <w:rPr>
          <w:rFonts w:hint="default" w:ascii="Times New Roman" w:hAnsi="Times New Roman" w:eastAsia="宋体" w:cs="Times New Roman"/>
          <w:color w:val="auto"/>
          <w:szCs w:val="24"/>
        </w:rPr>
        <w:t>2</w:t>
      </w:r>
      <w:r>
        <w:rPr>
          <w:rFonts w:hint="default" w:ascii="Times New Roman" w:hAnsi="Times New Roman" w:eastAsia="宋体" w:cs="Times New Roman"/>
          <w:color w:val="auto"/>
          <w:szCs w:val="24"/>
          <w:lang w:val="zh-CN"/>
        </w:rPr>
        <w:t>种，占全部哺乳动物种数的</w:t>
      </w:r>
      <w:r>
        <w:rPr>
          <w:rFonts w:hint="default" w:ascii="Times New Roman" w:hAnsi="Times New Roman" w:eastAsia="宋体" w:cs="Times New Roman"/>
          <w:color w:val="auto"/>
          <w:szCs w:val="24"/>
        </w:rPr>
        <w:t>20</w:t>
      </w:r>
      <w:r>
        <w:rPr>
          <w:rFonts w:hint="default" w:ascii="Times New Roman" w:hAnsi="Times New Roman" w:eastAsia="宋体" w:cs="Times New Roman"/>
          <w:color w:val="auto"/>
          <w:szCs w:val="24"/>
          <w:lang w:val="zh-CN"/>
        </w:rPr>
        <w:t>%；迄今为止未发现有古北界种类分布。在东洋界种类中，东洋界广布种占优势，有6种，约占全部东洋界种数的</w:t>
      </w:r>
      <w:r>
        <w:rPr>
          <w:rFonts w:hint="default" w:ascii="Times New Roman" w:hAnsi="Times New Roman" w:eastAsia="宋体" w:cs="Times New Roman"/>
          <w:color w:val="auto"/>
          <w:szCs w:val="24"/>
        </w:rPr>
        <w:t>75</w:t>
      </w:r>
      <w:r>
        <w:rPr>
          <w:rFonts w:hint="default" w:ascii="Times New Roman" w:hAnsi="Times New Roman" w:eastAsia="宋体" w:cs="Times New Roman"/>
          <w:color w:val="auto"/>
          <w:szCs w:val="24"/>
          <w:lang w:val="zh-CN"/>
        </w:rPr>
        <w:t>%；西南区种类有2种，占全部东洋界种数的</w:t>
      </w:r>
      <w:r>
        <w:rPr>
          <w:rFonts w:hint="default" w:ascii="Times New Roman" w:hAnsi="Times New Roman" w:eastAsia="宋体" w:cs="Times New Roman"/>
          <w:color w:val="auto"/>
          <w:szCs w:val="24"/>
        </w:rPr>
        <w:t>25</w:t>
      </w:r>
      <w:r>
        <w:rPr>
          <w:rFonts w:hint="default" w:ascii="Times New Roman" w:hAnsi="Times New Roman" w:eastAsia="宋体" w:cs="Times New Roman"/>
          <w:color w:val="auto"/>
          <w:szCs w:val="24"/>
          <w:lang w:val="zh-CN"/>
        </w:rPr>
        <w:t>%；无华南区种类和华中区种类分布；也无华中华南区种类分布。</w:t>
      </w:r>
    </w:p>
    <w:p w14:paraId="4013A6AF">
      <w:pPr>
        <w:adjustRightInd w:val="0"/>
        <w:snapToGrid w:val="0"/>
        <w:spacing w:after="0" w:line="440" w:lineRule="exact"/>
        <w:ind w:firstLine="480"/>
        <w:rPr>
          <w:rFonts w:hint="default" w:ascii="Times New Roman" w:hAnsi="Times New Roman" w:eastAsia="宋体" w:cs="Times New Roman"/>
          <w:b/>
          <w:bCs/>
          <w:color w:val="auto"/>
          <w:lang w:val="zh-CN"/>
        </w:rPr>
      </w:pPr>
      <w:r>
        <w:rPr>
          <w:rFonts w:hint="default" w:ascii="Times New Roman" w:hAnsi="Times New Roman" w:eastAsia="宋体" w:cs="Times New Roman"/>
          <w:b/>
          <w:bCs/>
          <w:color w:val="auto"/>
          <w:lang w:val="zh-CN"/>
        </w:rPr>
        <w:t>⑤区系小结</w:t>
      </w:r>
    </w:p>
    <w:p w14:paraId="4CEE54D3">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评价区所处区域在中国动物地理区划中属于东洋界西南区西南山地亚区。归纳评价区分布的陆栖脊椎动物区系特点，各纲动物在细节上有所差异，但从分界特征上看大致是一致的，各纲动物均以东洋界种类为主要成分，没有或少有古北界成分。上述情况与当地在中国动物地理区划中的位置大致相符。</w:t>
      </w:r>
      <w:bookmarkEnd w:id="234"/>
    </w:p>
    <w:p w14:paraId="6E3906E7">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35" w:name="_Toc11872"/>
      <w:r>
        <w:rPr>
          <w:rFonts w:hint="default" w:ascii="Times New Roman" w:hAnsi="Times New Roman" w:cs="Times New Roman"/>
          <w:color w:val="auto"/>
          <w:sz w:val="24"/>
          <w:szCs w:val="24"/>
        </w:rPr>
        <w:t xml:space="preserve">2.4.3 </w:t>
      </w:r>
      <w:bookmarkEnd w:id="233"/>
      <w:bookmarkStart w:id="236" w:name="_Hlk191209632"/>
      <w:r>
        <w:rPr>
          <w:rFonts w:hint="default" w:ascii="Times New Roman" w:hAnsi="Times New Roman" w:cs="Times New Roman"/>
          <w:color w:val="auto"/>
          <w:sz w:val="24"/>
          <w:szCs w:val="24"/>
        </w:rPr>
        <w:t>评价区内重要野生动物</w:t>
      </w:r>
      <w:bookmarkEnd w:id="235"/>
    </w:p>
    <w:bookmarkEnd w:id="236"/>
    <w:p w14:paraId="33531129">
      <w:pPr>
        <w:adjustRightInd w:val="0"/>
        <w:snapToGrid w:val="0"/>
        <w:spacing w:after="0" w:line="440" w:lineRule="exact"/>
        <w:ind w:firstLine="480"/>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评价区内分布有国家级保护野生动物5种，均为国家II级重点保护野生动物。无《中国生物多样性红色名录》列为EN的物种分布，有VU物种1种，为豹猫。</w:t>
      </w:r>
    </w:p>
    <w:p w14:paraId="14C625AB">
      <w:pPr>
        <w:spacing w:after="0" w:line="240" w:lineRule="auto"/>
        <w:ind w:firstLine="0" w:firstLineChars="0"/>
        <w:jc w:val="center"/>
        <w:rPr>
          <w:rFonts w:hint="default" w:ascii="Times New Roman" w:hAnsi="Times New Roman" w:eastAsia="宋体" w:cs="Times New Roman"/>
          <w:b/>
          <w:color w:val="auto"/>
          <w:szCs w:val="32"/>
        </w:rPr>
      </w:pPr>
      <w:r>
        <w:rPr>
          <w:rFonts w:hint="default" w:ascii="Times New Roman" w:hAnsi="Times New Roman" w:eastAsia="宋体" w:cs="Times New Roman"/>
          <w:b/>
          <w:color w:val="auto"/>
          <w:szCs w:val="32"/>
        </w:rPr>
        <w:t>表</w:t>
      </w:r>
      <w:r>
        <w:rPr>
          <w:rFonts w:hint="eastAsia" w:ascii="Times New Roman" w:hAnsi="Times New Roman" w:eastAsia="宋体" w:cs="Times New Roman"/>
          <w:b/>
          <w:color w:val="auto"/>
          <w:szCs w:val="32"/>
          <w:lang w:val="en-US" w:eastAsia="zh-CN"/>
        </w:rPr>
        <w:t>2.4-10</w:t>
      </w:r>
      <w:r>
        <w:rPr>
          <w:rFonts w:hint="default" w:ascii="Times New Roman" w:hAnsi="Times New Roman" w:eastAsia="宋体" w:cs="Times New Roman"/>
          <w:b/>
          <w:color w:val="auto"/>
          <w:szCs w:val="32"/>
        </w:rPr>
        <w:t xml:space="preserve">  环境影响评价区国家及云南省重点保护野生动物</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690"/>
        <w:gridCol w:w="3708"/>
        <w:gridCol w:w="2352"/>
      </w:tblGrid>
      <w:tr w14:paraId="2E5282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37" w:type="pct"/>
            <w:tcBorders>
              <w:tl2br w:val="nil"/>
              <w:tr2bl w:val="nil"/>
            </w:tcBorders>
            <w:noWrap/>
            <w:vAlign w:val="center"/>
          </w:tcPr>
          <w:p w14:paraId="109FC773">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类群</w:t>
            </w:r>
          </w:p>
        </w:tc>
        <w:tc>
          <w:tcPr>
            <w:tcW w:w="2119" w:type="pct"/>
            <w:tcBorders>
              <w:tl2br w:val="nil"/>
              <w:tr2bl w:val="nil"/>
            </w:tcBorders>
            <w:noWrap/>
            <w:vAlign w:val="center"/>
          </w:tcPr>
          <w:p w14:paraId="5CB32E57">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中文名/学名</w:t>
            </w:r>
          </w:p>
        </w:tc>
        <w:tc>
          <w:tcPr>
            <w:tcW w:w="1344" w:type="pct"/>
            <w:tcBorders>
              <w:tl2br w:val="nil"/>
              <w:tr2bl w:val="nil"/>
            </w:tcBorders>
            <w:noWrap/>
            <w:vAlign w:val="center"/>
          </w:tcPr>
          <w:p w14:paraId="610595D9">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保护现状</w:t>
            </w:r>
          </w:p>
        </w:tc>
      </w:tr>
      <w:tr w14:paraId="768A30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37" w:type="pct"/>
            <w:vMerge w:val="restart"/>
            <w:tcBorders>
              <w:tl2br w:val="nil"/>
              <w:tr2bl w:val="nil"/>
            </w:tcBorders>
            <w:shd w:val="clear" w:color="auto" w:fill="auto"/>
            <w:noWrap/>
            <w:vAlign w:val="center"/>
          </w:tcPr>
          <w:p w14:paraId="2E5D56A2">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鸟纲AVES</w:t>
            </w:r>
          </w:p>
        </w:tc>
        <w:tc>
          <w:tcPr>
            <w:tcW w:w="2119" w:type="pct"/>
            <w:tcBorders>
              <w:tl2br w:val="nil"/>
              <w:tr2bl w:val="nil"/>
            </w:tcBorders>
            <w:noWrap/>
            <w:vAlign w:val="center"/>
          </w:tcPr>
          <w:p w14:paraId="4DD14118">
            <w:pPr>
              <w:adjustRightInd w:val="0"/>
              <w:snapToGrid w:val="0"/>
              <w:spacing w:after="0" w:line="240" w:lineRule="auto"/>
              <w:ind w:firstLine="0" w:firstLineChars="0"/>
              <w:jc w:val="center"/>
              <w:rPr>
                <w:rFonts w:hint="default" w:ascii="Times New Roman" w:hAnsi="Times New Roman" w:eastAsia="宋体" w:cs="Times New Roman"/>
                <w:i/>
                <w:iCs/>
                <w:color w:val="auto"/>
                <w:kern w:val="0"/>
                <w:sz w:val="21"/>
                <w:szCs w:val="21"/>
              </w:rPr>
            </w:pPr>
            <w:r>
              <w:rPr>
                <w:rFonts w:hint="default" w:ascii="Times New Roman" w:hAnsi="Times New Roman" w:eastAsia="宋体" w:cs="Times New Roman"/>
                <w:color w:val="auto"/>
                <w:kern w:val="0"/>
                <w:sz w:val="21"/>
                <w:szCs w:val="21"/>
              </w:rPr>
              <w:t>松雀鹰</w:t>
            </w:r>
            <w:r>
              <w:rPr>
                <w:rFonts w:hint="default" w:ascii="Times New Roman" w:hAnsi="Times New Roman" w:eastAsia="宋体" w:cs="Times New Roman"/>
                <w:i/>
                <w:iCs/>
                <w:color w:val="auto"/>
                <w:kern w:val="0"/>
                <w:sz w:val="21"/>
                <w:szCs w:val="21"/>
              </w:rPr>
              <w:t>Accipiter virgatus</w:t>
            </w:r>
          </w:p>
        </w:tc>
        <w:tc>
          <w:tcPr>
            <w:tcW w:w="1344" w:type="pct"/>
            <w:tcBorders>
              <w:tl2br w:val="nil"/>
              <w:tr2bl w:val="nil"/>
            </w:tcBorders>
            <w:noWrap/>
            <w:vAlign w:val="center"/>
          </w:tcPr>
          <w:p w14:paraId="6FBB110E">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国家II级</w:t>
            </w:r>
          </w:p>
        </w:tc>
      </w:tr>
      <w:tr w14:paraId="2C04A4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37" w:type="pct"/>
            <w:vMerge w:val="continue"/>
            <w:tcBorders>
              <w:tl2br w:val="nil"/>
              <w:tr2bl w:val="nil"/>
            </w:tcBorders>
            <w:shd w:val="clear" w:color="auto" w:fill="auto"/>
            <w:noWrap/>
            <w:vAlign w:val="center"/>
          </w:tcPr>
          <w:p w14:paraId="2E619D1E">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p>
        </w:tc>
        <w:tc>
          <w:tcPr>
            <w:tcW w:w="2119" w:type="pct"/>
            <w:tcBorders>
              <w:tl2br w:val="nil"/>
              <w:tr2bl w:val="nil"/>
            </w:tcBorders>
            <w:noWrap/>
            <w:vAlign w:val="center"/>
          </w:tcPr>
          <w:p w14:paraId="71D54543">
            <w:pPr>
              <w:adjustRightInd w:val="0"/>
              <w:snapToGrid w:val="0"/>
              <w:spacing w:after="0" w:line="240" w:lineRule="auto"/>
              <w:ind w:firstLine="0" w:firstLineChars="0"/>
              <w:jc w:val="center"/>
              <w:rPr>
                <w:rFonts w:hint="default" w:ascii="Times New Roman" w:hAnsi="Times New Roman" w:eastAsia="宋体" w:cs="Times New Roman"/>
                <w:i/>
                <w:iCs/>
                <w:color w:val="auto"/>
                <w:kern w:val="0"/>
                <w:sz w:val="21"/>
                <w:szCs w:val="21"/>
              </w:rPr>
            </w:pPr>
            <w:r>
              <w:rPr>
                <w:rFonts w:hint="default" w:ascii="Times New Roman" w:hAnsi="Times New Roman" w:eastAsia="宋体" w:cs="Times New Roman"/>
                <w:color w:val="auto"/>
                <w:kern w:val="0"/>
                <w:sz w:val="21"/>
                <w:szCs w:val="21"/>
              </w:rPr>
              <w:t>普通鵟</w:t>
            </w:r>
            <w:r>
              <w:rPr>
                <w:rFonts w:hint="default" w:ascii="Times New Roman" w:hAnsi="Times New Roman" w:eastAsia="宋体" w:cs="Times New Roman"/>
                <w:i/>
                <w:iCs/>
                <w:color w:val="auto"/>
                <w:kern w:val="0"/>
                <w:sz w:val="21"/>
                <w:szCs w:val="21"/>
              </w:rPr>
              <w:t>Buteo buteo</w:t>
            </w:r>
          </w:p>
        </w:tc>
        <w:tc>
          <w:tcPr>
            <w:tcW w:w="1344" w:type="pct"/>
            <w:tcBorders>
              <w:tl2br w:val="nil"/>
              <w:tr2bl w:val="nil"/>
            </w:tcBorders>
            <w:noWrap/>
            <w:vAlign w:val="center"/>
          </w:tcPr>
          <w:p w14:paraId="1DCF127A">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国家II级</w:t>
            </w:r>
          </w:p>
        </w:tc>
      </w:tr>
      <w:tr w14:paraId="66B897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37" w:type="pct"/>
            <w:vMerge w:val="continue"/>
            <w:tcBorders>
              <w:tl2br w:val="nil"/>
              <w:tr2bl w:val="nil"/>
            </w:tcBorders>
            <w:shd w:val="clear" w:color="auto" w:fill="auto"/>
            <w:noWrap/>
            <w:vAlign w:val="center"/>
          </w:tcPr>
          <w:p w14:paraId="49397EFB">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p>
        </w:tc>
        <w:tc>
          <w:tcPr>
            <w:tcW w:w="2119" w:type="pct"/>
            <w:tcBorders>
              <w:tl2br w:val="nil"/>
              <w:tr2bl w:val="nil"/>
            </w:tcBorders>
            <w:noWrap/>
            <w:vAlign w:val="center"/>
          </w:tcPr>
          <w:p w14:paraId="3DC94890">
            <w:pPr>
              <w:adjustRightInd w:val="0"/>
              <w:snapToGrid w:val="0"/>
              <w:spacing w:after="0" w:line="240" w:lineRule="auto"/>
              <w:ind w:firstLine="0" w:firstLineChars="0"/>
              <w:jc w:val="center"/>
              <w:rPr>
                <w:rFonts w:hint="default" w:ascii="Times New Roman" w:hAnsi="Times New Roman" w:eastAsia="宋体" w:cs="Times New Roman"/>
                <w:i/>
                <w:iCs/>
                <w:color w:val="auto"/>
                <w:kern w:val="0"/>
                <w:sz w:val="21"/>
                <w:szCs w:val="21"/>
              </w:rPr>
            </w:pPr>
            <w:r>
              <w:rPr>
                <w:rFonts w:hint="default" w:ascii="Times New Roman" w:hAnsi="Times New Roman" w:eastAsia="宋体" w:cs="Times New Roman"/>
                <w:color w:val="auto"/>
                <w:kern w:val="0"/>
                <w:sz w:val="21"/>
                <w:szCs w:val="21"/>
              </w:rPr>
              <w:t>红隼</w:t>
            </w:r>
            <w:r>
              <w:rPr>
                <w:rFonts w:hint="default" w:ascii="Times New Roman" w:hAnsi="Times New Roman" w:eastAsia="宋体" w:cs="Times New Roman"/>
                <w:i/>
                <w:color w:val="auto"/>
                <w:kern w:val="0"/>
                <w:sz w:val="21"/>
                <w:szCs w:val="21"/>
              </w:rPr>
              <w:t>Falco tinnunculus</w:t>
            </w:r>
          </w:p>
        </w:tc>
        <w:tc>
          <w:tcPr>
            <w:tcW w:w="1344" w:type="pct"/>
            <w:tcBorders>
              <w:tl2br w:val="nil"/>
              <w:tr2bl w:val="nil"/>
            </w:tcBorders>
            <w:noWrap/>
            <w:vAlign w:val="center"/>
          </w:tcPr>
          <w:p w14:paraId="6DF18CEF">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国家II级</w:t>
            </w:r>
          </w:p>
        </w:tc>
      </w:tr>
      <w:tr w14:paraId="3FF4C5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37" w:type="pct"/>
            <w:vMerge w:val="continue"/>
            <w:tcBorders>
              <w:tl2br w:val="nil"/>
              <w:tr2bl w:val="nil"/>
            </w:tcBorders>
            <w:shd w:val="clear" w:color="auto" w:fill="auto"/>
            <w:noWrap/>
            <w:vAlign w:val="center"/>
          </w:tcPr>
          <w:p w14:paraId="52A25C04">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p>
        </w:tc>
        <w:tc>
          <w:tcPr>
            <w:tcW w:w="2119" w:type="pct"/>
            <w:tcBorders>
              <w:tl2br w:val="nil"/>
              <w:tr2bl w:val="nil"/>
            </w:tcBorders>
            <w:noWrap/>
            <w:vAlign w:val="center"/>
          </w:tcPr>
          <w:p w14:paraId="39B0F94B">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画眉</w:t>
            </w:r>
            <w:r>
              <w:rPr>
                <w:rFonts w:hint="default" w:ascii="Times New Roman" w:hAnsi="Times New Roman" w:eastAsia="宋体" w:cs="Times New Roman"/>
                <w:i/>
                <w:iCs/>
                <w:color w:val="auto"/>
                <w:kern w:val="0"/>
                <w:sz w:val="21"/>
                <w:szCs w:val="21"/>
              </w:rPr>
              <w:t>Garrulax canorus</w:t>
            </w:r>
          </w:p>
        </w:tc>
        <w:tc>
          <w:tcPr>
            <w:tcW w:w="1344" w:type="pct"/>
            <w:tcBorders>
              <w:tl2br w:val="nil"/>
              <w:tr2bl w:val="nil"/>
            </w:tcBorders>
            <w:noWrap/>
            <w:vAlign w:val="center"/>
          </w:tcPr>
          <w:p w14:paraId="5558850A">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国家II级</w:t>
            </w:r>
          </w:p>
        </w:tc>
      </w:tr>
      <w:tr w14:paraId="1E9D3C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37" w:type="pct"/>
            <w:tcBorders>
              <w:tl2br w:val="nil"/>
              <w:tr2bl w:val="nil"/>
            </w:tcBorders>
            <w:shd w:val="clear" w:color="auto" w:fill="auto"/>
            <w:noWrap/>
            <w:vAlign w:val="center"/>
          </w:tcPr>
          <w:p w14:paraId="2C55E66D">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哺乳纲</w:t>
            </w:r>
          </w:p>
        </w:tc>
        <w:tc>
          <w:tcPr>
            <w:tcW w:w="2119" w:type="pct"/>
            <w:tcBorders>
              <w:tl2br w:val="nil"/>
              <w:tr2bl w:val="nil"/>
            </w:tcBorders>
            <w:noWrap/>
            <w:vAlign w:val="center"/>
          </w:tcPr>
          <w:p w14:paraId="7675B4F7">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豹猫</w:t>
            </w:r>
            <w:r>
              <w:rPr>
                <w:rFonts w:hint="default" w:ascii="Times New Roman" w:hAnsi="Times New Roman" w:eastAsia="宋体" w:cs="Times New Roman"/>
                <w:i/>
                <w:color w:val="auto"/>
                <w:kern w:val="0"/>
                <w:sz w:val="21"/>
                <w:szCs w:val="21"/>
              </w:rPr>
              <w:t>Prionailurus bengalensis</w:t>
            </w:r>
          </w:p>
        </w:tc>
        <w:tc>
          <w:tcPr>
            <w:tcW w:w="1344" w:type="pct"/>
            <w:tcBorders>
              <w:tl2br w:val="nil"/>
              <w:tr2bl w:val="nil"/>
            </w:tcBorders>
            <w:noWrap/>
            <w:vAlign w:val="center"/>
          </w:tcPr>
          <w:p w14:paraId="1CAC71FA">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国家II级</w:t>
            </w:r>
          </w:p>
        </w:tc>
      </w:tr>
    </w:tbl>
    <w:p w14:paraId="32258B31">
      <w:pPr>
        <w:adjustRightInd w:val="0"/>
        <w:snapToGrid w:val="0"/>
        <w:spacing w:after="0" w:line="440" w:lineRule="exact"/>
        <w:ind w:firstLine="0" w:firstLineChars="0"/>
        <w:outlineLvl w:val="3"/>
        <w:rPr>
          <w:rFonts w:hint="default" w:ascii="Times New Roman" w:hAnsi="Times New Roman" w:eastAsia="宋体" w:cs="Times New Roman"/>
          <w:b/>
          <w:bCs/>
          <w:color w:val="auto"/>
          <w:spacing w:val="4"/>
          <w:szCs w:val="28"/>
        </w:rPr>
      </w:pPr>
      <w:r>
        <w:rPr>
          <w:rFonts w:hint="default" w:ascii="Times New Roman" w:hAnsi="Times New Roman" w:eastAsia="宋体" w:cs="Times New Roman"/>
          <w:b/>
          <w:bCs/>
          <w:color w:val="auto"/>
          <w:spacing w:val="4"/>
          <w:szCs w:val="28"/>
        </w:rPr>
        <w:t>2.4.3.1 两栖类</w:t>
      </w:r>
    </w:p>
    <w:p w14:paraId="6559A626">
      <w:pPr>
        <w:adjustRightInd w:val="0"/>
        <w:snapToGrid w:val="0"/>
        <w:spacing w:after="0" w:line="440" w:lineRule="exact"/>
        <w:ind w:firstLine="496"/>
        <w:rPr>
          <w:rFonts w:hint="default" w:ascii="Times New Roman" w:hAnsi="Times New Roman" w:eastAsia="宋体" w:cs="Times New Roman"/>
          <w:color w:val="auto"/>
          <w:spacing w:val="4"/>
          <w:szCs w:val="28"/>
        </w:rPr>
      </w:pPr>
      <w:r>
        <w:rPr>
          <w:rFonts w:hint="default" w:ascii="Times New Roman" w:hAnsi="Times New Roman" w:eastAsia="宋体" w:cs="Times New Roman"/>
          <w:color w:val="auto"/>
          <w:spacing w:val="4"/>
          <w:szCs w:val="28"/>
        </w:rPr>
        <w:t>在评价区分布的6种两栖动物中，无国家级和云南省重点保护野生种类分布。调查未发现该地区特有种类分布。</w:t>
      </w:r>
    </w:p>
    <w:p w14:paraId="3B47E75B">
      <w:pPr>
        <w:adjustRightInd w:val="0"/>
        <w:snapToGrid w:val="0"/>
        <w:spacing w:after="0" w:line="440" w:lineRule="exact"/>
        <w:ind w:firstLine="0" w:firstLineChars="0"/>
        <w:outlineLvl w:val="3"/>
        <w:rPr>
          <w:rFonts w:hint="default" w:ascii="Times New Roman" w:hAnsi="Times New Roman" w:eastAsia="宋体" w:cs="Times New Roman"/>
          <w:b/>
          <w:bCs/>
          <w:color w:val="auto"/>
          <w:spacing w:val="4"/>
          <w:szCs w:val="28"/>
        </w:rPr>
      </w:pPr>
      <w:r>
        <w:rPr>
          <w:rFonts w:hint="default" w:ascii="Times New Roman" w:hAnsi="Times New Roman" w:eastAsia="宋体" w:cs="Times New Roman"/>
          <w:b/>
          <w:bCs/>
          <w:color w:val="auto"/>
          <w:spacing w:val="4"/>
          <w:szCs w:val="28"/>
        </w:rPr>
        <w:t>2.4.3.2 爬行类</w:t>
      </w:r>
    </w:p>
    <w:p w14:paraId="508368F2">
      <w:pPr>
        <w:adjustRightInd w:val="0"/>
        <w:snapToGrid w:val="0"/>
        <w:spacing w:after="0" w:line="440" w:lineRule="exact"/>
        <w:ind w:firstLine="496"/>
        <w:rPr>
          <w:rFonts w:hint="default" w:ascii="Times New Roman" w:hAnsi="Times New Roman" w:eastAsia="宋体" w:cs="Times New Roman"/>
          <w:color w:val="auto"/>
          <w:spacing w:val="4"/>
          <w:szCs w:val="28"/>
        </w:rPr>
      </w:pPr>
      <w:r>
        <w:rPr>
          <w:rFonts w:hint="default" w:ascii="Times New Roman" w:hAnsi="Times New Roman" w:eastAsia="宋体" w:cs="Times New Roman"/>
          <w:color w:val="auto"/>
          <w:spacing w:val="4"/>
          <w:szCs w:val="28"/>
        </w:rPr>
        <w:t>在评价区分布的6种爬行动物中，无国家级和云南省级重点保护野生动物分布，未发现该地区特有种类。</w:t>
      </w:r>
    </w:p>
    <w:p w14:paraId="5C5DF26A">
      <w:pPr>
        <w:adjustRightInd w:val="0"/>
        <w:snapToGrid w:val="0"/>
        <w:spacing w:after="0" w:line="440" w:lineRule="exact"/>
        <w:ind w:firstLine="0" w:firstLineChars="0"/>
        <w:outlineLvl w:val="3"/>
        <w:rPr>
          <w:rFonts w:hint="default" w:ascii="Times New Roman" w:hAnsi="Times New Roman" w:eastAsia="宋体" w:cs="Times New Roman"/>
          <w:b/>
          <w:bCs/>
          <w:color w:val="auto"/>
          <w:spacing w:val="4"/>
          <w:szCs w:val="28"/>
        </w:rPr>
      </w:pPr>
      <w:r>
        <w:rPr>
          <w:rFonts w:hint="default" w:ascii="Times New Roman" w:hAnsi="Times New Roman" w:eastAsia="宋体" w:cs="Times New Roman"/>
          <w:b/>
          <w:bCs/>
          <w:color w:val="auto"/>
          <w:spacing w:val="4"/>
          <w:szCs w:val="28"/>
        </w:rPr>
        <w:t>2.4.3.3 鸟类</w:t>
      </w:r>
    </w:p>
    <w:p w14:paraId="7A42E7C9">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在所记录的51种鸟类中，有国家重点保护鸟类4种，分别为松雀鹰</w:t>
      </w:r>
      <w:r>
        <w:rPr>
          <w:rFonts w:hint="default" w:ascii="Times New Roman" w:hAnsi="Times New Roman" w:eastAsia="宋体" w:cs="Times New Roman"/>
          <w:i/>
          <w:color w:val="auto"/>
          <w:szCs w:val="24"/>
        </w:rPr>
        <w:t>Accipiter virgatus</w:t>
      </w:r>
      <w:r>
        <w:rPr>
          <w:rFonts w:hint="default" w:ascii="Times New Roman" w:hAnsi="Times New Roman" w:eastAsia="宋体" w:cs="Times New Roman"/>
          <w:color w:val="auto"/>
          <w:szCs w:val="24"/>
        </w:rPr>
        <w:t>、普通鵟</w:t>
      </w:r>
      <w:r>
        <w:rPr>
          <w:rFonts w:hint="default" w:ascii="Times New Roman" w:hAnsi="Times New Roman" w:eastAsia="宋体" w:cs="Times New Roman"/>
          <w:i/>
          <w:color w:val="auto"/>
          <w:szCs w:val="24"/>
        </w:rPr>
        <w:t>Buteo buteo</w:t>
      </w:r>
      <w:r>
        <w:rPr>
          <w:rFonts w:hint="default" w:ascii="Times New Roman" w:hAnsi="Times New Roman" w:eastAsia="宋体" w:cs="Times New Roman"/>
          <w:color w:val="auto"/>
          <w:szCs w:val="24"/>
        </w:rPr>
        <w:t>画眉</w:t>
      </w:r>
      <w:r>
        <w:rPr>
          <w:rFonts w:hint="default" w:ascii="Times New Roman" w:hAnsi="Times New Roman" w:eastAsia="宋体" w:cs="Times New Roman"/>
          <w:i/>
          <w:iCs/>
          <w:color w:val="auto"/>
          <w:szCs w:val="24"/>
        </w:rPr>
        <w:t>Garrulax canorus</w:t>
      </w:r>
      <w:r>
        <w:rPr>
          <w:rFonts w:hint="default" w:ascii="Times New Roman" w:hAnsi="Times New Roman" w:eastAsia="宋体" w:cs="Times New Roman"/>
          <w:color w:val="auto"/>
          <w:szCs w:val="24"/>
        </w:rPr>
        <w:t>、红隼</w:t>
      </w:r>
      <w:r>
        <w:rPr>
          <w:rFonts w:hint="default" w:ascii="Times New Roman" w:hAnsi="Times New Roman" w:eastAsia="宋体" w:cs="Times New Roman"/>
          <w:i/>
          <w:color w:val="auto"/>
          <w:szCs w:val="24"/>
        </w:rPr>
        <w:t>Falco tinnunculus</w:t>
      </w:r>
      <w:r>
        <w:rPr>
          <w:rFonts w:hint="default" w:ascii="Times New Roman" w:hAnsi="Times New Roman" w:eastAsia="宋体" w:cs="Times New Roman"/>
          <w:color w:val="auto"/>
          <w:szCs w:val="24"/>
        </w:rPr>
        <w:t>，全为国家Ⅱ级保护动物，仅占全部鸟类种数的7.84%；2种鹰类，1种隼类，1种画眉鸟类，为常见的种类，其中3种猛禽活动范围较大，因工程影响区范围狭小且</w:t>
      </w:r>
      <w:r>
        <w:rPr>
          <w:rFonts w:hint="eastAsia" w:ascii="Times New Roman" w:hAnsi="Times New Roman" w:eastAsia="宋体" w:cs="Times New Roman"/>
          <w:color w:val="auto"/>
          <w:szCs w:val="24"/>
          <w:lang w:eastAsia="zh-CN"/>
        </w:rPr>
        <w:t>呈</w:t>
      </w:r>
      <w:r>
        <w:rPr>
          <w:rFonts w:hint="default" w:ascii="Times New Roman" w:hAnsi="Times New Roman" w:eastAsia="宋体" w:cs="Times New Roman"/>
          <w:color w:val="auto"/>
          <w:szCs w:val="24"/>
        </w:rPr>
        <w:t>条带状，故实际分布数量稀少，调查未发现该地区特有种类分布。</w:t>
      </w:r>
    </w:p>
    <w:p w14:paraId="2AA855EF">
      <w:pPr>
        <w:adjustRightInd w:val="0"/>
        <w:snapToGrid w:val="0"/>
        <w:spacing w:after="0" w:line="440" w:lineRule="exact"/>
        <w:ind w:firstLine="482"/>
        <w:rPr>
          <w:rFonts w:hint="default" w:ascii="Times New Roman" w:hAnsi="Times New Roman" w:eastAsia="宋体" w:cs="Times New Roman"/>
          <w:color w:val="auto"/>
          <w:szCs w:val="24"/>
        </w:rPr>
      </w:pPr>
      <w:r>
        <w:rPr>
          <w:rFonts w:hint="default" w:ascii="Times New Roman" w:hAnsi="Times New Roman" w:eastAsia="宋体" w:cs="Times New Roman"/>
          <w:b/>
          <w:color w:val="auto"/>
          <w:szCs w:val="24"/>
        </w:rPr>
        <w:t>松雀鹰</w:t>
      </w:r>
      <w:r>
        <w:rPr>
          <w:rFonts w:hint="default" w:ascii="Times New Roman" w:hAnsi="Times New Roman" w:eastAsia="宋体" w:cs="Times New Roman"/>
          <w:color w:val="auto"/>
          <w:szCs w:val="24"/>
        </w:rPr>
        <w:t xml:space="preserve"> </w:t>
      </w:r>
      <w:r>
        <w:rPr>
          <w:rFonts w:hint="default" w:ascii="Times New Roman" w:hAnsi="Times New Roman" w:eastAsia="宋体" w:cs="Times New Roman"/>
          <w:i/>
          <w:color w:val="auto"/>
          <w:szCs w:val="24"/>
        </w:rPr>
        <w:t>Accipiter virgatus</w:t>
      </w:r>
    </w:p>
    <w:p w14:paraId="16F572A4">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俗 名  鹞鹰</w:t>
      </w:r>
    </w:p>
    <w:p w14:paraId="613BB59F">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 xml:space="preserve">英 名  </w:t>
      </w:r>
      <w:r>
        <w:rPr>
          <w:rFonts w:hint="default" w:ascii="Times New Roman" w:hAnsi="Times New Roman" w:eastAsia="宋体" w:cs="Times New Roman"/>
          <w:i/>
          <w:color w:val="auto"/>
          <w:szCs w:val="24"/>
        </w:rPr>
        <w:t>Besra Sparrow Hawk</w:t>
      </w:r>
    </w:p>
    <w:p w14:paraId="4AB38FDE">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形态特征：与雀鹰相似，但喉部具显著的中央喉纹；第6枚初级飞羽外翈无缺刻。两性基本相似，但雌性成鸟体形稍大，上体多褐色，下体棕褐色的斑纹更浓著。</w:t>
      </w:r>
    </w:p>
    <w:p w14:paraId="65A32232">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生态习性：栖息于山地林区，多见单个盘旋于空中或停歇在突出的枝头或枯树枝上。飞翔于高空时，两翅鼓动数次后即直线滑翔一段距离，有时作圈状翱翔。以捕食小型动物如小鸟、昆虫等为食。捕食时先用锐爪捕捉，然后用嘴撕碎，将不能消化的食物残块由口中吐出。</w:t>
      </w:r>
    </w:p>
    <w:p w14:paraId="3E63BD3E">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在乔木上营巢，巢小而坚固，由树枝等筑成，每产4—5枚近白色卵。</w:t>
      </w:r>
    </w:p>
    <w:p w14:paraId="135FCEA4">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常见种。国家Ⅱ级重点保护鸟类。评价区常见，评价区内约分布2—3只，评价区内为其捕食区域，不涉及重要生境。</w:t>
      </w:r>
    </w:p>
    <w:p w14:paraId="5D871842">
      <w:pPr>
        <w:adjustRightInd w:val="0"/>
        <w:snapToGrid w:val="0"/>
        <w:spacing w:after="0" w:line="440" w:lineRule="exact"/>
        <w:ind w:firstLine="482"/>
        <w:rPr>
          <w:rFonts w:hint="default" w:ascii="Times New Roman" w:hAnsi="Times New Roman" w:eastAsia="宋体" w:cs="Times New Roman"/>
          <w:color w:val="auto"/>
          <w:szCs w:val="24"/>
        </w:rPr>
      </w:pPr>
      <w:r>
        <w:rPr>
          <w:rFonts w:hint="default" w:ascii="Times New Roman" w:hAnsi="Times New Roman" w:eastAsia="宋体" w:cs="Times New Roman"/>
          <w:b/>
          <w:color w:val="auto"/>
          <w:szCs w:val="24"/>
        </w:rPr>
        <w:t>普通鵟</w:t>
      </w:r>
      <w:r>
        <w:rPr>
          <w:rFonts w:hint="default" w:ascii="Times New Roman" w:hAnsi="Times New Roman" w:eastAsia="宋体" w:cs="Times New Roman"/>
          <w:i/>
          <w:color w:val="auto"/>
          <w:szCs w:val="24"/>
        </w:rPr>
        <w:t>Buteo buteo</w:t>
      </w:r>
    </w:p>
    <w:p w14:paraId="22BA7C09">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俗名 饿老鹰</w:t>
      </w:r>
    </w:p>
    <w:p w14:paraId="673539DD">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 xml:space="preserve">英名 </w:t>
      </w:r>
      <w:r>
        <w:rPr>
          <w:rFonts w:hint="default" w:ascii="Times New Roman" w:hAnsi="Times New Roman" w:eastAsia="宋体" w:cs="Times New Roman"/>
          <w:i/>
          <w:color w:val="auto"/>
          <w:szCs w:val="24"/>
        </w:rPr>
        <w:t>Common Buzzard</w:t>
      </w:r>
    </w:p>
    <w:p w14:paraId="7FF9AFE5">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形态特征 羽色变化较大，有多种色型。附跖下部裸露，不被羽至趾基。</w:t>
      </w:r>
    </w:p>
    <w:p w14:paraId="28DDD183">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栖息在山区、田坝、城镇乔木或建筑物高处，多见于在高空飞翔；捕食野兔、鼠类、鸟、蛇、蛙等多种动物。国家Ⅱ级重点保护动物，分布广，常见种类；公路沿线上空偶见。广分布物种，在云南几乎全境有分布。评价区内约分布有4只。评价区内为其捕食区域，不涉及重要生境。</w:t>
      </w:r>
    </w:p>
    <w:p w14:paraId="60BB6907">
      <w:pPr>
        <w:adjustRightInd w:val="0"/>
        <w:snapToGrid w:val="0"/>
        <w:spacing w:after="0" w:line="440" w:lineRule="exact"/>
        <w:ind w:firstLine="482"/>
        <w:rPr>
          <w:rFonts w:hint="default" w:ascii="Times New Roman" w:hAnsi="Times New Roman" w:eastAsia="宋体" w:cs="Times New Roman"/>
          <w:i/>
          <w:color w:val="auto"/>
          <w:szCs w:val="24"/>
        </w:rPr>
      </w:pPr>
      <w:r>
        <w:rPr>
          <w:rFonts w:hint="default" w:ascii="Times New Roman" w:hAnsi="Times New Roman" w:eastAsia="宋体" w:cs="Times New Roman"/>
          <w:b/>
          <w:color w:val="auto"/>
          <w:szCs w:val="24"/>
        </w:rPr>
        <w:t>红隼</w:t>
      </w:r>
      <w:r>
        <w:rPr>
          <w:rFonts w:hint="default" w:ascii="Times New Roman" w:hAnsi="Times New Roman" w:eastAsia="宋体" w:cs="Times New Roman"/>
          <w:color w:val="auto"/>
          <w:szCs w:val="24"/>
        </w:rPr>
        <w:t xml:space="preserve"> </w:t>
      </w:r>
      <w:r>
        <w:rPr>
          <w:rFonts w:hint="default" w:ascii="Times New Roman" w:hAnsi="Times New Roman" w:eastAsia="宋体" w:cs="Times New Roman"/>
          <w:i/>
          <w:color w:val="auto"/>
          <w:szCs w:val="24"/>
        </w:rPr>
        <w:t>Falco tinnunculus</w:t>
      </w:r>
    </w:p>
    <w:p w14:paraId="10B9149A">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俗 名  茶隼</w:t>
      </w:r>
    </w:p>
    <w:p w14:paraId="2758105E">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 xml:space="preserve">英 名  </w:t>
      </w:r>
      <w:r>
        <w:rPr>
          <w:rFonts w:hint="default" w:ascii="Times New Roman" w:hAnsi="Times New Roman" w:eastAsia="宋体" w:cs="Times New Roman"/>
          <w:i/>
          <w:color w:val="auto"/>
          <w:szCs w:val="24"/>
        </w:rPr>
        <w:t>Eurasian Kestrel</w:t>
      </w:r>
    </w:p>
    <w:p w14:paraId="7878B75E">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形态特征：体长350mm左右，雄鸟头顶至后颈灰，并具黑色条纹；背羽砖红色，布有黑色粗斑；尾羽青灰色，具宽阔的黑色次端斑及棕白色端缘，外侧尾羽较中央尾羽短甚，呈凸尾型。雌鸟上体砖红色，头顶满布黑色纵纹，背具黑色横斑，爪黑色。雌雄鸟胸和腹均淡棕黄色，具黑色纵纹和点斑。</w:t>
      </w:r>
    </w:p>
    <w:p w14:paraId="4A1F8D74">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生态习性：栖息于林缘、灌丛、田野等开阔地及居民区。常单独或成对活动。飞行速度快，有时见在空中振翅定点停留，主要捕食地面上的食物，如昆虫、两栖类、小型爬行类、小型鸟类和小型兽类等，有时也取食少量植物性食物。</w:t>
      </w:r>
    </w:p>
    <w:p w14:paraId="3782822B">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常见种。国家Ⅱ级重点保护鸟类。项目区偶见，评价区内约分布有1—2只。评价区内为其捕食区域，不涉及重要生境。</w:t>
      </w:r>
    </w:p>
    <w:p w14:paraId="5B6593D4">
      <w:pPr>
        <w:adjustRightInd w:val="0"/>
        <w:snapToGrid w:val="0"/>
        <w:spacing w:after="0" w:line="440" w:lineRule="exact"/>
        <w:ind w:firstLine="480"/>
        <w:rPr>
          <w:rFonts w:hint="default" w:ascii="Times New Roman" w:hAnsi="Times New Roman" w:eastAsia="宋体" w:cs="Times New Roman"/>
          <w:i/>
          <w:iCs/>
          <w:color w:val="auto"/>
          <w:szCs w:val="24"/>
        </w:rPr>
      </w:pPr>
      <w:r>
        <w:rPr>
          <w:rFonts w:hint="default" w:ascii="Times New Roman" w:hAnsi="Times New Roman" w:eastAsia="宋体" w:cs="Times New Roman"/>
          <w:color w:val="auto"/>
          <w:szCs w:val="24"/>
        </w:rPr>
        <w:t>画眉</w:t>
      </w:r>
      <w:r>
        <w:rPr>
          <w:rFonts w:hint="default" w:ascii="Times New Roman" w:hAnsi="Times New Roman" w:eastAsia="宋体" w:cs="Times New Roman"/>
          <w:i/>
          <w:iCs/>
          <w:color w:val="auto"/>
          <w:szCs w:val="24"/>
        </w:rPr>
        <w:t>Garrulax canorus</w:t>
      </w:r>
    </w:p>
    <w:p w14:paraId="62E50EFE">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形态特征：成年个体体长21~25cm，体重49~75g，最典型识别特征是眼周白色羽圈向后延伸形成清晰修长的眉纹。</w:t>
      </w:r>
    </w:p>
    <w:p w14:paraId="087D2475">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生态习性：画眉常见于低海拔地区的丘陵、山脚平原和林缘地带。是杂食性鸟类，主要以昆虫为食，秋冬季节则以植物种子和果实为主要食物来源。画眉实行单配制，常单独或成对活动，行动方式以跳跃为主，不善飞行，生性机警，善于隐藏，一旦受惊，便迅速躲入密林。</w:t>
      </w:r>
    </w:p>
    <w:p w14:paraId="24C87C19">
      <w:pPr>
        <w:adjustRightInd w:val="0"/>
        <w:snapToGrid w:val="0"/>
        <w:spacing w:after="0" w:line="440" w:lineRule="exact"/>
        <w:ind w:firstLine="0" w:firstLineChars="0"/>
        <w:outlineLvl w:val="3"/>
        <w:rPr>
          <w:rFonts w:hint="default" w:ascii="Times New Roman" w:hAnsi="Times New Roman" w:eastAsia="宋体" w:cs="Times New Roman"/>
          <w:b/>
          <w:bCs/>
          <w:color w:val="auto"/>
          <w:spacing w:val="4"/>
          <w:szCs w:val="28"/>
        </w:rPr>
      </w:pPr>
      <w:r>
        <w:rPr>
          <w:rFonts w:hint="default" w:ascii="Times New Roman" w:hAnsi="Times New Roman" w:eastAsia="宋体" w:cs="Times New Roman"/>
          <w:b/>
          <w:bCs/>
          <w:color w:val="auto"/>
          <w:spacing w:val="4"/>
          <w:szCs w:val="28"/>
        </w:rPr>
        <w:t>2.4.3.4 哺乳类</w:t>
      </w:r>
    </w:p>
    <w:p w14:paraId="6980A5FD">
      <w:pPr>
        <w:autoSpaceDE w:val="0"/>
        <w:autoSpaceDN w:val="0"/>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在评价区分布的10种哺乳动物中，分布有国家级重点保护野生动物一种，为豹猫，无云南省级重点保护野生动物分布；调查也未发现局限分布于该地区的特有种类。</w:t>
      </w:r>
    </w:p>
    <w:p w14:paraId="076CBE7E">
      <w:pPr>
        <w:autoSpaceDE w:val="0"/>
        <w:autoSpaceDN w:val="0"/>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豹猫</w:t>
      </w:r>
      <w:r>
        <w:rPr>
          <w:rFonts w:hint="default" w:ascii="Times New Roman" w:hAnsi="Times New Roman" w:eastAsia="宋体" w:cs="Times New Roman"/>
          <w:i/>
          <w:iCs/>
          <w:color w:val="auto"/>
          <w:szCs w:val="24"/>
        </w:rPr>
        <w:t>Prionailurus bengalensis</w:t>
      </w:r>
      <w:r>
        <w:rPr>
          <w:rFonts w:hint="default" w:ascii="Times New Roman" w:hAnsi="Times New Roman" w:eastAsia="宋体" w:cs="Times New Roman"/>
          <w:color w:val="auto"/>
          <w:szCs w:val="24"/>
        </w:rPr>
        <w:t>，</w:t>
      </w:r>
      <w:r>
        <w:rPr>
          <w:rFonts w:hint="default"/>
        </w:rPr>
        <w:t>猫科</w:t>
      </w:r>
      <w:r>
        <w:rPr>
          <w:rFonts w:hint="default" w:ascii="Times New Roman" w:hAnsi="Times New Roman" w:eastAsia="宋体" w:cs="Times New Roman"/>
          <w:color w:val="auto"/>
          <w:szCs w:val="24"/>
        </w:rPr>
        <w:t>豹猫属动物，别名狸猫、石虎、山狸子、麻狸，是一种小型</w:t>
      </w:r>
      <w:r>
        <w:rPr>
          <w:rFonts w:hint="default" w:ascii="Times New Roman" w:hAnsi="Times New Roman" w:eastAsia="宋体" w:cs="Times New Roman"/>
          <w:color w:val="auto"/>
          <w:szCs w:val="24"/>
        </w:rPr>
        <w:fldChar w:fldCharType="begin"/>
      </w:r>
      <w:r>
        <w:rPr>
          <w:rFonts w:hint="default" w:ascii="Times New Roman" w:hAnsi="Times New Roman" w:eastAsia="宋体" w:cs="Times New Roman"/>
          <w:color w:val="auto"/>
          <w:szCs w:val="24"/>
        </w:rPr>
        <w:instrText xml:space="preserve"> HYPERLINK "https://baike.baidu.com/item/%E7%8C%AB%E7%A7%91%E5%8A%A8%E7%89%A9/71877?fromModule=lemma_inlink" \t "_blank" </w:instrText>
      </w:r>
      <w:r>
        <w:rPr>
          <w:rFonts w:hint="default" w:ascii="Times New Roman" w:hAnsi="Times New Roman" w:eastAsia="宋体" w:cs="Times New Roman"/>
          <w:color w:val="auto"/>
          <w:szCs w:val="24"/>
        </w:rPr>
        <w:fldChar w:fldCharType="separate"/>
      </w:r>
      <w:r>
        <w:rPr>
          <w:rFonts w:hint="default" w:ascii="Times New Roman" w:hAnsi="Times New Roman" w:eastAsia="宋体" w:cs="Times New Roman"/>
          <w:color w:val="auto"/>
          <w:szCs w:val="24"/>
        </w:rPr>
        <w:t>猫科动物</w:t>
      </w:r>
      <w:r>
        <w:rPr>
          <w:rFonts w:hint="default" w:ascii="Times New Roman" w:hAnsi="Times New Roman" w:eastAsia="宋体" w:cs="Times New Roman"/>
          <w:color w:val="auto"/>
          <w:szCs w:val="24"/>
        </w:rPr>
        <w:fldChar w:fldCharType="end"/>
      </w:r>
      <w:r>
        <w:rPr>
          <w:rFonts w:hint="default" w:ascii="Times New Roman" w:hAnsi="Times New Roman" w:eastAsia="宋体" w:cs="Times New Roman"/>
          <w:color w:val="auto"/>
          <w:szCs w:val="24"/>
        </w:rPr>
        <w:t>，原生于东亚、东南亚和南亚地区，共12个亚种。栖息地以森林为主，涵盖热带雨林、山地阔叶林、季风林、针阔混交林、灌木林等自然环境，能耐受农田等干扰较大的人工环境。</w:t>
      </w:r>
    </w:p>
    <w:p w14:paraId="4A75C030">
      <w:pPr>
        <w:adjustRightInd w:val="0"/>
        <w:snapToGrid w:val="0"/>
        <w:spacing w:after="0" w:line="440" w:lineRule="exact"/>
        <w:ind w:firstLine="0" w:firstLineChars="0"/>
        <w:outlineLvl w:val="3"/>
        <w:rPr>
          <w:rFonts w:hint="default" w:ascii="Times New Roman" w:hAnsi="Times New Roman" w:eastAsia="宋体" w:cs="Times New Roman"/>
          <w:b/>
          <w:bCs/>
          <w:color w:val="auto"/>
          <w:spacing w:val="4"/>
          <w:szCs w:val="28"/>
        </w:rPr>
      </w:pPr>
      <w:bookmarkStart w:id="237" w:name="_Toc2822"/>
      <w:r>
        <w:rPr>
          <w:rFonts w:hint="default" w:ascii="Times New Roman" w:hAnsi="Times New Roman" w:eastAsia="宋体" w:cs="Times New Roman"/>
          <w:b/>
          <w:bCs/>
          <w:color w:val="auto"/>
          <w:spacing w:val="4"/>
          <w:szCs w:val="28"/>
        </w:rPr>
        <w:t>2.4.4评价区内保护动物适宜生境</w:t>
      </w:r>
      <w:bookmarkEnd w:id="237"/>
    </w:p>
    <w:p w14:paraId="103D65CD">
      <w:pPr>
        <w:keepNext w:val="0"/>
        <w:keepLines w:val="0"/>
        <w:pageBreakBefore w:val="0"/>
        <w:widowControl w:val="0"/>
        <w:kinsoku/>
        <w:wordWrap/>
        <w:overflowPunct/>
        <w:topLinePunct w:val="0"/>
        <w:autoSpaceDE w:val="0"/>
        <w:autoSpaceDN w:val="0"/>
        <w:bidi w:val="0"/>
        <w:adjustRightInd w:val="0"/>
        <w:snapToGrid w:val="0"/>
        <w:spacing w:after="0" w:line="440" w:lineRule="exact"/>
        <w:ind w:firstLine="480"/>
        <w:jc w:val="both"/>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评价区内分布有5种国家级保护动物，根据评价区保护动物发现地点和植被、地形情况，使用HIS判断适宜生境情况，通过发现点保护动物位置特征，与发现点植被类型、植被覆盖度和地形信息建立模型，生成周边生境的HSI适宜度指数，选择HSI指数0.5以上的周边区域为适宜生境，HSI指数为0.35-0.5为较适宜生境。</w:t>
      </w:r>
    </w:p>
    <w:p w14:paraId="603B3AE2">
      <w:pPr>
        <w:keepNext w:val="0"/>
        <w:keepLines w:val="0"/>
        <w:pageBreakBefore w:val="0"/>
        <w:widowControl w:val="0"/>
        <w:kinsoku/>
        <w:wordWrap/>
        <w:overflowPunct/>
        <w:topLinePunct w:val="0"/>
        <w:bidi w:val="0"/>
        <w:adjustRightInd w:val="0"/>
        <w:snapToGrid w:val="0"/>
        <w:spacing w:after="0" w:line="440" w:lineRule="exact"/>
        <w:ind w:firstLine="480"/>
        <w:jc w:val="both"/>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评价区内5种保护动物适宜生境情况见下表：</w:t>
      </w:r>
    </w:p>
    <w:p w14:paraId="5B4EC91D">
      <w:pPr>
        <w:adjustRightInd w:val="0"/>
        <w:spacing w:after="0" w:line="240" w:lineRule="auto"/>
        <w:ind w:firstLine="482"/>
        <w:jc w:val="center"/>
        <w:textAlignment w:val="baseline"/>
        <w:rPr>
          <w:rFonts w:hint="default" w:ascii="Times New Roman" w:hAnsi="Times New Roman" w:eastAsia="宋体" w:cs="Times New Roman"/>
          <w:b/>
          <w:color w:val="auto"/>
          <w:szCs w:val="20"/>
        </w:rPr>
      </w:pPr>
      <w:r>
        <w:rPr>
          <w:rFonts w:hint="default" w:ascii="Times New Roman" w:hAnsi="Times New Roman" w:eastAsia="宋体" w:cs="Times New Roman"/>
          <w:b/>
          <w:color w:val="auto"/>
          <w:szCs w:val="20"/>
        </w:rPr>
        <w:t>表</w:t>
      </w:r>
      <w:r>
        <w:rPr>
          <w:rFonts w:hint="eastAsia" w:ascii="Times New Roman" w:hAnsi="Times New Roman" w:eastAsia="宋体" w:cs="Times New Roman"/>
          <w:b/>
          <w:color w:val="auto"/>
          <w:szCs w:val="20"/>
          <w:lang w:val="en-US" w:eastAsia="zh-CN"/>
        </w:rPr>
        <w:t xml:space="preserve">2.4-11 </w:t>
      </w:r>
      <w:r>
        <w:rPr>
          <w:rFonts w:hint="default" w:ascii="Times New Roman" w:hAnsi="Times New Roman" w:eastAsia="宋体" w:cs="Times New Roman"/>
          <w:b/>
          <w:color w:val="auto"/>
          <w:szCs w:val="20"/>
        </w:rPr>
        <w:t xml:space="preserve"> 保护动物适宜生境分布一览表  单位：hm²</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362"/>
        <w:gridCol w:w="2004"/>
        <w:gridCol w:w="2120"/>
        <w:gridCol w:w="1264"/>
      </w:tblGrid>
      <w:tr w14:paraId="45D703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21" w:type="pct"/>
            <w:vMerge w:val="restart"/>
            <w:tcBorders>
              <w:tl2br w:val="nil"/>
              <w:tr2bl w:val="nil"/>
            </w:tcBorders>
            <w:vAlign w:val="center"/>
          </w:tcPr>
          <w:p w14:paraId="788655A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baseline"/>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保护物种</w:t>
            </w:r>
          </w:p>
        </w:tc>
        <w:tc>
          <w:tcPr>
            <w:tcW w:w="3078" w:type="pct"/>
            <w:gridSpan w:val="3"/>
            <w:tcBorders>
              <w:tl2br w:val="nil"/>
              <w:tr2bl w:val="nil"/>
            </w:tcBorders>
            <w:vAlign w:val="center"/>
          </w:tcPr>
          <w:p w14:paraId="54907B4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baseline"/>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适宜生境</w:t>
            </w:r>
          </w:p>
        </w:tc>
      </w:tr>
      <w:tr w14:paraId="3D92C3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21" w:type="pct"/>
            <w:vMerge w:val="continue"/>
            <w:tcBorders>
              <w:tl2br w:val="nil"/>
              <w:tr2bl w:val="nil"/>
            </w:tcBorders>
            <w:vAlign w:val="center"/>
          </w:tcPr>
          <w:p w14:paraId="64A3A22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baseline"/>
              <w:rPr>
                <w:rFonts w:hint="default" w:ascii="Times New Roman" w:hAnsi="Times New Roman" w:eastAsia="宋体" w:cs="Times New Roman"/>
                <w:b/>
                <w:bCs/>
                <w:color w:val="auto"/>
                <w:sz w:val="21"/>
                <w:szCs w:val="21"/>
              </w:rPr>
            </w:pPr>
          </w:p>
        </w:tc>
        <w:tc>
          <w:tcPr>
            <w:tcW w:w="1145" w:type="pct"/>
            <w:tcBorders>
              <w:tl2br w:val="nil"/>
              <w:tr2bl w:val="nil"/>
            </w:tcBorders>
            <w:vAlign w:val="center"/>
          </w:tcPr>
          <w:p w14:paraId="748FD8E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baseline"/>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适宜生境面积</w:t>
            </w:r>
          </w:p>
        </w:tc>
        <w:tc>
          <w:tcPr>
            <w:tcW w:w="1211" w:type="pct"/>
            <w:tcBorders>
              <w:tl2br w:val="nil"/>
              <w:tr2bl w:val="nil"/>
            </w:tcBorders>
            <w:vAlign w:val="center"/>
          </w:tcPr>
          <w:p w14:paraId="4D81EF7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baseline"/>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较适宜生境面积</w:t>
            </w:r>
          </w:p>
        </w:tc>
        <w:tc>
          <w:tcPr>
            <w:tcW w:w="721" w:type="pct"/>
            <w:tcBorders>
              <w:tl2br w:val="nil"/>
              <w:tr2bl w:val="nil"/>
            </w:tcBorders>
            <w:vAlign w:val="center"/>
          </w:tcPr>
          <w:p w14:paraId="0CCD5DC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baseline"/>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合计</w:t>
            </w:r>
          </w:p>
        </w:tc>
      </w:tr>
      <w:tr w14:paraId="709533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21" w:type="pct"/>
            <w:vAlign w:val="center"/>
          </w:tcPr>
          <w:p w14:paraId="4CAEFF9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红隼</w:t>
            </w:r>
            <w:r>
              <w:rPr>
                <w:rFonts w:hint="default" w:ascii="Times New Roman" w:hAnsi="Times New Roman" w:eastAsia="宋体" w:cs="Times New Roman"/>
                <w:i/>
                <w:color w:val="auto"/>
                <w:kern w:val="0"/>
                <w:sz w:val="21"/>
                <w:szCs w:val="21"/>
              </w:rPr>
              <w:t>Falco tinnunculus</w:t>
            </w:r>
          </w:p>
        </w:tc>
        <w:tc>
          <w:tcPr>
            <w:tcW w:w="1145" w:type="pct"/>
            <w:tcBorders>
              <w:tl2br w:val="nil"/>
              <w:tr2bl w:val="nil"/>
            </w:tcBorders>
            <w:vAlign w:val="center"/>
          </w:tcPr>
          <w:p w14:paraId="70913AA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3.187</w:t>
            </w:r>
          </w:p>
        </w:tc>
        <w:tc>
          <w:tcPr>
            <w:tcW w:w="1211" w:type="pct"/>
            <w:tcBorders>
              <w:tl2br w:val="nil"/>
              <w:tr2bl w:val="nil"/>
            </w:tcBorders>
            <w:vAlign w:val="center"/>
          </w:tcPr>
          <w:p w14:paraId="0E83BB8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5.692</w:t>
            </w:r>
          </w:p>
        </w:tc>
        <w:tc>
          <w:tcPr>
            <w:tcW w:w="721" w:type="pct"/>
            <w:tcBorders>
              <w:top w:val="nil"/>
              <w:left w:val="nil"/>
              <w:bottom w:val="single" w:color="auto" w:sz="8" w:space="0"/>
              <w:right w:val="nil"/>
            </w:tcBorders>
            <w:shd w:val="clear" w:color="auto" w:fill="auto"/>
            <w:vAlign w:val="center"/>
          </w:tcPr>
          <w:p w14:paraId="6EBD55E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等线" w:cs="Times New Roman"/>
                <w:color w:val="auto"/>
                <w:sz w:val="21"/>
                <w:szCs w:val="21"/>
              </w:rPr>
              <w:t>8.879</w:t>
            </w:r>
          </w:p>
        </w:tc>
      </w:tr>
      <w:tr w14:paraId="1D0872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21" w:type="pct"/>
            <w:vAlign w:val="center"/>
          </w:tcPr>
          <w:p w14:paraId="26D4FD3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普通鵟</w:t>
            </w:r>
            <w:r>
              <w:rPr>
                <w:rFonts w:hint="default" w:ascii="Times New Roman" w:hAnsi="Times New Roman" w:eastAsia="宋体" w:cs="Times New Roman"/>
                <w:i/>
                <w:iCs/>
                <w:color w:val="auto"/>
                <w:kern w:val="0"/>
                <w:sz w:val="21"/>
                <w:szCs w:val="21"/>
              </w:rPr>
              <w:t>Buteo buteo</w:t>
            </w:r>
          </w:p>
        </w:tc>
        <w:tc>
          <w:tcPr>
            <w:tcW w:w="1145" w:type="pct"/>
            <w:tcBorders>
              <w:tl2br w:val="nil"/>
              <w:tr2bl w:val="nil"/>
            </w:tcBorders>
            <w:vAlign w:val="center"/>
          </w:tcPr>
          <w:p w14:paraId="5402684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4.196</w:t>
            </w:r>
          </w:p>
        </w:tc>
        <w:tc>
          <w:tcPr>
            <w:tcW w:w="1211" w:type="pct"/>
            <w:tcBorders>
              <w:tl2br w:val="nil"/>
              <w:tr2bl w:val="nil"/>
            </w:tcBorders>
            <w:vAlign w:val="center"/>
          </w:tcPr>
          <w:p w14:paraId="7B66D14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6.558</w:t>
            </w:r>
          </w:p>
        </w:tc>
        <w:tc>
          <w:tcPr>
            <w:tcW w:w="721" w:type="pct"/>
            <w:tcBorders>
              <w:top w:val="nil"/>
              <w:left w:val="nil"/>
              <w:bottom w:val="single" w:color="auto" w:sz="8" w:space="0"/>
              <w:right w:val="nil"/>
            </w:tcBorders>
            <w:shd w:val="clear" w:color="auto" w:fill="auto"/>
            <w:vAlign w:val="center"/>
          </w:tcPr>
          <w:p w14:paraId="3277125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等线" w:cs="Times New Roman"/>
                <w:color w:val="auto"/>
                <w:sz w:val="21"/>
                <w:szCs w:val="21"/>
              </w:rPr>
              <w:t>10.754</w:t>
            </w:r>
          </w:p>
        </w:tc>
      </w:tr>
      <w:tr w14:paraId="09341F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21" w:type="pct"/>
            <w:vAlign w:val="center"/>
          </w:tcPr>
          <w:p w14:paraId="682E7CB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松雀鹰</w:t>
            </w:r>
            <w:r>
              <w:rPr>
                <w:rFonts w:hint="default" w:ascii="Times New Roman" w:hAnsi="Times New Roman" w:eastAsia="宋体" w:cs="Times New Roman"/>
                <w:i/>
                <w:iCs/>
                <w:color w:val="auto"/>
                <w:kern w:val="0"/>
                <w:sz w:val="21"/>
                <w:szCs w:val="21"/>
              </w:rPr>
              <w:t>Accipiter virgatus</w:t>
            </w:r>
          </w:p>
        </w:tc>
        <w:tc>
          <w:tcPr>
            <w:tcW w:w="1145" w:type="pct"/>
            <w:tcBorders>
              <w:tl2br w:val="nil"/>
              <w:tr2bl w:val="nil"/>
            </w:tcBorders>
            <w:vAlign w:val="center"/>
          </w:tcPr>
          <w:p w14:paraId="5A743BC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5.003</w:t>
            </w:r>
          </w:p>
        </w:tc>
        <w:tc>
          <w:tcPr>
            <w:tcW w:w="1211" w:type="pct"/>
            <w:tcBorders>
              <w:tl2br w:val="nil"/>
              <w:tr2bl w:val="nil"/>
            </w:tcBorders>
            <w:vAlign w:val="center"/>
          </w:tcPr>
          <w:p w14:paraId="3826D27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6.184</w:t>
            </w:r>
          </w:p>
        </w:tc>
        <w:tc>
          <w:tcPr>
            <w:tcW w:w="721" w:type="pct"/>
            <w:tcBorders>
              <w:top w:val="nil"/>
              <w:left w:val="nil"/>
              <w:bottom w:val="single" w:color="auto" w:sz="8" w:space="0"/>
              <w:right w:val="nil"/>
            </w:tcBorders>
            <w:shd w:val="clear" w:color="auto" w:fill="auto"/>
            <w:vAlign w:val="center"/>
          </w:tcPr>
          <w:p w14:paraId="44659C9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等线" w:cs="Times New Roman"/>
                <w:color w:val="auto"/>
                <w:sz w:val="21"/>
                <w:szCs w:val="21"/>
              </w:rPr>
              <w:t>11.187</w:t>
            </w:r>
          </w:p>
        </w:tc>
      </w:tr>
      <w:tr w14:paraId="3545CC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21" w:type="pct"/>
            <w:tcBorders>
              <w:tl2br w:val="nil"/>
              <w:tr2bl w:val="nil"/>
            </w:tcBorders>
            <w:vAlign w:val="center"/>
          </w:tcPr>
          <w:p w14:paraId="2F96F36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画眉</w:t>
            </w:r>
            <w:r>
              <w:rPr>
                <w:rFonts w:hint="default" w:ascii="Times New Roman" w:hAnsi="Times New Roman" w:eastAsia="宋体" w:cs="Times New Roman"/>
                <w:i/>
                <w:iCs/>
                <w:color w:val="auto"/>
                <w:kern w:val="0"/>
                <w:sz w:val="21"/>
                <w:szCs w:val="21"/>
              </w:rPr>
              <w:t>Garrulax canorus</w:t>
            </w:r>
          </w:p>
        </w:tc>
        <w:tc>
          <w:tcPr>
            <w:tcW w:w="1145" w:type="pct"/>
            <w:tcBorders>
              <w:tl2br w:val="nil"/>
              <w:tr2bl w:val="nil"/>
            </w:tcBorders>
            <w:vAlign w:val="center"/>
          </w:tcPr>
          <w:p w14:paraId="4D05C36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6.378</w:t>
            </w:r>
          </w:p>
        </w:tc>
        <w:tc>
          <w:tcPr>
            <w:tcW w:w="1211" w:type="pct"/>
            <w:tcBorders>
              <w:tl2br w:val="nil"/>
              <w:tr2bl w:val="nil"/>
            </w:tcBorders>
            <w:vAlign w:val="center"/>
          </w:tcPr>
          <w:p w14:paraId="7125938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10.096</w:t>
            </w:r>
          </w:p>
        </w:tc>
        <w:tc>
          <w:tcPr>
            <w:tcW w:w="721" w:type="pct"/>
            <w:tcBorders>
              <w:top w:val="nil"/>
              <w:left w:val="nil"/>
              <w:bottom w:val="single" w:color="auto" w:sz="8" w:space="0"/>
              <w:right w:val="nil"/>
            </w:tcBorders>
            <w:shd w:val="clear" w:color="auto" w:fill="auto"/>
            <w:vAlign w:val="center"/>
          </w:tcPr>
          <w:p w14:paraId="499A088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等线" w:cs="Times New Roman"/>
                <w:color w:val="auto"/>
                <w:sz w:val="21"/>
                <w:szCs w:val="21"/>
              </w:rPr>
              <w:t>16.474</w:t>
            </w:r>
          </w:p>
        </w:tc>
      </w:tr>
      <w:tr w14:paraId="531911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21" w:type="pct"/>
            <w:tcBorders>
              <w:tl2br w:val="nil"/>
              <w:tr2bl w:val="nil"/>
            </w:tcBorders>
            <w:vAlign w:val="center"/>
          </w:tcPr>
          <w:p w14:paraId="75E8D6B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baseline"/>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豹猫</w:t>
            </w:r>
            <w:r>
              <w:rPr>
                <w:rFonts w:hint="default" w:ascii="Times New Roman" w:hAnsi="Times New Roman" w:eastAsia="宋体" w:cs="Times New Roman"/>
                <w:i/>
                <w:color w:val="auto"/>
                <w:kern w:val="0"/>
                <w:sz w:val="21"/>
                <w:szCs w:val="21"/>
              </w:rPr>
              <w:t>Prionailurus bengalensis</w:t>
            </w:r>
          </w:p>
        </w:tc>
        <w:tc>
          <w:tcPr>
            <w:tcW w:w="1145" w:type="pct"/>
            <w:tcBorders>
              <w:tl2br w:val="nil"/>
              <w:tr2bl w:val="nil"/>
            </w:tcBorders>
            <w:vAlign w:val="center"/>
          </w:tcPr>
          <w:p w14:paraId="008121E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5.294</w:t>
            </w:r>
          </w:p>
        </w:tc>
        <w:tc>
          <w:tcPr>
            <w:tcW w:w="1211" w:type="pct"/>
            <w:tcBorders>
              <w:tl2br w:val="nil"/>
              <w:tr2bl w:val="nil"/>
            </w:tcBorders>
            <w:vAlign w:val="center"/>
          </w:tcPr>
          <w:p w14:paraId="74FDD65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8.865</w:t>
            </w:r>
          </w:p>
        </w:tc>
        <w:tc>
          <w:tcPr>
            <w:tcW w:w="721" w:type="pct"/>
            <w:tcBorders>
              <w:top w:val="nil"/>
              <w:left w:val="nil"/>
              <w:bottom w:val="single" w:color="auto" w:sz="8" w:space="0"/>
              <w:right w:val="nil"/>
            </w:tcBorders>
            <w:shd w:val="clear" w:color="auto" w:fill="auto"/>
            <w:vAlign w:val="center"/>
          </w:tcPr>
          <w:p w14:paraId="4915598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14.159</w:t>
            </w:r>
          </w:p>
        </w:tc>
      </w:tr>
    </w:tbl>
    <w:p w14:paraId="7F477FF0">
      <w:pPr>
        <w:pStyle w:val="5"/>
        <w:numPr>
          <w:ilvl w:val="2"/>
          <w:numId w:val="0"/>
        </w:numPr>
        <w:adjustRightInd w:val="0"/>
        <w:snapToGrid w:val="0"/>
        <w:spacing w:line="440" w:lineRule="exac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2.4.5鸟类迁徙路线及重要栖息地</w:t>
      </w:r>
    </w:p>
    <w:p w14:paraId="75041D75">
      <w:pPr>
        <w:pStyle w:val="6"/>
        <w:adjustRightInd w:val="0"/>
        <w:snapToGrid w:val="0"/>
        <w:spacing w:line="440" w:lineRule="exact"/>
        <w:ind w:firstLine="482" w:firstLineChars="200"/>
        <w:rPr>
          <w:rFonts w:hint="default" w:ascii="Times New Roman" w:hAnsi="Times New Roman" w:cs="Times New Roman"/>
          <w:color w:val="auto"/>
        </w:rPr>
      </w:pPr>
      <w:r>
        <w:rPr>
          <w:rFonts w:hint="default" w:ascii="Times New Roman" w:hAnsi="Times New Roman" w:cs="Times New Roman"/>
          <w:color w:val="auto"/>
        </w:rPr>
        <w:t>2.4.5.1鸟类迁徙通道及迁飞聚集点</w:t>
      </w:r>
    </w:p>
    <w:p w14:paraId="39EB1AB3">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根据《云南省候鸟迁徙通道重点区域范围（第一批）》，本项目区域不涉及云南省候鸟迁徙通道重点区域。</w:t>
      </w:r>
    </w:p>
    <w:p w14:paraId="0B6C0EFC">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根据鸟类研究学者的调查，在云南省境内共发现夜间鸟类迁徙聚集点21个（将部分相邻的点位合并），分布于23县（部分点位处于两县交界区域）。这些区域大部分分布在山间（山脊）垭口的坡地或台地，海拔从1600m至3100m都有分布，植被以低矮的灌丛和草坡为主，缺少高大乔木。</w:t>
      </w:r>
    </w:p>
    <w:p w14:paraId="4B8797BD">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鸟类研究学者发现在云南省境内至少有东西两条秋季候鸟迁徙路线，其中西线为从北边的云岭向南经过哀牢山、无量山，之后顺元江出境，即云岭—苍山—哀牢山一线；东线为滇东北乌蒙山至滇东南，即滇东乌蒙山一线。其中，滇西横断山脉地区的山体走向为西北—东南走向，经过滇西地区的候鸟就在山脉东北的一侧聚集，迁徙路线呈西北—东南走向。而滇东北的乌蒙山脉则呈东北—西南走向，而经过滇东北地区的候鸟则是在山脉西北一侧聚集，迁徙路线呈东北—西南走向。因此，候鸟在云南境内的迁徙线路不管在东线还是西线都出现在山脉向北的一侧。但候鸟为恢复其北至南磁力线迁徙方向，每当遇到山间沟谷、低矮山脊或者山脊垭口时，大量候鸟就会从这些区域翻越山脊继续向南迁飞，当这些区域出现刮南风或西南风、有浓雾、无月亮的夜间，候鸟就会降低飞行高度，并且会朝向光源（特别为黄色光）方向飞行，一旦遇到灯光或火光，就会趋光而来，形成了夜间扑火的特异现象。所以，“打雀山”“凤凰山”或者“鸟吊山”就是候鸟在云南境内迁徙的</w:t>
      </w:r>
      <w:bookmarkStart w:id="376" w:name="_GoBack"/>
      <w:bookmarkEnd w:id="376"/>
      <w:r>
        <w:rPr>
          <w:rFonts w:hint="default" w:ascii="Times New Roman" w:hAnsi="Times New Roman" w:eastAsia="宋体" w:cs="Times New Roman"/>
          <w:color w:val="auto"/>
          <w:szCs w:val="24"/>
        </w:rPr>
        <w:t>主要聚集区，即主要迁徙通道。</w:t>
      </w:r>
    </w:p>
    <w:p w14:paraId="2BD4FE5C">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项目区处于云南省秋季迁徙候鸟的迁徙东线区域。项目区不涉及鸟类迁徙通道，直线距离在20km以上。本次评价对周边村民进行了走访调查，根据走访调查，项目区及周边区域没有，也没有听说过秋季夜间上山采用灯光或火光捕鸟的现象。秋季夜间没有发生夜间鸟类飞入有光亮的房屋的事件。所以，根据文献资料查阅和访问调查，目前项目区没有秋季迁徙候鸟迁飞聚集点。</w:t>
      </w:r>
    </w:p>
    <w:p w14:paraId="252EDAF4">
      <w:pPr>
        <w:pStyle w:val="6"/>
        <w:adjustRightInd w:val="0"/>
        <w:snapToGrid w:val="0"/>
        <w:spacing w:line="440" w:lineRule="exact"/>
        <w:ind w:firstLine="482" w:firstLineChars="200"/>
        <w:rPr>
          <w:rFonts w:hint="default" w:ascii="Times New Roman" w:hAnsi="Times New Roman" w:cs="Times New Roman"/>
          <w:color w:val="auto"/>
        </w:rPr>
      </w:pPr>
      <w:r>
        <w:rPr>
          <w:rFonts w:hint="default" w:ascii="Times New Roman" w:hAnsi="Times New Roman" w:cs="Times New Roman"/>
          <w:color w:val="auto"/>
        </w:rPr>
        <w:t>2.4.5.2重要栖息地</w:t>
      </w:r>
    </w:p>
    <w:p w14:paraId="72E70635">
      <w:pPr>
        <w:pStyle w:val="139"/>
        <w:ind w:firstLine="470"/>
        <w:rPr>
          <w:rFonts w:hint="default" w:ascii="Times New Roman" w:hAnsi="Times New Roman" w:cs="Times New Roman"/>
          <w:color w:val="auto"/>
        </w:rPr>
      </w:pPr>
      <w:r>
        <w:rPr>
          <w:rFonts w:hint="default" w:ascii="Times New Roman" w:hAnsi="Times New Roman" w:cs="Times New Roman"/>
          <w:color w:val="auto"/>
        </w:rPr>
        <w:t>根据国家林业和草原局《陆生野生动物重要栖息地名录》（第一批）（国家林业和草原局公告（2023年第23号），项目不涉及野生动物重要栖息地、不涉及《中华人民共和国野生动物保护法》第十三条中所提及的野生动物重要栖息地。</w:t>
      </w:r>
    </w:p>
    <w:p w14:paraId="119279B7">
      <w:pPr>
        <w:pStyle w:val="5"/>
        <w:rPr>
          <w:rFonts w:hint="default" w:ascii="Times New Roman" w:hAnsi="Times New Roman" w:cs="Times New Roman"/>
          <w:color w:val="auto"/>
        </w:rPr>
      </w:pPr>
      <w:r>
        <w:rPr>
          <w:rFonts w:hint="default" w:ascii="Times New Roman" w:hAnsi="Times New Roman" w:cs="Times New Roman"/>
          <w:color w:val="auto"/>
        </w:rPr>
        <w:t>2.4.6重要野生动物调查结果统计表</w:t>
      </w:r>
    </w:p>
    <w:p w14:paraId="3B54285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color w:val="auto"/>
          <w:szCs w:val="24"/>
        </w:rPr>
      </w:pPr>
      <w:r>
        <w:rPr>
          <w:rFonts w:hint="default" w:ascii="Times New Roman" w:hAnsi="Times New Roman" w:eastAsia="宋体" w:cs="Times New Roman"/>
          <w:b/>
          <w:color w:val="auto"/>
          <w:szCs w:val="24"/>
        </w:rPr>
        <w:t>表2.4-1</w:t>
      </w:r>
      <w:r>
        <w:rPr>
          <w:rFonts w:hint="eastAsia" w:ascii="Times New Roman" w:hAnsi="Times New Roman" w:eastAsia="宋体" w:cs="Times New Roman"/>
          <w:b/>
          <w:color w:val="auto"/>
          <w:szCs w:val="24"/>
          <w:lang w:val="en-US" w:eastAsia="zh-CN"/>
        </w:rPr>
        <w:t>2</w:t>
      </w:r>
      <w:r>
        <w:rPr>
          <w:rFonts w:hint="default" w:ascii="Times New Roman" w:hAnsi="Times New Roman" w:eastAsia="宋体" w:cs="Times New Roman"/>
          <w:b/>
          <w:color w:val="auto"/>
          <w:szCs w:val="24"/>
        </w:rPr>
        <w:t xml:space="preserve">  重要野生动物调查结果统计表</w:t>
      </w:r>
    </w:p>
    <w:tbl>
      <w:tblPr>
        <w:tblStyle w:val="131"/>
        <w:tblW w:w="5035"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1"/>
        <w:gridCol w:w="1376"/>
        <w:gridCol w:w="752"/>
        <w:gridCol w:w="1216"/>
        <w:gridCol w:w="476"/>
        <w:gridCol w:w="1955"/>
        <w:gridCol w:w="775"/>
        <w:gridCol w:w="867"/>
        <w:gridCol w:w="947"/>
      </w:tblGrid>
      <w:tr w14:paraId="3A843F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5" w:type="pct"/>
            <w:tcBorders>
              <w:tl2br w:val="nil"/>
              <w:tr2bl w:val="nil"/>
            </w:tcBorders>
            <w:vAlign w:val="center"/>
          </w:tcPr>
          <w:p w14:paraId="269D4B2F">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序号</w:t>
            </w:r>
          </w:p>
        </w:tc>
        <w:tc>
          <w:tcPr>
            <w:tcW w:w="780" w:type="pct"/>
            <w:tcBorders>
              <w:tl2br w:val="nil"/>
              <w:tr2bl w:val="nil"/>
            </w:tcBorders>
            <w:vAlign w:val="center"/>
          </w:tcPr>
          <w:p w14:paraId="7B5A03EA">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物种名称</w:t>
            </w:r>
          </w:p>
        </w:tc>
        <w:tc>
          <w:tcPr>
            <w:tcW w:w="426" w:type="pct"/>
            <w:tcBorders>
              <w:tl2br w:val="nil"/>
              <w:tr2bl w:val="nil"/>
            </w:tcBorders>
            <w:vAlign w:val="center"/>
          </w:tcPr>
          <w:p w14:paraId="475530E7">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保护级别</w:t>
            </w:r>
          </w:p>
        </w:tc>
        <w:tc>
          <w:tcPr>
            <w:tcW w:w="689" w:type="pct"/>
            <w:tcBorders>
              <w:tl2br w:val="nil"/>
              <w:tr2bl w:val="nil"/>
            </w:tcBorders>
            <w:vAlign w:val="center"/>
          </w:tcPr>
          <w:p w14:paraId="2A41E25D">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濒危等级</w:t>
            </w:r>
          </w:p>
        </w:tc>
        <w:tc>
          <w:tcPr>
            <w:tcW w:w="269" w:type="pct"/>
            <w:tcBorders>
              <w:tl2br w:val="nil"/>
              <w:tr2bl w:val="nil"/>
            </w:tcBorders>
            <w:vAlign w:val="center"/>
          </w:tcPr>
          <w:p w14:paraId="3C95D876">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特有种</w:t>
            </w:r>
          </w:p>
        </w:tc>
        <w:tc>
          <w:tcPr>
            <w:tcW w:w="1108" w:type="pct"/>
            <w:tcBorders>
              <w:tl2br w:val="nil"/>
              <w:tr2bl w:val="nil"/>
            </w:tcBorders>
            <w:vAlign w:val="center"/>
          </w:tcPr>
          <w:p w14:paraId="5B9DF611">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分布区域</w:t>
            </w:r>
          </w:p>
        </w:tc>
        <w:tc>
          <w:tcPr>
            <w:tcW w:w="439" w:type="pct"/>
            <w:tcBorders>
              <w:tl2br w:val="nil"/>
              <w:tr2bl w:val="nil"/>
            </w:tcBorders>
            <w:vAlign w:val="center"/>
          </w:tcPr>
          <w:p w14:paraId="55F5C3CA">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资料来源</w:t>
            </w:r>
          </w:p>
        </w:tc>
        <w:tc>
          <w:tcPr>
            <w:tcW w:w="491" w:type="pct"/>
            <w:tcBorders>
              <w:tl2br w:val="nil"/>
              <w:tr2bl w:val="nil"/>
            </w:tcBorders>
            <w:vAlign w:val="center"/>
          </w:tcPr>
          <w:p w14:paraId="5064FF83">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工程占用情况</w:t>
            </w:r>
          </w:p>
        </w:tc>
        <w:tc>
          <w:tcPr>
            <w:tcW w:w="537" w:type="pct"/>
            <w:tcBorders>
              <w:tl2br w:val="nil"/>
              <w:tr2bl w:val="nil"/>
            </w:tcBorders>
            <w:vAlign w:val="center"/>
          </w:tcPr>
          <w:p w14:paraId="4DAB2A58">
            <w:pPr>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现场调查照片</w:t>
            </w:r>
          </w:p>
        </w:tc>
      </w:tr>
      <w:tr w14:paraId="1E00DB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5" w:type="pct"/>
            <w:tcBorders>
              <w:tl2br w:val="nil"/>
              <w:tr2bl w:val="nil"/>
            </w:tcBorders>
            <w:vAlign w:val="center"/>
          </w:tcPr>
          <w:p w14:paraId="7E746BDA">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780" w:type="pct"/>
            <w:tcBorders>
              <w:tl2br w:val="nil"/>
              <w:tr2bl w:val="nil"/>
            </w:tcBorders>
            <w:vAlign w:val="center"/>
          </w:tcPr>
          <w:p w14:paraId="535A93FD">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松雀鹰</w:t>
            </w:r>
            <w:r>
              <w:rPr>
                <w:rFonts w:hint="default" w:ascii="Times New Roman" w:hAnsi="Times New Roman" w:eastAsia="宋体" w:cs="Times New Roman"/>
                <w:i/>
                <w:iCs/>
                <w:color w:val="auto"/>
                <w:kern w:val="0"/>
                <w:sz w:val="21"/>
                <w:szCs w:val="21"/>
              </w:rPr>
              <w:t>Accipiter virgatus</w:t>
            </w:r>
          </w:p>
        </w:tc>
        <w:tc>
          <w:tcPr>
            <w:tcW w:w="426" w:type="pct"/>
            <w:tcBorders>
              <w:tl2br w:val="nil"/>
              <w:tr2bl w:val="nil"/>
            </w:tcBorders>
            <w:vAlign w:val="center"/>
          </w:tcPr>
          <w:p w14:paraId="54EC2C3F">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国家二级</w:t>
            </w:r>
          </w:p>
        </w:tc>
        <w:tc>
          <w:tcPr>
            <w:tcW w:w="689" w:type="pct"/>
            <w:tcBorders>
              <w:tl2br w:val="nil"/>
              <w:tr2bl w:val="nil"/>
            </w:tcBorders>
            <w:vAlign w:val="center"/>
          </w:tcPr>
          <w:p w14:paraId="036A56D7">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《中国生物多样性红色名录》LC（无危）</w:t>
            </w:r>
          </w:p>
        </w:tc>
        <w:tc>
          <w:tcPr>
            <w:tcW w:w="269" w:type="pct"/>
            <w:tcBorders>
              <w:tl2br w:val="nil"/>
              <w:tr2bl w:val="nil"/>
            </w:tcBorders>
            <w:vAlign w:val="center"/>
          </w:tcPr>
          <w:p w14:paraId="21922370">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否</w:t>
            </w:r>
          </w:p>
        </w:tc>
        <w:tc>
          <w:tcPr>
            <w:tcW w:w="1108" w:type="pct"/>
            <w:tcBorders>
              <w:tl2br w:val="nil"/>
              <w:tr2bl w:val="nil"/>
            </w:tcBorders>
            <w:vAlign w:val="center"/>
          </w:tcPr>
          <w:p w14:paraId="7E665567">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评价区约分布有1—2只，踪迹集中在中部山林地带。</w:t>
            </w:r>
          </w:p>
        </w:tc>
        <w:tc>
          <w:tcPr>
            <w:tcW w:w="439" w:type="pct"/>
            <w:tcBorders>
              <w:tl2br w:val="nil"/>
              <w:tr2bl w:val="nil"/>
            </w:tcBorders>
            <w:vAlign w:val="center"/>
          </w:tcPr>
          <w:p w14:paraId="36E748D4">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走访调查</w:t>
            </w:r>
          </w:p>
        </w:tc>
        <w:tc>
          <w:tcPr>
            <w:tcW w:w="491" w:type="pct"/>
            <w:tcBorders>
              <w:tl2br w:val="nil"/>
              <w:tr2bl w:val="nil"/>
            </w:tcBorders>
            <w:vAlign w:val="center"/>
          </w:tcPr>
          <w:p w14:paraId="61E1C2F5">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不占用</w:t>
            </w:r>
          </w:p>
        </w:tc>
        <w:tc>
          <w:tcPr>
            <w:tcW w:w="537" w:type="pct"/>
            <w:tcBorders>
              <w:tl2br w:val="nil"/>
              <w:tr2bl w:val="nil"/>
            </w:tcBorders>
            <w:vAlign w:val="center"/>
          </w:tcPr>
          <w:p w14:paraId="2D0117F5">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r>
      <w:tr w14:paraId="7B8E38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5" w:type="pct"/>
            <w:tcBorders>
              <w:tl2br w:val="nil"/>
              <w:tr2bl w:val="nil"/>
            </w:tcBorders>
            <w:vAlign w:val="center"/>
          </w:tcPr>
          <w:p w14:paraId="21F1EB56">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p>
        </w:tc>
        <w:tc>
          <w:tcPr>
            <w:tcW w:w="780" w:type="pct"/>
            <w:tcBorders>
              <w:tl2br w:val="nil"/>
              <w:tr2bl w:val="nil"/>
            </w:tcBorders>
            <w:vAlign w:val="center"/>
          </w:tcPr>
          <w:p w14:paraId="58DE054D">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普通鵟</w:t>
            </w:r>
            <w:r>
              <w:rPr>
                <w:rFonts w:hint="default" w:ascii="Times New Roman" w:hAnsi="Times New Roman" w:eastAsia="宋体" w:cs="Times New Roman"/>
                <w:i/>
                <w:iCs/>
                <w:color w:val="auto"/>
                <w:kern w:val="0"/>
                <w:sz w:val="21"/>
                <w:szCs w:val="21"/>
              </w:rPr>
              <w:t>Buteo buteo</w:t>
            </w:r>
          </w:p>
        </w:tc>
        <w:tc>
          <w:tcPr>
            <w:tcW w:w="426" w:type="pct"/>
            <w:tcBorders>
              <w:tl2br w:val="nil"/>
              <w:tr2bl w:val="nil"/>
            </w:tcBorders>
            <w:vAlign w:val="center"/>
          </w:tcPr>
          <w:p w14:paraId="587E4A9D">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国家二级</w:t>
            </w:r>
          </w:p>
        </w:tc>
        <w:tc>
          <w:tcPr>
            <w:tcW w:w="689" w:type="pct"/>
            <w:tcBorders>
              <w:tl2br w:val="nil"/>
              <w:tr2bl w:val="nil"/>
            </w:tcBorders>
            <w:vAlign w:val="center"/>
          </w:tcPr>
          <w:p w14:paraId="00015B9B">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《中国生物多样性红色名录》LC（无危）</w:t>
            </w:r>
          </w:p>
        </w:tc>
        <w:tc>
          <w:tcPr>
            <w:tcW w:w="269" w:type="pct"/>
            <w:tcBorders>
              <w:tl2br w:val="nil"/>
              <w:tr2bl w:val="nil"/>
            </w:tcBorders>
            <w:vAlign w:val="center"/>
          </w:tcPr>
          <w:p w14:paraId="4F23F25E">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否</w:t>
            </w:r>
          </w:p>
        </w:tc>
        <w:tc>
          <w:tcPr>
            <w:tcW w:w="1108" w:type="pct"/>
            <w:tcBorders>
              <w:tl2br w:val="nil"/>
              <w:tr2bl w:val="nil"/>
            </w:tcBorders>
            <w:vAlign w:val="center"/>
          </w:tcPr>
          <w:p w14:paraId="3115EEAC">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评价区内主要分布在靠近农田的区域，约分布有1—2只</w:t>
            </w:r>
          </w:p>
        </w:tc>
        <w:tc>
          <w:tcPr>
            <w:tcW w:w="439" w:type="pct"/>
            <w:tcBorders>
              <w:tl2br w:val="nil"/>
              <w:tr2bl w:val="nil"/>
            </w:tcBorders>
            <w:vAlign w:val="center"/>
          </w:tcPr>
          <w:p w14:paraId="3171FAC0">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现场踏勘目击到一只</w:t>
            </w:r>
          </w:p>
        </w:tc>
        <w:tc>
          <w:tcPr>
            <w:tcW w:w="491" w:type="pct"/>
            <w:tcBorders>
              <w:tl2br w:val="nil"/>
              <w:tr2bl w:val="nil"/>
            </w:tcBorders>
            <w:vAlign w:val="center"/>
          </w:tcPr>
          <w:p w14:paraId="7CAD6F6A">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不占用</w:t>
            </w:r>
          </w:p>
        </w:tc>
        <w:tc>
          <w:tcPr>
            <w:tcW w:w="537" w:type="pct"/>
            <w:tcBorders>
              <w:tl2br w:val="nil"/>
              <w:tr2bl w:val="nil"/>
            </w:tcBorders>
            <w:vAlign w:val="center"/>
          </w:tcPr>
          <w:p w14:paraId="24982348">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r>
      <w:tr w14:paraId="58F44D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5" w:type="pct"/>
            <w:tcBorders>
              <w:tl2br w:val="nil"/>
              <w:tr2bl w:val="nil"/>
            </w:tcBorders>
            <w:vAlign w:val="center"/>
          </w:tcPr>
          <w:p w14:paraId="1A21358B">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w:t>
            </w:r>
          </w:p>
        </w:tc>
        <w:tc>
          <w:tcPr>
            <w:tcW w:w="780" w:type="pct"/>
            <w:tcBorders>
              <w:tl2br w:val="nil"/>
              <w:tr2bl w:val="nil"/>
            </w:tcBorders>
            <w:vAlign w:val="center"/>
          </w:tcPr>
          <w:p w14:paraId="070FD02B">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红隼</w:t>
            </w:r>
            <w:r>
              <w:rPr>
                <w:rFonts w:hint="default" w:ascii="Times New Roman" w:hAnsi="Times New Roman" w:eastAsia="宋体" w:cs="Times New Roman"/>
                <w:i/>
                <w:color w:val="auto"/>
                <w:kern w:val="0"/>
                <w:sz w:val="21"/>
                <w:szCs w:val="21"/>
              </w:rPr>
              <w:t>Falco tinnunculus</w:t>
            </w:r>
          </w:p>
        </w:tc>
        <w:tc>
          <w:tcPr>
            <w:tcW w:w="426" w:type="pct"/>
            <w:tcBorders>
              <w:tl2br w:val="nil"/>
              <w:tr2bl w:val="nil"/>
            </w:tcBorders>
            <w:vAlign w:val="center"/>
          </w:tcPr>
          <w:p w14:paraId="04B1BDB8">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国家二级</w:t>
            </w:r>
          </w:p>
        </w:tc>
        <w:tc>
          <w:tcPr>
            <w:tcW w:w="689" w:type="pct"/>
            <w:tcBorders>
              <w:tl2br w:val="nil"/>
              <w:tr2bl w:val="nil"/>
            </w:tcBorders>
            <w:vAlign w:val="center"/>
          </w:tcPr>
          <w:p w14:paraId="31C7E2E2">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《中国生物多样性红色名录》LC（无危）</w:t>
            </w:r>
          </w:p>
        </w:tc>
        <w:tc>
          <w:tcPr>
            <w:tcW w:w="269" w:type="pct"/>
            <w:tcBorders>
              <w:tl2br w:val="nil"/>
              <w:tr2bl w:val="nil"/>
            </w:tcBorders>
            <w:vAlign w:val="center"/>
          </w:tcPr>
          <w:p w14:paraId="5C57C3ED">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否</w:t>
            </w:r>
          </w:p>
        </w:tc>
        <w:tc>
          <w:tcPr>
            <w:tcW w:w="1108" w:type="pct"/>
            <w:tcBorders>
              <w:tl2br w:val="nil"/>
              <w:tr2bl w:val="nil"/>
            </w:tcBorders>
            <w:vAlign w:val="center"/>
          </w:tcPr>
          <w:p w14:paraId="2E045468">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评价区约分布1—2只，主要分布在靠近农田和村庄的灌草丛地带。</w:t>
            </w:r>
          </w:p>
        </w:tc>
        <w:tc>
          <w:tcPr>
            <w:tcW w:w="439" w:type="pct"/>
            <w:tcBorders>
              <w:tl2br w:val="nil"/>
              <w:tr2bl w:val="nil"/>
            </w:tcBorders>
            <w:vAlign w:val="center"/>
          </w:tcPr>
          <w:p w14:paraId="7726F68A">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走访调查</w:t>
            </w:r>
          </w:p>
        </w:tc>
        <w:tc>
          <w:tcPr>
            <w:tcW w:w="491" w:type="pct"/>
            <w:tcBorders>
              <w:tl2br w:val="nil"/>
              <w:tr2bl w:val="nil"/>
            </w:tcBorders>
            <w:vAlign w:val="center"/>
          </w:tcPr>
          <w:p w14:paraId="2CCD0764">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不占用</w:t>
            </w:r>
          </w:p>
        </w:tc>
        <w:tc>
          <w:tcPr>
            <w:tcW w:w="537" w:type="pct"/>
            <w:tcBorders>
              <w:tl2br w:val="nil"/>
              <w:tr2bl w:val="nil"/>
            </w:tcBorders>
            <w:vAlign w:val="center"/>
          </w:tcPr>
          <w:p w14:paraId="50A15986">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r>
      <w:tr w14:paraId="451795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5" w:type="pct"/>
            <w:tcBorders>
              <w:tl2br w:val="nil"/>
              <w:tr2bl w:val="nil"/>
            </w:tcBorders>
            <w:shd w:val="clear" w:color="auto" w:fill="auto"/>
            <w:vAlign w:val="center"/>
          </w:tcPr>
          <w:p w14:paraId="51AE98FC">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rPr>
              <w:t>4</w:t>
            </w:r>
          </w:p>
        </w:tc>
        <w:tc>
          <w:tcPr>
            <w:tcW w:w="780" w:type="pct"/>
            <w:tcBorders>
              <w:tl2br w:val="nil"/>
              <w:tr2bl w:val="nil"/>
            </w:tcBorders>
            <w:shd w:val="clear" w:color="auto" w:fill="auto"/>
            <w:vAlign w:val="center"/>
          </w:tcPr>
          <w:p w14:paraId="322FD84F">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rPr>
              <w:t>画眉</w:t>
            </w:r>
            <w:r>
              <w:rPr>
                <w:rFonts w:hint="default" w:ascii="Times New Roman" w:hAnsi="Times New Roman" w:cs="Times New Roman"/>
                <w:i/>
                <w:iCs/>
                <w:color w:val="auto"/>
                <w:kern w:val="0"/>
                <w:sz w:val="21"/>
                <w:szCs w:val="21"/>
              </w:rPr>
              <w:t>Garrulax canorus</w:t>
            </w:r>
          </w:p>
        </w:tc>
        <w:tc>
          <w:tcPr>
            <w:tcW w:w="426" w:type="pct"/>
            <w:tcBorders>
              <w:tl2br w:val="nil"/>
              <w:tr2bl w:val="nil"/>
            </w:tcBorders>
            <w:shd w:val="clear" w:color="auto" w:fill="auto"/>
            <w:vAlign w:val="center"/>
          </w:tcPr>
          <w:p w14:paraId="708A2397">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rPr>
              <w:t>国家二级</w:t>
            </w:r>
          </w:p>
        </w:tc>
        <w:tc>
          <w:tcPr>
            <w:tcW w:w="689" w:type="pct"/>
            <w:tcBorders>
              <w:tl2br w:val="nil"/>
              <w:tr2bl w:val="nil"/>
            </w:tcBorders>
            <w:shd w:val="clear" w:color="auto" w:fill="auto"/>
            <w:vAlign w:val="center"/>
          </w:tcPr>
          <w:p w14:paraId="7E845056">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rPr>
              <w:t>NT</w:t>
            </w:r>
          </w:p>
        </w:tc>
        <w:tc>
          <w:tcPr>
            <w:tcW w:w="269" w:type="pct"/>
            <w:tcBorders>
              <w:tl2br w:val="nil"/>
              <w:tr2bl w:val="nil"/>
            </w:tcBorders>
            <w:shd w:val="clear" w:color="auto" w:fill="auto"/>
            <w:vAlign w:val="center"/>
          </w:tcPr>
          <w:p w14:paraId="350AF671">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rPr>
              <w:t>否</w:t>
            </w:r>
          </w:p>
        </w:tc>
        <w:tc>
          <w:tcPr>
            <w:tcW w:w="1108" w:type="pct"/>
            <w:tcBorders>
              <w:tl2br w:val="nil"/>
              <w:tr2bl w:val="nil"/>
            </w:tcBorders>
            <w:shd w:val="clear" w:color="auto" w:fill="auto"/>
            <w:vAlign w:val="center"/>
          </w:tcPr>
          <w:p w14:paraId="009D28FE">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rPr>
              <w:t>评价区内分布于靠近村庄的灌草丛</w:t>
            </w:r>
          </w:p>
        </w:tc>
        <w:tc>
          <w:tcPr>
            <w:tcW w:w="439" w:type="pct"/>
            <w:tcBorders>
              <w:tl2br w:val="nil"/>
              <w:tr2bl w:val="nil"/>
            </w:tcBorders>
            <w:shd w:val="clear" w:color="auto" w:fill="auto"/>
            <w:vAlign w:val="center"/>
          </w:tcPr>
          <w:p w14:paraId="283A46E1">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rPr>
              <w:t>走访调查</w:t>
            </w:r>
          </w:p>
        </w:tc>
        <w:tc>
          <w:tcPr>
            <w:tcW w:w="491" w:type="pct"/>
            <w:tcBorders>
              <w:tl2br w:val="nil"/>
              <w:tr2bl w:val="nil"/>
            </w:tcBorders>
            <w:shd w:val="clear" w:color="auto" w:fill="auto"/>
            <w:vAlign w:val="center"/>
          </w:tcPr>
          <w:p w14:paraId="5EBDFED4">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rPr>
              <w:t>不占用</w:t>
            </w:r>
          </w:p>
        </w:tc>
        <w:tc>
          <w:tcPr>
            <w:tcW w:w="537" w:type="pct"/>
            <w:tcBorders>
              <w:tl2br w:val="nil"/>
              <w:tr2bl w:val="nil"/>
            </w:tcBorders>
            <w:shd w:val="clear" w:color="auto" w:fill="auto"/>
            <w:vAlign w:val="center"/>
          </w:tcPr>
          <w:p w14:paraId="39E5EF3C">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rPr>
              <w:t>/</w:t>
            </w:r>
          </w:p>
        </w:tc>
      </w:tr>
      <w:tr w14:paraId="6B6621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5" w:type="pct"/>
            <w:tcBorders>
              <w:tl2br w:val="nil"/>
              <w:tr2bl w:val="nil"/>
            </w:tcBorders>
            <w:shd w:val="clear" w:color="auto" w:fill="auto"/>
            <w:vAlign w:val="center"/>
          </w:tcPr>
          <w:p w14:paraId="7164B4EF">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rPr>
              <w:t>5</w:t>
            </w:r>
          </w:p>
        </w:tc>
        <w:tc>
          <w:tcPr>
            <w:tcW w:w="780" w:type="pct"/>
            <w:tcBorders>
              <w:tl2br w:val="nil"/>
              <w:tr2bl w:val="nil"/>
            </w:tcBorders>
            <w:shd w:val="clear" w:color="auto" w:fill="auto"/>
            <w:vAlign w:val="center"/>
          </w:tcPr>
          <w:p w14:paraId="3F7E20F2">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rPr>
              <w:t>豹猫</w:t>
            </w:r>
            <w:r>
              <w:rPr>
                <w:rFonts w:hint="default" w:ascii="Times New Roman" w:hAnsi="Times New Roman" w:cs="Times New Roman"/>
                <w:i/>
                <w:iCs/>
                <w:color w:val="auto"/>
                <w:kern w:val="0"/>
                <w:sz w:val="21"/>
                <w:szCs w:val="21"/>
              </w:rPr>
              <w:t>Prionailurus bengalensis</w:t>
            </w:r>
          </w:p>
        </w:tc>
        <w:tc>
          <w:tcPr>
            <w:tcW w:w="426" w:type="pct"/>
            <w:tcBorders>
              <w:tl2br w:val="nil"/>
              <w:tr2bl w:val="nil"/>
            </w:tcBorders>
            <w:shd w:val="clear" w:color="auto" w:fill="auto"/>
            <w:vAlign w:val="center"/>
          </w:tcPr>
          <w:p w14:paraId="64C2C1F2">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rPr>
              <w:t>国家二级</w:t>
            </w:r>
          </w:p>
        </w:tc>
        <w:tc>
          <w:tcPr>
            <w:tcW w:w="689" w:type="pct"/>
            <w:tcBorders>
              <w:tl2br w:val="nil"/>
              <w:tr2bl w:val="nil"/>
            </w:tcBorders>
            <w:shd w:val="clear" w:color="auto" w:fill="auto"/>
            <w:vAlign w:val="center"/>
          </w:tcPr>
          <w:p w14:paraId="1E975F8C">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rPr>
              <w:t>VU</w:t>
            </w:r>
          </w:p>
        </w:tc>
        <w:tc>
          <w:tcPr>
            <w:tcW w:w="269" w:type="pct"/>
            <w:tcBorders>
              <w:tl2br w:val="nil"/>
              <w:tr2bl w:val="nil"/>
            </w:tcBorders>
            <w:shd w:val="clear" w:color="auto" w:fill="auto"/>
            <w:vAlign w:val="center"/>
          </w:tcPr>
          <w:p w14:paraId="3039304A">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rPr>
              <w:t>否</w:t>
            </w:r>
          </w:p>
        </w:tc>
        <w:tc>
          <w:tcPr>
            <w:tcW w:w="1108" w:type="pct"/>
            <w:tcBorders>
              <w:tl2br w:val="nil"/>
              <w:tr2bl w:val="nil"/>
            </w:tcBorders>
            <w:shd w:val="clear" w:color="auto" w:fill="auto"/>
            <w:vAlign w:val="center"/>
          </w:tcPr>
          <w:p w14:paraId="1CFE43BA">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rPr>
              <w:t>靠近村庄的灌草丛和森林</w:t>
            </w:r>
          </w:p>
        </w:tc>
        <w:tc>
          <w:tcPr>
            <w:tcW w:w="439" w:type="pct"/>
            <w:tcBorders>
              <w:tl2br w:val="nil"/>
              <w:tr2bl w:val="nil"/>
            </w:tcBorders>
            <w:shd w:val="clear" w:color="auto" w:fill="auto"/>
            <w:vAlign w:val="center"/>
          </w:tcPr>
          <w:p w14:paraId="6178FCED">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rPr>
              <w:t>走访调查</w:t>
            </w:r>
          </w:p>
        </w:tc>
        <w:tc>
          <w:tcPr>
            <w:tcW w:w="491" w:type="pct"/>
            <w:tcBorders>
              <w:tl2br w:val="nil"/>
              <w:tr2bl w:val="nil"/>
            </w:tcBorders>
            <w:shd w:val="clear" w:color="auto" w:fill="auto"/>
            <w:vAlign w:val="center"/>
          </w:tcPr>
          <w:p w14:paraId="798BFF70">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rPr>
              <w:t>不占用</w:t>
            </w:r>
          </w:p>
        </w:tc>
        <w:tc>
          <w:tcPr>
            <w:tcW w:w="537" w:type="pct"/>
            <w:tcBorders>
              <w:tl2br w:val="nil"/>
              <w:tr2bl w:val="nil"/>
            </w:tcBorders>
            <w:shd w:val="clear" w:color="auto" w:fill="auto"/>
            <w:vAlign w:val="center"/>
          </w:tcPr>
          <w:p w14:paraId="0AD368BF">
            <w:pPr>
              <w:adjustRightInd w:val="0"/>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rPr>
              <w:t>/</w:t>
            </w:r>
          </w:p>
        </w:tc>
      </w:tr>
    </w:tbl>
    <w:p w14:paraId="2F4D65CA">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38" w:name="_Toc27024"/>
      <w:r>
        <w:rPr>
          <w:rFonts w:hint="default" w:ascii="Times New Roman" w:hAnsi="Times New Roman" w:cs="Times New Roman"/>
          <w:color w:val="auto"/>
          <w:sz w:val="24"/>
          <w:szCs w:val="24"/>
        </w:rPr>
        <w:t>2.4.4 脊椎动物资源现状评价</w:t>
      </w:r>
      <w:bookmarkEnd w:id="238"/>
    </w:p>
    <w:p w14:paraId="4746C4C2">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评价区为滇东北中山山源亚区，河谷深切。流域气候为高原季风山区气候，降雨量较为丰沛、气候湿润，秋冬季易受川滇间地形静止锋的影响。河谷两岸高山散布针叶林，谷地灌丛丰茂，部分山坡为石灰岩灌丛和裸地。河流水量相对较大，陆栖脊椎动物栖息环境多样。区域内陆栖脊椎动物种类相对丰富，但是种群数量较为贫乏，这主要与当地人为干扰（人为猎捕较为严重），以及陡峭的深切河谷栖息环境较为恶劣有关。</w:t>
      </w:r>
    </w:p>
    <w:p w14:paraId="00F7202B">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评价区内所记录的陆栖脊椎动物中，共有国家级重点保护野生动物物种8种。无局限分布于该区域的特有种类。</w:t>
      </w:r>
    </w:p>
    <w:p w14:paraId="2399D55C">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评价区内栖息有陆栖脊椎动物73种。其中两栖类6种；爬行类6种；鸟类51种；哺乳类10种。鸟类种类最多，主要是因为鸟类活动能力强，活动范围大。</w:t>
      </w:r>
    </w:p>
    <w:p w14:paraId="5F9AE5B1">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评价区内所记录的陆栖脊椎动物中，共有国家及云南重点保护野生动物物种5种。</w:t>
      </w:r>
      <w:r>
        <w:rPr>
          <w:rFonts w:hint="default" w:ascii="Times New Roman" w:hAnsi="Times New Roman" w:cs="Times New Roman"/>
          <w:color w:val="auto"/>
          <w:szCs w:val="24"/>
        </w:rPr>
        <w:t>评价区内有</w:t>
      </w:r>
      <w:r>
        <w:rPr>
          <w:rFonts w:hint="default" w:ascii="Times New Roman" w:hAnsi="Times New Roman" w:eastAsia="宋体" w:cs="Times New Roman"/>
          <w:color w:val="auto"/>
          <w:szCs w:val="24"/>
        </w:rPr>
        <w:t>国家二级重点保护野生鸟类：松雀鹰</w:t>
      </w:r>
      <w:r>
        <w:rPr>
          <w:rFonts w:hint="default" w:ascii="Times New Roman" w:hAnsi="Times New Roman" w:eastAsia="宋体" w:cs="Times New Roman"/>
          <w:i/>
          <w:iCs/>
          <w:color w:val="auto"/>
          <w:szCs w:val="24"/>
        </w:rPr>
        <w:t>Accipiter virgatus</w:t>
      </w:r>
      <w:r>
        <w:rPr>
          <w:rFonts w:hint="default" w:ascii="Times New Roman" w:hAnsi="Times New Roman" w:eastAsia="宋体" w:cs="Times New Roman"/>
          <w:color w:val="auto"/>
          <w:szCs w:val="24"/>
        </w:rPr>
        <w:t>、普通鵟</w:t>
      </w:r>
      <w:r>
        <w:rPr>
          <w:rFonts w:hint="default" w:ascii="Times New Roman" w:hAnsi="Times New Roman" w:eastAsia="宋体" w:cs="Times New Roman"/>
          <w:i/>
          <w:iCs/>
          <w:color w:val="auto"/>
          <w:szCs w:val="24"/>
        </w:rPr>
        <w:t>Buteo buteo</w:t>
      </w:r>
      <w:r>
        <w:rPr>
          <w:rFonts w:hint="default" w:ascii="Times New Roman" w:hAnsi="Times New Roman" w:eastAsia="宋体" w:cs="Times New Roman"/>
          <w:color w:val="auto"/>
          <w:szCs w:val="24"/>
        </w:rPr>
        <w:t>、画眉、红隼</w:t>
      </w:r>
      <w:r>
        <w:rPr>
          <w:rFonts w:hint="default" w:ascii="Times New Roman" w:hAnsi="Times New Roman" w:eastAsia="宋体" w:cs="Times New Roman"/>
          <w:i/>
          <w:iCs/>
          <w:color w:val="auto"/>
          <w:szCs w:val="24"/>
        </w:rPr>
        <w:t>Falco tinnunculus</w:t>
      </w:r>
      <w:r>
        <w:rPr>
          <w:rFonts w:hint="default" w:ascii="Times New Roman" w:hAnsi="Times New Roman" w:eastAsia="宋体" w:cs="Times New Roman"/>
          <w:color w:val="auto"/>
          <w:szCs w:val="24"/>
        </w:rPr>
        <w:t>。分布有国家二级保护哺乳类：豹猫。</w:t>
      </w:r>
    </w:p>
    <w:p w14:paraId="546A9047">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未发现《中国生物多样性红色名录—脊椎动物卷（2020）》中收录的濒危（EN）和极危（CR）动物物种”</w:t>
      </w:r>
      <w:r>
        <w:rPr>
          <w:rFonts w:hint="eastAsia" w:ascii="Times New Roman" w:hAnsi="Times New Roman" w:cs="Times New Roman"/>
          <w:iCs/>
          <w:color w:val="auto"/>
          <w:szCs w:val="24"/>
          <w:lang w:eastAsia="zh-CN"/>
        </w:rPr>
        <w:t>，</w:t>
      </w:r>
      <w:r>
        <w:rPr>
          <w:rFonts w:hint="default" w:ascii="Times New Roman" w:hAnsi="Times New Roman" w:eastAsia="宋体" w:cs="Times New Roman"/>
          <w:color w:val="auto"/>
          <w:szCs w:val="24"/>
        </w:rPr>
        <w:t>易危（VU）物种1种，为豹猫，无局限分布于该区域的特有种类。</w:t>
      </w:r>
    </w:p>
    <w:p w14:paraId="172DD534">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239" w:name="_Toc18185"/>
      <w:bookmarkStart w:id="240" w:name="_Toc31148"/>
      <w:r>
        <w:rPr>
          <w:rFonts w:hint="default" w:ascii="Times New Roman" w:hAnsi="Times New Roman" w:eastAsia="宋体" w:cs="Times New Roman"/>
          <w:bCs w:val="0"/>
          <w:color w:val="auto"/>
          <w:kern w:val="0"/>
          <w:sz w:val="28"/>
          <w:szCs w:val="28"/>
          <w:lang w:val="zh-CN"/>
        </w:rPr>
        <w:t>2.5</w:t>
      </w:r>
      <w:r>
        <w:rPr>
          <w:rFonts w:hint="eastAsia" w:ascii="Times New Roman" w:hAnsi="Times New Roman" w:eastAsia="宋体" w:cs="Times New Roman"/>
          <w:bCs w:val="0"/>
          <w:color w:val="auto"/>
          <w:kern w:val="0"/>
          <w:sz w:val="28"/>
          <w:szCs w:val="28"/>
          <w:lang w:val="en-US" w:eastAsia="zh-CN"/>
        </w:rPr>
        <w:t>水生生态现状</w:t>
      </w:r>
      <w:bookmarkEnd w:id="239"/>
      <w:bookmarkEnd w:id="240"/>
    </w:p>
    <w:p w14:paraId="72A0CE63">
      <w:pPr>
        <w:pStyle w:val="102"/>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default" w:ascii="Times New Roman" w:hAnsi="Times New Roman" w:cs="Times New Roman"/>
          <w:color w:val="auto"/>
        </w:rPr>
      </w:pPr>
      <w:r>
        <w:rPr>
          <w:rFonts w:hint="default" w:ascii="Times New Roman" w:hAnsi="Times New Roman" w:cs="Times New Roman"/>
          <w:color w:val="auto"/>
        </w:rPr>
        <w:t>项目无涉水工程，在施工期污染物做到合理处置的前提下，工程建设对地表水无影响，因此本次评价不再对水生生态</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鱼类</w:t>
      </w:r>
      <w:r>
        <w:rPr>
          <w:rFonts w:hint="default" w:ascii="Times New Roman" w:hAnsi="Times New Roman" w:cs="Times New Roman"/>
          <w:color w:val="auto"/>
        </w:rPr>
        <w:t>进行调查评价。</w:t>
      </w:r>
    </w:p>
    <w:p w14:paraId="71416206">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241" w:name="_Toc20402"/>
      <w:bookmarkStart w:id="242" w:name="_Toc32211"/>
      <w:bookmarkStart w:id="243" w:name="_Toc12321"/>
      <w:r>
        <w:rPr>
          <w:rFonts w:hint="default" w:ascii="Times New Roman" w:hAnsi="Times New Roman" w:eastAsia="宋体" w:cs="Times New Roman"/>
          <w:bCs w:val="0"/>
          <w:color w:val="auto"/>
          <w:kern w:val="0"/>
          <w:sz w:val="28"/>
          <w:szCs w:val="28"/>
          <w:lang w:val="zh-CN"/>
        </w:rPr>
        <w:t>2.6 土地利用现状</w:t>
      </w:r>
      <w:bookmarkEnd w:id="241"/>
    </w:p>
    <w:p w14:paraId="745A743E">
      <w:pPr>
        <w:widowControl/>
        <w:adjustRightInd w:val="0"/>
        <w:spacing w:after="0"/>
        <w:ind w:firstLine="504"/>
        <w:textAlignment w:val="baseline"/>
        <w:rPr>
          <w:rFonts w:hint="default" w:ascii="Times New Roman" w:hAnsi="Times New Roman" w:cs="Times New Roman"/>
          <w:snapToGrid w:val="0"/>
          <w:color w:val="auto"/>
          <w:spacing w:val="6"/>
          <w:kern w:val="0"/>
          <w:szCs w:val="20"/>
        </w:rPr>
      </w:pPr>
      <w:r>
        <w:rPr>
          <w:rFonts w:hint="default" w:ascii="Times New Roman" w:hAnsi="Times New Roman" w:cs="Times New Roman"/>
          <w:snapToGrid w:val="0"/>
          <w:color w:val="auto"/>
          <w:spacing w:val="6"/>
          <w:kern w:val="0"/>
          <w:szCs w:val="20"/>
        </w:rPr>
        <w:t>评价区域土地利用现状基于高分辨率遥感影像利用GIS软件进行人工目视解译，遥感影像采用区域卫星影像作为解译基础底图。按照《环境影响评价技术导则生态影响》（HJ19-2022）要求，通过人工目视判读遥感影像及现场调查核实，将评价范围内的土地利用类型按GB/T21010-2017土地利用分类体系进行分类，形成土地利用现状矢量数据库，并以二级类型作为基础制图单位制作评价区域土地利用现状图。对评价范围内各土地利用类型面积进行统计分析，结果如下表所示。</w:t>
      </w:r>
    </w:p>
    <w:p w14:paraId="4D2A564C">
      <w:pPr>
        <w:widowControl/>
        <w:adjustRightInd w:val="0"/>
        <w:spacing w:after="0"/>
        <w:ind w:firstLine="504"/>
        <w:textAlignment w:val="baseline"/>
        <w:rPr>
          <w:rFonts w:hint="default" w:ascii="Times New Roman" w:hAnsi="Times New Roman" w:cs="Times New Roman"/>
          <w:snapToGrid w:val="0"/>
          <w:color w:val="auto"/>
          <w:spacing w:val="6"/>
          <w:kern w:val="0"/>
          <w:szCs w:val="20"/>
        </w:rPr>
      </w:pPr>
      <w:r>
        <w:rPr>
          <w:rFonts w:hint="default" w:ascii="Times New Roman" w:hAnsi="Times New Roman" w:cs="Times New Roman"/>
          <w:snapToGrid w:val="0"/>
          <w:color w:val="auto"/>
          <w:spacing w:val="6"/>
          <w:kern w:val="0"/>
          <w:szCs w:val="20"/>
        </w:rPr>
        <w:t>根据统计结果，评价区土地利用现状类型以乔木林地面积最大，面积为427.240hm²，占比达到39.85%；其次为灌木林地与旱地，面积分别为202.331hm²、223.380hm²，占比依次为18.87%、20.83%；其他草地面积169.206hm²，占比15.78%，为区域第四大土地利用类型。水田、水浇地、其他林地、农村宅基地、后备耕地、河流水面、农村道路、公路用地、铁路用地、设施农用地、特殊用地、城镇村道路、工业用地、坑塘水面、裸岩石砾地、裸土地、沟渠面积占比分别为 0.30%、0.02%、0.44%、1.15%、0.36%、0.58%、0.79%、0.54%、0.27%、0.14%、0.02%、0.01%、0.01%、0.01%、0.01%、0.01%、0.00%。</w:t>
      </w:r>
    </w:p>
    <w:p w14:paraId="6C3D917A">
      <w:pPr>
        <w:spacing w:after="0" w:line="240" w:lineRule="auto"/>
        <w:ind w:firstLine="0" w:firstLineChars="0"/>
        <w:jc w:val="center"/>
        <w:rPr>
          <w:rFonts w:hint="default" w:ascii="Times New Roman" w:hAnsi="Times New Roman" w:cs="Times New Roman"/>
          <w:b/>
          <w:bCs/>
          <w:color w:val="auto"/>
          <w:sz w:val="24"/>
          <w:szCs w:val="32"/>
        </w:rPr>
      </w:pPr>
      <w:r>
        <w:rPr>
          <w:rFonts w:hint="default" w:ascii="Times New Roman" w:hAnsi="Times New Roman" w:cs="Times New Roman"/>
          <w:b/>
          <w:bCs/>
          <w:color w:val="auto"/>
          <w:sz w:val="24"/>
          <w:szCs w:val="32"/>
        </w:rPr>
        <w:t>表2.</w:t>
      </w:r>
      <w:r>
        <w:rPr>
          <w:rFonts w:hint="eastAsia" w:ascii="Times New Roman" w:hAnsi="Times New Roman" w:cs="Times New Roman"/>
          <w:b/>
          <w:bCs/>
          <w:color w:val="auto"/>
          <w:sz w:val="24"/>
          <w:szCs w:val="32"/>
          <w:lang w:val="en-US" w:eastAsia="zh-CN"/>
        </w:rPr>
        <w:t>6</w:t>
      </w:r>
      <w:r>
        <w:rPr>
          <w:rFonts w:hint="default" w:ascii="Times New Roman" w:hAnsi="Times New Roman" w:cs="Times New Roman"/>
          <w:b/>
          <w:bCs/>
          <w:color w:val="auto"/>
          <w:sz w:val="24"/>
          <w:szCs w:val="32"/>
        </w:rPr>
        <w:t>-1</w:t>
      </w:r>
      <w:r>
        <w:rPr>
          <w:rFonts w:hint="eastAsia" w:ascii="Times New Roman" w:hAnsi="Times New Roman" w:cs="Times New Roman"/>
          <w:b/>
          <w:bCs/>
          <w:color w:val="auto"/>
          <w:sz w:val="24"/>
          <w:szCs w:val="32"/>
          <w:lang w:val="en-US" w:eastAsia="zh-CN"/>
        </w:rPr>
        <w:t xml:space="preserve">  </w:t>
      </w:r>
      <w:r>
        <w:rPr>
          <w:rFonts w:hint="default" w:ascii="Times New Roman" w:hAnsi="Times New Roman" w:cs="Times New Roman"/>
          <w:b/>
          <w:bCs/>
          <w:color w:val="auto"/>
          <w:sz w:val="24"/>
          <w:szCs w:val="32"/>
        </w:rPr>
        <w:t>评价区及占地区土地利用类型统计</w:t>
      </w:r>
    </w:p>
    <w:tbl>
      <w:tblPr>
        <w:tblStyle w:val="30"/>
        <w:tblW w:w="4999" w:type="pct"/>
        <w:tblInd w:w="0" w:type="dxa"/>
        <w:tblLayout w:type="autofit"/>
        <w:tblCellMar>
          <w:top w:w="0" w:type="dxa"/>
          <w:left w:w="108" w:type="dxa"/>
          <w:bottom w:w="0" w:type="dxa"/>
          <w:right w:w="108" w:type="dxa"/>
        </w:tblCellMar>
      </w:tblPr>
      <w:tblGrid>
        <w:gridCol w:w="2770"/>
        <w:gridCol w:w="2242"/>
        <w:gridCol w:w="2052"/>
        <w:gridCol w:w="1688"/>
      </w:tblGrid>
      <w:tr w14:paraId="798A88F6">
        <w:tblPrEx>
          <w:tblCellMar>
            <w:top w:w="0" w:type="dxa"/>
            <w:left w:w="108" w:type="dxa"/>
            <w:bottom w:w="0" w:type="dxa"/>
            <w:right w:w="108" w:type="dxa"/>
          </w:tblCellMar>
        </w:tblPrEx>
        <w:trPr>
          <w:trHeight w:val="285" w:hRule="atLeast"/>
        </w:trPr>
        <w:tc>
          <w:tcPr>
            <w:tcW w:w="1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2D66E">
            <w:pPr>
              <w:spacing w:after="0" w:line="240" w:lineRule="auto"/>
              <w:ind w:firstLine="0" w:firstLineChars="0"/>
              <w:jc w:val="center"/>
              <w:rPr>
                <w:rFonts w:hint="default" w:ascii="Times New Roman" w:hAnsi="Times New Roman" w:cs="Times New Roman"/>
                <w:b/>
                <w:bCs/>
                <w:color w:val="auto"/>
                <w:sz w:val="21"/>
                <w:szCs w:val="24"/>
              </w:rPr>
            </w:pPr>
            <w:r>
              <w:rPr>
                <w:rFonts w:hint="default" w:ascii="Times New Roman" w:hAnsi="Times New Roman" w:cs="Times New Roman"/>
                <w:b/>
                <w:bCs/>
                <w:color w:val="auto"/>
                <w:sz w:val="21"/>
                <w:szCs w:val="24"/>
              </w:rPr>
              <w:t>一级类</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8FD06">
            <w:pPr>
              <w:spacing w:after="0" w:line="240" w:lineRule="auto"/>
              <w:ind w:firstLine="0" w:firstLineChars="0"/>
              <w:jc w:val="center"/>
              <w:rPr>
                <w:rFonts w:hint="default" w:ascii="Times New Roman" w:hAnsi="Times New Roman" w:cs="Times New Roman"/>
                <w:b/>
                <w:bCs/>
                <w:color w:val="auto"/>
                <w:sz w:val="21"/>
                <w:szCs w:val="24"/>
              </w:rPr>
            </w:pPr>
            <w:r>
              <w:rPr>
                <w:rFonts w:hint="default" w:ascii="Times New Roman" w:hAnsi="Times New Roman" w:cs="Times New Roman"/>
                <w:b/>
                <w:bCs/>
                <w:color w:val="auto"/>
                <w:sz w:val="21"/>
                <w:szCs w:val="24"/>
              </w:rPr>
              <w:t>二级类</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F9875">
            <w:pPr>
              <w:spacing w:after="0" w:line="240" w:lineRule="auto"/>
              <w:ind w:firstLine="0" w:firstLineChars="0"/>
              <w:jc w:val="center"/>
              <w:rPr>
                <w:rFonts w:hint="default" w:ascii="Times New Roman" w:hAnsi="Times New Roman" w:cs="Times New Roman"/>
                <w:b/>
                <w:bCs/>
                <w:color w:val="auto"/>
                <w:sz w:val="21"/>
                <w:szCs w:val="24"/>
              </w:rPr>
            </w:pPr>
            <w:r>
              <w:rPr>
                <w:rFonts w:hint="default" w:ascii="Times New Roman" w:hAnsi="Times New Roman" w:cs="Times New Roman"/>
                <w:b/>
                <w:bCs/>
                <w:color w:val="auto"/>
                <w:sz w:val="21"/>
                <w:szCs w:val="24"/>
              </w:rPr>
              <w:t>评价区面积（hm</w:t>
            </w:r>
            <w:r>
              <w:rPr>
                <w:rFonts w:hint="default" w:ascii="Times New Roman" w:hAnsi="Times New Roman" w:cs="Times New Roman"/>
                <w:b/>
                <w:bCs/>
                <w:color w:val="auto"/>
                <w:sz w:val="21"/>
                <w:szCs w:val="24"/>
                <w:vertAlign w:val="superscript"/>
              </w:rPr>
              <w:t>2</w:t>
            </w:r>
            <w:r>
              <w:rPr>
                <w:rFonts w:hint="default" w:ascii="Times New Roman" w:hAnsi="Times New Roman" w:cs="Times New Roman"/>
                <w:b/>
                <w:bCs/>
                <w:color w:val="auto"/>
                <w:sz w:val="21"/>
                <w:szCs w:val="24"/>
              </w:rPr>
              <w:t>）</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8B312">
            <w:pPr>
              <w:spacing w:after="0" w:line="240" w:lineRule="auto"/>
              <w:ind w:firstLine="0" w:firstLineChars="0"/>
              <w:jc w:val="center"/>
              <w:rPr>
                <w:rFonts w:hint="default" w:ascii="Times New Roman" w:hAnsi="Times New Roman" w:cs="Times New Roman"/>
                <w:b/>
                <w:bCs/>
                <w:color w:val="auto"/>
                <w:sz w:val="21"/>
                <w:szCs w:val="24"/>
              </w:rPr>
            </w:pPr>
            <w:r>
              <w:rPr>
                <w:rFonts w:hint="default" w:ascii="Times New Roman" w:hAnsi="Times New Roman" w:cs="Times New Roman"/>
                <w:b/>
                <w:bCs/>
                <w:color w:val="auto"/>
                <w:sz w:val="21"/>
                <w:szCs w:val="24"/>
              </w:rPr>
              <w:t>百分比%</w:t>
            </w:r>
          </w:p>
        </w:tc>
      </w:tr>
      <w:tr w14:paraId="27959E04">
        <w:tblPrEx>
          <w:tblCellMar>
            <w:top w:w="0" w:type="dxa"/>
            <w:left w:w="108" w:type="dxa"/>
            <w:bottom w:w="0" w:type="dxa"/>
            <w:right w:w="108" w:type="dxa"/>
          </w:tblCellMar>
        </w:tblPrEx>
        <w:trPr>
          <w:trHeight w:val="270" w:hRule="atLeast"/>
        </w:trPr>
        <w:tc>
          <w:tcPr>
            <w:tcW w:w="163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533E3">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耕地</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4624F">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0101水田</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C382F">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3.263 </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4217E">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0.30 </w:t>
            </w:r>
          </w:p>
        </w:tc>
      </w:tr>
      <w:tr w14:paraId="68726290">
        <w:tblPrEx>
          <w:tblCellMar>
            <w:top w:w="0" w:type="dxa"/>
            <w:left w:w="108" w:type="dxa"/>
            <w:bottom w:w="0" w:type="dxa"/>
            <w:right w:w="108" w:type="dxa"/>
          </w:tblCellMar>
        </w:tblPrEx>
        <w:trPr>
          <w:trHeight w:val="285" w:hRule="atLeast"/>
        </w:trPr>
        <w:tc>
          <w:tcPr>
            <w:tcW w:w="16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BBE9E">
            <w:pPr>
              <w:spacing w:after="0" w:line="240" w:lineRule="auto"/>
              <w:ind w:firstLine="0" w:firstLineChars="0"/>
              <w:jc w:val="center"/>
              <w:rPr>
                <w:rFonts w:hint="default" w:ascii="Times New Roman" w:hAnsi="Times New Roman" w:cs="Times New Roman"/>
                <w:color w:val="auto"/>
                <w:sz w:val="21"/>
                <w:szCs w:val="24"/>
              </w:rPr>
            </w:pP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C91F5">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0102水浇地</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846B0">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0.166 </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C89E2">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0.02 </w:t>
            </w:r>
          </w:p>
        </w:tc>
      </w:tr>
      <w:tr w14:paraId="334C9D0D">
        <w:tblPrEx>
          <w:tblCellMar>
            <w:top w:w="0" w:type="dxa"/>
            <w:left w:w="108" w:type="dxa"/>
            <w:bottom w:w="0" w:type="dxa"/>
            <w:right w:w="108" w:type="dxa"/>
          </w:tblCellMar>
        </w:tblPrEx>
        <w:trPr>
          <w:trHeight w:val="285" w:hRule="atLeast"/>
        </w:trPr>
        <w:tc>
          <w:tcPr>
            <w:tcW w:w="16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C28C0">
            <w:pPr>
              <w:spacing w:after="0" w:line="240" w:lineRule="auto"/>
              <w:ind w:firstLine="0" w:firstLineChars="0"/>
              <w:jc w:val="center"/>
              <w:rPr>
                <w:rFonts w:hint="default" w:ascii="Times New Roman" w:hAnsi="Times New Roman" w:cs="Times New Roman"/>
                <w:color w:val="auto"/>
                <w:sz w:val="21"/>
                <w:szCs w:val="24"/>
              </w:rPr>
            </w:pP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3F996">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0103旱地</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AACF0">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223.380 </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92492">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20.83 </w:t>
            </w:r>
          </w:p>
        </w:tc>
      </w:tr>
      <w:tr w14:paraId="6FAEEA85">
        <w:tblPrEx>
          <w:tblCellMar>
            <w:top w:w="0" w:type="dxa"/>
            <w:left w:w="108" w:type="dxa"/>
            <w:bottom w:w="0" w:type="dxa"/>
            <w:right w:w="108" w:type="dxa"/>
          </w:tblCellMar>
        </w:tblPrEx>
        <w:trPr>
          <w:trHeight w:val="270" w:hRule="atLeast"/>
        </w:trPr>
        <w:tc>
          <w:tcPr>
            <w:tcW w:w="163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1D56A">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林地</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5073F">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0301乔木林地</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3B727">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427.240 </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64703">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39.85 </w:t>
            </w:r>
          </w:p>
        </w:tc>
      </w:tr>
      <w:tr w14:paraId="27B9830A">
        <w:tblPrEx>
          <w:tblCellMar>
            <w:top w:w="0" w:type="dxa"/>
            <w:left w:w="108" w:type="dxa"/>
            <w:bottom w:w="0" w:type="dxa"/>
            <w:right w:w="108" w:type="dxa"/>
          </w:tblCellMar>
        </w:tblPrEx>
        <w:trPr>
          <w:trHeight w:val="270" w:hRule="atLeast"/>
        </w:trPr>
        <w:tc>
          <w:tcPr>
            <w:tcW w:w="16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7E582">
            <w:pPr>
              <w:spacing w:after="0" w:line="240" w:lineRule="auto"/>
              <w:ind w:firstLine="0" w:firstLineChars="0"/>
              <w:jc w:val="center"/>
              <w:rPr>
                <w:rFonts w:hint="default" w:ascii="Times New Roman" w:hAnsi="Times New Roman" w:cs="Times New Roman"/>
                <w:color w:val="auto"/>
                <w:sz w:val="21"/>
                <w:szCs w:val="24"/>
              </w:rPr>
            </w:pP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C6300">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0305灌木林地</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EC85F">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202.331 </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9C864">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18.87 </w:t>
            </w:r>
          </w:p>
        </w:tc>
      </w:tr>
      <w:tr w14:paraId="6AF1339A">
        <w:tblPrEx>
          <w:tblCellMar>
            <w:top w:w="0" w:type="dxa"/>
            <w:left w:w="108" w:type="dxa"/>
            <w:bottom w:w="0" w:type="dxa"/>
            <w:right w:w="108" w:type="dxa"/>
          </w:tblCellMar>
        </w:tblPrEx>
        <w:trPr>
          <w:trHeight w:val="270" w:hRule="atLeast"/>
        </w:trPr>
        <w:tc>
          <w:tcPr>
            <w:tcW w:w="16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4E0E4">
            <w:pPr>
              <w:spacing w:after="0" w:line="240" w:lineRule="auto"/>
              <w:ind w:firstLine="0" w:firstLineChars="0"/>
              <w:jc w:val="center"/>
              <w:rPr>
                <w:rFonts w:hint="default" w:ascii="Times New Roman" w:hAnsi="Times New Roman" w:cs="Times New Roman"/>
                <w:color w:val="auto"/>
                <w:sz w:val="21"/>
                <w:szCs w:val="24"/>
              </w:rPr>
            </w:pP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43E87">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0307其他林地</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FA79E">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4.730 </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E4BDD">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0.44 </w:t>
            </w:r>
          </w:p>
        </w:tc>
      </w:tr>
      <w:tr w14:paraId="536D853B">
        <w:tblPrEx>
          <w:tblCellMar>
            <w:top w:w="0" w:type="dxa"/>
            <w:left w:w="108" w:type="dxa"/>
            <w:bottom w:w="0" w:type="dxa"/>
            <w:right w:w="108" w:type="dxa"/>
          </w:tblCellMar>
        </w:tblPrEx>
        <w:trPr>
          <w:trHeight w:val="270" w:hRule="atLeast"/>
        </w:trPr>
        <w:tc>
          <w:tcPr>
            <w:tcW w:w="1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57E60">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草地</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E0436">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0404其他草地</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47591">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169.206 </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F0F5F">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15.78 </w:t>
            </w:r>
          </w:p>
        </w:tc>
      </w:tr>
      <w:tr w14:paraId="31D5D579">
        <w:tblPrEx>
          <w:tblCellMar>
            <w:top w:w="0" w:type="dxa"/>
            <w:left w:w="108" w:type="dxa"/>
            <w:bottom w:w="0" w:type="dxa"/>
            <w:right w:w="108" w:type="dxa"/>
          </w:tblCellMar>
        </w:tblPrEx>
        <w:trPr>
          <w:trHeight w:val="270" w:hRule="atLeast"/>
        </w:trPr>
        <w:tc>
          <w:tcPr>
            <w:tcW w:w="1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CFA7B">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工矿仓储用地</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2168D">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0601工业用地</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7FF35">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0.133 </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661E2">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0.01 </w:t>
            </w:r>
          </w:p>
        </w:tc>
      </w:tr>
      <w:tr w14:paraId="73A2392C">
        <w:tblPrEx>
          <w:tblCellMar>
            <w:top w:w="0" w:type="dxa"/>
            <w:left w:w="108" w:type="dxa"/>
            <w:bottom w:w="0" w:type="dxa"/>
            <w:right w:w="108" w:type="dxa"/>
          </w:tblCellMar>
        </w:tblPrEx>
        <w:trPr>
          <w:trHeight w:val="270" w:hRule="atLeast"/>
        </w:trPr>
        <w:tc>
          <w:tcPr>
            <w:tcW w:w="1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B4989">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住宅用地</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11104">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0702农村宅基地</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6B739">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12.279 </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FC76C">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1.15 </w:t>
            </w:r>
          </w:p>
        </w:tc>
      </w:tr>
      <w:tr w14:paraId="4E46FBC8">
        <w:tblPrEx>
          <w:tblCellMar>
            <w:top w:w="0" w:type="dxa"/>
            <w:left w:w="108" w:type="dxa"/>
            <w:bottom w:w="0" w:type="dxa"/>
            <w:right w:w="108" w:type="dxa"/>
          </w:tblCellMar>
        </w:tblPrEx>
        <w:trPr>
          <w:trHeight w:val="270" w:hRule="atLeast"/>
        </w:trPr>
        <w:tc>
          <w:tcPr>
            <w:tcW w:w="296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83D01">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09特殊用地</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9181E">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0.217 </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F1F0C">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0.02 </w:t>
            </w:r>
          </w:p>
        </w:tc>
      </w:tr>
      <w:tr w14:paraId="05A1D556">
        <w:tblPrEx>
          <w:tblCellMar>
            <w:top w:w="0" w:type="dxa"/>
            <w:left w:w="108" w:type="dxa"/>
            <w:bottom w:w="0" w:type="dxa"/>
            <w:right w:w="108" w:type="dxa"/>
          </w:tblCellMar>
        </w:tblPrEx>
        <w:trPr>
          <w:trHeight w:val="270" w:hRule="atLeast"/>
        </w:trPr>
        <w:tc>
          <w:tcPr>
            <w:tcW w:w="163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5FB34">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交通运输用地</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2C1AB">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1001铁路用地</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CBDC5">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2.870 </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92A21">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0.27 </w:t>
            </w:r>
          </w:p>
        </w:tc>
      </w:tr>
      <w:tr w14:paraId="137162D1">
        <w:tblPrEx>
          <w:tblCellMar>
            <w:top w:w="0" w:type="dxa"/>
            <w:left w:w="108" w:type="dxa"/>
            <w:bottom w:w="0" w:type="dxa"/>
            <w:right w:w="108" w:type="dxa"/>
          </w:tblCellMar>
        </w:tblPrEx>
        <w:trPr>
          <w:trHeight w:val="270" w:hRule="atLeast"/>
        </w:trPr>
        <w:tc>
          <w:tcPr>
            <w:tcW w:w="16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1F133">
            <w:pPr>
              <w:spacing w:after="0" w:line="240" w:lineRule="auto"/>
              <w:ind w:firstLine="0" w:firstLineChars="0"/>
              <w:jc w:val="center"/>
              <w:rPr>
                <w:rFonts w:hint="default" w:ascii="Times New Roman" w:hAnsi="Times New Roman" w:cs="Times New Roman"/>
                <w:color w:val="auto"/>
                <w:sz w:val="21"/>
                <w:szCs w:val="24"/>
              </w:rPr>
            </w:pP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F0AC5">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1003公路用地</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CE7DB">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5.788 </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7908D">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0.54 </w:t>
            </w:r>
          </w:p>
        </w:tc>
      </w:tr>
      <w:tr w14:paraId="286BE017">
        <w:tblPrEx>
          <w:tblCellMar>
            <w:top w:w="0" w:type="dxa"/>
            <w:left w:w="108" w:type="dxa"/>
            <w:bottom w:w="0" w:type="dxa"/>
            <w:right w:w="108" w:type="dxa"/>
          </w:tblCellMar>
        </w:tblPrEx>
        <w:trPr>
          <w:trHeight w:val="270" w:hRule="atLeast"/>
        </w:trPr>
        <w:tc>
          <w:tcPr>
            <w:tcW w:w="16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8AD7C">
            <w:pPr>
              <w:spacing w:after="0" w:line="240" w:lineRule="auto"/>
              <w:ind w:firstLine="0" w:firstLineChars="0"/>
              <w:jc w:val="center"/>
              <w:rPr>
                <w:rFonts w:hint="default" w:ascii="Times New Roman" w:hAnsi="Times New Roman" w:cs="Times New Roman"/>
                <w:color w:val="auto"/>
                <w:sz w:val="21"/>
                <w:szCs w:val="24"/>
              </w:rPr>
            </w:pP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46BC7">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1004城镇村道路</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78356">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0.067 </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67679">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0.01 </w:t>
            </w:r>
          </w:p>
        </w:tc>
      </w:tr>
      <w:tr w14:paraId="135C5B02">
        <w:tblPrEx>
          <w:tblCellMar>
            <w:top w:w="0" w:type="dxa"/>
            <w:left w:w="108" w:type="dxa"/>
            <w:bottom w:w="0" w:type="dxa"/>
            <w:right w:w="108" w:type="dxa"/>
          </w:tblCellMar>
        </w:tblPrEx>
        <w:trPr>
          <w:trHeight w:val="270" w:hRule="atLeast"/>
        </w:trPr>
        <w:tc>
          <w:tcPr>
            <w:tcW w:w="16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0ADEB">
            <w:pPr>
              <w:spacing w:after="0" w:line="240" w:lineRule="auto"/>
              <w:ind w:firstLine="0" w:firstLineChars="0"/>
              <w:jc w:val="center"/>
              <w:rPr>
                <w:rFonts w:hint="default" w:ascii="Times New Roman" w:hAnsi="Times New Roman" w:cs="Times New Roman"/>
                <w:color w:val="auto"/>
                <w:sz w:val="21"/>
                <w:szCs w:val="24"/>
              </w:rPr>
            </w:pP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CE8DC">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1006农村道路</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E2D9F">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8.501 </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8DD3D">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0.79 </w:t>
            </w:r>
          </w:p>
        </w:tc>
      </w:tr>
      <w:tr w14:paraId="5FD726C3">
        <w:tblPrEx>
          <w:tblCellMar>
            <w:top w:w="0" w:type="dxa"/>
            <w:left w:w="108" w:type="dxa"/>
            <w:bottom w:w="0" w:type="dxa"/>
            <w:right w:w="108" w:type="dxa"/>
          </w:tblCellMar>
        </w:tblPrEx>
        <w:trPr>
          <w:trHeight w:val="270" w:hRule="atLeast"/>
        </w:trPr>
        <w:tc>
          <w:tcPr>
            <w:tcW w:w="163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C1A4A">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水域及水利设施用地</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97C6D">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1101河流水面</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71886">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6.212 </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485A0">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0.58 </w:t>
            </w:r>
          </w:p>
        </w:tc>
      </w:tr>
      <w:tr w14:paraId="3726D76E">
        <w:tblPrEx>
          <w:tblCellMar>
            <w:top w:w="0" w:type="dxa"/>
            <w:left w:w="108" w:type="dxa"/>
            <w:bottom w:w="0" w:type="dxa"/>
            <w:right w:w="108" w:type="dxa"/>
          </w:tblCellMar>
        </w:tblPrEx>
        <w:trPr>
          <w:trHeight w:val="285" w:hRule="atLeast"/>
        </w:trPr>
        <w:tc>
          <w:tcPr>
            <w:tcW w:w="16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6E64C">
            <w:pPr>
              <w:spacing w:after="0" w:line="240" w:lineRule="auto"/>
              <w:ind w:firstLine="0" w:firstLineChars="0"/>
              <w:jc w:val="center"/>
              <w:rPr>
                <w:rFonts w:hint="default" w:ascii="Times New Roman" w:hAnsi="Times New Roman" w:cs="Times New Roman"/>
                <w:color w:val="auto"/>
                <w:sz w:val="21"/>
                <w:szCs w:val="24"/>
              </w:rPr>
            </w:pP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DDB2F">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1104坑塘水面</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E714B">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0.133 </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D0E35">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0.01 </w:t>
            </w:r>
          </w:p>
        </w:tc>
      </w:tr>
      <w:tr w14:paraId="1470414C">
        <w:tblPrEx>
          <w:tblCellMar>
            <w:top w:w="0" w:type="dxa"/>
            <w:left w:w="108" w:type="dxa"/>
            <w:bottom w:w="0" w:type="dxa"/>
            <w:right w:w="108" w:type="dxa"/>
          </w:tblCellMar>
        </w:tblPrEx>
        <w:trPr>
          <w:trHeight w:val="285" w:hRule="atLeast"/>
        </w:trPr>
        <w:tc>
          <w:tcPr>
            <w:tcW w:w="16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35812">
            <w:pPr>
              <w:spacing w:after="0" w:line="240" w:lineRule="auto"/>
              <w:ind w:firstLine="0" w:firstLineChars="0"/>
              <w:jc w:val="center"/>
              <w:rPr>
                <w:rFonts w:hint="default" w:ascii="Times New Roman" w:hAnsi="Times New Roman" w:cs="Times New Roman"/>
                <w:color w:val="auto"/>
                <w:sz w:val="21"/>
                <w:szCs w:val="24"/>
              </w:rPr>
            </w:pP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6A4D3">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1107沟渠</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DF6E9">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0.051 </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634B0">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0.00 </w:t>
            </w:r>
          </w:p>
        </w:tc>
      </w:tr>
      <w:tr w14:paraId="70A54BA0">
        <w:tblPrEx>
          <w:tblCellMar>
            <w:top w:w="0" w:type="dxa"/>
            <w:left w:w="108" w:type="dxa"/>
            <w:bottom w:w="0" w:type="dxa"/>
            <w:right w:w="108" w:type="dxa"/>
          </w:tblCellMar>
        </w:tblPrEx>
        <w:trPr>
          <w:trHeight w:val="285" w:hRule="atLeast"/>
        </w:trPr>
        <w:tc>
          <w:tcPr>
            <w:tcW w:w="163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5AFAA">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其他土地</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0E94B">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1202设施农用地</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2C899">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1.503 </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67437">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0.14 </w:t>
            </w:r>
          </w:p>
        </w:tc>
      </w:tr>
      <w:tr w14:paraId="35D5B29F">
        <w:tblPrEx>
          <w:tblCellMar>
            <w:top w:w="0" w:type="dxa"/>
            <w:left w:w="108" w:type="dxa"/>
            <w:bottom w:w="0" w:type="dxa"/>
            <w:right w:w="108" w:type="dxa"/>
          </w:tblCellMar>
        </w:tblPrEx>
        <w:trPr>
          <w:trHeight w:val="285" w:hRule="atLeast"/>
        </w:trPr>
        <w:tc>
          <w:tcPr>
            <w:tcW w:w="16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33DD4">
            <w:pPr>
              <w:spacing w:after="0" w:line="240" w:lineRule="auto"/>
              <w:ind w:firstLine="0" w:firstLineChars="0"/>
              <w:jc w:val="center"/>
              <w:rPr>
                <w:rFonts w:hint="default" w:ascii="Times New Roman" w:hAnsi="Times New Roman" w:cs="Times New Roman"/>
                <w:color w:val="auto"/>
                <w:sz w:val="21"/>
                <w:szCs w:val="24"/>
              </w:rPr>
            </w:pP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79580">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1206裸土地</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F4523">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0.108 </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C304D">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0.01 </w:t>
            </w:r>
          </w:p>
        </w:tc>
      </w:tr>
      <w:tr w14:paraId="3A480504">
        <w:tblPrEx>
          <w:tblCellMar>
            <w:top w:w="0" w:type="dxa"/>
            <w:left w:w="108" w:type="dxa"/>
            <w:bottom w:w="0" w:type="dxa"/>
            <w:right w:w="108" w:type="dxa"/>
          </w:tblCellMar>
        </w:tblPrEx>
        <w:trPr>
          <w:trHeight w:val="285" w:hRule="atLeast"/>
        </w:trPr>
        <w:tc>
          <w:tcPr>
            <w:tcW w:w="16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23D86">
            <w:pPr>
              <w:spacing w:after="0" w:line="240" w:lineRule="auto"/>
              <w:ind w:firstLine="0" w:firstLineChars="0"/>
              <w:jc w:val="center"/>
              <w:rPr>
                <w:rFonts w:hint="default" w:ascii="Times New Roman" w:hAnsi="Times New Roman" w:cs="Times New Roman"/>
                <w:color w:val="auto"/>
                <w:sz w:val="21"/>
                <w:szCs w:val="24"/>
              </w:rPr>
            </w:pP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F2DA0">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1207裸岩石砾地</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614D7">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0.149 </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A3B0D">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0.01 </w:t>
            </w:r>
          </w:p>
        </w:tc>
      </w:tr>
      <w:tr w14:paraId="7550FF51">
        <w:tblPrEx>
          <w:tblCellMar>
            <w:top w:w="0" w:type="dxa"/>
            <w:left w:w="108" w:type="dxa"/>
            <w:bottom w:w="0" w:type="dxa"/>
            <w:right w:w="108" w:type="dxa"/>
          </w:tblCellMar>
        </w:tblPrEx>
        <w:trPr>
          <w:trHeight w:val="285" w:hRule="atLeast"/>
        </w:trPr>
        <w:tc>
          <w:tcPr>
            <w:tcW w:w="16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53321">
            <w:pPr>
              <w:spacing w:after="0" w:line="240" w:lineRule="auto"/>
              <w:ind w:firstLine="0" w:firstLineChars="0"/>
              <w:jc w:val="center"/>
              <w:rPr>
                <w:rFonts w:hint="default" w:ascii="Times New Roman" w:hAnsi="Times New Roman" w:cs="Times New Roman"/>
                <w:color w:val="auto"/>
                <w:sz w:val="21"/>
                <w:szCs w:val="24"/>
              </w:rPr>
            </w:pP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78089">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1208后备耕地</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AD1DF">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3.857 </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24A81">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0.36 </w:t>
            </w:r>
          </w:p>
        </w:tc>
      </w:tr>
      <w:tr w14:paraId="79F099C1">
        <w:tblPrEx>
          <w:tblCellMar>
            <w:top w:w="0" w:type="dxa"/>
            <w:left w:w="108" w:type="dxa"/>
            <w:bottom w:w="0" w:type="dxa"/>
            <w:right w:w="108" w:type="dxa"/>
          </w:tblCellMar>
        </w:tblPrEx>
        <w:trPr>
          <w:trHeight w:val="285" w:hRule="atLeast"/>
        </w:trPr>
        <w:tc>
          <w:tcPr>
            <w:tcW w:w="1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FB911">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合计</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B97B8">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83FD1">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1072.183 </w:t>
            </w:r>
          </w:p>
        </w:tc>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503D4">
            <w:pPr>
              <w:spacing w:after="0" w:line="240" w:lineRule="auto"/>
              <w:ind w:firstLine="0" w:firstLineChars="0"/>
              <w:jc w:val="center"/>
              <w:rPr>
                <w:rFonts w:hint="default" w:ascii="Times New Roman" w:hAnsi="Times New Roman" w:cs="Times New Roman"/>
                <w:color w:val="auto"/>
                <w:sz w:val="21"/>
                <w:szCs w:val="24"/>
              </w:rPr>
            </w:pPr>
            <w:r>
              <w:rPr>
                <w:rFonts w:hint="default" w:ascii="Times New Roman" w:hAnsi="Times New Roman" w:cs="Times New Roman"/>
                <w:color w:val="auto"/>
                <w:sz w:val="21"/>
                <w:szCs w:val="24"/>
              </w:rPr>
              <w:t xml:space="preserve">100.00 </w:t>
            </w:r>
          </w:p>
        </w:tc>
      </w:tr>
    </w:tbl>
    <w:p w14:paraId="3655E7E6">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244" w:name="_Toc28315"/>
      <w:r>
        <w:rPr>
          <w:rFonts w:hint="default" w:ascii="Times New Roman" w:hAnsi="Times New Roman" w:eastAsia="宋体" w:cs="Times New Roman"/>
          <w:bCs w:val="0"/>
          <w:color w:val="auto"/>
          <w:kern w:val="0"/>
          <w:sz w:val="28"/>
          <w:szCs w:val="28"/>
          <w:lang w:val="zh-CN"/>
        </w:rPr>
        <w:t>2.7 景观及生态系统环境现状</w:t>
      </w:r>
      <w:bookmarkEnd w:id="242"/>
      <w:bookmarkEnd w:id="244"/>
    </w:p>
    <w:p w14:paraId="18AE44B7">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45" w:name="_Toc4413"/>
      <w:r>
        <w:rPr>
          <w:rFonts w:hint="default" w:ascii="Times New Roman" w:hAnsi="Times New Roman" w:cs="Times New Roman"/>
          <w:color w:val="auto"/>
          <w:sz w:val="24"/>
          <w:szCs w:val="24"/>
        </w:rPr>
        <w:t>2.7.1景观系统现状</w:t>
      </w:r>
      <w:bookmarkEnd w:id="245"/>
    </w:p>
    <w:p w14:paraId="708ED201">
      <w:pPr>
        <w:adjustRightInd w:val="0"/>
        <w:snapToGrid w:val="0"/>
        <w:spacing w:after="0" w:line="440" w:lineRule="exact"/>
        <w:ind w:firstLine="480"/>
        <w:rPr>
          <w:rFonts w:hint="default" w:ascii="Times New Roman" w:hAnsi="Times New Roman" w:eastAsia="宋体" w:cs="Times New Roman"/>
          <w:color w:val="auto"/>
          <w:szCs w:val="24"/>
          <w14:ligatures w14:val="standardContextual"/>
        </w:rPr>
      </w:pPr>
      <w:r>
        <w:rPr>
          <w:rFonts w:hint="default" w:ascii="Times New Roman" w:hAnsi="Times New Roman" w:eastAsia="宋体" w:cs="Times New Roman"/>
          <w:color w:val="auto"/>
          <w:szCs w:val="24"/>
          <w14:ligatures w14:val="standardContextual"/>
        </w:rPr>
        <w:t>评价区内生态系统可分为森林生态系统、农田生态系统等。这些不同的景观系统按其内在的规律整合在一起，形成和评价区内统一的景观体系。景观质量的优劣取决于景观要素的性质与特征，以及景观的结构和时空格局的特征。景观生态系统的稳定性取决于景观生态系统稳定程度和系统干扰程度两大方面。若干扰程度大于稳定程度，景观生态系统趋于非稳定态，景观生态质量较低；若干扰程度小于稳定程度，景观生态系统趋于稳定态，景观生态质量较高。一般来说，森林比灌丛和灌草丛有更为复杂的群落结构、更高的生物生产力，同样其生态潜力也较高，对环境质量的影响也更大。农田及其他人工群落，具有结构简单、种类单一、靠人工施肥和管理维持等特点，因此相对于自然植被来说，自身的稳定性与对外界干扰的抵抗力都较弱。</w:t>
      </w:r>
    </w:p>
    <w:p w14:paraId="321B730A">
      <w:pPr>
        <w:adjustRightInd w:val="0"/>
        <w:snapToGrid w:val="0"/>
        <w:spacing w:after="0" w:line="440" w:lineRule="exact"/>
        <w:ind w:firstLine="480"/>
        <w:rPr>
          <w:rFonts w:hint="default" w:ascii="Times New Roman" w:hAnsi="Times New Roman" w:eastAsia="宋体" w:cs="Times New Roman"/>
          <w:color w:val="auto"/>
          <w:szCs w:val="24"/>
          <w14:ligatures w14:val="standardContextual"/>
        </w:rPr>
      </w:pPr>
      <w:r>
        <w:rPr>
          <w:rFonts w:hint="default" w:ascii="Times New Roman" w:hAnsi="Times New Roman" w:eastAsia="宋体" w:cs="Times New Roman"/>
          <w:color w:val="auto"/>
          <w:szCs w:val="24"/>
          <w14:ligatures w14:val="standardContextual"/>
        </w:rPr>
        <w:t>在植被类型划分的基础上，根据遥感影像的色彩和色调的变化，确定满足评价要求的景观上图单元类型，根据评价区生态环境和植被组成的具体情况，评价区划分为10类基于遥感判读的景观生态类型。</w:t>
      </w:r>
    </w:p>
    <w:p w14:paraId="62191814">
      <w:pPr>
        <w:adjustRightInd w:val="0"/>
        <w:snapToGrid w:val="0"/>
        <w:spacing w:after="0" w:line="240" w:lineRule="auto"/>
        <w:ind w:firstLine="0" w:firstLineChars="0"/>
        <w:jc w:val="center"/>
        <w:rPr>
          <w:rFonts w:hint="default" w:ascii="Times New Roman" w:hAnsi="Times New Roman" w:eastAsia="宋体" w:cs="Times New Roman"/>
          <w:b/>
          <w:bCs/>
          <w:color w:val="auto"/>
          <w:szCs w:val="30"/>
          <w14:ligatures w14:val="standardContextual"/>
        </w:rPr>
      </w:pPr>
      <w:r>
        <w:rPr>
          <w:rFonts w:hint="default" w:ascii="Times New Roman" w:hAnsi="Times New Roman" w:eastAsia="宋体" w:cs="Times New Roman"/>
          <w:b/>
          <w:bCs/>
          <w:color w:val="auto"/>
          <w:szCs w:val="30"/>
          <w14:ligatures w14:val="standardContextual"/>
        </w:rPr>
        <w:t>表2.</w:t>
      </w:r>
      <w:r>
        <w:rPr>
          <w:rFonts w:hint="eastAsia" w:ascii="Times New Roman" w:hAnsi="Times New Roman" w:eastAsia="宋体" w:cs="Times New Roman"/>
          <w:b/>
          <w:bCs/>
          <w:color w:val="auto"/>
          <w:szCs w:val="30"/>
          <w:lang w:val="en-US" w:eastAsia="zh-CN"/>
          <w14:ligatures w14:val="standardContextual"/>
        </w:rPr>
        <w:t>7</w:t>
      </w:r>
      <w:r>
        <w:rPr>
          <w:rFonts w:hint="default" w:ascii="Times New Roman" w:hAnsi="Times New Roman" w:eastAsia="宋体" w:cs="Times New Roman"/>
          <w:b/>
          <w:bCs/>
          <w:color w:val="auto"/>
          <w:szCs w:val="30"/>
          <w14:ligatures w14:val="standardContextual"/>
        </w:rPr>
        <w:t>-</w:t>
      </w:r>
      <w:r>
        <w:rPr>
          <w:rFonts w:hint="eastAsia" w:ascii="Times New Roman" w:hAnsi="Times New Roman" w:eastAsia="宋体" w:cs="Times New Roman"/>
          <w:b/>
          <w:bCs/>
          <w:color w:val="auto"/>
          <w:szCs w:val="30"/>
          <w:lang w:val="en-US" w:eastAsia="zh-CN"/>
          <w14:ligatures w14:val="standardContextual"/>
        </w:rPr>
        <w:t>1</w:t>
      </w:r>
      <w:r>
        <w:rPr>
          <w:rFonts w:hint="default" w:ascii="Times New Roman" w:hAnsi="Times New Roman" w:eastAsia="宋体" w:cs="Times New Roman"/>
          <w:b/>
          <w:bCs/>
          <w:color w:val="auto"/>
          <w:szCs w:val="30"/>
          <w14:ligatures w14:val="standardContextual"/>
        </w:rPr>
        <w:t xml:space="preserve">  评价区景观面积组成</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2"/>
        <w:gridCol w:w="1470"/>
        <w:gridCol w:w="1486"/>
        <w:gridCol w:w="1486"/>
        <w:gridCol w:w="1486"/>
      </w:tblGrid>
      <w:tr w14:paraId="1FBEC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612" w:type="pct"/>
            <w:shd w:val="clear" w:color="auto" w:fill="auto"/>
            <w:noWrap/>
            <w:vAlign w:val="center"/>
          </w:tcPr>
          <w:p w14:paraId="77BDA21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景观类型</w:t>
            </w:r>
          </w:p>
        </w:tc>
        <w:tc>
          <w:tcPr>
            <w:tcW w:w="840" w:type="pct"/>
            <w:shd w:val="clear" w:color="auto" w:fill="auto"/>
            <w:noWrap/>
            <w:vAlign w:val="center"/>
          </w:tcPr>
          <w:p w14:paraId="41010D2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缀块数</w:t>
            </w:r>
          </w:p>
        </w:tc>
        <w:tc>
          <w:tcPr>
            <w:tcW w:w="849" w:type="pct"/>
            <w:shd w:val="clear" w:color="auto" w:fill="auto"/>
            <w:noWrap/>
            <w:vAlign w:val="center"/>
          </w:tcPr>
          <w:p w14:paraId="60614F5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缀块（%）</w:t>
            </w:r>
          </w:p>
        </w:tc>
        <w:tc>
          <w:tcPr>
            <w:tcW w:w="849" w:type="pct"/>
            <w:shd w:val="clear" w:color="auto" w:fill="auto"/>
            <w:vAlign w:val="center"/>
          </w:tcPr>
          <w:p w14:paraId="102D270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面积（hm</w:t>
            </w:r>
            <w:r>
              <w:rPr>
                <w:rFonts w:hint="default" w:ascii="Times New Roman" w:hAnsi="Times New Roman" w:eastAsia="宋体" w:cs="Times New Roman"/>
                <w:b/>
                <w:bCs/>
                <w:color w:val="auto"/>
                <w:sz w:val="21"/>
                <w:szCs w:val="21"/>
                <w:vertAlign w:val="superscript"/>
              </w:rPr>
              <w:t>2</w:t>
            </w:r>
            <w:r>
              <w:rPr>
                <w:rFonts w:hint="default" w:ascii="Times New Roman" w:hAnsi="Times New Roman" w:eastAsia="宋体" w:cs="Times New Roman"/>
                <w:b/>
                <w:bCs/>
                <w:color w:val="auto"/>
                <w:sz w:val="21"/>
                <w:szCs w:val="21"/>
              </w:rPr>
              <w:t>）</w:t>
            </w:r>
          </w:p>
        </w:tc>
        <w:tc>
          <w:tcPr>
            <w:tcW w:w="849" w:type="pct"/>
            <w:shd w:val="clear" w:color="auto" w:fill="auto"/>
            <w:noWrap/>
            <w:vAlign w:val="center"/>
          </w:tcPr>
          <w:p w14:paraId="2F3F056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面积（%）</w:t>
            </w:r>
          </w:p>
        </w:tc>
      </w:tr>
      <w:tr w14:paraId="29B38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612" w:type="pct"/>
            <w:shd w:val="clear" w:color="auto" w:fill="auto"/>
            <w:noWrap/>
            <w:vAlign w:val="center"/>
          </w:tcPr>
          <w:p w14:paraId="744A5E4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暖温性针叶林景观</w:t>
            </w:r>
          </w:p>
        </w:tc>
        <w:tc>
          <w:tcPr>
            <w:tcW w:w="840" w:type="pct"/>
            <w:shd w:val="clear" w:color="auto" w:fill="auto"/>
            <w:noWrap/>
            <w:vAlign w:val="center"/>
          </w:tcPr>
          <w:p w14:paraId="6411021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96 </w:t>
            </w:r>
          </w:p>
        </w:tc>
        <w:tc>
          <w:tcPr>
            <w:tcW w:w="849" w:type="pct"/>
            <w:shd w:val="clear" w:color="auto" w:fill="auto"/>
            <w:noWrap/>
            <w:vAlign w:val="center"/>
          </w:tcPr>
          <w:p w14:paraId="7B8952A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14.08 </w:t>
            </w:r>
          </w:p>
        </w:tc>
        <w:tc>
          <w:tcPr>
            <w:tcW w:w="849" w:type="pct"/>
            <w:shd w:val="clear" w:color="auto" w:fill="auto"/>
            <w:noWrap/>
            <w:vAlign w:val="center"/>
          </w:tcPr>
          <w:p w14:paraId="5E3533B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427.240 </w:t>
            </w:r>
          </w:p>
        </w:tc>
        <w:tc>
          <w:tcPr>
            <w:tcW w:w="849" w:type="pct"/>
            <w:shd w:val="clear" w:color="auto" w:fill="auto"/>
            <w:noWrap/>
            <w:vAlign w:val="center"/>
          </w:tcPr>
          <w:p w14:paraId="3A0D424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39.85 </w:t>
            </w:r>
          </w:p>
        </w:tc>
      </w:tr>
      <w:tr w14:paraId="78C8A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612" w:type="pct"/>
            <w:shd w:val="clear" w:color="auto" w:fill="auto"/>
            <w:vAlign w:val="center"/>
          </w:tcPr>
          <w:p w14:paraId="66EE972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暖性石灰岩灌丛景观</w:t>
            </w:r>
          </w:p>
        </w:tc>
        <w:tc>
          <w:tcPr>
            <w:tcW w:w="840" w:type="pct"/>
            <w:shd w:val="clear" w:color="auto" w:fill="auto"/>
            <w:noWrap/>
            <w:vAlign w:val="center"/>
          </w:tcPr>
          <w:p w14:paraId="6A2AD5D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95 </w:t>
            </w:r>
          </w:p>
        </w:tc>
        <w:tc>
          <w:tcPr>
            <w:tcW w:w="849" w:type="pct"/>
            <w:shd w:val="clear" w:color="auto" w:fill="auto"/>
            <w:noWrap/>
            <w:vAlign w:val="center"/>
          </w:tcPr>
          <w:p w14:paraId="085B7FC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13.93 </w:t>
            </w:r>
          </w:p>
        </w:tc>
        <w:tc>
          <w:tcPr>
            <w:tcW w:w="849" w:type="pct"/>
            <w:shd w:val="clear" w:color="auto" w:fill="auto"/>
            <w:noWrap/>
            <w:vAlign w:val="center"/>
          </w:tcPr>
          <w:p w14:paraId="39422F9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202.331 </w:t>
            </w:r>
          </w:p>
        </w:tc>
        <w:tc>
          <w:tcPr>
            <w:tcW w:w="849" w:type="pct"/>
            <w:shd w:val="clear" w:color="auto" w:fill="auto"/>
            <w:noWrap/>
            <w:vAlign w:val="center"/>
          </w:tcPr>
          <w:p w14:paraId="3B27969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18.87 </w:t>
            </w:r>
          </w:p>
        </w:tc>
      </w:tr>
      <w:tr w14:paraId="19ACD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612" w:type="pct"/>
            <w:shd w:val="clear" w:color="auto" w:fill="auto"/>
            <w:vAlign w:val="center"/>
          </w:tcPr>
          <w:p w14:paraId="43F60C3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暖温性稀树灌木草丛景观</w:t>
            </w:r>
          </w:p>
        </w:tc>
        <w:tc>
          <w:tcPr>
            <w:tcW w:w="840" w:type="pct"/>
            <w:shd w:val="clear" w:color="auto" w:fill="auto"/>
            <w:noWrap/>
            <w:vAlign w:val="center"/>
          </w:tcPr>
          <w:p w14:paraId="513FD36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73 </w:t>
            </w:r>
          </w:p>
        </w:tc>
        <w:tc>
          <w:tcPr>
            <w:tcW w:w="849" w:type="pct"/>
            <w:shd w:val="clear" w:color="auto" w:fill="auto"/>
            <w:noWrap/>
            <w:vAlign w:val="center"/>
          </w:tcPr>
          <w:p w14:paraId="189EEBF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10.70 </w:t>
            </w:r>
          </w:p>
        </w:tc>
        <w:tc>
          <w:tcPr>
            <w:tcW w:w="849" w:type="pct"/>
            <w:shd w:val="clear" w:color="auto" w:fill="auto"/>
            <w:noWrap/>
            <w:vAlign w:val="center"/>
          </w:tcPr>
          <w:p w14:paraId="23CE533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169.206 </w:t>
            </w:r>
          </w:p>
        </w:tc>
        <w:tc>
          <w:tcPr>
            <w:tcW w:w="849" w:type="pct"/>
            <w:shd w:val="clear" w:color="auto" w:fill="auto"/>
            <w:noWrap/>
            <w:vAlign w:val="center"/>
          </w:tcPr>
          <w:p w14:paraId="3D5C516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15.78 </w:t>
            </w:r>
          </w:p>
        </w:tc>
      </w:tr>
      <w:tr w14:paraId="3139C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612" w:type="pct"/>
            <w:shd w:val="clear" w:color="auto" w:fill="auto"/>
            <w:vAlign w:val="center"/>
          </w:tcPr>
          <w:p w14:paraId="1699E30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人工林景观</w:t>
            </w:r>
          </w:p>
        </w:tc>
        <w:tc>
          <w:tcPr>
            <w:tcW w:w="840" w:type="pct"/>
            <w:shd w:val="clear" w:color="auto" w:fill="auto"/>
            <w:noWrap/>
            <w:vAlign w:val="center"/>
          </w:tcPr>
          <w:p w14:paraId="28A7BCD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6 </w:t>
            </w:r>
          </w:p>
        </w:tc>
        <w:tc>
          <w:tcPr>
            <w:tcW w:w="849" w:type="pct"/>
            <w:shd w:val="clear" w:color="auto" w:fill="auto"/>
            <w:noWrap/>
            <w:vAlign w:val="center"/>
          </w:tcPr>
          <w:p w14:paraId="4604658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0.88 </w:t>
            </w:r>
          </w:p>
        </w:tc>
        <w:tc>
          <w:tcPr>
            <w:tcW w:w="849" w:type="pct"/>
            <w:shd w:val="clear" w:color="auto" w:fill="auto"/>
            <w:noWrap/>
            <w:vAlign w:val="center"/>
          </w:tcPr>
          <w:p w14:paraId="31B7318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4.730 </w:t>
            </w:r>
          </w:p>
        </w:tc>
        <w:tc>
          <w:tcPr>
            <w:tcW w:w="849" w:type="pct"/>
            <w:shd w:val="clear" w:color="auto" w:fill="auto"/>
            <w:noWrap/>
            <w:vAlign w:val="center"/>
          </w:tcPr>
          <w:p w14:paraId="5BF3C0D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0.44 </w:t>
            </w:r>
          </w:p>
        </w:tc>
      </w:tr>
      <w:tr w14:paraId="7CA58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612" w:type="pct"/>
            <w:shd w:val="clear" w:color="auto" w:fill="auto"/>
            <w:vAlign w:val="center"/>
          </w:tcPr>
          <w:p w14:paraId="1066578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耕地景观</w:t>
            </w:r>
          </w:p>
        </w:tc>
        <w:tc>
          <w:tcPr>
            <w:tcW w:w="840" w:type="pct"/>
            <w:shd w:val="clear" w:color="auto" w:fill="auto"/>
            <w:noWrap/>
            <w:vAlign w:val="center"/>
          </w:tcPr>
          <w:p w14:paraId="41390B9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237 </w:t>
            </w:r>
          </w:p>
        </w:tc>
        <w:tc>
          <w:tcPr>
            <w:tcW w:w="849" w:type="pct"/>
            <w:shd w:val="clear" w:color="auto" w:fill="auto"/>
            <w:noWrap/>
            <w:vAlign w:val="center"/>
          </w:tcPr>
          <w:p w14:paraId="447EA47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34.75 </w:t>
            </w:r>
          </w:p>
        </w:tc>
        <w:tc>
          <w:tcPr>
            <w:tcW w:w="849" w:type="pct"/>
            <w:shd w:val="clear" w:color="auto" w:fill="auto"/>
            <w:noWrap/>
            <w:vAlign w:val="center"/>
          </w:tcPr>
          <w:p w14:paraId="4978C97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226.808 </w:t>
            </w:r>
          </w:p>
        </w:tc>
        <w:tc>
          <w:tcPr>
            <w:tcW w:w="849" w:type="pct"/>
            <w:shd w:val="clear" w:color="auto" w:fill="auto"/>
            <w:noWrap/>
            <w:vAlign w:val="center"/>
          </w:tcPr>
          <w:p w14:paraId="39D6B33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21.15 </w:t>
            </w:r>
          </w:p>
        </w:tc>
      </w:tr>
      <w:tr w14:paraId="66168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612" w:type="pct"/>
            <w:shd w:val="clear" w:color="auto" w:fill="auto"/>
            <w:vAlign w:val="center"/>
          </w:tcPr>
          <w:p w14:paraId="768CA6B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城镇区域景观</w:t>
            </w:r>
          </w:p>
        </w:tc>
        <w:tc>
          <w:tcPr>
            <w:tcW w:w="840" w:type="pct"/>
            <w:shd w:val="clear" w:color="auto" w:fill="auto"/>
            <w:noWrap/>
            <w:vAlign w:val="center"/>
          </w:tcPr>
          <w:p w14:paraId="0CE4928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68 </w:t>
            </w:r>
          </w:p>
        </w:tc>
        <w:tc>
          <w:tcPr>
            <w:tcW w:w="849" w:type="pct"/>
            <w:shd w:val="clear" w:color="auto" w:fill="auto"/>
            <w:noWrap/>
            <w:vAlign w:val="center"/>
          </w:tcPr>
          <w:p w14:paraId="37D5E2A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9.97 </w:t>
            </w:r>
          </w:p>
        </w:tc>
        <w:tc>
          <w:tcPr>
            <w:tcW w:w="849" w:type="pct"/>
            <w:shd w:val="clear" w:color="auto" w:fill="auto"/>
            <w:noWrap/>
            <w:vAlign w:val="center"/>
          </w:tcPr>
          <w:p w14:paraId="23647DC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12.279 </w:t>
            </w:r>
          </w:p>
        </w:tc>
        <w:tc>
          <w:tcPr>
            <w:tcW w:w="849" w:type="pct"/>
            <w:shd w:val="clear" w:color="auto" w:fill="auto"/>
            <w:noWrap/>
            <w:vAlign w:val="center"/>
          </w:tcPr>
          <w:p w14:paraId="6139163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1.15 </w:t>
            </w:r>
          </w:p>
        </w:tc>
      </w:tr>
      <w:tr w14:paraId="44E96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612" w:type="pct"/>
            <w:shd w:val="clear" w:color="auto" w:fill="auto"/>
            <w:vAlign w:val="center"/>
          </w:tcPr>
          <w:p w14:paraId="08AC0E8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工矿企业景观</w:t>
            </w:r>
          </w:p>
        </w:tc>
        <w:tc>
          <w:tcPr>
            <w:tcW w:w="840" w:type="pct"/>
            <w:shd w:val="clear" w:color="auto" w:fill="auto"/>
            <w:noWrap/>
            <w:vAlign w:val="center"/>
          </w:tcPr>
          <w:p w14:paraId="4BB6637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2 </w:t>
            </w:r>
          </w:p>
        </w:tc>
        <w:tc>
          <w:tcPr>
            <w:tcW w:w="849" w:type="pct"/>
            <w:shd w:val="clear" w:color="auto" w:fill="auto"/>
            <w:noWrap/>
            <w:vAlign w:val="center"/>
          </w:tcPr>
          <w:p w14:paraId="2F12302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0.29 </w:t>
            </w:r>
          </w:p>
        </w:tc>
        <w:tc>
          <w:tcPr>
            <w:tcW w:w="849" w:type="pct"/>
            <w:shd w:val="clear" w:color="auto" w:fill="auto"/>
            <w:noWrap/>
            <w:vAlign w:val="center"/>
          </w:tcPr>
          <w:p w14:paraId="67CD5DC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0.349 </w:t>
            </w:r>
          </w:p>
        </w:tc>
        <w:tc>
          <w:tcPr>
            <w:tcW w:w="849" w:type="pct"/>
            <w:shd w:val="clear" w:color="auto" w:fill="auto"/>
            <w:noWrap/>
            <w:vAlign w:val="center"/>
          </w:tcPr>
          <w:p w14:paraId="4C932B1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0.03 </w:t>
            </w:r>
          </w:p>
        </w:tc>
      </w:tr>
      <w:tr w14:paraId="63F55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612" w:type="pct"/>
            <w:shd w:val="clear" w:color="auto" w:fill="auto"/>
            <w:vAlign w:val="center"/>
          </w:tcPr>
          <w:p w14:paraId="49B2F29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交通景观</w:t>
            </w:r>
          </w:p>
        </w:tc>
        <w:tc>
          <w:tcPr>
            <w:tcW w:w="840" w:type="pct"/>
            <w:shd w:val="clear" w:color="auto" w:fill="auto"/>
            <w:noWrap/>
            <w:vAlign w:val="center"/>
          </w:tcPr>
          <w:p w14:paraId="71118CE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58 </w:t>
            </w:r>
          </w:p>
        </w:tc>
        <w:tc>
          <w:tcPr>
            <w:tcW w:w="849" w:type="pct"/>
            <w:shd w:val="clear" w:color="auto" w:fill="auto"/>
            <w:noWrap/>
            <w:vAlign w:val="center"/>
          </w:tcPr>
          <w:p w14:paraId="49586CE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8.50 </w:t>
            </w:r>
          </w:p>
        </w:tc>
        <w:tc>
          <w:tcPr>
            <w:tcW w:w="849" w:type="pct"/>
            <w:shd w:val="clear" w:color="auto" w:fill="auto"/>
            <w:noWrap/>
            <w:vAlign w:val="center"/>
          </w:tcPr>
          <w:p w14:paraId="605625F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17.226 </w:t>
            </w:r>
          </w:p>
        </w:tc>
        <w:tc>
          <w:tcPr>
            <w:tcW w:w="849" w:type="pct"/>
            <w:shd w:val="clear" w:color="auto" w:fill="auto"/>
            <w:noWrap/>
            <w:vAlign w:val="center"/>
          </w:tcPr>
          <w:p w14:paraId="63FC5FD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1.61 </w:t>
            </w:r>
          </w:p>
        </w:tc>
      </w:tr>
      <w:tr w14:paraId="1A1D2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612" w:type="pct"/>
            <w:shd w:val="clear" w:color="auto" w:fill="auto"/>
            <w:vAlign w:val="center"/>
          </w:tcPr>
          <w:p w14:paraId="55338EC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水域景观</w:t>
            </w:r>
          </w:p>
        </w:tc>
        <w:tc>
          <w:tcPr>
            <w:tcW w:w="840" w:type="pct"/>
            <w:shd w:val="clear" w:color="auto" w:fill="auto"/>
            <w:noWrap/>
            <w:vAlign w:val="center"/>
          </w:tcPr>
          <w:p w14:paraId="35F867F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30 </w:t>
            </w:r>
          </w:p>
        </w:tc>
        <w:tc>
          <w:tcPr>
            <w:tcW w:w="849" w:type="pct"/>
            <w:shd w:val="clear" w:color="auto" w:fill="auto"/>
            <w:noWrap/>
            <w:vAlign w:val="center"/>
          </w:tcPr>
          <w:p w14:paraId="15B85CA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4.40 </w:t>
            </w:r>
          </w:p>
        </w:tc>
        <w:tc>
          <w:tcPr>
            <w:tcW w:w="849" w:type="pct"/>
            <w:shd w:val="clear" w:color="auto" w:fill="auto"/>
            <w:noWrap/>
            <w:vAlign w:val="center"/>
          </w:tcPr>
          <w:p w14:paraId="5CC611F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6.396 </w:t>
            </w:r>
          </w:p>
        </w:tc>
        <w:tc>
          <w:tcPr>
            <w:tcW w:w="849" w:type="pct"/>
            <w:shd w:val="clear" w:color="auto" w:fill="auto"/>
            <w:noWrap/>
            <w:vAlign w:val="center"/>
          </w:tcPr>
          <w:p w14:paraId="35ABC7C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0.60 </w:t>
            </w:r>
          </w:p>
        </w:tc>
      </w:tr>
      <w:tr w14:paraId="470D8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612" w:type="pct"/>
            <w:shd w:val="clear" w:color="auto" w:fill="auto"/>
            <w:vAlign w:val="center"/>
          </w:tcPr>
          <w:p w14:paraId="6B9216E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裸地景观</w:t>
            </w:r>
          </w:p>
        </w:tc>
        <w:tc>
          <w:tcPr>
            <w:tcW w:w="840" w:type="pct"/>
            <w:shd w:val="clear" w:color="auto" w:fill="auto"/>
            <w:noWrap/>
            <w:vAlign w:val="center"/>
          </w:tcPr>
          <w:p w14:paraId="5E865BC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17 </w:t>
            </w:r>
          </w:p>
        </w:tc>
        <w:tc>
          <w:tcPr>
            <w:tcW w:w="849" w:type="pct"/>
            <w:shd w:val="clear" w:color="auto" w:fill="auto"/>
            <w:noWrap/>
            <w:vAlign w:val="center"/>
          </w:tcPr>
          <w:p w14:paraId="637C183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2.49 </w:t>
            </w:r>
          </w:p>
        </w:tc>
        <w:tc>
          <w:tcPr>
            <w:tcW w:w="849" w:type="pct"/>
            <w:shd w:val="clear" w:color="auto" w:fill="auto"/>
            <w:noWrap/>
            <w:vAlign w:val="center"/>
          </w:tcPr>
          <w:p w14:paraId="2AB8F86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5.617 </w:t>
            </w:r>
          </w:p>
        </w:tc>
        <w:tc>
          <w:tcPr>
            <w:tcW w:w="849" w:type="pct"/>
            <w:shd w:val="clear" w:color="auto" w:fill="auto"/>
            <w:noWrap/>
            <w:vAlign w:val="center"/>
          </w:tcPr>
          <w:p w14:paraId="151E50C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0.52 </w:t>
            </w:r>
          </w:p>
        </w:tc>
      </w:tr>
      <w:tr w14:paraId="26F8E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612" w:type="pct"/>
            <w:shd w:val="clear" w:color="auto" w:fill="auto"/>
            <w:vAlign w:val="center"/>
          </w:tcPr>
          <w:p w14:paraId="6E37A3B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合计</w:t>
            </w:r>
          </w:p>
        </w:tc>
        <w:tc>
          <w:tcPr>
            <w:tcW w:w="840" w:type="pct"/>
            <w:shd w:val="clear" w:color="auto" w:fill="auto"/>
            <w:noWrap/>
            <w:vAlign w:val="center"/>
          </w:tcPr>
          <w:p w14:paraId="6791C54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682 </w:t>
            </w:r>
          </w:p>
        </w:tc>
        <w:tc>
          <w:tcPr>
            <w:tcW w:w="849" w:type="pct"/>
            <w:shd w:val="clear" w:color="auto" w:fill="auto"/>
            <w:noWrap/>
            <w:vAlign w:val="center"/>
          </w:tcPr>
          <w:p w14:paraId="5E4A2E6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100.00 </w:t>
            </w:r>
          </w:p>
        </w:tc>
        <w:tc>
          <w:tcPr>
            <w:tcW w:w="849" w:type="pct"/>
            <w:shd w:val="clear" w:color="auto" w:fill="auto"/>
            <w:noWrap/>
            <w:vAlign w:val="center"/>
          </w:tcPr>
          <w:p w14:paraId="5EE2F7B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1072.183 </w:t>
            </w:r>
          </w:p>
        </w:tc>
        <w:tc>
          <w:tcPr>
            <w:tcW w:w="849" w:type="pct"/>
            <w:shd w:val="clear" w:color="auto" w:fill="auto"/>
            <w:noWrap/>
            <w:vAlign w:val="center"/>
          </w:tcPr>
          <w:p w14:paraId="444505B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100 </w:t>
            </w:r>
          </w:p>
        </w:tc>
      </w:tr>
    </w:tbl>
    <w:p w14:paraId="36522369">
      <w:pPr>
        <w:ind w:firstLine="480"/>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项目评价区总面积为1072.183hm²，以暖温性针叶林景观所占比重最大，面积为427.240hm²，占评价区总面积的39.85%；其次为暖性石灰岩灌丛景观、暖温性稀树灌木草丛景观与耕地景观，面积分别为 202.331hm²、169.206hm²、226.808hm²，占比依次为18.87%、15.78%、21.15%。暖温性针叶林、暖性石灰岩灌丛、稀树灌木草丛及耕地景观构成评价区主要地域背景，是区域景观结构的主导类型，在很大程度上决定了评价区整体景观基底属性，对区域景观格局演变起到控制性作用。</w:t>
      </w:r>
    </w:p>
    <w:p w14:paraId="17948515">
      <w:pPr>
        <w:keepNext/>
        <w:keepLines/>
        <w:spacing w:after="0" w:line="430" w:lineRule="exact"/>
        <w:ind w:firstLine="482"/>
        <w:outlineLvl w:val="3"/>
        <w:rPr>
          <w:rFonts w:hint="default" w:ascii="Times New Roman" w:hAnsi="Times New Roman" w:eastAsia="宋体" w:cs="Times New Roman"/>
          <w:b/>
          <w:bCs/>
          <w:color w:val="auto"/>
          <w:szCs w:val="24"/>
        </w:rPr>
      </w:pPr>
      <w:bookmarkStart w:id="246" w:name="_Toc153800832"/>
      <w:bookmarkStart w:id="247" w:name="_Toc28303"/>
      <w:r>
        <w:rPr>
          <w:rFonts w:hint="default" w:ascii="Times New Roman" w:hAnsi="Times New Roman" w:eastAsia="宋体" w:cs="Times New Roman"/>
          <w:b/>
          <w:bCs/>
          <w:color w:val="auto"/>
          <w:szCs w:val="24"/>
        </w:rPr>
        <w:t>2.7.1.1景观结构分析</w:t>
      </w:r>
      <w:bookmarkEnd w:id="246"/>
      <w:bookmarkEnd w:id="247"/>
    </w:p>
    <w:p w14:paraId="37C23558">
      <w:pPr>
        <w:spacing w:after="0" w:line="440" w:lineRule="exact"/>
        <w:ind w:firstLine="480"/>
        <w:jc w:val="left"/>
        <w:rPr>
          <w:rFonts w:hint="default" w:ascii="Times New Roman" w:hAnsi="Times New Roman" w:eastAsia="宋体" w:cs="Times New Roman"/>
          <w:color w:val="auto"/>
          <w:szCs w:val="20"/>
          <w:lang w:val="zh-CN"/>
        </w:rPr>
      </w:pPr>
      <w:r>
        <w:rPr>
          <w:rFonts w:hint="default" w:ascii="Times New Roman" w:hAnsi="Times New Roman" w:eastAsia="宋体" w:cs="Times New Roman"/>
          <w:color w:val="auto"/>
          <w:szCs w:val="20"/>
        </w:rPr>
        <w:t>运用景观生态学原理</w:t>
      </w:r>
      <w:r>
        <w:rPr>
          <w:rFonts w:hint="eastAsia" w:ascii="Times New Roman" w:hAnsi="Times New Roman" w:eastAsia="宋体" w:cs="Times New Roman"/>
          <w:color w:val="auto"/>
          <w:szCs w:val="20"/>
          <w:lang w:eastAsia="zh-CN"/>
        </w:rPr>
        <w:t>进行</w:t>
      </w:r>
      <w:r>
        <w:rPr>
          <w:rFonts w:hint="default" w:ascii="Times New Roman" w:hAnsi="Times New Roman" w:eastAsia="宋体" w:cs="Times New Roman"/>
          <w:color w:val="auto"/>
          <w:szCs w:val="20"/>
        </w:rPr>
        <w:t>景观空间结构的格局分析，可说明各种景观类型的空间分布和空间结构特征，了解人为活动与景观格局之间的关系。</w:t>
      </w:r>
      <w:r>
        <w:rPr>
          <w:rFonts w:hint="default" w:ascii="Times New Roman" w:hAnsi="Times New Roman" w:eastAsia="宋体" w:cs="Times New Roman"/>
          <w:color w:val="auto"/>
          <w:szCs w:val="20"/>
          <w:lang w:val="zh-CN"/>
        </w:rPr>
        <w:t>在景观的结构单元中</w:t>
      </w:r>
      <w:r>
        <w:rPr>
          <w:rFonts w:hint="default" w:ascii="Times New Roman" w:hAnsi="Times New Roman" w:eastAsia="宋体" w:cs="Times New Roman"/>
          <w:color w:val="auto"/>
          <w:szCs w:val="20"/>
        </w:rPr>
        <w:t>，</w:t>
      </w:r>
      <w:r>
        <w:rPr>
          <w:rFonts w:hint="default" w:ascii="Times New Roman" w:hAnsi="Times New Roman" w:eastAsia="宋体" w:cs="Times New Roman"/>
          <w:color w:val="auto"/>
          <w:szCs w:val="20"/>
          <w:lang w:val="zh-CN"/>
        </w:rPr>
        <w:t>通常分为三种基本组分</w:t>
      </w:r>
      <w:r>
        <w:rPr>
          <w:rFonts w:hint="default" w:ascii="Times New Roman" w:hAnsi="Times New Roman" w:eastAsia="宋体" w:cs="Times New Roman"/>
          <w:color w:val="auto"/>
          <w:szCs w:val="20"/>
        </w:rPr>
        <w:t>，</w:t>
      </w:r>
      <w:r>
        <w:rPr>
          <w:rFonts w:hint="default" w:ascii="Times New Roman" w:hAnsi="Times New Roman" w:eastAsia="宋体" w:cs="Times New Roman"/>
          <w:color w:val="auto"/>
          <w:szCs w:val="20"/>
          <w:lang w:val="zh-CN"/>
        </w:rPr>
        <w:t>即缀块（</w:t>
      </w:r>
      <w:r>
        <w:rPr>
          <w:rFonts w:hint="default" w:ascii="Times New Roman" w:hAnsi="Times New Roman" w:eastAsia="宋体" w:cs="Times New Roman"/>
          <w:color w:val="auto"/>
          <w:szCs w:val="20"/>
          <w:lang w:eastAsia="zh-TW"/>
        </w:rPr>
        <w:t>patch</w:t>
      </w:r>
      <w:r>
        <w:rPr>
          <w:rFonts w:hint="default" w:ascii="Times New Roman" w:hAnsi="Times New Roman" w:eastAsia="宋体" w:cs="Times New Roman"/>
          <w:color w:val="auto"/>
          <w:szCs w:val="20"/>
          <w:lang w:val="zh-CN"/>
        </w:rPr>
        <w:t>）、廊道（</w:t>
      </w:r>
      <w:r>
        <w:rPr>
          <w:rFonts w:hint="default" w:ascii="Times New Roman" w:hAnsi="Times New Roman" w:eastAsia="宋体" w:cs="Times New Roman"/>
          <w:color w:val="auto"/>
          <w:szCs w:val="20"/>
          <w:lang w:eastAsia="zh-TW"/>
        </w:rPr>
        <w:t>corridor</w:t>
      </w:r>
      <w:r>
        <w:rPr>
          <w:rFonts w:hint="default" w:ascii="Times New Roman" w:hAnsi="Times New Roman" w:eastAsia="宋体" w:cs="Times New Roman"/>
          <w:color w:val="auto"/>
          <w:szCs w:val="20"/>
          <w:lang w:val="zh-CN"/>
        </w:rPr>
        <w:t>）和基底（</w:t>
      </w:r>
      <w:r>
        <w:rPr>
          <w:rFonts w:hint="default" w:ascii="Times New Roman" w:hAnsi="Times New Roman" w:eastAsia="宋体" w:cs="Times New Roman"/>
          <w:color w:val="auto"/>
          <w:szCs w:val="20"/>
          <w:lang w:eastAsia="zh-TW"/>
        </w:rPr>
        <w:t>matrix</w:t>
      </w:r>
      <w:r>
        <w:rPr>
          <w:rFonts w:hint="default" w:ascii="Times New Roman" w:hAnsi="Times New Roman" w:eastAsia="宋体" w:cs="Times New Roman"/>
          <w:color w:val="auto"/>
          <w:szCs w:val="20"/>
          <w:lang w:val="zh-CN"/>
        </w:rPr>
        <w:t>）。缀块泛指与周围环境在外貌或性质上不同，并具有一定内部均质性的空间单元，缀块可是植物群落、居民点、农田等等。廊道是指景观中与相邻两边环境不同的线性或条带</w:t>
      </w:r>
      <w:r>
        <w:rPr>
          <w:rFonts w:hint="default" w:ascii="Times New Roman" w:hAnsi="Times New Roman" w:eastAsia="宋体" w:cs="Times New Roman"/>
          <w:color w:val="auto"/>
          <w:szCs w:val="20"/>
        </w:rPr>
        <w:t>结构</w:t>
      </w:r>
      <w:r>
        <w:rPr>
          <w:rFonts w:hint="default" w:ascii="Times New Roman" w:hAnsi="Times New Roman" w:eastAsia="宋体" w:cs="Times New Roman"/>
          <w:color w:val="auto"/>
          <w:szCs w:val="20"/>
          <w:lang w:val="zh-CN"/>
        </w:rPr>
        <w:t>，如河流、道路、峡谷等。基底则是指景观中分布最广、连续性最大的背景结构，常见如森林基底、农田基底等。基底是景观的背景地域类型，是一种重要的景观结构单元类型，在很大程度上决定了景观的性质，对景观的动态起着主导作用。</w:t>
      </w:r>
    </w:p>
    <w:p w14:paraId="30854C15">
      <w:pPr>
        <w:adjustRightInd w:val="0"/>
        <w:snapToGrid w:val="0"/>
        <w:spacing w:after="0" w:line="440" w:lineRule="exact"/>
        <w:ind w:firstLine="480"/>
        <w:rPr>
          <w:rFonts w:hint="default" w:ascii="Times New Roman" w:hAnsi="Times New Roman" w:eastAsia="宋体" w:cs="Times New Roman"/>
          <w:color w:val="auto"/>
          <w:szCs w:val="20"/>
          <w:lang w:val="zh-CN"/>
        </w:rPr>
      </w:pPr>
      <w:r>
        <w:rPr>
          <w:rFonts w:hint="default" w:ascii="Times New Roman" w:hAnsi="Times New Roman" w:eastAsia="宋体" w:cs="Times New Roman"/>
          <w:color w:val="auto"/>
          <w:szCs w:val="20"/>
        </w:rPr>
        <w:t>景观结构单元中的缀块类型，采用植被制图中运用的无等级的植被上图单元，其中包括了农田、水体、居民区点等非自然植被或非植被的地面覆盖类型。</w:t>
      </w:r>
      <w:r>
        <w:rPr>
          <w:rFonts w:hint="default" w:ascii="Times New Roman" w:hAnsi="Times New Roman" w:eastAsia="宋体" w:cs="Times New Roman"/>
          <w:color w:val="auto"/>
          <w:szCs w:val="20"/>
          <w:lang w:val="zh-CN"/>
        </w:rPr>
        <w:t>基底的判定有</w:t>
      </w:r>
      <w:r>
        <w:rPr>
          <w:rFonts w:hint="default" w:ascii="Times New Roman" w:hAnsi="Times New Roman" w:eastAsia="宋体" w:cs="Times New Roman"/>
          <w:color w:val="auto"/>
          <w:szCs w:val="20"/>
          <w:lang w:val="zh-CN" w:eastAsia="zh-TW"/>
        </w:rPr>
        <w:t>3</w:t>
      </w:r>
      <w:r>
        <w:rPr>
          <w:rFonts w:hint="default" w:ascii="Times New Roman" w:hAnsi="Times New Roman" w:eastAsia="宋体" w:cs="Times New Roman"/>
          <w:color w:val="auto"/>
          <w:szCs w:val="20"/>
          <w:lang w:val="zh-CN"/>
        </w:rPr>
        <w:t>个标准，即相对面积大、连通程度高，动态变化中对景观的基本特征具有控制能力。采用植被生态学中确定植被重要值的方法来确定缀块在景观中的优势度。具体由</w:t>
      </w:r>
      <w:r>
        <w:rPr>
          <w:rFonts w:hint="default" w:ascii="Times New Roman" w:hAnsi="Times New Roman" w:eastAsia="宋体" w:cs="Times New Roman"/>
          <w:color w:val="auto"/>
          <w:szCs w:val="20"/>
          <w:lang w:val="zh-CN" w:eastAsia="zh-TW"/>
        </w:rPr>
        <w:t>3</w:t>
      </w:r>
      <w:r>
        <w:rPr>
          <w:rFonts w:hint="default" w:ascii="Times New Roman" w:hAnsi="Times New Roman" w:eastAsia="宋体" w:cs="Times New Roman"/>
          <w:color w:val="auto"/>
          <w:szCs w:val="20"/>
          <w:lang w:val="zh-CN"/>
        </w:rPr>
        <w:t>个参数计算而来，即密度（</w:t>
      </w:r>
      <w:r>
        <w:rPr>
          <w:rFonts w:hint="default" w:ascii="Times New Roman" w:hAnsi="Times New Roman" w:eastAsia="宋体" w:cs="Times New Roman"/>
          <w:color w:val="auto"/>
          <w:szCs w:val="20"/>
          <w:lang w:val="zh-CN" w:eastAsia="zh-TW"/>
        </w:rPr>
        <w:t>Rd</w:t>
      </w:r>
      <w:r>
        <w:rPr>
          <w:rFonts w:hint="default" w:ascii="Times New Roman" w:hAnsi="Times New Roman" w:eastAsia="宋体" w:cs="Times New Roman"/>
          <w:color w:val="auto"/>
          <w:szCs w:val="20"/>
          <w:lang w:val="zh-CN"/>
        </w:rPr>
        <w:t>）、频率（</w:t>
      </w:r>
      <w:r>
        <w:rPr>
          <w:rFonts w:hint="default" w:ascii="Times New Roman" w:hAnsi="Times New Roman" w:eastAsia="宋体" w:cs="Times New Roman"/>
          <w:color w:val="auto"/>
          <w:szCs w:val="20"/>
          <w:lang w:val="zh-CN" w:eastAsia="zh-TW"/>
        </w:rPr>
        <w:t>Rf</w:t>
      </w:r>
      <w:r>
        <w:rPr>
          <w:rFonts w:hint="default" w:ascii="Times New Roman" w:hAnsi="Times New Roman" w:eastAsia="宋体" w:cs="Times New Roman"/>
          <w:color w:val="auto"/>
          <w:szCs w:val="20"/>
          <w:lang w:val="zh-CN"/>
        </w:rPr>
        <w:t>）和景观比例（</w:t>
      </w:r>
      <w:r>
        <w:rPr>
          <w:rFonts w:hint="default" w:ascii="Times New Roman" w:hAnsi="Times New Roman" w:eastAsia="宋体" w:cs="Times New Roman"/>
          <w:color w:val="auto"/>
          <w:szCs w:val="20"/>
          <w:lang w:val="zh-CN" w:eastAsia="zh-TW"/>
        </w:rPr>
        <w:t>Lp</w:t>
      </w:r>
      <w:r>
        <w:rPr>
          <w:rFonts w:hint="default" w:ascii="Times New Roman" w:hAnsi="Times New Roman" w:eastAsia="宋体" w:cs="Times New Roman"/>
          <w:color w:val="auto"/>
          <w:szCs w:val="20"/>
          <w:lang w:val="zh-CN"/>
        </w:rPr>
        <w:t>）。前两个参数比较明确时，可认为相对面积较大、连通程度较高的缀块类型即控制着景观质量的基底。</w:t>
      </w:r>
    </w:p>
    <w:p w14:paraId="04C496AD">
      <w:pPr>
        <w:autoSpaceDE w:val="0"/>
        <w:autoSpaceDN w:val="0"/>
        <w:adjustRightInd w:val="0"/>
        <w:snapToGrid w:val="0"/>
        <w:spacing w:after="0" w:line="440" w:lineRule="exact"/>
        <w:ind w:firstLine="480"/>
        <w:rPr>
          <w:rFonts w:hint="default" w:ascii="Times New Roman" w:hAnsi="Times New Roman" w:eastAsia="宋体" w:cs="Times New Roman"/>
          <w:color w:val="auto"/>
          <w:szCs w:val="20"/>
          <w:lang w:val="zh-CN"/>
        </w:rPr>
      </w:pPr>
      <w:r>
        <w:rPr>
          <w:rFonts w:hint="default" w:ascii="Times New Roman" w:hAnsi="Times New Roman" w:eastAsia="宋体" w:cs="Times New Roman"/>
          <w:color w:val="auto"/>
          <w:szCs w:val="20"/>
          <w:lang w:val="zh-CN"/>
        </w:rPr>
        <w:t>景观优势度计算的数学表达式如下：</w:t>
      </w:r>
    </w:p>
    <w:p w14:paraId="04D5248C">
      <w:pPr>
        <w:autoSpaceDE w:val="0"/>
        <w:autoSpaceDN w:val="0"/>
        <w:adjustRightInd w:val="0"/>
        <w:spacing w:after="0" w:line="240" w:lineRule="auto"/>
        <w:ind w:firstLine="480"/>
        <w:jc w:val="center"/>
        <w:rPr>
          <w:rFonts w:hint="default" w:ascii="Times New Roman" w:hAnsi="Times New Roman" w:eastAsia="宋体" w:cs="Times New Roman"/>
          <w:color w:val="auto"/>
          <w:szCs w:val="20"/>
          <w:lang w:val="zh-CN"/>
        </w:rPr>
      </w:pPr>
      <w:r>
        <w:rPr>
          <w:rFonts w:hint="default" w:ascii="Times New Roman" w:hAnsi="Times New Roman" w:eastAsia="宋体" w:cs="Times New Roman"/>
          <w:color w:val="auto"/>
          <w:szCs w:val="20"/>
        </w:rPr>
        <w:drawing>
          <wp:inline distT="0" distB="0" distL="0" distR="0">
            <wp:extent cx="1800225" cy="400050"/>
            <wp:effectExtent l="0" t="0" r="9525"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a:xfrm>
                      <a:off x="0" y="0"/>
                      <a:ext cx="1800225" cy="400050"/>
                    </a:xfrm>
                    <a:prstGeom prst="rect">
                      <a:avLst/>
                    </a:prstGeom>
                    <a:noFill/>
                    <a:ln>
                      <a:noFill/>
                    </a:ln>
                  </pic:spPr>
                </pic:pic>
              </a:graphicData>
            </a:graphic>
          </wp:inline>
        </w:drawing>
      </w:r>
    </w:p>
    <w:p w14:paraId="7FE7BD16">
      <w:pPr>
        <w:autoSpaceDE w:val="0"/>
        <w:autoSpaceDN w:val="0"/>
        <w:adjustRightInd w:val="0"/>
        <w:spacing w:after="0" w:line="240" w:lineRule="auto"/>
        <w:ind w:firstLine="480"/>
        <w:jc w:val="center"/>
        <w:rPr>
          <w:rFonts w:hint="default" w:ascii="Times New Roman" w:hAnsi="Times New Roman" w:eastAsia="宋体" w:cs="Times New Roman"/>
          <w:color w:val="auto"/>
          <w:szCs w:val="20"/>
          <w:lang w:val="zh-CN"/>
        </w:rPr>
      </w:pPr>
      <w:r>
        <w:rPr>
          <w:rFonts w:hint="default" w:ascii="Times New Roman" w:hAnsi="Times New Roman" w:eastAsia="宋体" w:cs="Times New Roman"/>
          <w:color w:val="auto"/>
          <w:szCs w:val="20"/>
        </w:rPr>
        <w:drawing>
          <wp:inline distT="0" distB="0" distL="0" distR="0">
            <wp:extent cx="2266950" cy="400050"/>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a:xfrm>
                      <a:off x="0" y="0"/>
                      <a:ext cx="2266950" cy="400050"/>
                    </a:xfrm>
                    <a:prstGeom prst="rect">
                      <a:avLst/>
                    </a:prstGeom>
                    <a:noFill/>
                    <a:ln>
                      <a:noFill/>
                    </a:ln>
                  </pic:spPr>
                </pic:pic>
              </a:graphicData>
            </a:graphic>
          </wp:inline>
        </w:drawing>
      </w:r>
    </w:p>
    <w:p w14:paraId="784DF7F7">
      <w:pPr>
        <w:autoSpaceDE w:val="0"/>
        <w:autoSpaceDN w:val="0"/>
        <w:adjustRightInd w:val="0"/>
        <w:spacing w:after="0" w:line="440" w:lineRule="exact"/>
        <w:ind w:firstLine="480"/>
        <w:rPr>
          <w:rFonts w:hint="default" w:ascii="Times New Roman" w:hAnsi="Times New Roman" w:eastAsia="宋体" w:cs="Times New Roman"/>
          <w:color w:val="auto"/>
          <w:szCs w:val="20"/>
          <w:lang w:val="zh-CN"/>
        </w:rPr>
      </w:pPr>
      <w:r>
        <w:rPr>
          <w:rFonts w:hint="default" w:ascii="Times New Roman" w:hAnsi="Times New Roman" w:eastAsia="宋体" w:cs="Times New Roman"/>
          <w:color w:val="auto"/>
          <w:szCs w:val="20"/>
        </w:rPr>
        <w:t>采用网格样方法，以10m×10m的样方对评价区进行全景观覆盖的均匀取样，共采样100个样方，确定样方中出现的缀块类别，获得各类出现的频率。</w:t>
      </w:r>
    </w:p>
    <w:p w14:paraId="622EAC0D">
      <w:pPr>
        <w:autoSpaceDE w:val="0"/>
        <w:autoSpaceDN w:val="0"/>
        <w:adjustRightInd w:val="0"/>
        <w:spacing w:after="0" w:line="240" w:lineRule="auto"/>
        <w:ind w:firstLine="480"/>
        <w:jc w:val="center"/>
        <w:rPr>
          <w:rFonts w:hint="default" w:ascii="Times New Roman" w:hAnsi="Times New Roman" w:eastAsia="宋体" w:cs="Times New Roman"/>
          <w:color w:val="auto"/>
          <w:szCs w:val="20"/>
          <w:lang w:val="zh-CN"/>
        </w:rPr>
      </w:pPr>
      <w:r>
        <w:rPr>
          <w:rFonts w:hint="default" w:ascii="Times New Roman" w:hAnsi="Times New Roman" w:eastAsia="宋体" w:cs="Times New Roman"/>
          <w:color w:val="auto"/>
          <w:szCs w:val="20"/>
        </w:rPr>
        <w:drawing>
          <wp:inline distT="0" distB="0" distL="0" distR="0">
            <wp:extent cx="2085975" cy="400050"/>
            <wp:effectExtent l="0" t="0" r="9525"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a:xfrm>
                      <a:off x="0" y="0"/>
                      <a:ext cx="2085975" cy="400050"/>
                    </a:xfrm>
                    <a:prstGeom prst="rect">
                      <a:avLst/>
                    </a:prstGeom>
                    <a:noFill/>
                    <a:ln>
                      <a:noFill/>
                    </a:ln>
                  </pic:spPr>
                </pic:pic>
              </a:graphicData>
            </a:graphic>
          </wp:inline>
        </w:drawing>
      </w:r>
    </w:p>
    <w:p w14:paraId="338B492A">
      <w:pPr>
        <w:autoSpaceDE w:val="0"/>
        <w:autoSpaceDN w:val="0"/>
        <w:adjustRightInd w:val="0"/>
        <w:spacing w:after="0" w:line="240" w:lineRule="auto"/>
        <w:ind w:firstLine="480"/>
        <w:jc w:val="center"/>
        <w:rPr>
          <w:rFonts w:hint="default" w:ascii="Times New Roman" w:hAnsi="Times New Roman" w:eastAsia="宋体" w:cs="Times New Roman"/>
          <w:color w:val="auto"/>
          <w:szCs w:val="20"/>
          <w:lang w:val="zh-CN"/>
        </w:rPr>
      </w:pPr>
      <w:r>
        <w:rPr>
          <w:rFonts w:hint="default" w:ascii="Times New Roman" w:hAnsi="Times New Roman" w:eastAsia="宋体" w:cs="Times New Roman"/>
          <w:color w:val="auto"/>
          <w:szCs w:val="20"/>
        </w:rPr>
        <w:drawing>
          <wp:inline distT="0" distB="0" distL="0" distR="0">
            <wp:extent cx="2200275" cy="400050"/>
            <wp:effectExtent l="0" t="0" r="9525"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a:xfrm>
                      <a:off x="0" y="0"/>
                      <a:ext cx="2200275" cy="400050"/>
                    </a:xfrm>
                    <a:prstGeom prst="rect">
                      <a:avLst/>
                    </a:prstGeom>
                    <a:noFill/>
                    <a:ln>
                      <a:noFill/>
                    </a:ln>
                  </pic:spPr>
                </pic:pic>
              </a:graphicData>
            </a:graphic>
          </wp:inline>
        </w:drawing>
      </w:r>
    </w:p>
    <w:p w14:paraId="01828CF4">
      <w:pPr>
        <w:adjustRightInd w:val="0"/>
        <w:snapToGrid w:val="0"/>
        <w:spacing w:after="0" w:line="440" w:lineRule="exact"/>
        <w:ind w:firstLine="480"/>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本次评价采用将斑块导出成栅格，利用Fragstats对评价区内各类缀块的密度、频率和景观比例进行分析计算。评价区内各类缀块的密度（Rd）、频率（Rf）和景观比例（Lp），以及优势度的计算值见表7.2-25。</w:t>
      </w:r>
    </w:p>
    <w:p w14:paraId="08662511">
      <w:pPr>
        <w:adjustRightInd w:val="0"/>
        <w:snapToGrid w:val="0"/>
        <w:spacing w:after="0" w:line="440" w:lineRule="exact"/>
        <w:ind w:firstLine="480"/>
        <w:rPr>
          <w:rFonts w:hint="default" w:ascii="Times New Roman" w:hAnsi="Times New Roman" w:eastAsia="宋体" w:cs="Times New Roman"/>
          <w:color w:val="auto"/>
          <w:szCs w:val="20"/>
          <w:lang w:val="zh-CN"/>
        </w:rPr>
      </w:pPr>
      <w:r>
        <w:rPr>
          <w:rFonts w:hint="default" w:ascii="Times New Roman" w:hAnsi="Times New Roman" w:eastAsia="宋体" w:cs="Times New Roman"/>
          <w:color w:val="auto"/>
          <w:szCs w:val="20"/>
          <w:lang w:val="zh-CN"/>
        </w:rPr>
        <w:t>可以看出，在自然植被中，暖温性针叶林景观的优势度值最高，为28.664，表明其受人为干扰较小，缀块破碎度不高</w:t>
      </w:r>
      <w:r>
        <w:rPr>
          <w:rFonts w:hint="eastAsia" w:ascii="Times New Roman" w:hAnsi="Times New Roman" w:eastAsia="宋体" w:cs="Times New Roman"/>
          <w:color w:val="auto"/>
          <w:szCs w:val="20"/>
          <w:lang w:val="zh-CN"/>
        </w:rPr>
        <w:t>；在</w:t>
      </w:r>
      <w:r>
        <w:rPr>
          <w:rFonts w:hint="default" w:ascii="Times New Roman" w:hAnsi="Times New Roman" w:eastAsia="宋体" w:cs="Times New Roman"/>
          <w:color w:val="auto"/>
          <w:szCs w:val="20"/>
          <w:lang w:val="zh-CN"/>
        </w:rPr>
        <w:t>整个评价区看来，优势度最高的为针叶林景观。</w:t>
      </w:r>
      <w:r>
        <w:rPr>
          <w:rFonts w:hint="default" w:ascii="Times New Roman" w:hAnsi="Times New Roman" w:eastAsia="宋体" w:cs="Times New Roman"/>
          <w:color w:val="auto"/>
          <w:szCs w:val="20"/>
        </w:rPr>
        <w:t>评价区景观中，</w:t>
      </w:r>
      <w:r>
        <w:rPr>
          <w:rFonts w:hint="default" w:ascii="Times New Roman" w:hAnsi="Times New Roman" w:eastAsia="宋体" w:cs="Times New Roman"/>
          <w:color w:val="auto"/>
          <w:szCs w:val="20"/>
          <w:lang w:val="zh-CN"/>
        </w:rPr>
        <w:t>人工植被景观分布较为集中。从总体上来看，</w:t>
      </w:r>
      <w:r>
        <w:rPr>
          <w:rFonts w:hint="default" w:ascii="Times New Roman" w:hAnsi="Times New Roman" w:eastAsia="宋体" w:cs="Times New Roman"/>
          <w:color w:val="auto"/>
          <w:szCs w:val="20"/>
        </w:rPr>
        <w:t>针叶林景观和耕地景观</w:t>
      </w:r>
      <w:r>
        <w:rPr>
          <w:rFonts w:hint="default" w:ascii="Times New Roman" w:hAnsi="Times New Roman" w:eastAsia="宋体" w:cs="Times New Roman"/>
          <w:color w:val="auto"/>
          <w:szCs w:val="20"/>
          <w:lang w:val="zh-CN"/>
        </w:rPr>
        <w:t>所占景观比例最大，优势度也最高，表明其连通性较好，是评价区主要的景观背景。</w:t>
      </w:r>
    </w:p>
    <w:p w14:paraId="51A8A809">
      <w:pPr>
        <w:spacing w:after="0" w:line="240" w:lineRule="auto"/>
        <w:ind w:firstLine="482"/>
        <w:jc w:val="center"/>
        <w:rPr>
          <w:rFonts w:hint="default" w:ascii="Times New Roman" w:hAnsi="Times New Roman" w:eastAsia="宋体" w:cs="Times New Roman"/>
          <w:b/>
          <w:bCs/>
          <w:color w:val="auto"/>
          <w:szCs w:val="30"/>
        </w:rPr>
      </w:pPr>
      <w:r>
        <w:rPr>
          <w:rFonts w:hint="default" w:ascii="Times New Roman" w:hAnsi="Times New Roman" w:eastAsia="宋体" w:cs="Times New Roman"/>
          <w:b/>
          <w:bCs/>
          <w:color w:val="auto"/>
          <w:szCs w:val="30"/>
        </w:rPr>
        <w:t>表</w:t>
      </w:r>
      <w:r>
        <w:rPr>
          <w:rFonts w:hint="eastAsia" w:ascii="Times New Roman" w:hAnsi="Times New Roman" w:eastAsia="宋体" w:cs="Times New Roman"/>
          <w:b/>
          <w:bCs/>
          <w:color w:val="auto"/>
          <w:szCs w:val="30"/>
          <w:lang w:val="en-US" w:eastAsia="zh-CN"/>
        </w:rPr>
        <w:t>2.7-2</w:t>
      </w:r>
      <w:r>
        <w:rPr>
          <w:rFonts w:hint="default" w:ascii="Times New Roman" w:hAnsi="Times New Roman" w:eastAsia="宋体" w:cs="Times New Roman"/>
          <w:b/>
          <w:bCs/>
          <w:color w:val="auto"/>
          <w:szCs w:val="30"/>
        </w:rPr>
        <w:t xml:space="preserve">  评价区内各类景观优势度现状统计表</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623"/>
        <w:gridCol w:w="1285"/>
        <w:gridCol w:w="1420"/>
        <w:gridCol w:w="1711"/>
        <w:gridCol w:w="1711"/>
      </w:tblGrid>
      <w:tr w14:paraId="31E630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98" w:type="pct"/>
            <w:tcBorders>
              <w:tl2br w:val="nil"/>
              <w:tr2bl w:val="nil"/>
            </w:tcBorders>
            <w:noWrap/>
            <w:vAlign w:val="center"/>
          </w:tcPr>
          <w:p w14:paraId="4E4342B7">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景观类型</w:t>
            </w:r>
          </w:p>
        </w:tc>
        <w:tc>
          <w:tcPr>
            <w:tcW w:w="734" w:type="pct"/>
            <w:tcBorders>
              <w:tl2br w:val="nil"/>
              <w:tr2bl w:val="nil"/>
            </w:tcBorders>
            <w:noWrap/>
            <w:vAlign w:val="center"/>
          </w:tcPr>
          <w:p w14:paraId="056335C2">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密度Rd</w:t>
            </w:r>
          </w:p>
        </w:tc>
        <w:tc>
          <w:tcPr>
            <w:tcW w:w="811" w:type="pct"/>
            <w:tcBorders>
              <w:tl2br w:val="nil"/>
              <w:tr2bl w:val="nil"/>
            </w:tcBorders>
            <w:noWrap/>
            <w:vAlign w:val="center"/>
          </w:tcPr>
          <w:p w14:paraId="4A120DB2">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频率Rf</w:t>
            </w:r>
          </w:p>
        </w:tc>
        <w:tc>
          <w:tcPr>
            <w:tcW w:w="977" w:type="pct"/>
            <w:tcBorders>
              <w:tl2br w:val="nil"/>
              <w:tr2bl w:val="nil"/>
            </w:tcBorders>
            <w:vAlign w:val="center"/>
          </w:tcPr>
          <w:p w14:paraId="31A444AD">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景观比例Lp</w:t>
            </w:r>
          </w:p>
        </w:tc>
        <w:tc>
          <w:tcPr>
            <w:tcW w:w="977" w:type="pct"/>
            <w:tcBorders>
              <w:tl2br w:val="nil"/>
              <w:tr2bl w:val="nil"/>
            </w:tcBorders>
            <w:noWrap/>
            <w:vAlign w:val="center"/>
          </w:tcPr>
          <w:p w14:paraId="05EB609E">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优势度Do</w:t>
            </w:r>
          </w:p>
        </w:tc>
      </w:tr>
      <w:tr w14:paraId="7FCE7C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98" w:type="pct"/>
            <w:tcBorders>
              <w:tl2br w:val="nil"/>
              <w:tr2bl w:val="nil"/>
            </w:tcBorders>
            <w:shd w:val="clear" w:color="auto" w:fill="auto"/>
            <w:noWrap/>
            <w:vAlign w:val="center"/>
          </w:tcPr>
          <w:p w14:paraId="66E3DF1C">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暖温性针叶林景观</w:t>
            </w:r>
          </w:p>
        </w:tc>
        <w:tc>
          <w:tcPr>
            <w:tcW w:w="734" w:type="pct"/>
            <w:tcBorders>
              <w:tl2br w:val="nil"/>
              <w:tr2bl w:val="nil"/>
            </w:tcBorders>
            <w:shd w:val="clear" w:color="auto" w:fill="auto"/>
            <w:noWrap/>
            <w:vAlign w:val="center"/>
          </w:tcPr>
          <w:p w14:paraId="4EF31A79">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 xml:space="preserve">14.08 </w:t>
            </w:r>
          </w:p>
        </w:tc>
        <w:tc>
          <w:tcPr>
            <w:tcW w:w="811" w:type="pct"/>
            <w:tcBorders>
              <w:tl2br w:val="nil"/>
              <w:tr2bl w:val="nil"/>
            </w:tcBorders>
            <w:shd w:val="clear" w:color="auto" w:fill="auto"/>
            <w:noWrap/>
            <w:vAlign w:val="center"/>
          </w:tcPr>
          <w:p w14:paraId="5F4B83F9">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25.384</w:t>
            </w:r>
          </w:p>
        </w:tc>
        <w:tc>
          <w:tcPr>
            <w:tcW w:w="977" w:type="pct"/>
            <w:tcBorders>
              <w:tl2br w:val="nil"/>
              <w:tr2bl w:val="nil"/>
            </w:tcBorders>
            <w:shd w:val="clear" w:color="auto" w:fill="auto"/>
            <w:vAlign w:val="center"/>
          </w:tcPr>
          <w:p w14:paraId="6F12D680">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37.596</w:t>
            </w:r>
          </w:p>
        </w:tc>
        <w:tc>
          <w:tcPr>
            <w:tcW w:w="977" w:type="pct"/>
            <w:tcBorders>
              <w:tl2br w:val="nil"/>
              <w:tr2bl w:val="nil"/>
            </w:tcBorders>
            <w:shd w:val="clear" w:color="auto" w:fill="auto"/>
            <w:noWrap/>
            <w:vAlign w:val="center"/>
          </w:tcPr>
          <w:p w14:paraId="40BBCDAF">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 xml:space="preserve">28.664 </w:t>
            </w:r>
          </w:p>
        </w:tc>
      </w:tr>
      <w:tr w14:paraId="6D213E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98" w:type="pct"/>
            <w:tcBorders>
              <w:tl2br w:val="nil"/>
              <w:tr2bl w:val="nil"/>
            </w:tcBorders>
            <w:shd w:val="clear" w:color="auto" w:fill="auto"/>
            <w:noWrap/>
            <w:vAlign w:val="center"/>
          </w:tcPr>
          <w:p w14:paraId="2F91EB57">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暖性石灰岩灌丛景观</w:t>
            </w:r>
          </w:p>
        </w:tc>
        <w:tc>
          <w:tcPr>
            <w:tcW w:w="734" w:type="pct"/>
            <w:tcBorders>
              <w:tl2br w:val="nil"/>
              <w:tr2bl w:val="nil"/>
            </w:tcBorders>
            <w:shd w:val="clear" w:color="auto" w:fill="auto"/>
            <w:noWrap/>
            <w:vAlign w:val="center"/>
          </w:tcPr>
          <w:p w14:paraId="0BFE3111">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 xml:space="preserve">13.93 </w:t>
            </w:r>
          </w:p>
        </w:tc>
        <w:tc>
          <w:tcPr>
            <w:tcW w:w="811" w:type="pct"/>
            <w:tcBorders>
              <w:tl2br w:val="nil"/>
              <w:tr2bl w:val="nil"/>
            </w:tcBorders>
            <w:shd w:val="clear" w:color="auto" w:fill="auto"/>
            <w:noWrap/>
            <w:vAlign w:val="center"/>
          </w:tcPr>
          <w:p w14:paraId="31ACFF17">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20.035</w:t>
            </w:r>
          </w:p>
        </w:tc>
        <w:tc>
          <w:tcPr>
            <w:tcW w:w="977" w:type="pct"/>
            <w:tcBorders>
              <w:tl2br w:val="nil"/>
              <w:tr2bl w:val="nil"/>
            </w:tcBorders>
            <w:shd w:val="clear" w:color="auto" w:fill="auto"/>
            <w:vAlign w:val="center"/>
          </w:tcPr>
          <w:p w14:paraId="54C2EBBF">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19.105</w:t>
            </w:r>
          </w:p>
        </w:tc>
        <w:tc>
          <w:tcPr>
            <w:tcW w:w="977" w:type="pct"/>
            <w:tcBorders>
              <w:tl2br w:val="nil"/>
              <w:tr2bl w:val="nil"/>
            </w:tcBorders>
            <w:shd w:val="clear" w:color="auto" w:fill="auto"/>
            <w:noWrap/>
            <w:vAlign w:val="center"/>
          </w:tcPr>
          <w:p w14:paraId="54DAE8C9">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 xml:space="preserve">18.044 </w:t>
            </w:r>
          </w:p>
        </w:tc>
      </w:tr>
      <w:tr w14:paraId="1967C6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98" w:type="pct"/>
            <w:tcBorders>
              <w:tl2br w:val="nil"/>
              <w:tr2bl w:val="nil"/>
            </w:tcBorders>
            <w:shd w:val="clear" w:color="auto" w:fill="auto"/>
            <w:vAlign w:val="center"/>
          </w:tcPr>
          <w:p w14:paraId="2F5A8E40">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暖温性稀树灌木草丛景观</w:t>
            </w:r>
          </w:p>
        </w:tc>
        <w:tc>
          <w:tcPr>
            <w:tcW w:w="734" w:type="pct"/>
            <w:tcBorders>
              <w:tl2br w:val="nil"/>
              <w:tr2bl w:val="nil"/>
            </w:tcBorders>
            <w:shd w:val="clear" w:color="auto" w:fill="auto"/>
            <w:noWrap/>
            <w:vAlign w:val="center"/>
          </w:tcPr>
          <w:p w14:paraId="401001B2">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 xml:space="preserve">10.70 </w:t>
            </w:r>
          </w:p>
        </w:tc>
        <w:tc>
          <w:tcPr>
            <w:tcW w:w="811" w:type="pct"/>
            <w:tcBorders>
              <w:tl2br w:val="nil"/>
              <w:tr2bl w:val="nil"/>
            </w:tcBorders>
            <w:shd w:val="clear" w:color="auto" w:fill="auto"/>
            <w:noWrap/>
            <w:vAlign w:val="center"/>
          </w:tcPr>
          <w:p w14:paraId="411DD857">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20.104</w:t>
            </w:r>
          </w:p>
        </w:tc>
        <w:tc>
          <w:tcPr>
            <w:tcW w:w="977" w:type="pct"/>
            <w:tcBorders>
              <w:tl2br w:val="nil"/>
              <w:tr2bl w:val="nil"/>
            </w:tcBorders>
            <w:shd w:val="clear" w:color="auto" w:fill="auto"/>
            <w:vAlign w:val="center"/>
          </w:tcPr>
          <w:p w14:paraId="310150CE">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15.634</w:t>
            </w:r>
          </w:p>
        </w:tc>
        <w:tc>
          <w:tcPr>
            <w:tcW w:w="977" w:type="pct"/>
            <w:tcBorders>
              <w:tl2br w:val="nil"/>
              <w:tr2bl w:val="nil"/>
            </w:tcBorders>
            <w:shd w:val="clear" w:color="auto" w:fill="auto"/>
            <w:noWrap/>
            <w:vAlign w:val="center"/>
          </w:tcPr>
          <w:p w14:paraId="1A85C874">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 xml:space="preserve">15.518 </w:t>
            </w:r>
          </w:p>
        </w:tc>
      </w:tr>
      <w:tr w14:paraId="7A27FF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98" w:type="pct"/>
            <w:tcBorders>
              <w:tl2br w:val="nil"/>
              <w:tr2bl w:val="nil"/>
            </w:tcBorders>
            <w:shd w:val="clear" w:color="auto" w:fill="auto"/>
            <w:vAlign w:val="center"/>
          </w:tcPr>
          <w:p w14:paraId="3D469809">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人工林景观</w:t>
            </w:r>
          </w:p>
        </w:tc>
        <w:tc>
          <w:tcPr>
            <w:tcW w:w="734" w:type="pct"/>
            <w:tcBorders>
              <w:tl2br w:val="nil"/>
              <w:tr2bl w:val="nil"/>
            </w:tcBorders>
            <w:shd w:val="clear" w:color="auto" w:fill="auto"/>
            <w:noWrap/>
            <w:vAlign w:val="center"/>
          </w:tcPr>
          <w:p w14:paraId="58435E5F">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 xml:space="preserve">0.88 </w:t>
            </w:r>
          </w:p>
        </w:tc>
        <w:tc>
          <w:tcPr>
            <w:tcW w:w="811" w:type="pct"/>
            <w:tcBorders>
              <w:tl2br w:val="nil"/>
              <w:tr2bl w:val="nil"/>
            </w:tcBorders>
            <w:shd w:val="clear" w:color="auto" w:fill="auto"/>
            <w:noWrap/>
            <w:vAlign w:val="center"/>
          </w:tcPr>
          <w:p w14:paraId="2B8838D5">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7.382</w:t>
            </w:r>
          </w:p>
        </w:tc>
        <w:tc>
          <w:tcPr>
            <w:tcW w:w="977" w:type="pct"/>
            <w:tcBorders>
              <w:tl2br w:val="nil"/>
              <w:tr2bl w:val="nil"/>
            </w:tcBorders>
            <w:shd w:val="clear" w:color="auto" w:fill="auto"/>
            <w:vAlign w:val="center"/>
          </w:tcPr>
          <w:p w14:paraId="23F90073">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0.506</w:t>
            </w:r>
          </w:p>
        </w:tc>
        <w:tc>
          <w:tcPr>
            <w:tcW w:w="977" w:type="pct"/>
            <w:tcBorders>
              <w:tl2br w:val="nil"/>
              <w:tr2bl w:val="nil"/>
            </w:tcBorders>
            <w:shd w:val="clear" w:color="auto" w:fill="auto"/>
            <w:noWrap/>
            <w:vAlign w:val="center"/>
          </w:tcPr>
          <w:p w14:paraId="2292F0AE">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 xml:space="preserve">2.319 </w:t>
            </w:r>
          </w:p>
        </w:tc>
      </w:tr>
      <w:tr w14:paraId="26C902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98" w:type="pct"/>
            <w:tcBorders>
              <w:tl2br w:val="nil"/>
              <w:tr2bl w:val="nil"/>
            </w:tcBorders>
            <w:shd w:val="clear" w:color="auto" w:fill="auto"/>
            <w:vAlign w:val="center"/>
          </w:tcPr>
          <w:p w14:paraId="6B8E3FD4">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耕地景观</w:t>
            </w:r>
          </w:p>
        </w:tc>
        <w:tc>
          <w:tcPr>
            <w:tcW w:w="734" w:type="pct"/>
            <w:tcBorders>
              <w:tl2br w:val="nil"/>
              <w:tr2bl w:val="nil"/>
            </w:tcBorders>
            <w:shd w:val="clear" w:color="auto" w:fill="auto"/>
            <w:noWrap/>
            <w:vAlign w:val="center"/>
          </w:tcPr>
          <w:p w14:paraId="4B33A3B9">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 xml:space="preserve">34.75 </w:t>
            </w:r>
          </w:p>
        </w:tc>
        <w:tc>
          <w:tcPr>
            <w:tcW w:w="811" w:type="pct"/>
            <w:tcBorders>
              <w:tl2br w:val="nil"/>
              <w:tr2bl w:val="nil"/>
            </w:tcBorders>
            <w:shd w:val="clear" w:color="auto" w:fill="auto"/>
            <w:noWrap/>
            <w:vAlign w:val="center"/>
          </w:tcPr>
          <w:p w14:paraId="171CC5D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25.696</w:t>
            </w:r>
          </w:p>
        </w:tc>
        <w:tc>
          <w:tcPr>
            <w:tcW w:w="977" w:type="pct"/>
            <w:tcBorders>
              <w:tl2br w:val="nil"/>
              <w:tr2bl w:val="nil"/>
            </w:tcBorders>
            <w:shd w:val="clear" w:color="auto" w:fill="auto"/>
            <w:vAlign w:val="center"/>
          </w:tcPr>
          <w:p w14:paraId="45DF0746">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24.201</w:t>
            </w:r>
          </w:p>
        </w:tc>
        <w:tc>
          <w:tcPr>
            <w:tcW w:w="977" w:type="pct"/>
            <w:tcBorders>
              <w:tl2br w:val="nil"/>
              <w:tr2bl w:val="nil"/>
            </w:tcBorders>
            <w:shd w:val="clear" w:color="auto" w:fill="auto"/>
            <w:noWrap/>
            <w:vAlign w:val="center"/>
          </w:tcPr>
          <w:p w14:paraId="1826E26C">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 xml:space="preserve">27.212 </w:t>
            </w:r>
          </w:p>
        </w:tc>
      </w:tr>
      <w:tr w14:paraId="08DCAB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98" w:type="pct"/>
            <w:tcBorders>
              <w:tl2br w:val="nil"/>
              <w:tr2bl w:val="nil"/>
            </w:tcBorders>
            <w:shd w:val="clear" w:color="auto" w:fill="auto"/>
            <w:vAlign w:val="center"/>
          </w:tcPr>
          <w:p w14:paraId="0870F9D6">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城镇区域景观</w:t>
            </w:r>
          </w:p>
        </w:tc>
        <w:tc>
          <w:tcPr>
            <w:tcW w:w="734" w:type="pct"/>
            <w:tcBorders>
              <w:tl2br w:val="nil"/>
              <w:tr2bl w:val="nil"/>
            </w:tcBorders>
            <w:shd w:val="clear" w:color="auto" w:fill="auto"/>
            <w:noWrap/>
            <w:vAlign w:val="center"/>
          </w:tcPr>
          <w:p w14:paraId="712D2F5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9.97 </w:t>
            </w:r>
          </w:p>
        </w:tc>
        <w:tc>
          <w:tcPr>
            <w:tcW w:w="811" w:type="pct"/>
            <w:tcBorders>
              <w:tl2br w:val="nil"/>
              <w:tr2bl w:val="nil"/>
            </w:tcBorders>
            <w:shd w:val="clear" w:color="auto" w:fill="auto"/>
            <w:noWrap/>
            <w:vAlign w:val="center"/>
          </w:tcPr>
          <w:p w14:paraId="6D7E7AC4">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等线" w:cs="Times New Roman"/>
                <w:color w:val="auto"/>
                <w:sz w:val="21"/>
                <w:szCs w:val="21"/>
              </w:rPr>
              <w:t>2.035</w:t>
            </w:r>
          </w:p>
        </w:tc>
        <w:tc>
          <w:tcPr>
            <w:tcW w:w="977" w:type="pct"/>
            <w:tcBorders>
              <w:tl2br w:val="nil"/>
              <w:tr2bl w:val="nil"/>
            </w:tcBorders>
            <w:shd w:val="clear" w:color="auto" w:fill="auto"/>
            <w:vAlign w:val="center"/>
          </w:tcPr>
          <w:p w14:paraId="2838A0C6">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等线" w:cs="Times New Roman"/>
                <w:color w:val="auto"/>
                <w:sz w:val="21"/>
                <w:szCs w:val="21"/>
              </w:rPr>
              <w:t>0.985</w:t>
            </w:r>
          </w:p>
        </w:tc>
        <w:tc>
          <w:tcPr>
            <w:tcW w:w="977" w:type="pct"/>
            <w:tcBorders>
              <w:tl2br w:val="nil"/>
              <w:tr2bl w:val="nil"/>
            </w:tcBorders>
            <w:shd w:val="clear" w:color="auto" w:fill="auto"/>
            <w:noWrap/>
            <w:vAlign w:val="center"/>
          </w:tcPr>
          <w:p w14:paraId="1F7C913E">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等线" w:cs="Times New Roman"/>
                <w:color w:val="auto"/>
                <w:sz w:val="21"/>
                <w:szCs w:val="21"/>
              </w:rPr>
              <w:t xml:space="preserve">3.494 </w:t>
            </w:r>
          </w:p>
        </w:tc>
      </w:tr>
      <w:tr w14:paraId="7F0A7C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98" w:type="pct"/>
            <w:tcBorders>
              <w:tl2br w:val="nil"/>
              <w:tr2bl w:val="nil"/>
            </w:tcBorders>
            <w:shd w:val="clear" w:color="auto" w:fill="auto"/>
            <w:vAlign w:val="center"/>
          </w:tcPr>
          <w:p w14:paraId="14B2CF83">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工矿企业景观</w:t>
            </w:r>
          </w:p>
        </w:tc>
        <w:tc>
          <w:tcPr>
            <w:tcW w:w="734" w:type="pct"/>
            <w:tcBorders>
              <w:tl2br w:val="nil"/>
              <w:tr2bl w:val="nil"/>
            </w:tcBorders>
            <w:shd w:val="clear" w:color="auto" w:fill="auto"/>
            <w:noWrap/>
            <w:vAlign w:val="center"/>
          </w:tcPr>
          <w:p w14:paraId="2ACF88E4">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0.29 </w:t>
            </w:r>
          </w:p>
        </w:tc>
        <w:tc>
          <w:tcPr>
            <w:tcW w:w="811" w:type="pct"/>
            <w:tcBorders>
              <w:tl2br w:val="nil"/>
              <w:tr2bl w:val="nil"/>
            </w:tcBorders>
            <w:shd w:val="clear" w:color="auto" w:fill="auto"/>
            <w:noWrap/>
            <w:vAlign w:val="center"/>
          </w:tcPr>
          <w:p w14:paraId="76C3646C">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等线" w:cs="Times New Roman"/>
                <w:color w:val="auto"/>
                <w:sz w:val="21"/>
                <w:szCs w:val="21"/>
              </w:rPr>
              <w:t>1.024</w:t>
            </w:r>
          </w:p>
        </w:tc>
        <w:tc>
          <w:tcPr>
            <w:tcW w:w="977" w:type="pct"/>
            <w:tcBorders>
              <w:tl2br w:val="nil"/>
              <w:tr2bl w:val="nil"/>
            </w:tcBorders>
            <w:shd w:val="clear" w:color="auto" w:fill="auto"/>
            <w:vAlign w:val="center"/>
          </w:tcPr>
          <w:p w14:paraId="40F07C05">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等线" w:cs="Times New Roman"/>
                <w:color w:val="auto"/>
                <w:sz w:val="21"/>
                <w:szCs w:val="21"/>
              </w:rPr>
              <w:t>0.022</w:t>
            </w:r>
          </w:p>
        </w:tc>
        <w:tc>
          <w:tcPr>
            <w:tcW w:w="977" w:type="pct"/>
            <w:tcBorders>
              <w:tl2br w:val="nil"/>
              <w:tr2bl w:val="nil"/>
            </w:tcBorders>
            <w:shd w:val="clear" w:color="auto" w:fill="auto"/>
            <w:noWrap/>
            <w:vAlign w:val="center"/>
          </w:tcPr>
          <w:p w14:paraId="64D29E29">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等线" w:cs="Times New Roman"/>
                <w:color w:val="auto"/>
                <w:sz w:val="21"/>
                <w:szCs w:val="21"/>
              </w:rPr>
              <w:t xml:space="preserve">0.340 </w:t>
            </w:r>
          </w:p>
        </w:tc>
      </w:tr>
      <w:tr w14:paraId="6D0813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98" w:type="pct"/>
            <w:tcBorders>
              <w:tl2br w:val="nil"/>
              <w:tr2bl w:val="nil"/>
            </w:tcBorders>
            <w:shd w:val="clear" w:color="auto" w:fill="auto"/>
            <w:vAlign w:val="center"/>
          </w:tcPr>
          <w:p w14:paraId="306D44F8">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交通景观</w:t>
            </w:r>
          </w:p>
        </w:tc>
        <w:tc>
          <w:tcPr>
            <w:tcW w:w="734" w:type="pct"/>
            <w:tcBorders>
              <w:tl2br w:val="nil"/>
              <w:tr2bl w:val="nil"/>
            </w:tcBorders>
            <w:shd w:val="clear" w:color="auto" w:fill="auto"/>
            <w:noWrap/>
            <w:vAlign w:val="center"/>
          </w:tcPr>
          <w:p w14:paraId="6AFBB05D">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宋体" w:cs="Times New Roman"/>
                <w:color w:val="auto"/>
                <w:sz w:val="21"/>
                <w:szCs w:val="21"/>
              </w:rPr>
              <w:t xml:space="preserve">8.50 </w:t>
            </w:r>
          </w:p>
        </w:tc>
        <w:tc>
          <w:tcPr>
            <w:tcW w:w="811" w:type="pct"/>
            <w:tcBorders>
              <w:tl2br w:val="nil"/>
              <w:tr2bl w:val="nil"/>
            </w:tcBorders>
            <w:shd w:val="clear" w:color="auto" w:fill="auto"/>
            <w:noWrap/>
            <w:vAlign w:val="center"/>
          </w:tcPr>
          <w:p w14:paraId="54A9CA8F">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16.596</w:t>
            </w:r>
          </w:p>
        </w:tc>
        <w:tc>
          <w:tcPr>
            <w:tcW w:w="977" w:type="pct"/>
            <w:tcBorders>
              <w:tl2br w:val="nil"/>
              <w:tr2bl w:val="nil"/>
            </w:tcBorders>
            <w:shd w:val="clear" w:color="auto" w:fill="auto"/>
            <w:vAlign w:val="center"/>
          </w:tcPr>
          <w:p w14:paraId="10CCA3A6">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1.203</w:t>
            </w:r>
          </w:p>
        </w:tc>
        <w:tc>
          <w:tcPr>
            <w:tcW w:w="977" w:type="pct"/>
            <w:tcBorders>
              <w:tl2br w:val="nil"/>
              <w:tr2bl w:val="nil"/>
            </w:tcBorders>
            <w:shd w:val="clear" w:color="auto" w:fill="auto"/>
            <w:noWrap/>
            <w:vAlign w:val="center"/>
          </w:tcPr>
          <w:p w14:paraId="15AEC6A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 xml:space="preserve">6.876 </w:t>
            </w:r>
          </w:p>
        </w:tc>
      </w:tr>
      <w:tr w14:paraId="032932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98" w:type="pct"/>
            <w:tcBorders>
              <w:tl2br w:val="nil"/>
              <w:tr2bl w:val="nil"/>
            </w:tcBorders>
            <w:shd w:val="clear" w:color="auto" w:fill="auto"/>
            <w:vAlign w:val="center"/>
          </w:tcPr>
          <w:p w14:paraId="225DAA98">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水域景观</w:t>
            </w:r>
          </w:p>
        </w:tc>
        <w:tc>
          <w:tcPr>
            <w:tcW w:w="734" w:type="pct"/>
            <w:tcBorders>
              <w:tl2br w:val="nil"/>
              <w:tr2bl w:val="nil"/>
            </w:tcBorders>
            <w:shd w:val="clear" w:color="auto" w:fill="auto"/>
            <w:noWrap/>
            <w:vAlign w:val="center"/>
          </w:tcPr>
          <w:p w14:paraId="7E664B60">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宋体" w:cs="Times New Roman"/>
                <w:color w:val="auto"/>
                <w:sz w:val="21"/>
                <w:szCs w:val="21"/>
              </w:rPr>
              <w:t xml:space="preserve">4.40 </w:t>
            </w:r>
          </w:p>
        </w:tc>
        <w:tc>
          <w:tcPr>
            <w:tcW w:w="811" w:type="pct"/>
            <w:tcBorders>
              <w:tl2br w:val="nil"/>
              <w:tr2bl w:val="nil"/>
            </w:tcBorders>
            <w:shd w:val="clear" w:color="auto" w:fill="auto"/>
            <w:noWrap/>
            <w:vAlign w:val="center"/>
          </w:tcPr>
          <w:p w14:paraId="3566B0FD">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5.337</w:t>
            </w:r>
          </w:p>
        </w:tc>
        <w:tc>
          <w:tcPr>
            <w:tcW w:w="977" w:type="pct"/>
            <w:tcBorders>
              <w:tl2br w:val="nil"/>
              <w:tr2bl w:val="nil"/>
            </w:tcBorders>
            <w:shd w:val="clear" w:color="auto" w:fill="auto"/>
            <w:vAlign w:val="center"/>
          </w:tcPr>
          <w:p w14:paraId="3FA0B15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0.441</w:t>
            </w:r>
          </w:p>
        </w:tc>
        <w:tc>
          <w:tcPr>
            <w:tcW w:w="977" w:type="pct"/>
            <w:tcBorders>
              <w:tl2br w:val="nil"/>
              <w:tr2bl w:val="nil"/>
            </w:tcBorders>
            <w:shd w:val="clear" w:color="auto" w:fill="auto"/>
            <w:noWrap/>
            <w:vAlign w:val="center"/>
          </w:tcPr>
          <w:p w14:paraId="12C0A290">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 xml:space="preserve">2.655 </w:t>
            </w:r>
          </w:p>
        </w:tc>
      </w:tr>
      <w:tr w14:paraId="27DA8D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98" w:type="pct"/>
            <w:tcBorders>
              <w:tl2br w:val="nil"/>
              <w:tr2bl w:val="nil"/>
            </w:tcBorders>
            <w:shd w:val="clear" w:color="auto" w:fill="auto"/>
            <w:vAlign w:val="center"/>
          </w:tcPr>
          <w:p w14:paraId="3ECE78D2">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裸地景观</w:t>
            </w:r>
          </w:p>
        </w:tc>
        <w:tc>
          <w:tcPr>
            <w:tcW w:w="734" w:type="pct"/>
            <w:tcBorders>
              <w:tl2br w:val="nil"/>
              <w:tr2bl w:val="nil"/>
            </w:tcBorders>
            <w:shd w:val="clear" w:color="auto" w:fill="auto"/>
            <w:noWrap/>
            <w:vAlign w:val="center"/>
          </w:tcPr>
          <w:p w14:paraId="11FDE230">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宋体" w:cs="Times New Roman"/>
                <w:color w:val="auto"/>
                <w:sz w:val="21"/>
                <w:szCs w:val="21"/>
              </w:rPr>
              <w:t xml:space="preserve">2.49 </w:t>
            </w:r>
          </w:p>
        </w:tc>
        <w:tc>
          <w:tcPr>
            <w:tcW w:w="811" w:type="pct"/>
            <w:tcBorders>
              <w:tl2br w:val="nil"/>
              <w:tr2bl w:val="nil"/>
            </w:tcBorders>
            <w:shd w:val="clear" w:color="auto" w:fill="auto"/>
            <w:noWrap/>
            <w:vAlign w:val="center"/>
          </w:tcPr>
          <w:p w14:paraId="53DB135E">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1.002</w:t>
            </w:r>
          </w:p>
        </w:tc>
        <w:tc>
          <w:tcPr>
            <w:tcW w:w="977" w:type="pct"/>
            <w:tcBorders>
              <w:tl2br w:val="nil"/>
              <w:tr2bl w:val="nil"/>
            </w:tcBorders>
            <w:shd w:val="clear" w:color="auto" w:fill="auto"/>
            <w:vAlign w:val="center"/>
          </w:tcPr>
          <w:p w14:paraId="1682E560">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0.307</w:t>
            </w:r>
          </w:p>
        </w:tc>
        <w:tc>
          <w:tcPr>
            <w:tcW w:w="977" w:type="pct"/>
            <w:tcBorders>
              <w:tl2br w:val="nil"/>
              <w:tr2bl w:val="nil"/>
            </w:tcBorders>
            <w:shd w:val="clear" w:color="auto" w:fill="auto"/>
            <w:noWrap/>
            <w:vAlign w:val="center"/>
          </w:tcPr>
          <w:p w14:paraId="36A660C1">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 xml:space="preserve">1.027 </w:t>
            </w:r>
          </w:p>
        </w:tc>
      </w:tr>
    </w:tbl>
    <w:p w14:paraId="08254951">
      <w:pPr>
        <w:pStyle w:val="6"/>
        <w:numPr>
          <w:ilvl w:val="2"/>
          <w:numId w:val="0"/>
        </w:numPr>
        <w:spacing w:line="360" w:lineRule="auto"/>
        <w:rPr>
          <w:rFonts w:hint="default" w:ascii="Times New Roman" w:hAnsi="Times New Roman" w:cs="Times New Roman"/>
          <w:color w:val="auto"/>
          <w:szCs w:val="24"/>
        </w:rPr>
      </w:pPr>
      <w:bookmarkStart w:id="248" w:name="_Toc14175"/>
      <w:r>
        <w:rPr>
          <w:rFonts w:hint="default" w:ascii="Times New Roman" w:hAnsi="Times New Roman" w:cs="Times New Roman"/>
          <w:color w:val="auto"/>
          <w:szCs w:val="24"/>
        </w:rPr>
        <w:t>2.7.1.2 景观多样性指数</w:t>
      </w:r>
      <w:bookmarkEnd w:id="248"/>
    </w:p>
    <w:p w14:paraId="197A578F">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lang w:val="zh-CN"/>
        </w:rPr>
      </w:pPr>
      <w:bookmarkStart w:id="249" w:name="_Toc2334"/>
      <w:bookmarkStart w:id="250" w:name="_Toc153800833"/>
      <w:r>
        <w:rPr>
          <w:rFonts w:hint="default" w:ascii="Times New Roman" w:hAnsi="Times New Roman" w:eastAsia="宋体" w:cs="Times New Roman"/>
          <w:color w:val="auto"/>
          <w:szCs w:val="24"/>
          <w:lang w:val="zh-CN"/>
        </w:rPr>
        <w:t>评价区是以农田生态系统、森林生态系统和河流生态系统等共同组成的复合系统，这些不同的景观系统按其内在的规律整合在一起，形成和评价区内统一的景观体系。景观生态系统的稳定性取决于景观生态系统稳定程度和系统干扰程度两大方面。</w:t>
      </w:r>
    </w:p>
    <w:p w14:paraId="057DC618">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一般而言，稳定性包含抵抗力和恢复力两方面。景观的稳定性可从景观的多样性程度反映出来，单一均质的景观构成不能有效抵御多变干扰因素的作用，同时受干扰后易被彻底损毁。这里，采用景观多样性指数（Landscapediversityindex），来衡量景观体系的复杂程度。包括4种景观多样性指数，即：</w:t>
      </w:r>
    </w:p>
    <w:p w14:paraId="45254296">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①Shannon-Weaver多样性指数</w:t>
      </w:r>
    </w:p>
    <w:p w14:paraId="4178535A">
      <w:pPr>
        <w:ind w:firstLine="480"/>
        <w:jc w:val="center"/>
        <w:rPr>
          <w:rFonts w:hint="default" w:ascii="Times New Roman" w:hAnsi="Times New Roman" w:cs="Times New Roman"/>
          <w:color w:val="auto"/>
          <w:szCs w:val="24"/>
        </w:rPr>
      </w:pPr>
      <w:r>
        <w:rPr>
          <w:rFonts w:hint="default" w:ascii="Times New Roman" w:hAnsi="Times New Roman" w:cs="Times New Roman"/>
          <w:color w:val="auto"/>
          <w:szCs w:val="24"/>
        </w:rPr>
        <w:drawing>
          <wp:inline distT="0" distB="0" distL="114300" distR="114300">
            <wp:extent cx="1133475" cy="409575"/>
            <wp:effectExtent l="0" t="0" r="9525" b="8255"/>
            <wp:docPr id="5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
                    <pic:cNvPicPr>
                      <a:picLocks noChangeAspect="1"/>
                    </pic:cNvPicPr>
                  </pic:nvPicPr>
                  <pic:blipFill>
                    <a:blip r:embed="rId92"/>
                    <a:stretch>
                      <a:fillRect/>
                    </a:stretch>
                  </pic:blipFill>
                  <pic:spPr>
                    <a:xfrm>
                      <a:off x="0" y="0"/>
                      <a:ext cx="1133475" cy="409575"/>
                    </a:xfrm>
                    <a:prstGeom prst="rect">
                      <a:avLst/>
                    </a:prstGeom>
                    <a:noFill/>
                    <a:ln>
                      <a:noFill/>
                    </a:ln>
                  </pic:spPr>
                </pic:pic>
              </a:graphicData>
            </a:graphic>
          </wp:inline>
        </w:drawing>
      </w:r>
    </w:p>
    <w:p w14:paraId="40227BE3">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szCs w:val="24"/>
        </w:rPr>
      </w:pPr>
      <w:r>
        <w:rPr>
          <w:rFonts w:hint="default" w:ascii="Times New Roman" w:hAnsi="Times New Roman" w:cs="Times New Roman"/>
          <w:color w:val="auto"/>
          <w:szCs w:val="24"/>
        </w:rPr>
        <w:t>式中，</w:t>
      </w:r>
      <w:r>
        <w:rPr>
          <w:rFonts w:hint="default" w:ascii="Times New Roman" w:hAnsi="Times New Roman" w:cs="Times New Roman"/>
          <w:i/>
          <w:iCs/>
          <w:color w:val="auto"/>
          <w:szCs w:val="24"/>
        </w:rPr>
        <w:t>P</w:t>
      </w:r>
      <w:r>
        <w:rPr>
          <w:rFonts w:hint="default" w:ascii="Times New Roman" w:hAnsi="Times New Roman" w:cs="Times New Roman"/>
          <w:color w:val="auto"/>
          <w:szCs w:val="24"/>
          <w:vertAlign w:val="subscript"/>
        </w:rPr>
        <w:t>k</w:t>
      </w:r>
      <w:r>
        <w:rPr>
          <w:rFonts w:hint="default" w:ascii="Times New Roman" w:hAnsi="Times New Roman" w:cs="Times New Roman"/>
          <w:color w:val="auto"/>
          <w:szCs w:val="24"/>
        </w:rPr>
        <w:t>是缀块类型</w:t>
      </w:r>
      <w:r>
        <w:rPr>
          <w:rFonts w:hint="default" w:ascii="Times New Roman" w:hAnsi="Times New Roman" w:cs="Times New Roman"/>
          <w:i/>
          <w:iCs/>
          <w:color w:val="auto"/>
          <w:szCs w:val="24"/>
        </w:rPr>
        <w:t>k</w:t>
      </w:r>
      <w:r>
        <w:rPr>
          <w:rFonts w:hint="default" w:ascii="Times New Roman" w:hAnsi="Times New Roman" w:cs="Times New Roman"/>
          <w:color w:val="auto"/>
          <w:szCs w:val="24"/>
        </w:rPr>
        <w:t>在景观中出现的概率，</w:t>
      </w:r>
      <w:r>
        <w:rPr>
          <w:rFonts w:hint="default" w:ascii="Times New Roman" w:hAnsi="Times New Roman" w:cs="Times New Roman"/>
          <w:i/>
          <w:iCs/>
          <w:color w:val="auto"/>
          <w:szCs w:val="24"/>
        </w:rPr>
        <w:t>n</w:t>
      </w:r>
      <w:r>
        <w:rPr>
          <w:rFonts w:hint="default" w:ascii="Times New Roman" w:hAnsi="Times New Roman" w:cs="Times New Roman"/>
          <w:color w:val="auto"/>
          <w:szCs w:val="24"/>
        </w:rPr>
        <w:t>是景观中缀块类型的总数。</w:t>
      </w:r>
    </w:p>
    <w:p w14:paraId="05F7854A">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②Simpson多样性指数</w:t>
      </w:r>
    </w:p>
    <w:p w14:paraId="03C128DA">
      <w:pPr>
        <w:keepNext w:val="0"/>
        <w:keepLines w:val="0"/>
        <w:pageBreakBefore w:val="0"/>
        <w:widowControl w:val="0"/>
        <w:kinsoku/>
        <w:wordWrap/>
        <w:overflowPunct/>
        <w:topLinePunct w:val="0"/>
        <w:autoSpaceDE/>
        <w:autoSpaceDN/>
        <w:bidi w:val="0"/>
        <w:adjustRightInd w:val="0"/>
        <w:snapToGrid w:val="0"/>
        <w:spacing w:after="0" w:line="240" w:lineRule="auto"/>
        <w:ind w:firstLine="480"/>
        <w:jc w:val="center"/>
        <w:textAlignment w:val="auto"/>
        <w:rPr>
          <w:rFonts w:hint="default" w:ascii="Times New Roman" w:hAnsi="Times New Roman" w:cs="Times New Roman"/>
          <w:color w:val="auto"/>
          <w:szCs w:val="24"/>
        </w:rPr>
      </w:pPr>
      <w:r>
        <w:rPr>
          <w:rFonts w:hint="default" w:ascii="Times New Roman" w:hAnsi="Times New Roman" w:cs="Times New Roman"/>
          <w:color w:val="auto"/>
          <w:szCs w:val="24"/>
        </w:rPr>
        <w:drawing>
          <wp:inline distT="0" distB="0" distL="114300" distR="114300">
            <wp:extent cx="914400" cy="409575"/>
            <wp:effectExtent l="0" t="0" r="0" b="8255"/>
            <wp:docPr id="5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
                    <pic:cNvPicPr>
                      <a:picLocks noChangeAspect="1"/>
                    </pic:cNvPicPr>
                  </pic:nvPicPr>
                  <pic:blipFill>
                    <a:blip r:embed="rId93"/>
                    <a:stretch>
                      <a:fillRect/>
                    </a:stretch>
                  </pic:blipFill>
                  <pic:spPr>
                    <a:xfrm>
                      <a:off x="0" y="0"/>
                      <a:ext cx="914400" cy="409575"/>
                    </a:xfrm>
                    <a:prstGeom prst="rect">
                      <a:avLst/>
                    </a:prstGeom>
                    <a:noFill/>
                    <a:ln>
                      <a:noFill/>
                    </a:ln>
                  </pic:spPr>
                </pic:pic>
              </a:graphicData>
            </a:graphic>
          </wp:inline>
        </w:drawing>
      </w:r>
    </w:p>
    <w:p w14:paraId="2448D2D1">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szCs w:val="24"/>
        </w:rPr>
      </w:pPr>
      <w:r>
        <w:rPr>
          <w:rFonts w:hint="default" w:ascii="Times New Roman" w:hAnsi="Times New Roman" w:cs="Times New Roman"/>
          <w:color w:val="auto"/>
          <w:szCs w:val="24"/>
        </w:rPr>
        <w:t>式中各项定义同前。多样性指数的大小取决于两方面的信息：一是缀块类型的多少（及丰富度），二是各缀块类型在面积上分布的均匀程度。对于给定的n，当各类缀块的面积比例相同时（即</w:t>
      </w:r>
      <w:r>
        <w:rPr>
          <w:rFonts w:hint="default" w:ascii="Times New Roman" w:hAnsi="Times New Roman" w:cs="Times New Roman"/>
          <w:i/>
          <w:iCs/>
          <w:color w:val="auto"/>
          <w:szCs w:val="24"/>
        </w:rPr>
        <w:t>P</w:t>
      </w:r>
      <w:r>
        <w:rPr>
          <w:rFonts w:hint="default" w:ascii="Times New Roman" w:hAnsi="Times New Roman" w:cs="Times New Roman"/>
          <w:color w:val="auto"/>
          <w:szCs w:val="24"/>
          <w:vertAlign w:val="subscript"/>
        </w:rPr>
        <w:t>k</w:t>
      </w:r>
      <w:r>
        <w:rPr>
          <w:rFonts w:hint="default" w:ascii="Times New Roman" w:hAnsi="Times New Roman" w:cs="Times New Roman"/>
          <w:color w:val="auto"/>
          <w:szCs w:val="24"/>
        </w:rPr>
        <w:t>=1/</w:t>
      </w:r>
      <w:r>
        <w:rPr>
          <w:rFonts w:hint="default" w:ascii="Times New Roman" w:hAnsi="Times New Roman" w:cs="Times New Roman"/>
          <w:i/>
          <w:iCs/>
          <w:color w:val="auto"/>
          <w:szCs w:val="24"/>
        </w:rPr>
        <w:t>n</w:t>
      </w:r>
      <w:r>
        <w:rPr>
          <w:rFonts w:hint="default" w:ascii="Times New Roman" w:hAnsi="Times New Roman" w:cs="Times New Roman"/>
          <w:color w:val="auto"/>
          <w:szCs w:val="24"/>
        </w:rPr>
        <w:t>），</w:t>
      </w:r>
      <w:r>
        <w:rPr>
          <w:rFonts w:hint="default" w:ascii="Times New Roman" w:hAnsi="Times New Roman" w:cs="Times New Roman"/>
          <w:i/>
          <w:iCs/>
          <w:color w:val="auto"/>
          <w:szCs w:val="24"/>
        </w:rPr>
        <w:t>H</w:t>
      </w:r>
      <w:r>
        <w:rPr>
          <w:rFonts w:hint="default" w:ascii="Times New Roman" w:hAnsi="Times New Roman" w:cs="Times New Roman"/>
          <w:color w:val="auto"/>
          <w:szCs w:val="24"/>
        </w:rPr>
        <w:t>达到最大值（Shannon-Weaver多样性指数：</w:t>
      </w:r>
      <w:r>
        <w:rPr>
          <w:rFonts w:hint="default" w:ascii="Times New Roman" w:hAnsi="Times New Roman" w:cs="Times New Roman"/>
          <w:i/>
          <w:iCs/>
          <w:color w:val="auto"/>
          <w:szCs w:val="24"/>
        </w:rPr>
        <w:t>H</w:t>
      </w:r>
      <w:r>
        <w:rPr>
          <w:rFonts w:hint="default" w:ascii="Times New Roman" w:hAnsi="Times New Roman" w:cs="Times New Roman"/>
          <w:color w:val="auto"/>
          <w:szCs w:val="24"/>
          <w:vertAlign w:val="subscript"/>
        </w:rPr>
        <w:t>max</w:t>
      </w:r>
      <w:r>
        <w:rPr>
          <w:rFonts w:hint="default" w:ascii="Times New Roman" w:hAnsi="Times New Roman" w:cs="Times New Roman"/>
          <w:color w:val="auto"/>
          <w:szCs w:val="24"/>
        </w:rPr>
        <w:t>=ln(</w:t>
      </w:r>
      <w:r>
        <w:rPr>
          <w:rFonts w:hint="default" w:ascii="Times New Roman" w:hAnsi="Times New Roman" w:cs="Times New Roman"/>
          <w:i/>
          <w:iCs/>
          <w:color w:val="auto"/>
          <w:szCs w:val="24"/>
        </w:rPr>
        <w:t>n</w:t>
      </w:r>
      <w:r>
        <w:rPr>
          <w:rFonts w:hint="default" w:ascii="Times New Roman" w:hAnsi="Times New Roman" w:cs="Times New Roman"/>
          <w:color w:val="auto"/>
          <w:szCs w:val="24"/>
        </w:rPr>
        <w:t>)；Simpson多样性指数：</w:t>
      </w:r>
      <w:r>
        <w:rPr>
          <w:rFonts w:hint="default" w:ascii="Times New Roman" w:hAnsi="Times New Roman" w:cs="Times New Roman"/>
          <w:i/>
          <w:iCs/>
          <w:color w:val="auto"/>
          <w:szCs w:val="24"/>
        </w:rPr>
        <w:t>H</w:t>
      </w:r>
      <w:r>
        <w:rPr>
          <w:rFonts w:hint="default" w:ascii="Times New Roman" w:hAnsi="Times New Roman" w:cs="Times New Roman"/>
          <w:color w:val="auto"/>
          <w:szCs w:val="24"/>
        </w:rPr>
        <w:t>＇</w:t>
      </w:r>
      <w:r>
        <w:rPr>
          <w:rFonts w:hint="default" w:ascii="Times New Roman" w:hAnsi="Times New Roman" w:cs="Times New Roman"/>
          <w:color w:val="auto"/>
          <w:szCs w:val="24"/>
          <w:vertAlign w:val="subscript"/>
        </w:rPr>
        <w:t>max</w:t>
      </w:r>
      <w:r>
        <w:rPr>
          <w:rFonts w:hint="default" w:ascii="Times New Roman" w:hAnsi="Times New Roman" w:cs="Times New Roman"/>
          <w:color w:val="auto"/>
          <w:szCs w:val="24"/>
        </w:rPr>
        <w:t>=1－(1/</w:t>
      </w:r>
      <w:r>
        <w:rPr>
          <w:rFonts w:hint="default" w:ascii="Times New Roman" w:hAnsi="Times New Roman" w:cs="Times New Roman"/>
          <w:i/>
          <w:iCs/>
          <w:color w:val="auto"/>
          <w:szCs w:val="24"/>
        </w:rPr>
        <w:t>n</w:t>
      </w:r>
      <w:r>
        <w:rPr>
          <w:rFonts w:hint="default" w:ascii="Times New Roman" w:hAnsi="Times New Roman" w:cs="Times New Roman"/>
          <w:color w:val="auto"/>
          <w:szCs w:val="24"/>
        </w:rPr>
        <w:t>)）。通常，随着H的增加，景观结构组成的复杂性也趋于增加。</w:t>
      </w:r>
    </w:p>
    <w:p w14:paraId="18CC686E">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③均匀度指数</w:t>
      </w:r>
    </w:p>
    <w:p w14:paraId="74CF08E4">
      <w:pPr>
        <w:ind w:firstLine="480"/>
        <w:rPr>
          <w:rFonts w:hint="default" w:ascii="Times New Roman" w:hAnsi="Times New Roman" w:cs="Times New Roman"/>
          <w:color w:val="auto"/>
          <w:szCs w:val="24"/>
        </w:rPr>
      </w:pPr>
      <w:r>
        <w:rPr>
          <w:rFonts w:hint="default" w:ascii="Times New Roman" w:hAnsi="Times New Roman" w:cs="Times New Roman"/>
          <w:color w:val="auto"/>
          <w:szCs w:val="24"/>
        </w:rPr>
        <w:t>E=H/Lgn，式中，H为Shannon-Weaver多样性指数，n为景观中缀块类型的总数。</w:t>
      </w:r>
    </w:p>
    <w:p w14:paraId="4595173A">
      <w:pPr>
        <w:ind w:firstLine="480"/>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④景观优势度指数</w:t>
      </w:r>
    </w:p>
    <w:p w14:paraId="03A8E46A">
      <w:pPr>
        <w:adjustRightInd w:val="0"/>
        <w:ind w:firstLine="480"/>
        <w:jc w:val="center"/>
        <w:textAlignment w:val="baseline"/>
        <w:rPr>
          <w:rFonts w:hint="default" w:ascii="Times New Roman" w:hAnsi="Times New Roman" w:cs="Times New Roman"/>
          <w:color w:val="auto"/>
          <w:szCs w:val="24"/>
        </w:rPr>
      </w:pPr>
      <w:r>
        <w:rPr>
          <w:rFonts w:hint="default" w:ascii="Times New Roman" w:hAnsi="Times New Roman" w:cs="Times New Roman"/>
          <w:color w:val="auto"/>
        </w:rPr>
        <w:drawing>
          <wp:inline distT="0" distB="0" distL="114300" distR="114300">
            <wp:extent cx="2085975" cy="561975"/>
            <wp:effectExtent l="0" t="0" r="9525" b="9525"/>
            <wp:docPr id="60" name="图片 60" descr="https://iknow-pic.cdn.bcebos.com/902397dda144ad34b41f323fd0a20cf430ad85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https://iknow-pic.cdn.bcebos.com/902397dda144ad34b41f323fd0a20cf430ad85e2"/>
                    <pic:cNvPicPr>
                      <a:picLocks noChangeAspect="1"/>
                    </pic:cNvPicPr>
                  </pic:nvPicPr>
                  <pic:blipFill>
                    <a:blip r:embed="rId94"/>
                    <a:stretch>
                      <a:fillRect/>
                    </a:stretch>
                  </pic:blipFill>
                  <pic:spPr>
                    <a:xfrm>
                      <a:off x="0" y="0"/>
                      <a:ext cx="2085975" cy="561975"/>
                    </a:xfrm>
                    <a:prstGeom prst="rect">
                      <a:avLst/>
                    </a:prstGeom>
                    <a:noFill/>
                    <a:ln>
                      <a:noFill/>
                    </a:ln>
                  </pic:spPr>
                </pic:pic>
              </a:graphicData>
            </a:graphic>
          </wp:inline>
        </w:drawing>
      </w:r>
    </w:p>
    <w:p w14:paraId="014F6FE8">
      <w:pPr>
        <w:spacing w:line="240" w:lineRule="auto"/>
        <w:ind w:firstLine="482"/>
        <w:jc w:val="center"/>
        <w:rPr>
          <w:rFonts w:hint="default" w:ascii="Times New Roman" w:hAnsi="Times New Roman" w:cs="Times New Roman"/>
          <w:b/>
          <w:color w:val="auto"/>
          <w:kern w:val="11"/>
          <w:szCs w:val="20"/>
        </w:rPr>
      </w:pPr>
      <w:r>
        <w:rPr>
          <w:rFonts w:hint="default" w:ascii="Times New Roman" w:hAnsi="Times New Roman" w:cs="Times New Roman"/>
          <w:b/>
          <w:color w:val="auto"/>
          <w:kern w:val="11"/>
          <w:szCs w:val="20"/>
        </w:rPr>
        <w:t>表2.7-3   评价区景观多样性现状</w:t>
      </w:r>
    </w:p>
    <w:tbl>
      <w:tblPr>
        <w:tblStyle w:val="30"/>
        <w:tblW w:w="4999" w:type="pct"/>
        <w:tblInd w:w="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51" w:type="dxa"/>
          <w:bottom w:w="0" w:type="dxa"/>
          <w:right w:w="51" w:type="dxa"/>
        </w:tblCellMar>
      </w:tblPr>
      <w:tblGrid>
        <w:gridCol w:w="2032"/>
        <w:gridCol w:w="2032"/>
        <w:gridCol w:w="2287"/>
        <w:gridCol w:w="2287"/>
      </w:tblGrid>
      <w:tr w14:paraId="2AA212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1" w:type="dxa"/>
            <w:bottom w:w="0" w:type="dxa"/>
            <w:right w:w="51" w:type="dxa"/>
          </w:tblCellMar>
        </w:tblPrEx>
        <w:trPr>
          <w:trHeight w:val="340" w:hRule="atLeast"/>
        </w:trPr>
        <w:tc>
          <w:tcPr>
            <w:tcW w:w="1176" w:type="pct"/>
            <w:tcBorders>
              <w:tl2br w:val="nil"/>
              <w:tr2bl w:val="nil"/>
            </w:tcBorders>
            <w:noWrap/>
            <w:vAlign w:val="center"/>
          </w:tcPr>
          <w:p w14:paraId="5F84D000">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香农多样性指数</w:t>
            </w:r>
          </w:p>
        </w:tc>
        <w:tc>
          <w:tcPr>
            <w:tcW w:w="1176" w:type="pct"/>
            <w:tcBorders>
              <w:tl2br w:val="nil"/>
              <w:tr2bl w:val="nil"/>
            </w:tcBorders>
            <w:noWrap/>
            <w:vAlign w:val="center"/>
          </w:tcPr>
          <w:p w14:paraId="052C7D1A">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香农均匀度指数</w:t>
            </w:r>
          </w:p>
        </w:tc>
        <w:tc>
          <w:tcPr>
            <w:tcW w:w="1323" w:type="pct"/>
            <w:tcBorders>
              <w:tl2br w:val="nil"/>
              <w:tr2bl w:val="nil"/>
            </w:tcBorders>
            <w:noWrap/>
            <w:vAlign w:val="center"/>
          </w:tcPr>
          <w:p w14:paraId="16C7F902">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辛普森多样性指数</w:t>
            </w:r>
          </w:p>
        </w:tc>
        <w:tc>
          <w:tcPr>
            <w:tcW w:w="1323" w:type="pct"/>
            <w:tcBorders>
              <w:tl2br w:val="nil"/>
              <w:tr2bl w:val="nil"/>
            </w:tcBorders>
            <w:vAlign w:val="center"/>
          </w:tcPr>
          <w:p w14:paraId="10A87BCD">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优势度指数</w:t>
            </w:r>
          </w:p>
        </w:tc>
      </w:tr>
      <w:tr w14:paraId="4EA9A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1" w:type="dxa"/>
            <w:bottom w:w="0" w:type="dxa"/>
            <w:right w:w="51" w:type="dxa"/>
          </w:tblCellMar>
        </w:tblPrEx>
        <w:trPr>
          <w:trHeight w:val="340" w:hRule="atLeast"/>
        </w:trPr>
        <w:tc>
          <w:tcPr>
            <w:tcW w:w="1176" w:type="pct"/>
            <w:tcBorders>
              <w:tl2br w:val="nil"/>
              <w:tr2bl w:val="nil"/>
            </w:tcBorders>
            <w:noWrap/>
            <w:vAlign w:val="center"/>
          </w:tcPr>
          <w:p w14:paraId="26A05D15">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SHDI</w:t>
            </w:r>
          </w:p>
        </w:tc>
        <w:tc>
          <w:tcPr>
            <w:tcW w:w="1176" w:type="pct"/>
            <w:tcBorders>
              <w:tl2br w:val="nil"/>
              <w:tr2bl w:val="nil"/>
            </w:tcBorders>
            <w:noWrap/>
            <w:vAlign w:val="center"/>
          </w:tcPr>
          <w:p w14:paraId="711FB775">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SHEI</w:t>
            </w:r>
          </w:p>
        </w:tc>
        <w:tc>
          <w:tcPr>
            <w:tcW w:w="1323" w:type="pct"/>
            <w:tcBorders>
              <w:tl2br w:val="nil"/>
              <w:tr2bl w:val="nil"/>
            </w:tcBorders>
            <w:noWrap/>
            <w:vAlign w:val="center"/>
          </w:tcPr>
          <w:p w14:paraId="68CDF29F">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SIDI</w:t>
            </w:r>
          </w:p>
        </w:tc>
        <w:tc>
          <w:tcPr>
            <w:tcW w:w="1323" w:type="pct"/>
            <w:tcBorders>
              <w:tl2br w:val="nil"/>
              <w:tr2bl w:val="nil"/>
            </w:tcBorders>
            <w:vAlign w:val="center"/>
          </w:tcPr>
          <w:p w14:paraId="3FE1A5FD">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LSDI</w:t>
            </w:r>
          </w:p>
        </w:tc>
      </w:tr>
      <w:tr w14:paraId="7E9CF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1" w:type="dxa"/>
            <w:bottom w:w="0" w:type="dxa"/>
            <w:right w:w="51" w:type="dxa"/>
          </w:tblCellMar>
        </w:tblPrEx>
        <w:trPr>
          <w:trHeight w:val="340" w:hRule="atLeast"/>
        </w:trPr>
        <w:tc>
          <w:tcPr>
            <w:tcW w:w="1977" w:type="dxa"/>
            <w:tcBorders>
              <w:tl2br w:val="nil"/>
              <w:tr2bl w:val="nil"/>
            </w:tcBorders>
            <w:noWrap/>
            <w:vAlign w:val="center"/>
          </w:tcPr>
          <w:p w14:paraId="5D96B1CB">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color w:val="auto"/>
                <w:kern w:val="0"/>
                <w:sz w:val="21"/>
                <w:szCs w:val="21"/>
                <w:lang w:bidi="ar"/>
              </w:rPr>
              <w:t>1.5348</w:t>
            </w:r>
          </w:p>
        </w:tc>
        <w:tc>
          <w:tcPr>
            <w:tcW w:w="1977" w:type="dxa"/>
            <w:tcBorders>
              <w:tl2br w:val="nil"/>
              <w:tr2bl w:val="nil"/>
            </w:tcBorders>
            <w:noWrap/>
            <w:vAlign w:val="center"/>
          </w:tcPr>
          <w:p w14:paraId="792FA889">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color w:val="auto"/>
                <w:kern w:val="0"/>
                <w:sz w:val="21"/>
                <w:szCs w:val="21"/>
                <w:lang w:bidi="ar"/>
              </w:rPr>
              <w:t>0.6666</w:t>
            </w:r>
          </w:p>
        </w:tc>
        <w:tc>
          <w:tcPr>
            <w:tcW w:w="2226" w:type="dxa"/>
            <w:tcBorders>
              <w:tl2br w:val="nil"/>
              <w:tr2bl w:val="nil"/>
            </w:tcBorders>
            <w:noWrap/>
            <w:vAlign w:val="center"/>
          </w:tcPr>
          <w:p w14:paraId="34619046">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color w:val="auto"/>
                <w:kern w:val="0"/>
                <w:sz w:val="21"/>
                <w:szCs w:val="21"/>
                <w:lang w:bidi="ar"/>
              </w:rPr>
              <w:t>0.7554</w:t>
            </w:r>
          </w:p>
        </w:tc>
        <w:tc>
          <w:tcPr>
            <w:tcW w:w="2226" w:type="dxa"/>
            <w:tcBorders>
              <w:tl2br w:val="nil"/>
              <w:tr2bl w:val="nil"/>
            </w:tcBorders>
            <w:vAlign w:val="center"/>
          </w:tcPr>
          <w:p w14:paraId="1DE894B0">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color w:val="auto"/>
                <w:kern w:val="0"/>
                <w:sz w:val="21"/>
                <w:szCs w:val="21"/>
                <w:lang w:bidi="ar"/>
              </w:rPr>
              <w:t>0.7678</w:t>
            </w:r>
          </w:p>
        </w:tc>
      </w:tr>
    </w:tbl>
    <w:p w14:paraId="66423E2A">
      <w:pPr>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从两个多样性指数及均匀度指数来看，评价区景观多样性与异质性相对较高。这一特征源于评价区内植被类型较为丰富，形成了多样的景观生态体系，表明评价区景观生态系统具备一定的稳定性与抗干扰能力。</w:t>
      </w:r>
    </w:p>
    <w:bookmarkEnd w:id="249"/>
    <w:bookmarkEnd w:id="250"/>
    <w:p w14:paraId="1657B5BD">
      <w:pPr>
        <w:pStyle w:val="6"/>
        <w:numPr>
          <w:ilvl w:val="2"/>
          <w:numId w:val="0"/>
        </w:numPr>
        <w:spacing w:line="360" w:lineRule="auto"/>
        <w:rPr>
          <w:rFonts w:hint="default" w:ascii="Times New Roman" w:hAnsi="Times New Roman" w:cs="Times New Roman"/>
          <w:color w:val="auto"/>
          <w:szCs w:val="24"/>
        </w:rPr>
      </w:pPr>
      <w:bookmarkStart w:id="251" w:name="_Toc9831"/>
      <w:r>
        <w:rPr>
          <w:rFonts w:hint="default" w:ascii="Times New Roman" w:hAnsi="Times New Roman" w:cs="Times New Roman"/>
          <w:color w:val="auto"/>
          <w:szCs w:val="24"/>
        </w:rPr>
        <w:t>2.7.1.3景观空间特征</w:t>
      </w:r>
      <w:bookmarkEnd w:id="251"/>
    </w:p>
    <w:p w14:paraId="3DE3DD64">
      <w:pPr>
        <w:keepNext w:val="0"/>
        <w:keepLines w:val="0"/>
        <w:pageBreakBefore w:val="0"/>
        <w:widowControl w:val="0"/>
        <w:kinsoku/>
        <w:wordWrap/>
        <w:overflowPunct/>
        <w:topLinePunct w:val="0"/>
        <w:autoSpaceDE/>
        <w:autoSpaceDN/>
        <w:bidi w:val="0"/>
        <w:adjustRightInd w:val="0"/>
        <w:snapToGrid w:val="0"/>
        <w:spacing w:after="0" w:line="440" w:lineRule="exact"/>
        <w:ind w:firstLine="480"/>
        <w:jc w:val="left"/>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总体来看，评价区聚集度指数、连通度指数分别达89.3889、97.862，数值处于较高水平；全域SPLIT破碎度指数为20.806，介于1～30低破碎区间。综合表明评价区内各类景观斑块集聚分布特征显著，整体割裂、碎片化程度较低，景观空间连通性优良。</w:t>
      </w:r>
    </w:p>
    <w:p w14:paraId="69B114FA">
      <w:pPr>
        <w:spacing w:line="240" w:lineRule="auto"/>
        <w:ind w:firstLine="482"/>
        <w:jc w:val="center"/>
        <w:rPr>
          <w:rFonts w:hint="default" w:ascii="Times New Roman" w:hAnsi="Times New Roman" w:cs="Times New Roman"/>
          <w:b/>
          <w:color w:val="auto"/>
          <w:kern w:val="11"/>
          <w:szCs w:val="20"/>
        </w:rPr>
      </w:pPr>
      <w:r>
        <w:rPr>
          <w:rFonts w:hint="default" w:ascii="Times New Roman" w:hAnsi="Times New Roman" w:cs="Times New Roman"/>
          <w:b/>
          <w:color w:val="auto"/>
          <w:kern w:val="11"/>
          <w:szCs w:val="20"/>
        </w:rPr>
        <w:t>表2.7-4  评价区景观空间格局指数</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1633"/>
        <w:gridCol w:w="1829"/>
        <w:gridCol w:w="1829"/>
        <w:gridCol w:w="1830"/>
      </w:tblGrid>
      <w:tr w14:paraId="79C2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2" w:type="pct"/>
            <w:tcBorders>
              <w:top w:val="single" w:color="auto" w:sz="6" w:space="0"/>
              <w:bottom w:val="single" w:color="auto" w:sz="6" w:space="0"/>
              <w:right w:val="single" w:color="auto" w:sz="6" w:space="0"/>
            </w:tcBorders>
            <w:noWrap/>
            <w:vAlign w:val="center"/>
          </w:tcPr>
          <w:p w14:paraId="497E97E2">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蔓延度</w:t>
            </w:r>
          </w:p>
        </w:tc>
        <w:tc>
          <w:tcPr>
            <w:tcW w:w="932" w:type="pct"/>
            <w:tcBorders>
              <w:top w:val="single" w:color="auto" w:sz="6" w:space="0"/>
              <w:left w:val="single" w:color="auto" w:sz="6" w:space="0"/>
              <w:bottom w:val="single" w:color="auto" w:sz="6" w:space="0"/>
              <w:right w:val="single" w:color="auto" w:sz="6" w:space="0"/>
            </w:tcBorders>
            <w:noWrap/>
            <w:vAlign w:val="center"/>
          </w:tcPr>
          <w:p w14:paraId="18958382">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聚集度</w:t>
            </w:r>
          </w:p>
        </w:tc>
        <w:tc>
          <w:tcPr>
            <w:tcW w:w="1044" w:type="pct"/>
            <w:tcBorders>
              <w:top w:val="single" w:color="auto" w:sz="6" w:space="0"/>
              <w:left w:val="single" w:color="auto" w:sz="6" w:space="0"/>
              <w:bottom w:val="single" w:color="auto" w:sz="6" w:space="0"/>
              <w:right w:val="single" w:color="auto" w:sz="6" w:space="0"/>
            </w:tcBorders>
            <w:noWrap/>
            <w:vAlign w:val="center"/>
          </w:tcPr>
          <w:p w14:paraId="3AE2D3DD">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连通度</w:t>
            </w:r>
          </w:p>
        </w:tc>
        <w:tc>
          <w:tcPr>
            <w:tcW w:w="1044" w:type="pct"/>
            <w:tcBorders>
              <w:top w:val="single" w:color="auto" w:sz="6" w:space="0"/>
              <w:left w:val="single" w:color="auto" w:sz="6" w:space="0"/>
              <w:bottom w:val="single" w:color="auto" w:sz="6" w:space="0"/>
              <w:right w:val="single" w:color="auto" w:sz="6" w:space="0"/>
            </w:tcBorders>
            <w:vAlign w:val="center"/>
          </w:tcPr>
          <w:p w14:paraId="2AE6A39F">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分割度</w:t>
            </w:r>
          </w:p>
        </w:tc>
        <w:tc>
          <w:tcPr>
            <w:tcW w:w="1044" w:type="pct"/>
            <w:tcBorders>
              <w:top w:val="single" w:color="auto" w:sz="6" w:space="0"/>
              <w:left w:val="single" w:color="auto" w:sz="6" w:space="0"/>
              <w:bottom w:val="single" w:color="auto" w:sz="6" w:space="0"/>
              <w:right w:val="single" w:color="auto" w:sz="6" w:space="0"/>
            </w:tcBorders>
            <w:vAlign w:val="center"/>
          </w:tcPr>
          <w:p w14:paraId="6D1FD889">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破碎度</w:t>
            </w:r>
          </w:p>
        </w:tc>
      </w:tr>
      <w:tr w14:paraId="3644C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2" w:type="pct"/>
            <w:tcBorders>
              <w:top w:val="single" w:color="auto" w:sz="6" w:space="0"/>
              <w:left w:val="single" w:color="auto" w:sz="4" w:space="0"/>
              <w:bottom w:val="single" w:color="auto" w:sz="6" w:space="0"/>
              <w:right w:val="single" w:color="auto" w:sz="6" w:space="0"/>
            </w:tcBorders>
            <w:noWrap/>
            <w:vAlign w:val="center"/>
          </w:tcPr>
          <w:p w14:paraId="46422377">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CONTAG</w:t>
            </w:r>
          </w:p>
        </w:tc>
        <w:tc>
          <w:tcPr>
            <w:tcW w:w="932" w:type="pct"/>
            <w:tcBorders>
              <w:top w:val="single" w:color="auto" w:sz="6" w:space="0"/>
              <w:left w:val="single" w:color="auto" w:sz="6" w:space="0"/>
              <w:bottom w:val="single" w:color="auto" w:sz="6" w:space="0"/>
              <w:right w:val="single" w:color="auto" w:sz="6" w:space="0"/>
            </w:tcBorders>
            <w:noWrap/>
            <w:vAlign w:val="center"/>
          </w:tcPr>
          <w:p w14:paraId="725771E8">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AI</w:t>
            </w:r>
          </w:p>
        </w:tc>
        <w:tc>
          <w:tcPr>
            <w:tcW w:w="1044" w:type="pct"/>
            <w:tcBorders>
              <w:top w:val="single" w:color="auto" w:sz="6" w:space="0"/>
              <w:left w:val="single" w:color="auto" w:sz="6" w:space="0"/>
              <w:bottom w:val="single" w:color="auto" w:sz="6" w:space="0"/>
              <w:right w:val="single" w:color="auto" w:sz="6" w:space="0"/>
            </w:tcBorders>
            <w:noWrap/>
            <w:vAlign w:val="center"/>
          </w:tcPr>
          <w:p w14:paraId="1FB9BDC8">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COHESION</w:t>
            </w:r>
          </w:p>
        </w:tc>
        <w:tc>
          <w:tcPr>
            <w:tcW w:w="1044" w:type="pct"/>
            <w:tcBorders>
              <w:top w:val="single" w:color="auto" w:sz="6" w:space="0"/>
              <w:left w:val="single" w:color="auto" w:sz="6" w:space="0"/>
              <w:bottom w:val="single" w:color="auto" w:sz="6" w:space="0"/>
              <w:right w:val="single" w:color="auto" w:sz="6" w:space="0"/>
            </w:tcBorders>
            <w:vAlign w:val="center"/>
          </w:tcPr>
          <w:p w14:paraId="33B255BC">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DIVISION</w:t>
            </w:r>
          </w:p>
        </w:tc>
        <w:tc>
          <w:tcPr>
            <w:tcW w:w="1044" w:type="pct"/>
            <w:tcBorders>
              <w:top w:val="single" w:color="auto" w:sz="6" w:space="0"/>
              <w:left w:val="single" w:color="auto" w:sz="6" w:space="0"/>
              <w:bottom w:val="single" w:color="auto" w:sz="6" w:space="0"/>
              <w:right w:val="single" w:color="auto" w:sz="6" w:space="0"/>
            </w:tcBorders>
            <w:vAlign w:val="center"/>
          </w:tcPr>
          <w:p w14:paraId="5B8FC9FD">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SPLIT</w:t>
            </w:r>
          </w:p>
        </w:tc>
      </w:tr>
      <w:tr w14:paraId="62C30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2" w:type="pct"/>
            <w:tcBorders>
              <w:top w:val="single" w:color="auto" w:sz="6" w:space="0"/>
              <w:left w:val="single" w:color="auto" w:sz="4" w:space="0"/>
              <w:bottom w:val="single" w:color="auto" w:sz="6" w:space="0"/>
              <w:right w:val="single" w:color="auto" w:sz="6" w:space="0"/>
            </w:tcBorders>
            <w:noWrap/>
            <w:vAlign w:val="center"/>
          </w:tcPr>
          <w:p w14:paraId="0893F6E4">
            <w:pPr>
              <w:keepNext w:val="0"/>
              <w:keepLines w:val="0"/>
              <w:pageBreakBefore w:val="0"/>
              <w:widowControl/>
              <w:kinsoku/>
              <w:wordWrap/>
              <w:overflowPunct/>
              <w:topLinePunct w:val="0"/>
              <w:autoSpaceDE/>
              <w:autoSpaceDN/>
              <w:bidi w:val="0"/>
              <w:adjustRightInd w:val="0"/>
              <w:snapToGrid w:val="0"/>
              <w:spacing w:after="0" w:line="240" w:lineRule="auto"/>
              <w:ind w:firstLine="210" w:firstLineChars="100"/>
              <w:textAlignment w:val="center"/>
              <w:rPr>
                <w:rFonts w:hint="default" w:ascii="Times New Roman" w:hAnsi="Times New Roman" w:cs="Times New Roman"/>
                <w:color w:val="auto"/>
                <w:sz w:val="21"/>
                <w:szCs w:val="21"/>
              </w:rPr>
            </w:pPr>
            <w:r>
              <w:rPr>
                <w:rFonts w:hint="default" w:ascii="Times New Roman" w:hAnsi="Times New Roman" w:eastAsia="宋体" w:cs="Times New Roman"/>
                <w:color w:val="auto"/>
                <w:kern w:val="0"/>
                <w:sz w:val="21"/>
                <w:szCs w:val="21"/>
                <w:lang w:bidi="ar"/>
              </w:rPr>
              <w:t>56.3603</w:t>
            </w:r>
          </w:p>
        </w:tc>
        <w:tc>
          <w:tcPr>
            <w:tcW w:w="932" w:type="pct"/>
            <w:tcBorders>
              <w:top w:val="single" w:color="auto" w:sz="6" w:space="0"/>
              <w:left w:val="single" w:color="auto" w:sz="6" w:space="0"/>
              <w:bottom w:val="single" w:color="auto" w:sz="6" w:space="0"/>
              <w:right w:val="single" w:color="auto" w:sz="6" w:space="0"/>
            </w:tcBorders>
            <w:noWrap/>
            <w:vAlign w:val="center"/>
          </w:tcPr>
          <w:p w14:paraId="2F733869">
            <w:pPr>
              <w:keepNext w:val="0"/>
              <w:keepLines w:val="0"/>
              <w:pageBreakBefore w:val="0"/>
              <w:widowControl/>
              <w:kinsoku/>
              <w:wordWrap/>
              <w:overflowPunct/>
              <w:topLinePunct w:val="0"/>
              <w:autoSpaceDE/>
              <w:autoSpaceDN/>
              <w:bidi w:val="0"/>
              <w:adjustRightInd w:val="0"/>
              <w:snapToGrid w:val="0"/>
              <w:spacing w:after="0" w:line="240" w:lineRule="auto"/>
              <w:ind w:firstLine="210" w:firstLineChars="100"/>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89.3889</w:t>
            </w:r>
          </w:p>
        </w:tc>
        <w:tc>
          <w:tcPr>
            <w:tcW w:w="1044" w:type="pct"/>
            <w:tcBorders>
              <w:top w:val="single" w:color="auto" w:sz="6" w:space="0"/>
              <w:left w:val="single" w:color="auto" w:sz="6" w:space="0"/>
              <w:bottom w:val="single" w:color="auto" w:sz="6" w:space="0"/>
              <w:right w:val="single" w:color="auto" w:sz="6" w:space="0"/>
            </w:tcBorders>
            <w:noWrap/>
            <w:vAlign w:val="center"/>
          </w:tcPr>
          <w:p w14:paraId="7247D4BB">
            <w:pPr>
              <w:keepNext w:val="0"/>
              <w:keepLines w:val="0"/>
              <w:pageBreakBefore w:val="0"/>
              <w:widowControl/>
              <w:kinsoku/>
              <w:wordWrap/>
              <w:overflowPunct/>
              <w:topLinePunct w:val="0"/>
              <w:autoSpaceDE/>
              <w:autoSpaceDN/>
              <w:bidi w:val="0"/>
              <w:adjustRightInd w:val="0"/>
              <w:snapToGrid w:val="0"/>
              <w:spacing w:after="0" w:line="240" w:lineRule="auto"/>
              <w:ind w:firstLine="480"/>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97.862</w:t>
            </w:r>
          </w:p>
        </w:tc>
        <w:tc>
          <w:tcPr>
            <w:tcW w:w="1044" w:type="pct"/>
            <w:tcBorders>
              <w:top w:val="single" w:color="auto" w:sz="6" w:space="0"/>
              <w:left w:val="single" w:color="auto" w:sz="6" w:space="0"/>
              <w:bottom w:val="single" w:color="auto" w:sz="6" w:space="0"/>
              <w:right w:val="single" w:color="auto" w:sz="6" w:space="0"/>
            </w:tcBorders>
            <w:vAlign w:val="center"/>
          </w:tcPr>
          <w:p w14:paraId="48B8F9CD">
            <w:pPr>
              <w:keepNext w:val="0"/>
              <w:keepLines w:val="0"/>
              <w:pageBreakBefore w:val="0"/>
              <w:widowControl/>
              <w:kinsoku/>
              <w:wordWrap/>
              <w:overflowPunct/>
              <w:topLinePunct w:val="0"/>
              <w:autoSpaceDE/>
              <w:autoSpaceDN/>
              <w:bidi w:val="0"/>
              <w:adjustRightInd w:val="0"/>
              <w:snapToGrid w:val="0"/>
              <w:spacing w:after="0" w:line="240" w:lineRule="auto"/>
              <w:ind w:firstLine="480"/>
              <w:textAlignment w:val="center"/>
              <w:rPr>
                <w:rFonts w:hint="default" w:ascii="Times New Roman" w:hAnsi="Times New Roman" w:cs="Times New Roman"/>
                <w:color w:val="auto"/>
                <w:sz w:val="21"/>
                <w:szCs w:val="21"/>
              </w:rPr>
            </w:pPr>
            <w:r>
              <w:rPr>
                <w:rFonts w:hint="default" w:ascii="Times New Roman" w:hAnsi="Times New Roman" w:eastAsia="宋体" w:cs="Times New Roman"/>
                <w:color w:val="auto"/>
                <w:kern w:val="0"/>
                <w:sz w:val="21"/>
                <w:szCs w:val="21"/>
                <w:lang w:bidi="ar"/>
              </w:rPr>
              <w:t>0.9519</w:t>
            </w:r>
          </w:p>
        </w:tc>
        <w:tc>
          <w:tcPr>
            <w:tcW w:w="1044" w:type="pct"/>
            <w:tcBorders>
              <w:top w:val="single" w:color="auto" w:sz="6" w:space="0"/>
              <w:left w:val="single" w:color="auto" w:sz="6" w:space="0"/>
              <w:bottom w:val="single" w:color="auto" w:sz="6" w:space="0"/>
              <w:right w:val="single" w:color="auto" w:sz="6" w:space="0"/>
            </w:tcBorders>
            <w:vAlign w:val="center"/>
          </w:tcPr>
          <w:p w14:paraId="7B540EA7">
            <w:pPr>
              <w:keepNext w:val="0"/>
              <w:keepLines w:val="0"/>
              <w:pageBreakBefore w:val="0"/>
              <w:widowControl/>
              <w:kinsoku/>
              <w:wordWrap/>
              <w:overflowPunct/>
              <w:topLinePunct w:val="0"/>
              <w:autoSpaceDE/>
              <w:autoSpaceDN/>
              <w:bidi w:val="0"/>
              <w:adjustRightInd w:val="0"/>
              <w:snapToGrid w:val="0"/>
              <w:spacing w:after="0" w:line="240" w:lineRule="auto"/>
              <w:ind w:firstLine="480"/>
              <w:textAlignment w:val="center"/>
              <w:rPr>
                <w:rFonts w:hint="default" w:ascii="Times New Roman" w:hAnsi="Times New Roman" w:cs="Times New Roman"/>
                <w:color w:val="auto"/>
                <w:sz w:val="21"/>
                <w:szCs w:val="21"/>
              </w:rPr>
            </w:pPr>
            <w:r>
              <w:rPr>
                <w:rFonts w:hint="default" w:ascii="Times New Roman" w:hAnsi="Times New Roman" w:eastAsia="宋体" w:cs="Times New Roman"/>
                <w:color w:val="auto"/>
                <w:kern w:val="0"/>
                <w:sz w:val="21"/>
                <w:szCs w:val="21"/>
                <w:lang w:bidi="ar"/>
              </w:rPr>
              <w:t>20.806</w:t>
            </w:r>
          </w:p>
        </w:tc>
      </w:tr>
      <w:bookmarkEnd w:id="243"/>
    </w:tbl>
    <w:p w14:paraId="6EAE9408">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52" w:name="_Toc12912"/>
      <w:r>
        <w:rPr>
          <w:rFonts w:hint="default" w:ascii="Times New Roman" w:hAnsi="Times New Roman" w:cs="Times New Roman"/>
          <w:color w:val="auto"/>
          <w:sz w:val="24"/>
          <w:szCs w:val="24"/>
        </w:rPr>
        <w:t>2.7.2生态系统现状</w:t>
      </w:r>
      <w:bookmarkEnd w:id="252"/>
      <w:r>
        <w:rPr>
          <w:rFonts w:hint="default" w:ascii="Times New Roman" w:hAnsi="Times New Roman" w:cs="Times New Roman"/>
          <w:color w:val="auto"/>
          <w:sz w:val="24"/>
          <w:szCs w:val="24"/>
          <w:lang w:val="en"/>
        </w:rPr>
        <w:t>及其特征</w:t>
      </w:r>
    </w:p>
    <w:p w14:paraId="3A71E953">
      <w:pPr>
        <w:keepNext/>
        <w:keepLines/>
        <w:pageBreakBefore w:val="0"/>
        <w:widowControl/>
        <w:numPr>
          <w:ilvl w:val="3"/>
          <w:numId w:val="0"/>
        </w:numPr>
        <w:kinsoku/>
        <w:wordWrap/>
        <w:overflowPunct/>
        <w:topLinePunct w:val="0"/>
        <w:autoSpaceDE/>
        <w:autoSpaceDN/>
        <w:bidi w:val="0"/>
        <w:adjustRightInd w:val="0"/>
        <w:snapToGrid w:val="0"/>
        <w:spacing w:after="0" w:line="440" w:lineRule="exact"/>
        <w:ind w:firstLine="422" w:firstLineChars="200"/>
        <w:textAlignment w:val="auto"/>
        <w:outlineLvl w:val="3"/>
        <w:rPr>
          <w:rFonts w:hint="default" w:ascii="Times New Roman" w:hAnsi="Times New Roman" w:eastAsia="宋体" w:cs="Times New Roman"/>
          <w:b/>
          <w:bCs/>
          <w:color w:val="auto"/>
          <w:szCs w:val="28"/>
        </w:rPr>
      </w:pPr>
      <w:r>
        <w:rPr>
          <w:rFonts w:hint="default" w:ascii="Times New Roman" w:hAnsi="Times New Roman" w:eastAsia="宋体" w:cs="Times New Roman"/>
          <w:b/>
          <w:bCs/>
          <w:color w:val="auto"/>
          <w:szCs w:val="28"/>
        </w:rPr>
        <w:t>2.7.2.1生态系统结构</w:t>
      </w:r>
    </w:p>
    <w:p w14:paraId="3F10D6B7">
      <w:pPr>
        <w:pageBreakBefore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按照《全国生态状况调查评估技术规范-生态系统遥感解译与野外核查》（HJ1166-2021），</w:t>
      </w:r>
      <w:r>
        <w:rPr>
          <w:rFonts w:hint="default" w:ascii="Times New Roman" w:hAnsi="Times New Roman" w:eastAsia="宋体" w:cs="Times New Roman"/>
          <w:color w:val="auto"/>
          <w:szCs w:val="24"/>
          <w:lang w:val="zh-TW" w:eastAsia="zh-TW"/>
        </w:rPr>
        <w:t>根据其系统类型的特征和稳定性，组成评价区的主要生态系统类型可分为</w:t>
      </w:r>
      <w:r>
        <w:rPr>
          <w:rFonts w:hint="default" w:ascii="Times New Roman" w:hAnsi="Times New Roman" w:eastAsia="宋体" w:cs="Times New Roman"/>
          <w:color w:val="auto"/>
          <w:szCs w:val="24"/>
        </w:rPr>
        <w:t>7</w:t>
      </w:r>
      <w:r>
        <w:rPr>
          <w:rFonts w:hint="default" w:ascii="Times New Roman" w:hAnsi="Times New Roman" w:eastAsia="宋体" w:cs="Times New Roman"/>
          <w:color w:val="auto"/>
          <w:szCs w:val="24"/>
          <w:lang w:val="zh-TW" w:eastAsia="zh-TW"/>
        </w:rPr>
        <w:t>个</w:t>
      </w:r>
      <w:r>
        <w:rPr>
          <w:rFonts w:hint="default" w:ascii="Times New Roman" w:hAnsi="Times New Roman" w:eastAsia="宋体" w:cs="Times New Roman"/>
          <w:color w:val="auto"/>
          <w:szCs w:val="24"/>
        </w:rPr>
        <w:t>一级分类，分别为森林生态系统</w:t>
      </w:r>
      <w:r>
        <w:rPr>
          <w:rFonts w:hint="default" w:ascii="Times New Roman" w:hAnsi="Times New Roman" w:eastAsia="宋体" w:cs="Times New Roman"/>
          <w:color w:val="auto"/>
          <w:szCs w:val="24"/>
          <w:lang w:val="zh-TW" w:eastAsia="zh-TW"/>
        </w:rPr>
        <w:t>、</w:t>
      </w:r>
      <w:r>
        <w:rPr>
          <w:rFonts w:hint="default" w:ascii="Times New Roman" w:hAnsi="Times New Roman" w:eastAsia="宋体" w:cs="Times New Roman"/>
          <w:color w:val="auto"/>
          <w:szCs w:val="24"/>
        </w:rPr>
        <w:t>灌丛生态系统、草地生态系统、湿地生态系统、农田生态系统和城镇生态系统</w:t>
      </w:r>
      <w:r>
        <w:rPr>
          <w:rFonts w:hint="default" w:ascii="Times New Roman" w:hAnsi="Times New Roman" w:eastAsia="宋体" w:cs="Times New Roman"/>
          <w:color w:val="auto"/>
          <w:szCs w:val="24"/>
          <w:lang w:val="zh-TW" w:eastAsia="zh-TW"/>
        </w:rPr>
        <w:t>。</w:t>
      </w:r>
      <w:r>
        <w:rPr>
          <w:rFonts w:hint="default" w:ascii="Times New Roman" w:hAnsi="Times New Roman" w:eastAsia="宋体" w:cs="Times New Roman"/>
          <w:color w:val="auto"/>
          <w:szCs w:val="24"/>
        </w:rPr>
        <w:t>各生态系统类型相互交织，按自有规律组合形成整个评价区的统一生态系统。生态系统质量的优劣取决于生态系统要素的性质与特征，以及生态系统的结构和时空格局的特征。在各种生态系统类别中，绿色植被构成了陆地生态系统的主体，是环境质量好坏最明显的指示物。原生性植被往往覆盖度高，群落结构完整，物种组成丰富多样，生物量高，更新潜力大，因此对环境质量的贡献也较大。一般来说，森林比灌丛有更为复杂的群落结构、更高的生物量，同样其生态潜力也较高，对环境质量的影响也更大。农田、城镇及其它人工配置群落，具有结构简单、种类单一、靠人工维持等特点，因此相对于自然植被来说，自身的稳定性与对外界干扰的抵抗力都较弱。</w:t>
      </w:r>
    </w:p>
    <w:p w14:paraId="040A01DA">
      <w:pPr>
        <w:snapToGrid w:val="0"/>
        <w:spacing w:after="0" w:line="240" w:lineRule="auto"/>
        <w:ind w:firstLine="0" w:firstLineChars="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cs="Times New Roman"/>
          <w:b/>
          <w:bCs/>
          <w:color w:val="auto"/>
          <w:sz w:val="24"/>
          <w:szCs w:val="24"/>
        </w:rPr>
        <w:t>2.7-5</w:t>
      </w:r>
      <w:r>
        <w:rPr>
          <w:rFonts w:hint="default" w:ascii="Times New Roman" w:hAnsi="Times New Roman" w:eastAsia="宋体" w:cs="Times New Roman"/>
          <w:b/>
          <w:bCs/>
          <w:color w:val="auto"/>
          <w:sz w:val="24"/>
          <w:szCs w:val="24"/>
        </w:rPr>
        <w:t xml:space="preserve">  评价区内各类生态系统分布现状</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6"/>
        <w:gridCol w:w="1248"/>
        <w:gridCol w:w="1201"/>
        <w:gridCol w:w="1220"/>
        <w:gridCol w:w="1302"/>
        <w:gridCol w:w="2263"/>
      </w:tblGrid>
      <w:tr w14:paraId="70AFC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79" w:type="pct"/>
            <w:gridSpan w:val="2"/>
            <w:tcBorders>
              <w:tl2br w:val="nil"/>
              <w:tr2bl w:val="nil"/>
            </w:tcBorders>
            <w:shd w:val="clear" w:color="auto" w:fill="auto"/>
            <w:noWrap/>
            <w:vAlign w:val="center"/>
          </w:tcPr>
          <w:p w14:paraId="0EF5B3BB">
            <w:pPr>
              <w:widowControl/>
              <w:spacing w:after="0" w:line="240" w:lineRule="auto"/>
              <w:ind w:firstLine="0" w:firstLineChars="0"/>
              <w:jc w:val="center"/>
              <w:textAlignment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生态系统类型</w:t>
            </w:r>
          </w:p>
        </w:tc>
        <w:tc>
          <w:tcPr>
            <w:tcW w:w="686" w:type="pct"/>
            <w:tcBorders>
              <w:tl2br w:val="nil"/>
              <w:tr2bl w:val="nil"/>
            </w:tcBorders>
            <w:shd w:val="clear" w:color="auto" w:fill="auto"/>
            <w:noWrap/>
            <w:vAlign w:val="center"/>
          </w:tcPr>
          <w:p w14:paraId="02FCD4DE">
            <w:pPr>
              <w:widowControl/>
              <w:spacing w:after="0" w:line="240" w:lineRule="auto"/>
              <w:ind w:firstLine="0" w:firstLineChars="0"/>
              <w:jc w:val="center"/>
              <w:textAlignment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缀块数</w:t>
            </w:r>
          </w:p>
        </w:tc>
        <w:tc>
          <w:tcPr>
            <w:tcW w:w="697" w:type="pct"/>
            <w:tcBorders>
              <w:tl2br w:val="nil"/>
              <w:tr2bl w:val="nil"/>
            </w:tcBorders>
            <w:shd w:val="clear" w:color="auto" w:fill="auto"/>
            <w:noWrap/>
            <w:vAlign w:val="center"/>
          </w:tcPr>
          <w:p w14:paraId="387F0A83">
            <w:pPr>
              <w:widowControl/>
              <w:spacing w:after="0" w:line="240" w:lineRule="auto"/>
              <w:ind w:firstLine="0" w:firstLineChars="0"/>
              <w:jc w:val="center"/>
              <w:textAlignment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缀块（%）</w:t>
            </w:r>
          </w:p>
        </w:tc>
        <w:tc>
          <w:tcPr>
            <w:tcW w:w="744" w:type="pct"/>
            <w:tcBorders>
              <w:tl2br w:val="nil"/>
              <w:tr2bl w:val="nil"/>
            </w:tcBorders>
            <w:shd w:val="clear" w:color="auto" w:fill="auto"/>
            <w:vAlign w:val="center"/>
          </w:tcPr>
          <w:p w14:paraId="7CC31077">
            <w:pPr>
              <w:widowControl/>
              <w:spacing w:after="0" w:line="240" w:lineRule="auto"/>
              <w:ind w:firstLine="0" w:firstLineChars="0"/>
              <w:jc w:val="center"/>
              <w:textAlignment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面积（hm</w:t>
            </w:r>
            <w:r>
              <w:rPr>
                <w:rFonts w:hint="default" w:ascii="Times New Roman" w:hAnsi="Times New Roman" w:eastAsia="宋体" w:cs="Times New Roman"/>
                <w:b/>
                <w:bCs/>
                <w:color w:val="auto"/>
                <w:kern w:val="0"/>
                <w:sz w:val="21"/>
                <w:szCs w:val="21"/>
                <w:vertAlign w:val="superscript"/>
                <w:lang w:bidi="ar"/>
              </w:rPr>
              <w:t>2</w:t>
            </w:r>
            <w:r>
              <w:rPr>
                <w:rFonts w:hint="default" w:ascii="Times New Roman" w:hAnsi="Times New Roman" w:eastAsia="宋体" w:cs="Times New Roman"/>
                <w:b/>
                <w:bCs/>
                <w:color w:val="auto"/>
                <w:kern w:val="0"/>
                <w:sz w:val="21"/>
                <w:szCs w:val="21"/>
                <w:lang w:bidi="ar"/>
              </w:rPr>
              <w:t>）</w:t>
            </w:r>
          </w:p>
        </w:tc>
        <w:tc>
          <w:tcPr>
            <w:tcW w:w="1292" w:type="pct"/>
            <w:tcBorders>
              <w:tl2br w:val="nil"/>
              <w:tr2bl w:val="nil"/>
            </w:tcBorders>
            <w:shd w:val="clear" w:color="auto" w:fill="auto"/>
            <w:vAlign w:val="center"/>
          </w:tcPr>
          <w:p w14:paraId="625BA402">
            <w:pPr>
              <w:widowControl/>
              <w:spacing w:after="0" w:line="240" w:lineRule="auto"/>
              <w:ind w:firstLine="0" w:firstLineChars="0"/>
              <w:jc w:val="center"/>
              <w:textAlignment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占评价区总面积（%）</w:t>
            </w:r>
          </w:p>
        </w:tc>
      </w:tr>
      <w:tr w14:paraId="53C1E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66" w:type="pct"/>
            <w:tcBorders>
              <w:tl2br w:val="nil"/>
              <w:tr2bl w:val="nil"/>
            </w:tcBorders>
            <w:shd w:val="clear" w:color="auto" w:fill="auto"/>
            <w:noWrap/>
            <w:vAlign w:val="center"/>
          </w:tcPr>
          <w:p w14:paraId="2283881B">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森林生态系统</w:t>
            </w:r>
          </w:p>
        </w:tc>
        <w:tc>
          <w:tcPr>
            <w:tcW w:w="713" w:type="pct"/>
            <w:tcBorders>
              <w:tl2br w:val="nil"/>
              <w:tr2bl w:val="nil"/>
            </w:tcBorders>
            <w:shd w:val="clear" w:color="auto" w:fill="auto"/>
            <w:vAlign w:val="center"/>
          </w:tcPr>
          <w:p w14:paraId="2B093B11">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针叶林</w:t>
            </w:r>
          </w:p>
        </w:tc>
        <w:tc>
          <w:tcPr>
            <w:tcW w:w="686" w:type="pct"/>
            <w:tcBorders>
              <w:tl2br w:val="nil"/>
              <w:tr2bl w:val="nil"/>
            </w:tcBorders>
            <w:shd w:val="clear" w:color="auto" w:fill="auto"/>
            <w:noWrap/>
            <w:vAlign w:val="center"/>
          </w:tcPr>
          <w:p w14:paraId="1C2BCB0D">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102</w:t>
            </w:r>
          </w:p>
        </w:tc>
        <w:tc>
          <w:tcPr>
            <w:tcW w:w="697" w:type="pct"/>
            <w:tcBorders>
              <w:tl2br w:val="nil"/>
              <w:tr2bl w:val="nil"/>
            </w:tcBorders>
            <w:shd w:val="clear" w:color="auto" w:fill="auto"/>
            <w:noWrap/>
            <w:vAlign w:val="center"/>
          </w:tcPr>
          <w:p w14:paraId="57197D53">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 xml:space="preserve">14.956 </w:t>
            </w:r>
          </w:p>
        </w:tc>
        <w:tc>
          <w:tcPr>
            <w:tcW w:w="744" w:type="pct"/>
            <w:tcBorders>
              <w:tl2br w:val="nil"/>
              <w:tr2bl w:val="nil"/>
            </w:tcBorders>
            <w:shd w:val="clear" w:color="auto" w:fill="auto"/>
            <w:noWrap/>
            <w:vAlign w:val="center"/>
          </w:tcPr>
          <w:p w14:paraId="07E9BD8F">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431.97</w:t>
            </w:r>
          </w:p>
        </w:tc>
        <w:tc>
          <w:tcPr>
            <w:tcW w:w="1292" w:type="pct"/>
            <w:tcBorders>
              <w:tl2br w:val="nil"/>
              <w:tr2bl w:val="nil"/>
            </w:tcBorders>
            <w:shd w:val="clear" w:color="auto" w:fill="auto"/>
            <w:noWrap/>
            <w:vAlign w:val="center"/>
          </w:tcPr>
          <w:p w14:paraId="2D19D9B6">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 xml:space="preserve">40.289 </w:t>
            </w:r>
          </w:p>
        </w:tc>
      </w:tr>
      <w:tr w14:paraId="0E477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66" w:type="pct"/>
            <w:tcBorders>
              <w:tl2br w:val="nil"/>
              <w:tr2bl w:val="nil"/>
            </w:tcBorders>
            <w:shd w:val="clear" w:color="auto" w:fill="auto"/>
            <w:vAlign w:val="center"/>
          </w:tcPr>
          <w:p w14:paraId="51F65726">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灌丛生态系统</w:t>
            </w:r>
          </w:p>
        </w:tc>
        <w:tc>
          <w:tcPr>
            <w:tcW w:w="713" w:type="pct"/>
            <w:tcBorders>
              <w:tl2br w:val="nil"/>
              <w:tr2bl w:val="nil"/>
            </w:tcBorders>
            <w:shd w:val="clear" w:color="auto" w:fill="auto"/>
            <w:vAlign w:val="center"/>
          </w:tcPr>
          <w:p w14:paraId="727A4117">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阔叶灌丛</w:t>
            </w:r>
          </w:p>
        </w:tc>
        <w:tc>
          <w:tcPr>
            <w:tcW w:w="686" w:type="pct"/>
            <w:tcBorders>
              <w:tl2br w:val="nil"/>
              <w:tr2bl w:val="nil"/>
            </w:tcBorders>
            <w:shd w:val="clear" w:color="auto" w:fill="auto"/>
            <w:noWrap/>
            <w:vAlign w:val="center"/>
          </w:tcPr>
          <w:p w14:paraId="57200BF6">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95</w:t>
            </w:r>
          </w:p>
        </w:tc>
        <w:tc>
          <w:tcPr>
            <w:tcW w:w="697" w:type="pct"/>
            <w:tcBorders>
              <w:tl2br w:val="nil"/>
              <w:tr2bl w:val="nil"/>
            </w:tcBorders>
            <w:shd w:val="clear" w:color="auto" w:fill="auto"/>
            <w:noWrap/>
            <w:vAlign w:val="center"/>
          </w:tcPr>
          <w:p w14:paraId="0377B8E8">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 xml:space="preserve">13.930 </w:t>
            </w:r>
          </w:p>
        </w:tc>
        <w:tc>
          <w:tcPr>
            <w:tcW w:w="744" w:type="pct"/>
            <w:tcBorders>
              <w:tl2br w:val="nil"/>
              <w:tr2bl w:val="nil"/>
            </w:tcBorders>
            <w:shd w:val="clear" w:color="auto" w:fill="auto"/>
            <w:noWrap/>
            <w:vAlign w:val="center"/>
          </w:tcPr>
          <w:p w14:paraId="22FD5C46">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202.331</w:t>
            </w:r>
          </w:p>
        </w:tc>
        <w:tc>
          <w:tcPr>
            <w:tcW w:w="1292" w:type="pct"/>
            <w:tcBorders>
              <w:tl2br w:val="nil"/>
              <w:tr2bl w:val="nil"/>
            </w:tcBorders>
            <w:shd w:val="clear" w:color="auto" w:fill="auto"/>
            <w:noWrap/>
            <w:vAlign w:val="center"/>
          </w:tcPr>
          <w:p w14:paraId="6CC9A18C">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 xml:space="preserve">18.871 </w:t>
            </w:r>
          </w:p>
        </w:tc>
      </w:tr>
      <w:tr w14:paraId="71F49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66" w:type="pct"/>
            <w:tcBorders>
              <w:tl2br w:val="nil"/>
              <w:tr2bl w:val="nil"/>
            </w:tcBorders>
            <w:shd w:val="clear" w:color="auto" w:fill="auto"/>
            <w:vAlign w:val="center"/>
          </w:tcPr>
          <w:p w14:paraId="671DAC40">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草丛生态系统</w:t>
            </w:r>
          </w:p>
        </w:tc>
        <w:tc>
          <w:tcPr>
            <w:tcW w:w="713" w:type="pct"/>
            <w:tcBorders>
              <w:tl2br w:val="nil"/>
              <w:tr2bl w:val="nil"/>
            </w:tcBorders>
            <w:shd w:val="clear" w:color="auto" w:fill="auto"/>
            <w:vAlign w:val="center"/>
          </w:tcPr>
          <w:p w14:paraId="7865F8B3">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稀疏草丛</w:t>
            </w:r>
          </w:p>
        </w:tc>
        <w:tc>
          <w:tcPr>
            <w:tcW w:w="686" w:type="pct"/>
            <w:tcBorders>
              <w:tl2br w:val="nil"/>
              <w:tr2bl w:val="nil"/>
            </w:tcBorders>
            <w:shd w:val="clear" w:color="auto" w:fill="auto"/>
            <w:noWrap/>
            <w:vAlign w:val="center"/>
          </w:tcPr>
          <w:p w14:paraId="7B02E8FB">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73</w:t>
            </w:r>
          </w:p>
        </w:tc>
        <w:tc>
          <w:tcPr>
            <w:tcW w:w="697" w:type="pct"/>
            <w:tcBorders>
              <w:tl2br w:val="nil"/>
              <w:tr2bl w:val="nil"/>
            </w:tcBorders>
            <w:shd w:val="clear" w:color="auto" w:fill="auto"/>
            <w:noWrap/>
            <w:vAlign w:val="center"/>
          </w:tcPr>
          <w:p w14:paraId="39B0CC10">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 xml:space="preserve">10.704 </w:t>
            </w:r>
          </w:p>
        </w:tc>
        <w:tc>
          <w:tcPr>
            <w:tcW w:w="744" w:type="pct"/>
            <w:tcBorders>
              <w:tl2br w:val="nil"/>
              <w:tr2bl w:val="nil"/>
            </w:tcBorders>
            <w:shd w:val="clear" w:color="auto" w:fill="auto"/>
            <w:noWrap/>
            <w:vAlign w:val="center"/>
          </w:tcPr>
          <w:p w14:paraId="4E91446C">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169.206</w:t>
            </w:r>
          </w:p>
        </w:tc>
        <w:tc>
          <w:tcPr>
            <w:tcW w:w="1292" w:type="pct"/>
            <w:tcBorders>
              <w:tl2br w:val="nil"/>
              <w:tr2bl w:val="nil"/>
            </w:tcBorders>
            <w:shd w:val="clear" w:color="auto" w:fill="auto"/>
            <w:noWrap/>
            <w:vAlign w:val="center"/>
          </w:tcPr>
          <w:p w14:paraId="35FACF6F">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 xml:space="preserve">15.781 </w:t>
            </w:r>
          </w:p>
        </w:tc>
      </w:tr>
      <w:tr w14:paraId="5A932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66" w:type="pct"/>
            <w:tcBorders>
              <w:tl2br w:val="nil"/>
              <w:tr2bl w:val="nil"/>
            </w:tcBorders>
            <w:shd w:val="clear" w:color="auto" w:fill="auto"/>
            <w:vAlign w:val="center"/>
          </w:tcPr>
          <w:p w14:paraId="4EDA5F01">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农田生态系统</w:t>
            </w:r>
          </w:p>
        </w:tc>
        <w:tc>
          <w:tcPr>
            <w:tcW w:w="713" w:type="pct"/>
            <w:tcBorders>
              <w:tl2br w:val="nil"/>
              <w:tr2bl w:val="nil"/>
            </w:tcBorders>
            <w:shd w:val="clear" w:color="auto" w:fill="auto"/>
            <w:vAlign w:val="center"/>
          </w:tcPr>
          <w:p w14:paraId="2A7B86CD">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耕地</w:t>
            </w:r>
          </w:p>
        </w:tc>
        <w:tc>
          <w:tcPr>
            <w:tcW w:w="686" w:type="pct"/>
            <w:tcBorders>
              <w:tl2br w:val="nil"/>
              <w:tr2bl w:val="nil"/>
            </w:tcBorders>
            <w:shd w:val="clear" w:color="auto" w:fill="auto"/>
            <w:noWrap/>
            <w:vAlign w:val="center"/>
          </w:tcPr>
          <w:p w14:paraId="5FEF2D5A">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237</w:t>
            </w:r>
          </w:p>
        </w:tc>
        <w:tc>
          <w:tcPr>
            <w:tcW w:w="697" w:type="pct"/>
            <w:tcBorders>
              <w:tl2br w:val="nil"/>
              <w:tr2bl w:val="nil"/>
            </w:tcBorders>
            <w:shd w:val="clear" w:color="auto" w:fill="auto"/>
            <w:noWrap/>
            <w:vAlign w:val="center"/>
          </w:tcPr>
          <w:p w14:paraId="75ABCF73">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 xml:space="preserve">34.751 </w:t>
            </w:r>
          </w:p>
        </w:tc>
        <w:tc>
          <w:tcPr>
            <w:tcW w:w="744" w:type="pct"/>
            <w:tcBorders>
              <w:tl2br w:val="nil"/>
              <w:tr2bl w:val="nil"/>
            </w:tcBorders>
            <w:shd w:val="clear" w:color="auto" w:fill="auto"/>
            <w:noWrap/>
            <w:vAlign w:val="center"/>
          </w:tcPr>
          <w:p w14:paraId="5B427559">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226.808</w:t>
            </w:r>
          </w:p>
        </w:tc>
        <w:tc>
          <w:tcPr>
            <w:tcW w:w="1292" w:type="pct"/>
            <w:tcBorders>
              <w:tl2br w:val="nil"/>
              <w:tr2bl w:val="nil"/>
            </w:tcBorders>
            <w:shd w:val="clear" w:color="auto" w:fill="auto"/>
            <w:noWrap/>
            <w:vAlign w:val="center"/>
          </w:tcPr>
          <w:p w14:paraId="1F9CB9DD">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 xml:space="preserve">21.154 </w:t>
            </w:r>
          </w:p>
        </w:tc>
      </w:tr>
      <w:tr w14:paraId="7EC3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66" w:type="pct"/>
            <w:vMerge w:val="restart"/>
            <w:tcBorders>
              <w:tl2br w:val="nil"/>
              <w:tr2bl w:val="nil"/>
            </w:tcBorders>
            <w:shd w:val="clear" w:color="auto" w:fill="auto"/>
            <w:vAlign w:val="center"/>
          </w:tcPr>
          <w:p w14:paraId="5A651FBD">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城镇生态系统</w:t>
            </w:r>
          </w:p>
        </w:tc>
        <w:tc>
          <w:tcPr>
            <w:tcW w:w="713" w:type="pct"/>
            <w:tcBorders>
              <w:tl2br w:val="nil"/>
              <w:tr2bl w:val="nil"/>
            </w:tcBorders>
            <w:shd w:val="clear" w:color="auto" w:fill="auto"/>
            <w:vAlign w:val="center"/>
          </w:tcPr>
          <w:p w14:paraId="747F68FA">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居住地</w:t>
            </w:r>
          </w:p>
        </w:tc>
        <w:tc>
          <w:tcPr>
            <w:tcW w:w="686" w:type="pct"/>
            <w:tcBorders>
              <w:tl2br w:val="nil"/>
              <w:tr2bl w:val="nil"/>
            </w:tcBorders>
            <w:shd w:val="clear" w:color="auto" w:fill="auto"/>
            <w:noWrap/>
            <w:vAlign w:val="center"/>
          </w:tcPr>
          <w:p w14:paraId="56EB3E6C">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68</w:t>
            </w:r>
          </w:p>
        </w:tc>
        <w:tc>
          <w:tcPr>
            <w:tcW w:w="697" w:type="pct"/>
            <w:tcBorders>
              <w:tl2br w:val="nil"/>
              <w:tr2bl w:val="nil"/>
            </w:tcBorders>
            <w:shd w:val="clear" w:color="auto" w:fill="auto"/>
            <w:noWrap/>
            <w:vAlign w:val="center"/>
          </w:tcPr>
          <w:p w14:paraId="19C69BF7">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 xml:space="preserve">9.971 </w:t>
            </w:r>
          </w:p>
        </w:tc>
        <w:tc>
          <w:tcPr>
            <w:tcW w:w="744" w:type="pct"/>
            <w:tcBorders>
              <w:tl2br w:val="nil"/>
              <w:tr2bl w:val="nil"/>
            </w:tcBorders>
            <w:shd w:val="clear" w:color="auto" w:fill="auto"/>
            <w:noWrap/>
            <w:vAlign w:val="center"/>
          </w:tcPr>
          <w:p w14:paraId="735A0754">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12.279</w:t>
            </w:r>
          </w:p>
        </w:tc>
        <w:tc>
          <w:tcPr>
            <w:tcW w:w="1292" w:type="pct"/>
            <w:tcBorders>
              <w:tl2br w:val="nil"/>
              <w:tr2bl w:val="nil"/>
            </w:tcBorders>
            <w:shd w:val="clear" w:color="auto" w:fill="auto"/>
            <w:noWrap/>
            <w:vAlign w:val="center"/>
          </w:tcPr>
          <w:p w14:paraId="5FD80EFC">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 xml:space="preserve">1.145 </w:t>
            </w:r>
          </w:p>
        </w:tc>
      </w:tr>
      <w:tr w14:paraId="12BA7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66" w:type="pct"/>
            <w:vMerge w:val="continue"/>
            <w:tcBorders>
              <w:tl2br w:val="nil"/>
              <w:tr2bl w:val="nil"/>
            </w:tcBorders>
            <w:shd w:val="clear" w:color="auto" w:fill="auto"/>
            <w:vAlign w:val="center"/>
          </w:tcPr>
          <w:p w14:paraId="36F3558C">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713" w:type="pct"/>
            <w:tcBorders>
              <w:tl2br w:val="nil"/>
              <w:tr2bl w:val="nil"/>
            </w:tcBorders>
            <w:shd w:val="clear" w:color="auto" w:fill="auto"/>
            <w:vAlign w:val="center"/>
          </w:tcPr>
          <w:p w14:paraId="3025BB65">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工矿交通</w:t>
            </w:r>
          </w:p>
        </w:tc>
        <w:tc>
          <w:tcPr>
            <w:tcW w:w="686" w:type="pct"/>
            <w:tcBorders>
              <w:tl2br w:val="nil"/>
              <w:tr2bl w:val="nil"/>
            </w:tcBorders>
            <w:shd w:val="clear" w:color="auto" w:fill="auto"/>
            <w:noWrap/>
            <w:vAlign w:val="center"/>
          </w:tcPr>
          <w:p w14:paraId="3292DBDF">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60</w:t>
            </w:r>
          </w:p>
        </w:tc>
        <w:tc>
          <w:tcPr>
            <w:tcW w:w="697" w:type="pct"/>
            <w:tcBorders>
              <w:tl2br w:val="nil"/>
              <w:tr2bl w:val="nil"/>
            </w:tcBorders>
            <w:shd w:val="clear" w:color="auto" w:fill="auto"/>
            <w:noWrap/>
            <w:vAlign w:val="center"/>
          </w:tcPr>
          <w:p w14:paraId="4709CD1B">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 xml:space="preserve">8.798 </w:t>
            </w:r>
          </w:p>
        </w:tc>
        <w:tc>
          <w:tcPr>
            <w:tcW w:w="744" w:type="pct"/>
            <w:tcBorders>
              <w:tl2br w:val="nil"/>
              <w:tr2bl w:val="nil"/>
            </w:tcBorders>
            <w:shd w:val="clear" w:color="auto" w:fill="auto"/>
            <w:noWrap/>
            <w:vAlign w:val="center"/>
          </w:tcPr>
          <w:p w14:paraId="5E0E6F81">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17.576</w:t>
            </w:r>
          </w:p>
        </w:tc>
        <w:tc>
          <w:tcPr>
            <w:tcW w:w="1292" w:type="pct"/>
            <w:tcBorders>
              <w:tl2br w:val="nil"/>
              <w:tr2bl w:val="nil"/>
            </w:tcBorders>
            <w:shd w:val="clear" w:color="auto" w:fill="auto"/>
            <w:noWrap/>
            <w:vAlign w:val="center"/>
          </w:tcPr>
          <w:p w14:paraId="6AD89AE0">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 xml:space="preserve">1.639 </w:t>
            </w:r>
          </w:p>
        </w:tc>
      </w:tr>
      <w:tr w14:paraId="214F5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66" w:type="pct"/>
            <w:vMerge w:val="restart"/>
            <w:tcBorders>
              <w:tl2br w:val="nil"/>
              <w:tr2bl w:val="nil"/>
            </w:tcBorders>
            <w:shd w:val="clear" w:color="auto" w:fill="auto"/>
            <w:noWrap/>
            <w:vAlign w:val="center"/>
          </w:tcPr>
          <w:p w14:paraId="174B429E">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湿地生态系统</w:t>
            </w:r>
          </w:p>
        </w:tc>
        <w:tc>
          <w:tcPr>
            <w:tcW w:w="713" w:type="pct"/>
            <w:tcBorders>
              <w:tl2br w:val="nil"/>
              <w:tr2bl w:val="nil"/>
            </w:tcBorders>
            <w:shd w:val="clear" w:color="auto" w:fill="auto"/>
            <w:noWrap/>
            <w:vAlign w:val="center"/>
          </w:tcPr>
          <w:p w14:paraId="3D4767FD">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河流</w:t>
            </w:r>
          </w:p>
        </w:tc>
        <w:tc>
          <w:tcPr>
            <w:tcW w:w="686" w:type="pct"/>
            <w:tcBorders>
              <w:tl2br w:val="nil"/>
              <w:tr2bl w:val="nil"/>
            </w:tcBorders>
            <w:shd w:val="clear" w:color="auto" w:fill="auto"/>
            <w:noWrap/>
            <w:vAlign w:val="center"/>
          </w:tcPr>
          <w:p w14:paraId="776D1E69">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29</w:t>
            </w:r>
          </w:p>
        </w:tc>
        <w:tc>
          <w:tcPr>
            <w:tcW w:w="697" w:type="pct"/>
            <w:tcBorders>
              <w:tl2br w:val="nil"/>
              <w:tr2bl w:val="nil"/>
            </w:tcBorders>
            <w:shd w:val="clear" w:color="auto" w:fill="auto"/>
            <w:noWrap/>
            <w:vAlign w:val="center"/>
          </w:tcPr>
          <w:p w14:paraId="3034A99E">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 xml:space="preserve">4.252 </w:t>
            </w:r>
          </w:p>
        </w:tc>
        <w:tc>
          <w:tcPr>
            <w:tcW w:w="744" w:type="pct"/>
            <w:tcBorders>
              <w:tl2br w:val="nil"/>
              <w:tr2bl w:val="nil"/>
            </w:tcBorders>
            <w:shd w:val="clear" w:color="auto" w:fill="auto"/>
            <w:noWrap/>
            <w:vAlign w:val="center"/>
          </w:tcPr>
          <w:p w14:paraId="6F5BD575">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6.212</w:t>
            </w:r>
          </w:p>
        </w:tc>
        <w:tc>
          <w:tcPr>
            <w:tcW w:w="1292" w:type="pct"/>
            <w:tcBorders>
              <w:tl2br w:val="nil"/>
              <w:tr2bl w:val="nil"/>
            </w:tcBorders>
            <w:shd w:val="clear" w:color="auto" w:fill="auto"/>
            <w:noWrap/>
            <w:vAlign w:val="center"/>
          </w:tcPr>
          <w:p w14:paraId="3118D926">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 xml:space="preserve">0.579 </w:t>
            </w:r>
          </w:p>
        </w:tc>
      </w:tr>
      <w:tr w14:paraId="13642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66" w:type="pct"/>
            <w:vMerge w:val="continue"/>
            <w:tcBorders>
              <w:tl2br w:val="nil"/>
              <w:tr2bl w:val="nil"/>
            </w:tcBorders>
            <w:shd w:val="clear" w:color="auto" w:fill="auto"/>
            <w:noWrap/>
            <w:vAlign w:val="center"/>
          </w:tcPr>
          <w:p w14:paraId="7B3602E3">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713" w:type="pct"/>
            <w:tcBorders>
              <w:tl2br w:val="nil"/>
              <w:tr2bl w:val="nil"/>
            </w:tcBorders>
            <w:shd w:val="clear" w:color="auto" w:fill="auto"/>
            <w:vAlign w:val="center"/>
          </w:tcPr>
          <w:p w14:paraId="6219CB1A">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湖泊</w:t>
            </w:r>
          </w:p>
        </w:tc>
        <w:tc>
          <w:tcPr>
            <w:tcW w:w="686" w:type="pct"/>
            <w:tcBorders>
              <w:tl2br w:val="nil"/>
              <w:tr2bl w:val="nil"/>
            </w:tcBorders>
            <w:shd w:val="clear" w:color="auto" w:fill="auto"/>
            <w:noWrap/>
            <w:vAlign w:val="center"/>
          </w:tcPr>
          <w:p w14:paraId="1291A267">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1</w:t>
            </w:r>
          </w:p>
        </w:tc>
        <w:tc>
          <w:tcPr>
            <w:tcW w:w="697" w:type="pct"/>
            <w:tcBorders>
              <w:tl2br w:val="nil"/>
              <w:tr2bl w:val="nil"/>
            </w:tcBorders>
            <w:shd w:val="clear" w:color="auto" w:fill="auto"/>
            <w:noWrap/>
            <w:vAlign w:val="center"/>
          </w:tcPr>
          <w:p w14:paraId="781009DA">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 xml:space="preserve">0.147 </w:t>
            </w:r>
          </w:p>
        </w:tc>
        <w:tc>
          <w:tcPr>
            <w:tcW w:w="744" w:type="pct"/>
            <w:tcBorders>
              <w:tl2br w:val="nil"/>
              <w:tr2bl w:val="nil"/>
            </w:tcBorders>
            <w:shd w:val="clear" w:color="auto" w:fill="auto"/>
            <w:noWrap/>
            <w:vAlign w:val="center"/>
          </w:tcPr>
          <w:p w14:paraId="1A56F87E">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0.133</w:t>
            </w:r>
          </w:p>
        </w:tc>
        <w:tc>
          <w:tcPr>
            <w:tcW w:w="1292" w:type="pct"/>
            <w:tcBorders>
              <w:tl2br w:val="nil"/>
              <w:tr2bl w:val="nil"/>
            </w:tcBorders>
            <w:shd w:val="clear" w:color="auto" w:fill="auto"/>
            <w:noWrap/>
            <w:vAlign w:val="center"/>
          </w:tcPr>
          <w:p w14:paraId="1587BCD6">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 xml:space="preserve">0.012 </w:t>
            </w:r>
          </w:p>
        </w:tc>
      </w:tr>
      <w:tr w14:paraId="594A6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79" w:type="pct"/>
            <w:gridSpan w:val="2"/>
            <w:tcBorders>
              <w:tl2br w:val="nil"/>
              <w:tr2bl w:val="nil"/>
            </w:tcBorders>
            <w:shd w:val="clear" w:color="auto" w:fill="auto"/>
            <w:vAlign w:val="center"/>
          </w:tcPr>
          <w:p w14:paraId="0439DD63">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其他—裸地</w:t>
            </w:r>
          </w:p>
        </w:tc>
        <w:tc>
          <w:tcPr>
            <w:tcW w:w="686" w:type="pct"/>
            <w:tcBorders>
              <w:tl2br w:val="nil"/>
              <w:tr2bl w:val="nil"/>
            </w:tcBorders>
            <w:shd w:val="clear" w:color="auto" w:fill="auto"/>
            <w:noWrap/>
            <w:vAlign w:val="center"/>
          </w:tcPr>
          <w:p w14:paraId="3AEEC807">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17 </w:t>
            </w:r>
          </w:p>
        </w:tc>
        <w:tc>
          <w:tcPr>
            <w:tcW w:w="697" w:type="pct"/>
            <w:tcBorders>
              <w:tl2br w:val="nil"/>
              <w:tr2bl w:val="nil"/>
            </w:tcBorders>
            <w:shd w:val="clear" w:color="auto" w:fill="auto"/>
            <w:noWrap/>
            <w:vAlign w:val="center"/>
          </w:tcPr>
          <w:p w14:paraId="757C7CB2">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 xml:space="preserve">2.493 </w:t>
            </w:r>
          </w:p>
        </w:tc>
        <w:tc>
          <w:tcPr>
            <w:tcW w:w="744" w:type="pct"/>
            <w:tcBorders>
              <w:tl2br w:val="nil"/>
              <w:tr2bl w:val="nil"/>
            </w:tcBorders>
            <w:shd w:val="clear" w:color="auto" w:fill="auto"/>
            <w:noWrap/>
            <w:vAlign w:val="center"/>
          </w:tcPr>
          <w:p w14:paraId="43C8B5CB">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5.668</w:t>
            </w:r>
          </w:p>
        </w:tc>
        <w:tc>
          <w:tcPr>
            <w:tcW w:w="1292" w:type="pct"/>
            <w:tcBorders>
              <w:tl2br w:val="nil"/>
              <w:tr2bl w:val="nil"/>
            </w:tcBorders>
            <w:shd w:val="clear" w:color="auto" w:fill="auto"/>
            <w:noWrap/>
            <w:vAlign w:val="center"/>
          </w:tcPr>
          <w:p w14:paraId="05F313C7">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 xml:space="preserve">0.529 </w:t>
            </w:r>
          </w:p>
        </w:tc>
      </w:tr>
      <w:tr w14:paraId="41B4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79" w:type="pct"/>
            <w:gridSpan w:val="2"/>
            <w:tcBorders>
              <w:tl2br w:val="nil"/>
              <w:tr2bl w:val="nil"/>
            </w:tcBorders>
            <w:shd w:val="clear" w:color="auto" w:fill="auto"/>
            <w:vAlign w:val="center"/>
          </w:tcPr>
          <w:p w14:paraId="15D44368">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合计</w:t>
            </w:r>
          </w:p>
        </w:tc>
        <w:tc>
          <w:tcPr>
            <w:tcW w:w="686" w:type="pct"/>
            <w:tcBorders>
              <w:tl2br w:val="nil"/>
              <w:tr2bl w:val="nil"/>
            </w:tcBorders>
            <w:shd w:val="clear" w:color="auto" w:fill="auto"/>
            <w:noWrap/>
            <w:vAlign w:val="center"/>
          </w:tcPr>
          <w:p w14:paraId="0B2AB038">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 xml:space="preserve">682 </w:t>
            </w:r>
          </w:p>
        </w:tc>
        <w:tc>
          <w:tcPr>
            <w:tcW w:w="697" w:type="pct"/>
            <w:tcBorders>
              <w:tl2br w:val="nil"/>
              <w:tr2bl w:val="nil"/>
            </w:tcBorders>
            <w:shd w:val="clear" w:color="auto" w:fill="auto"/>
            <w:noWrap/>
            <w:vAlign w:val="center"/>
          </w:tcPr>
          <w:p w14:paraId="7FB71A19">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100</w:t>
            </w:r>
          </w:p>
        </w:tc>
        <w:tc>
          <w:tcPr>
            <w:tcW w:w="744" w:type="pct"/>
            <w:tcBorders>
              <w:tl2br w:val="nil"/>
              <w:tr2bl w:val="nil"/>
            </w:tcBorders>
            <w:shd w:val="clear" w:color="auto" w:fill="auto"/>
            <w:noWrap/>
            <w:vAlign w:val="center"/>
          </w:tcPr>
          <w:p w14:paraId="2E713568">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1072.183</w:t>
            </w:r>
          </w:p>
        </w:tc>
        <w:tc>
          <w:tcPr>
            <w:tcW w:w="1292" w:type="pct"/>
            <w:tcBorders>
              <w:tl2br w:val="nil"/>
              <w:tr2bl w:val="nil"/>
            </w:tcBorders>
            <w:shd w:val="clear" w:color="auto" w:fill="auto"/>
            <w:noWrap/>
            <w:vAlign w:val="center"/>
          </w:tcPr>
          <w:p w14:paraId="481AA83A">
            <w:pPr>
              <w:widowControl/>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等线" w:cs="Times New Roman"/>
                <w:color w:val="auto"/>
                <w:sz w:val="21"/>
                <w:szCs w:val="21"/>
              </w:rPr>
              <w:t>100</w:t>
            </w:r>
          </w:p>
        </w:tc>
      </w:tr>
    </w:tbl>
    <w:p w14:paraId="4A0148F6">
      <w:pPr>
        <w:keepNext w:val="0"/>
        <w:keepLines w:val="0"/>
        <w:pageBreakBefore w:val="0"/>
        <w:widowControl w:val="0"/>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本次评价区总面积1072.183hm²，共划分682个生态斑块，各生态系统斑块数量、分布规模及面积占比差异显著，区域生态结构特征鲜明，整体以森林、灌丛、草丛组成的自然生态系统为绝对优势类型，农田、城镇等人工生态系统为辅。</w:t>
      </w:r>
    </w:p>
    <w:p w14:paraId="2E58CFFF">
      <w:pPr>
        <w:keepNext w:val="0"/>
        <w:keepLines w:val="0"/>
        <w:pageBreakBefore w:val="0"/>
        <w:widowControl w:val="0"/>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1</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rPr>
        <w:t>森林生态系统仅含针叶林类型，总面积431.970hm²，占评价区总面积40.289%，斑块数量102个，斑块占比14.956%，是评价区内面积占比最高的生态系统，连片分布规模大，是区域核心自然植被，承担水源涵养、水土保持、生物栖息等关键生态功能。</w:t>
      </w:r>
    </w:p>
    <w:p w14:paraId="2030402E">
      <w:pPr>
        <w:keepNext w:val="0"/>
        <w:keepLines w:val="0"/>
        <w:pageBreakBefore w:val="0"/>
        <w:widowControl w:val="0"/>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2</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rPr>
        <w:t>农田生态系统仅包含耕地一类，总面积226.808hm²，占评价区总面积21.154%，斑块数量237个，斑块占比34.751%，为全区斑块数量最多的生态类型，广泛散布于各类自然植被之间，是主要人工农业生态基底。</w:t>
      </w:r>
    </w:p>
    <w:p w14:paraId="761AF6AE">
      <w:pPr>
        <w:keepNext w:val="0"/>
        <w:keepLines w:val="0"/>
        <w:pageBreakBefore w:val="0"/>
        <w:widowControl w:val="0"/>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3</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rPr>
        <w:t>灌丛生态系统为阔叶灌丛，总面积202.331hm²，占评价区总面积18.87%，斑块数量95个，斑块占比13.93%，为区域第二大自然生态系统，大面积分布，与针叶林交错镶嵌，构成区域主要灌木植被景观。</w:t>
      </w:r>
    </w:p>
    <w:p w14:paraId="0376667A">
      <w:pPr>
        <w:keepNext w:val="0"/>
        <w:keepLines w:val="0"/>
        <w:pageBreakBefore w:val="0"/>
        <w:widowControl w:val="0"/>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4</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rPr>
        <w:t>草丛生态系统仅为草丛类型，总面积169.206hm²，占评价区总面积15.78%，斑块数量73个，斑块占比10.70%，是区域重要草本自然生态系统，连片分布规模较大，为野生动物提供开阔栖息生境。</w:t>
      </w:r>
    </w:p>
    <w:p w14:paraId="70461422">
      <w:pPr>
        <w:keepNext w:val="0"/>
        <w:keepLines w:val="0"/>
        <w:pageBreakBefore w:val="0"/>
        <w:widowControl w:val="0"/>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5</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rPr>
        <w:t>城镇生态系统包含居住地、工矿交通两类，总面积29.855hm²，占评价区总面积2.79%。其中居住地生态系统面积12.279hm²，占比1.15%，斑块数量68个，斑块占比9.97%；工矿交通生态系统面积17.576hm²，占比1.64%，斑块数量60个，斑块占比8.80%，人工建设斑块细碎零散，穿插分布于农田与自然植被区内。</w:t>
      </w:r>
    </w:p>
    <w:p w14:paraId="4B7F56EF">
      <w:pPr>
        <w:keepNext w:val="0"/>
        <w:keepLines w:val="0"/>
        <w:pageBreakBefore w:val="0"/>
        <w:widowControl w:val="0"/>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6</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rPr>
        <w:t>湿地生态系统涵盖河流、湖泊两类，总面积6.345hm²，占评价区总面积0.59%。其中河流面积6.212hm²，占比0.58%，斑块数量28个，斑块占比4.11%；湖泊面积0.133hm²，占比0.01%，斑块数量1个，斑块占比0.15%，水系斑块沿地势线性、零星分布，构成区域水文连通廊道。</w:t>
      </w:r>
    </w:p>
    <w:p w14:paraId="6F36EEF4">
      <w:pPr>
        <w:keepNext w:val="0"/>
        <w:keepLines w:val="0"/>
        <w:pageBreakBefore w:val="0"/>
        <w:widowControl w:val="0"/>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7</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rPr>
        <w:t>其他生态系统总面积5.668hm²，占评价区总面积0.53%，斑块数量17个，斑块占比2.49%，在评价区内零星散落分布，无集中连片分布特征。</w:t>
      </w:r>
    </w:p>
    <w:p w14:paraId="297A0891">
      <w:pPr>
        <w:keepNext w:val="0"/>
        <w:keepLines w:val="0"/>
        <w:pageBreakBefore w:val="0"/>
        <w:widowControl w:val="0"/>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整体来看，评价区生态系统以自然生态系统（森林、灌丛、草丛、湿地）为主体，三类陆生自然植被合计面积占评价区总面积94.55%；农田、城镇人工生态系统占比较低。区域自然植被大面积集中分布，农田斑块细碎密集穿插其中，城镇、工矿交通等人工斑块碎片化明显，整体生态格局以森林、灌丛、草丛自然植被为基底，人类活动干扰强度整体偏低，原生自然涵养空间充足。</w:t>
      </w:r>
    </w:p>
    <w:p w14:paraId="49A77B51">
      <w:pPr>
        <w:keepNext/>
        <w:keepLines/>
        <w:widowControl/>
        <w:numPr>
          <w:ilvl w:val="3"/>
          <w:numId w:val="0"/>
        </w:numPr>
        <w:adjustRightInd w:val="0"/>
        <w:snapToGrid w:val="0"/>
        <w:spacing w:after="0" w:line="440" w:lineRule="exact"/>
        <w:ind w:firstLine="422" w:firstLineChars="200"/>
        <w:outlineLvl w:val="3"/>
        <w:rPr>
          <w:rFonts w:hint="default" w:ascii="Times New Roman" w:hAnsi="Times New Roman" w:eastAsia="宋体" w:cs="Times New Roman"/>
          <w:b/>
          <w:bCs/>
          <w:color w:val="auto"/>
          <w:szCs w:val="28"/>
        </w:rPr>
      </w:pPr>
      <w:r>
        <w:rPr>
          <w:rFonts w:hint="default" w:ascii="Times New Roman" w:hAnsi="Times New Roman" w:eastAsia="宋体" w:cs="Times New Roman"/>
          <w:b/>
          <w:bCs/>
          <w:color w:val="auto"/>
          <w:szCs w:val="28"/>
        </w:rPr>
        <w:t>2.7.2.2生态系统生产力、生物量</w:t>
      </w:r>
    </w:p>
    <w:p w14:paraId="3932A7B2">
      <w:pPr>
        <w:adjustRightInd w:val="0"/>
        <w:snapToGrid w:val="0"/>
        <w:spacing w:after="0" w:line="440" w:lineRule="exact"/>
        <w:ind w:firstLine="480"/>
        <w:rPr>
          <w:rFonts w:hint="default" w:ascii="Times New Roman" w:hAnsi="Times New Roman" w:eastAsia="宋体" w:cs="Times New Roman"/>
          <w:color w:val="auto"/>
          <w:szCs w:val="24"/>
          <w14:ligatures w14:val="standardContextual"/>
        </w:rPr>
      </w:pPr>
      <w:r>
        <w:rPr>
          <w:rFonts w:hint="default" w:ascii="Times New Roman" w:hAnsi="Times New Roman" w:eastAsia="宋体" w:cs="Times New Roman"/>
          <w:color w:val="auto"/>
          <w:szCs w:val="24"/>
          <w14:ligatures w14:val="standardContextual"/>
        </w:rPr>
        <w:t>区域生态系统生产力的评价指标主要是其植被生产力。植被生产力指各类土地上的植被生长量，单位用“吨/年（t/a）”表示。</w:t>
      </w:r>
    </w:p>
    <w:p w14:paraId="67582643">
      <w:pPr>
        <w:adjustRightInd w:val="0"/>
        <w:snapToGrid w:val="0"/>
        <w:spacing w:after="0" w:line="440" w:lineRule="exact"/>
        <w:ind w:firstLine="480"/>
        <w:rPr>
          <w:rFonts w:hint="default" w:ascii="Times New Roman" w:hAnsi="Times New Roman" w:eastAsia="宋体" w:cs="Times New Roman"/>
          <w:color w:val="auto"/>
          <w:szCs w:val="24"/>
          <w14:ligatures w14:val="standardContextual"/>
        </w:rPr>
      </w:pPr>
      <w:r>
        <w:rPr>
          <w:rFonts w:hint="default" w:ascii="Times New Roman" w:hAnsi="Times New Roman" w:eastAsia="宋体" w:cs="Times New Roman"/>
          <w:color w:val="auto"/>
          <w:szCs w:val="24"/>
          <w14:ligatures w14:val="standardContextual"/>
        </w:rPr>
        <w:t>参照“我国森林植被的生物量和净生产量”（方精云、刘国华、徐嵩林，1996，生态学报，16（5）），“中国不同气候带各类型森林的生物量和净第一性生产力”（李高飞，任海，2004，热带地理，24（4）），以及《生物圈第一性生产力》（H.里思，R.H.惠特克，2001）的相关文献，对我国各地带主要植被类型生产量的计算方法，计算评价区各植被类型（生态系统）的生物生产力。</w:t>
      </w:r>
    </w:p>
    <w:p w14:paraId="3BC0C6EF">
      <w:pPr>
        <w:adjustRightInd w:val="0"/>
        <w:snapToGrid w:val="0"/>
        <w:spacing w:after="0" w:line="240" w:lineRule="auto"/>
        <w:ind w:firstLine="0" w:firstLineChars="0"/>
        <w:jc w:val="center"/>
        <w:rPr>
          <w:rFonts w:hint="default" w:ascii="Times New Roman" w:hAnsi="Times New Roman" w:eastAsia="宋体" w:cs="Times New Roman"/>
          <w:b/>
          <w:bCs/>
          <w:color w:val="auto"/>
          <w:szCs w:val="30"/>
          <w14:ligatures w14:val="standardContextual"/>
        </w:rPr>
      </w:pPr>
      <w:r>
        <w:rPr>
          <w:rFonts w:hint="default" w:ascii="Times New Roman" w:hAnsi="Times New Roman" w:eastAsia="宋体" w:cs="Times New Roman"/>
          <w:b/>
          <w:bCs/>
          <w:color w:val="auto"/>
          <w:szCs w:val="30"/>
          <w14:ligatures w14:val="standardContextual"/>
        </w:rPr>
        <w:t>表2.7-6  评价区生态系统生产力统计一览表</w:t>
      </w:r>
    </w:p>
    <w:tbl>
      <w:tblPr>
        <w:tblStyle w:val="3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21"/>
        <w:gridCol w:w="818"/>
        <w:gridCol w:w="1135"/>
        <w:gridCol w:w="965"/>
        <w:gridCol w:w="832"/>
        <w:gridCol w:w="940"/>
        <w:gridCol w:w="970"/>
        <w:gridCol w:w="1204"/>
        <w:gridCol w:w="970"/>
      </w:tblGrid>
      <w:tr w14:paraId="107873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93" w:type="dxa"/>
            <w:gridSpan w:val="2"/>
            <w:tcBorders>
              <w:tl2br w:val="nil"/>
              <w:tr2bl w:val="nil"/>
            </w:tcBorders>
            <w:shd w:val="clear" w:color="auto" w:fill="auto"/>
            <w:vAlign w:val="center"/>
          </w:tcPr>
          <w:p w14:paraId="6D9C9C8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18"/>
                <w:szCs w:val="18"/>
              </w:rPr>
            </w:pPr>
            <w:r>
              <w:rPr>
                <w:rFonts w:hint="default" w:ascii="Times New Roman" w:hAnsi="Times New Roman" w:eastAsia="宋体" w:cs="Times New Roman"/>
                <w:b/>
                <w:bCs/>
                <w:color w:val="auto"/>
                <w:kern w:val="0"/>
                <w:sz w:val="18"/>
                <w:szCs w:val="18"/>
              </w:rPr>
              <w:t>生态系统</w:t>
            </w:r>
          </w:p>
        </w:tc>
        <w:tc>
          <w:tcPr>
            <w:tcW w:w="1105" w:type="dxa"/>
            <w:vMerge w:val="restart"/>
            <w:tcBorders>
              <w:tl2br w:val="nil"/>
              <w:tr2bl w:val="nil"/>
            </w:tcBorders>
            <w:shd w:val="clear" w:color="auto" w:fill="auto"/>
            <w:vAlign w:val="center"/>
          </w:tcPr>
          <w:p w14:paraId="2C2EFCB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18"/>
                <w:szCs w:val="18"/>
              </w:rPr>
            </w:pPr>
            <w:r>
              <w:rPr>
                <w:rFonts w:hint="default" w:ascii="Times New Roman" w:hAnsi="Times New Roman" w:eastAsia="宋体" w:cs="Times New Roman"/>
                <w:b/>
                <w:bCs/>
                <w:color w:val="auto"/>
                <w:kern w:val="0"/>
                <w:sz w:val="18"/>
                <w:szCs w:val="18"/>
              </w:rPr>
              <w:t>平均生产力（t/hm²·a）</w:t>
            </w:r>
          </w:p>
        </w:tc>
        <w:tc>
          <w:tcPr>
            <w:tcW w:w="939" w:type="dxa"/>
            <w:vMerge w:val="restart"/>
            <w:tcBorders>
              <w:tl2br w:val="nil"/>
              <w:tr2bl w:val="nil"/>
            </w:tcBorders>
            <w:shd w:val="clear" w:color="auto" w:fill="auto"/>
            <w:vAlign w:val="center"/>
          </w:tcPr>
          <w:p w14:paraId="21A16ED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18"/>
                <w:szCs w:val="18"/>
              </w:rPr>
            </w:pPr>
            <w:r>
              <w:rPr>
                <w:rFonts w:hint="default" w:ascii="Times New Roman" w:hAnsi="Times New Roman" w:eastAsia="宋体" w:cs="Times New Roman"/>
                <w:b/>
                <w:bCs/>
                <w:color w:val="auto"/>
                <w:kern w:val="0"/>
                <w:sz w:val="18"/>
                <w:szCs w:val="18"/>
              </w:rPr>
              <w:t>平均生物量（t/hm²）</w:t>
            </w:r>
          </w:p>
        </w:tc>
        <w:tc>
          <w:tcPr>
            <w:tcW w:w="810" w:type="dxa"/>
            <w:vMerge w:val="restart"/>
            <w:tcBorders>
              <w:tl2br w:val="nil"/>
              <w:tr2bl w:val="nil"/>
            </w:tcBorders>
            <w:shd w:val="clear" w:color="auto" w:fill="auto"/>
            <w:vAlign w:val="center"/>
          </w:tcPr>
          <w:p w14:paraId="4925113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18"/>
                <w:szCs w:val="18"/>
              </w:rPr>
            </w:pPr>
            <w:r>
              <w:rPr>
                <w:rFonts w:hint="default" w:ascii="Times New Roman" w:hAnsi="Times New Roman" w:eastAsia="宋体" w:cs="Times New Roman"/>
                <w:b/>
                <w:bCs/>
                <w:color w:val="auto"/>
                <w:kern w:val="0"/>
                <w:sz w:val="18"/>
                <w:szCs w:val="18"/>
              </w:rPr>
              <w:t>面积（hm²）</w:t>
            </w:r>
          </w:p>
        </w:tc>
        <w:tc>
          <w:tcPr>
            <w:tcW w:w="915" w:type="dxa"/>
            <w:vMerge w:val="restart"/>
            <w:tcBorders>
              <w:tl2br w:val="nil"/>
              <w:tr2bl w:val="nil"/>
            </w:tcBorders>
            <w:shd w:val="clear" w:color="auto" w:fill="auto"/>
            <w:vAlign w:val="center"/>
          </w:tcPr>
          <w:p w14:paraId="2E11EA7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18"/>
                <w:szCs w:val="18"/>
              </w:rPr>
            </w:pPr>
            <w:r>
              <w:rPr>
                <w:rFonts w:hint="default" w:ascii="Times New Roman" w:hAnsi="Times New Roman" w:eastAsia="宋体" w:cs="Times New Roman"/>
                <w:b/>
                <w:bCs/>
                <w:color w:val="auto"/>
                <w:kern w:val="0"/>
                <w:sz w:val="18"/>
                <w:szCs w:val="18"/>
              </w:rPr>
              <w:t>生产力（t/a）</w:t>
            </w:r>
          </w:p>
        </w:tc>
        <w:tc>
          <w:tcPr>
            <w:tcW w:w="944" w:type="dxa"/>
            <w:vMerge w:val="restart"/>
            <w:tcBorders>
              <w:tl2br w:val="nil"/>
              <w:tr2bl w:val="nil"/>
            </w:tcBorders>
            <w:shd w:val="clear" w:color="auto" w:fill="auto"/>
            <w:vAlign w:val="center"/>
          </w:tcPr>
          <w:p w14:paraId="005C59E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18"/>
                <w:szCs w:val="18"/>
              </w:rPr>
            </w:pPr>
            <w:r>
              <w:rPr>
                <w:rFonts w:hint="default" w:ascii="Times New Roman" w:hAnsi="Times New Roman" w:eastAsia="宋体" w:cs="Times New Roman"/>
                <w:b/>
                <w:bCs/>
                <w:color w:val="auto"/>
                <w:kern w:val="0"/>
                <w:sz w:val="18"/>
                <w:szCs w:val="18"/>
              </w:rPr>
              <w:t>占总生产力的比例（%）</w:t>
            </w:r>
          </w:p>
        </w:tc>
        <w:tc>
          <w:tcPr>
            <w:tcW w:w="1172" w:type="dxa"/>
            <w:vMerge w:val="restart"/>
            <w:tcBorders>
              <w:tl2br w:val="nil"/>
              <w:tr2bl w:val="nil"/>
            </w:tcBorders>
            <w:shd w:val="clear" w:color="auto" w:fill="auto"/>
            <w:vAlign w:val="center"/>
          </w:tcPr>
          <w:p w14:paraId="71F2C79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18"/>
                <w:szCs w:val="18"/>
              </w:rPr>
            </w:pPr>
            <w:r>
              <w:rPr>
                <w:rFonts w:hint="default" w:ascii="Times New Roman" w:hAnsi="Times New Roman" w:eastAsia="宋体" w:cs="Times New Roman"/>
                <w:b/>
                <w:bCs/>
                <w:color w:val="auto"/>
                <w:kern w:val="0"/>
                <w:sz w:val="18"/>
                <w:szCs w:val="18"/>
              </w:rPr>
              <w:t>生物量（t）</w:t>
            </w:r>
          </w:p>
        </w:tc>
        <w:tc>
          <w:tcPr>
            <w:tcW w:w="944" w:type="dxa"/>
            <w:vMerge w:val="restart"/>
            <w:tcBorders>
              <w:tl2br w:val="nil"/>
              <w:tr2bl w:val="nil"/>
            </w:tcBorders>
            <w:shd w:val="clear" w:color="auto" w:fill="auto"/>
            <w:vAlign w:val="center"/>
          </w:tcPr>
          <w:p w14:paraId="09E0CF2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18"/>
                <w:szCs w:val="18"/>
              </w:rPr>
            </w:pPr>
            <w:r>
              <w:rPr>
                <w:rFonts w:hint="default" w:ascii="Times New Roman" w:hAnsi="Times New Roman" w:eastAsia="宋体" w:cs="Times New Roman"/>
                <w:b/>
                <w:bCs/>
                <w:color w:val="auto"/>
                <w:kern w:val="0"/>
                <w:sz w:val="18"/>
                <w:szCs w:val="18"/>
              </w:rPr>
              <w:t>占总生物量的比例（%）</w:t>
            </w:r>
          </w:p>
        </w:tc>
      </w:tr>
      <w:tr w14:paraId="5904D5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97" w:type="dxa"/>
            <w:tcBorders>
              <w:tl2br w:val="nil"/>
              <w:tr2bl w:val="nil"/>
            </w:tcBorders>
            <w:shd w:val="clear" w:color="auto" w:fill="auto"/>
            <w:vAlign w:val="center"/>
          </w:tcPr>
          <w:p w14:paraId="77F4996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18"/>
                <w:szCs w:val="18"/>
              </w:rPr>
            </w:pPr>
            <w:r>
              <w:rPr>
                <w:rFonts w:hint="default" w:ascii="Times New Roman" w:hAnsi="Times New Roman" w:eastAsia="宋体" w:cs="Times New Roman"/>
                <w:b/>
                <w:bCs/>
                <w:color w:val="auto"/>
                <w:kern w:val="0"/>
                <w:sz w:val="18"/>
                <w:szCs w:val="18"/>
              </w:rPr>
              <w:t>一级类</w:t>
            </w:r>
          </w:p>
        </w:tc>
        <w:tc>
          <w:tcPr>
            <w:tcW w:w="796" w:type="dxa"/>
            <w:tcBorders>
              <w:tl2br w:val="nil"/>
              <w:tr2bl w:val="nil"/>
            </w:tcBorders>
            <w:shd w:val="clear" w:color="auto" w:fill="auto"/>
            <w:vAlign w:val="center"/>
          </w:tcPr>
          <w:p w14:paraId="7DAE917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18"/>
                <w:szCs w:val="18"/>
              </w:rPr>
            </w:pPr>
            <w:r>
              <w:rPr>
                <w:rFonts w:hint="default" w:ascii="Times New Roman" w:hAnsi="Times New Roman" w:eastAsia="宋体" w:cs="Times New Roman"/>
                <w:b/>
                <w:bCs/>
                <w:color w:val="auto"/>
                <w:kern w:val="0"/>
                <w:sz w:val="18"/>
                <w:szCs w:val="18"/>
              </w:rPr>
              <w:t>二级类</w:t>
            </w:r>
          </w:p>
        </w:tc>
        <w:tc>
          <w:tcPr>
            <w:tcW w:w="1105" w:type="dxa"/>
            <w:vMerge w:val="continue"/>
            <w:tcBorders>
              <w:tl2br w:val="nil"/>
              <w:tr2bl w:val="nil"/>
            </w:tcBorders>
            <w:shd w:val="clear" w:color="auto" w:fill="auto"/>
            <w:vAlign w:val="center"/>
          </w:tcPr>
          <w:p w14:paraId="2D10266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18"/>
                <w:szCs w:val="18"/>
              </w:rPr>
            </w:pPr>
          </w:p>
        </w:tc>
        <w:tc>
          <w:tcPr>
            <w:tcW w:w="939" w:type="dxa"/>
            <w:vMerge w:val="continue"/>
            <w:tcBorders>
              <w:tl2br w:val="nil"/>
              <w:tr2bl w:val="nil"/>
            </w:tcBorders>
            <w:shd w:val="clear" w:color="auto" w:fill="auto"/>
            <w:vAlign w:val="center"/>
          </w:tcPr>
          <w:p w14:paraId="5F9D131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18"/>
                <w:szCs w:val="18"/>
              </w:rPr>
            </w:pPr>
          </w:p>
        </w:tc>
        <w:tc>
          <w:tcPr>
            <w:tcW w:w="810" w:type="dxa"/>
            <w:vMerge w:val="continue"/>
            <w:tcBorders>
              <w:tl2br w:val="nil"/>
              <w:tr2bl w:val="nil"/>
            </w:tcBorders>
            <w:shd w:val="clear" w:color="auto" w:fill="auto"/>
            <w:vAlign w:val="center"/>
          </w:tcPr>
          <w:p w14:paraId="27F2D1A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18"/>
                <w:szCs w:val="18"/>
              </w:rPr>
            </w:pPr>
          </w:p>
        </w:tc>
        <w:tc>
          <w:tcPr>
            <w:tcW w:w="915" w:type="dxa"/>
            <w:vMerge w:val="continue"/>
            <w:tcBorders>
              <w:tl2br w:val="nil"/>
              <w:tr2bl w:val="nil"/>
            </w:tcBorders>
            <w:shd w:val="clear" w:color="auto" w:fill="auto"/>
            <w:vAlign w:val="center"/>
          </w:tcPr>
          <w:p w14:paraId="2962655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18"/>
                <w:szCs w:val="18"/>
              </w:rPr>
            </w:pPr>
          </w:p>
        </w:tc>
        <w:tc>
          <w:tcPr>
            <w:tcW w:w="944" w:type="dxa"/>
            <w:vMerge w:val="continue"/>
            <w:tcBorders>
              <w:tl2br w:val="nil"/>
              <w:tr2bl w:val="nil"/>
            </w:tcBorders>
            <w:shd w:val="clear" w:color="auto" w:fill="auto"/>
            <w:vAlign w:val="center"/>
          </w:tcPr>
          <w:p w14:paraId="3ED57FE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18"/>
                <w:szCs w:val="18"/>
              </w:rPr>
            </w:pPr>
          </w:p>
        </w:tc>
        <w:tc>
          <w:tcPr>
            <w:tcW w:w="1172" w:type="dxa"/>
            <w:vMerge w:val="continue"/>
            <w:tcBorders>
              <w:tl2br w:val="nil"/>
              <w:tr2bl w:val="nil"/>
            </w:tcBorders>
            <w:shd w:val="clear" w:color="auto" w:fill="auto"/>
            <w:vAlign w:val="center"/>
          </w:tcPr>
          <w:p w14:paraId="1F97E86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18"/>
                <w:szCs w:val="18"/>
              </w:rPr>
            </w:pPr>
          </w:p>
        </w:tc>
        <w:tc>
          <w:tcPr>
            <w:tcW w:w="944" w:type="dxa"/>
            <w:vMerge w:val="continue"/>
            <w:tcBorders>
              <w:tl2br w:val="nil"/>
              <w:tr2bl w:val="nil"/>
            </w:tcBorders>
            <w:shd w:val="clear" w:color="auto" w:fill="auto"/>
            <w:vAlign w:val="center"/>
          </w:tcPr>
          <w:p w14:paraId="21BC89F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18"/>
                <w:szCs w:val="18"/>
              </w:rPr>
            </w:pPr>
          </w:p>
        </w:tc>
      </w:tr>
      <w:tr w14:paraId="5AC59B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97" w:type="dxa"/>
            <w:tcBorders>
              <w:tl2br w:val="nil"/>
              <w:tr2bl w:val="nil"/>
            </w:tcBorders>
            <w:shd w:val="clear" w:color="auto" w:fill="auto"/>
            <w:vAlign w:val="center"/>
          </w:tcPr>
          <w:p w14:paraId="297C2EC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森林生态系统</w:t>
            </w:r>
          </w:p>
        </w:tc>
        <w:tc>
          <w:tcPr>
            <w:tcW w:w="796" w:type="dxa"/>
            <w:tcBorders>
              <w:tl2br w:val="nil"/>
              <w:tr2bl w:val="nil"/>
            </w:tcBorders>
            <w:shd w:val="clear" w:color="auto" w:fill="auto"/>
            <w:vAlign w:val="center"/>
          </w:tcPr>
          <w:p w14:paraId="1C1C72E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针叶林</w:t>
            </w:r>
          </w:p>
        </w:tc>
        <w:tc>
          <w:tcPr>
            <w:tcW w:w="1105" w:type="dxa"/>
            <w:tcBorders>
              <w:tl2br w:val="nil"/>
              <w:tr2bl w:val="nil"/>
            </w:tcBorders>
            <w:shd w:val="clear" w:color="auto" w:fill="auto"/>
            <w:vAlign w:val="center"/>
          </w:tcPr>
          <w:p w14:paraId="0A6FAD4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10.47</w:t>
            </w:r>
          </w:p>
        </w:tc>
        <w:tc>
          <w:tcPr>
            <w:tcW w:w="939" w:type="dxa"/>
            <w:tcBorders>
              <w:tl2br w:val="nil"/>
              <w:tr2bl w:val="nil"/>
            </w:tcBorders>
            <w:shd w:val="clear" w:color="auto" w:fill="auto"/>
            <w:vAlign w:val="center"/>
          </w:tcPr>
          <w:p w14:paraId="7957559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81.16</w:t>
            </w:r>
          </w:p>
        </w:tc>
        <w:tc>
          <w:tcPr>
            <w:tcW w:w="810" w:type="dxa"/>
            <w:tcBorders>
              <w:tl2br w:val="nil"/>
              <w:tr2bl w:val="nil"/>
            </w:tcBorders>
            <w:shd w:val="clear" w:color="auto" w:fill="auto"/>
            <w:vAlign w:val="center"/>
          </w:tcPr>
          <w:p w14:paraId="267B185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 xml:space="preserve">431.97 </w:t>
            </w:r>
          </w:p>
        </w:tc>
        <w:tc>
          <w:tcPr>
            <w:tcW w:w="915" w:type="dxa"/>
            <w:tcBorders>
              <w:tl2br w:val="nil"/>
              <w:tr2bl w:val="nil"/>
            </w:tcBorders>
            <w:shd w:val="clear" w:color="auto" w:fill="auto"/>
            <w:vAlign w:val="center"/>
          </w:tcPr>
          <w:p w14:paraId="5B61619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 xml:space="preserve">4522.73 </w:t>
            </w:r>
          </w:p>
        </w:tc>
        <w:tc>
          <w:tcPr>
            <w:tcW w:w="944" w:type="dxa"/>
            <w:tcBorders>
              <w:tl2br w:val="nil"/>
              <w:tr2bl w:val="nil"/>
            </w:tcBorders>
            <w:shd w:val="clear" w:color="auto" w:fill="auto"/>
            <w:vAlign w:val="center"/>
          </w:tcPr>
          <w:p w14:paraId="41EA19E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 xml:space="preserve">50.02 </w:t>
            </w:r>
          </w:p>
        </w:tc>
        <w:tc>
          <w:tcPr>
            <w:tcW w:w="1172" w:type="dxa"/>
            <w:tcBorders>
              <w:tl2br w:val="nil"/>
              <w:tr2bl w:val="nil"/>
            </w:tcBorders>
            <w:shd w:val="clear" w:color="auto" w:fill="auto"/>
            <w:vAlign w:val="center"/>
          </w:tcPr>
          <w:p w14:paraId="4CF16FC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 xml:space="preserve">35058.69 </w:t>
            </w:r>
          </w:p>
        </w:tc>
        <w:tc>
          <w:tcPr>
            <w:tcW w:w="944" w:type="dxa"/>
            <w:tcBorders>
              <w:tl2br w:val="nil"/>
              <w:tr2bl w:val="nil"/>
            </w:tcBorders>
            <w:shd w:val="clear" w:color="auto" w:fill="auto"/>
            <w:vAlign w:val="center"/>
          </w:tcPr>
          <w:p w14:paraId="655A784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 xml:space="preserve">62.40 </w:t>
            </w:r>
          </w:p>
        </w:tc>
      </w:tr>
      <w:tr w14:paraId="38A0FB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97" w:type="dxa"/>
            <w:tcBorders>
              <w:tl2br w:val="nil"/>
              <w:tr2bl w:val="nil"/>
            </w:tcBorders>
            <w:shd w:val="clear" w:color="auto" w:fill="auto"/>
            <w:vAlign w:val="center"/>
          </w:tcPr>
          <w:p w14:paraId="69FAD1C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灌丛生态系统</w:t>
            </w:r>
          </w:p>
        </w:tc>
        <w:tc>
          <w:tcPr>
            <w:tcW w:w="796" w:type="dxa"/>
            <w:tcBorders>
              <w:tl2br w:val="nil"/>
              <w:tr2bl w:val="nil"/>
            </w:tcBorders>
            <w:shd w:val="clear" w:color="auto" w:fill="auto"/>
            <w:vAlign w:val="center"/>
          </w:tcPr>
          <w:p w14:paraId="564E5F2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阔叶灌丛</w:t>
            </w:r>
          </w:p>
        </w:tc>
        <w:tc>
          <w:tcPr>
            <w:tcW w:w="1105" w:type="dxa"/>
            <w:tcBorders>
              <w:tl2br w:val="nil"/>
              <w:tr2bl w:val="nil"/>
            </w:tcBorders>
            <w:shd w:val="clear" w:color="auto" w:fill="auto"/>
            <w:vAlign w:val="center"/>
          </w:tcPr>
          <w:p w14:paraId="17A4A32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9.4</w:t>
            </w:r>
          </w:p>
        </w:tc>
        <w:tc>
          <w:tcPr>
            <w:tcW w:w="939" w:type="dxa"/>
            <w:tcBorders>
              <w:tl2br w:val="nil"/>
              <w:tr2bl w:val="nil"/>
            </w:tcBorders>
            <w:shd w:val="clear" w:color="auto" w:fill="auto"/>
            <w:vAlign w:val="center"/>
          </w:tcPr>
          <w:p w14:paraId="2212BB3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68.559</w:t>
            </w:r>
          </w:p>
        </w:tc>
        <w:tc>
          <w:tcPr>
            <w:tcW w:w="810" w:type="dxa"/>
            <w:tcBorders>
              <w:tl2br w:val="nil"/>
              <w:tr2bl w:val="nil"/>
            </w:tcBorders>
            <w:shd w:val="clear" w:color="auto" w:fill="auto"/>
            <w:vAlign w:val="center"/>
          </w:tcPr>
          <w:p w14:paraId="43A44C5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 xml:space="preserve">202.331 </w:t>
            </w:r>
          </w:p>
        </w:tc>
        <w:tc>
          <w:tcPr>
            <w:tcW w:w="915" w:type="dxa"/>
            <w:tcBorders>
              <w:tl2br w:val="nil"/>
              <w:tr2bl w:val="nil"/>
            </w:tcBorders>
            <w:shd w:val="clear" w:color="auto" w:fill="auto"/>
            <w:vAlign w:val="center"/>
          </w:tcPr>
          <w:p w14:paraId="1110D9D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1901.91</w:t>
            </w:r>
          </w:p>
        </w:tc>
        <w:tc>
          <w:tcPr>
            <w:tcW w:w="944" w:type="dxa"/>
            <w:tcBorders>
              <w:tl2br w:val="nil"/>
              <w:tr2bl w:val="nil"/>
            </w:tcBorders>
            <w:shd w:val="clear" w:color="auto" w:fill="auto"/>
            <w:vAlign w:val="center"/>
          </w:tcPr>
          <w:p w14:paraId="4E8267E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 xml:space="preserve">21.04 </w:t>
            </w:r>
          </w:p>
        </w:tc>
        <w:tc>
          <w:tcPr>
            <w:tcW w:w="1172" w:type="dxa"/>
            <w:tcBorders>
              <w:tl2br w:val="nil"/>
              <w:tr2bl w:val="nil"/>
            </w:tcBorders>
            <w:shd w:val="clear" w:color="auto" w:fill="auto"/>
            <w:vAlign w:val="center"/>
          </w:tcPr>
          <w:p w14:paraId="7BD8A50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 xml:space="preserve">13871.58 </w:t>
            </w:r>
          </w:p>
        </w:tc>
        <w:tc>
          <w:tcPr>
            <w:tcW w:w="944" w:type="dxa"/>
            <w:tcBorders>
              <w:tl2br w:val="nil"/>
              <w:tr2bl w:val="nil"/>
            </w:tcBorders>
            <w:shd w:val="clear" w:color="auto" w:fill="auto"/>
            <w:vAlign w:val="center"/>
          </w:tcPr>
          <w:p w14:paraId="413F68B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 xml:space="preserve">24.69 </w:t>
            </w:r>
          </w:p>
        </w:tc>
      </w:tr>
      <w:tr w14:paraId="7F6E62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97" w:type="dxa"/>
            <w:tcBorders>
              <w:tl2br w:val="nil"/>
              <w:tr2bl w:val="nil"/>
            </w:tcBorders>
            <w:shd w:val="clear" w:color="auto" w:fill="auto"/>
            <w:vAlign w:val="center"/>
          </w:tcPr>
          <w:p w14:paraId="12DAD20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草丛生态系统</w:t>
            </w:r>
          </w:p>
        </w:tc>
        <w:tc>
          <w:tcPr>
            <w:tcW w:w="796" w:type="dxa"/>
            <w:tcBorders>
              <w:tl2br w:val="nil"/>
              <w:tr2bl w:val="nil"/>
            </w:tcBorders>
            <w:shd w:val="clear" w:color="auto" w:fill="auto"/>
            <w:vAlign w:val="center"/>
          </w:tcPr>
          <w:p w14:paraId="6FB918C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稀疏草丛</w:t>
            </w:r>
          </w:p>
        </w:tc>
        <w:tc>
          <w:tcPr>
            <w:tcW w:w="1105" w:type="dxa"/>
            <w:tcBorders>
              <w:tl2br w:val="nil"/>
              <w:tr2bl w:val="nil"/>
            </w:tcBorders>
            <w:shd w:val="clear" w:color="auto" w:fill="auto"/>
            <w:vAlign w:val="center"/>
          </w:tcPr>
          <w:p w14:paraId="2AF9A01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6.6</w:t>
            </w:r>
          </w:p>
        </w:tc>
        <w:tc>
          <w:tcPr>
            <w:tcW w:w="939" w:type="dxa"/>
            <w:tcBorders>
              <w:tl2br w:val="nil"/>
              <w:tr2bl w:val="nil"/>
            </w:tcBorders>
            <w:shd w:val="clear" w:color="auto" w:fill="auto"/>
            <w:vAlign w:val="center"/>
          </w:tcPr>
          <w:p w14:paraId="457FFCA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18.69</w:t>
            </w:r>
          </w:p>
        </w:tc>
        <w:tc>
          <w:tcPr>
            <w:tcW w:w="810" w:type="dxa"/>
            <w:tcBorders>
              <w:tl2br w:val="nil"/>
              <w:tr2bl w:val="nil"/>
            </w:tcBorders>
            <w:shd w:val="clear" w:color="auto" w:fill="auto"/>
            <w:vAlign w:val="center"/>
          </w:tcPr>
          <w:p w14:paraId="5A0C927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 xml:space="preserve">169.206 </w:t>
            </w:r>
          </w:p>
        </w:tc>
        <w:tc>
          <w:tcPr>
            <w:tcW w:w="915" w:type="dxa"/>
            <w:tcBorders>
              <w:tl2br w:val="nil"/>
              <w:tr2bl w:val="nil"/>
            </w:tcBorders>
            <w:shd w:val="clear" w:color="auto" w:fill="auto"/>
            <w:vAlign w:val="center"/>
          </w:tcPr>
          <w:p w14:paraId="2F5CE75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1116.76</w:t>
            </w:r>
          </w:p>
        </w:tc>
        <w:tc>
          <w:tcPr>
            <w:tcW w:w="944" w:type="dxa"/>
            <w:tcBorders>
              <w:tl2br w:val="nil"/>
              <w:tr2bl w:val="nil"/>
            </w:tcBorders>
            <w:shd w:val="clear" w:color="auto" w:fill="auto"/>
            <w:vAlign w:val="center"/>
          </w:tcPr>
          <w:p w14:paraId="1A236F8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 xml:space="preserve">12.35 </w:t>
            </w:r>
          </w:p>
        </w:tc>
        <w:tc>
          <w:tcPr>
            <w:tcW w:w="1172" w:type="dxa"/>
            <w:tcBorders>
              <w:tl2br w:val="nil"/>
              <w:tr2bl w:val="nil"/>
            </w:tcBorders>
            <w:shd w:val="clear" w:color="auto" w:fill="auto"/>
            <w:vAlign w:val="center"/>
          </w:tcPr>
          <w:p w14:paraId="5C79C0F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 xml:space="preserve">3162.47 </w:t>
            </w:r>
          </w:p>
        </w:tc>
        <w:tc>
          <w:tcPr>
            <w:tcW w:w="944" w:type="dxa"/>
            <w:tcBorders>
              <w:tl2br w:val="nil"/>
              <w:tr2bl w:val="nil"/>
            </w:tcBorders>
            <w:shd w:val="clear" w:color="auto" w:fill="auto"/>
            <w:vAlign w:val="center"/>
          </w:tcPr>
          <w:p w14:paraId="45EBBAE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 xml:space="preserve">5.63 </w:t>
            </w:r>
          </w:p>
        </w:tc>
      </w:tr>
      <w:tr w14:paraId="45E82E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97" w:type="dxa"/>
            <w:tcBorders>
              <w:tl2br w:val="nil"/>
              <w:tr2bl w:val="nil"/>
            </w:tcBorders>
            <w:shd w:val="clear" w:color="auto" w:fill="auto"/>
            <w:vAlign w:val="center"/>
          </w:tcPr>
          <w:p w14:paraId="48D5CF4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农田生态系统</w:t>
            </w:r>
          </w:p>
        </w:tc>
        <w:tc>
          <w:tcPr>
            <w:tcW w:w="796" w:type="dxa"/>
            <w:tcBorders>
              <w:tl2br w:val="nil"/>
              <w:tr2bl w:val="nil"/>
            </w:tcBorders>
            <w:shd w:val="clear" w:color="auto" w:fill="auto"/>
            <w:vAlign w:val="center"/>
          </w:tcPr>
          <w:p w14:paraId="4D7CAA1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耕地</w:t>
            </w:r>
          </w:p>
        </w:tc>
        <w:tc>
          <w:tcPr>
            <w:tcW w:w="1105" w:type="dxa"/>
            <w:tcBorders>
              <w:tl2br w:val="nil"/>
              <w:tr2bl w:val="nil"/>
            </w:tcBorders>
            <w:shd w:val="clear" w:color="auto" w:fill="auto"/>
            <w:vAlign w:val="center"/>
          </w:tcPr>
          <w:p w14:paraId="4295CDA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6.5</w:t>
            </w:r>
          </w:p>
        </w:tc>
        <w:tc>
          <w:tcPr>
            <w:tcW w:w="939" w:type="dxa"/>
            <w:tcBorders>
              <w:tl2br w:val="nil"/>
              <w:tr2bl w:val="nil"/>
            </w:tcBorders>
            <w:shd w:val="clear" w:color="auto" w:fill="auto"/>
            <w:vAlign w:val="center"/>
          </w:tcPr>
          <w:p w14:paraId="0800753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17.58</w:t>
            </w:r>
          </w:p>
        </w:tc>
        <w:tc>
          <w:tcPr>
            <w:tcW w:w="810" w:type="dxa"/>
            <w:tcBorders>
              <w:tl2br w:val="nil"/>
              <w:tr2bl w:val="nil"/>
            </w:tcBorders>
            <w:shd w:val="clear" w:color="auto" w:fill="auto"/>
            <w:vAlign w:val="center"/>
          </w:tcPr>
          <w:p w14:paraId="149C784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 xml:space="preserve">226.808 </w:t>
            </w:r>
          </w:p>
        </w:tc>
        <w:tc>
          <w:tcPr>
            <w:tcW w:w="915" w:type="dxa"/>
            <w:tcBorders>
              <w:tl2br w:val="nil"/>
              <w:tr2bl w:val="nil"/>
            </w:tcBorders>
            <w:shd w:val="clear" w:color="auto" w:fill="auto"/>
            <w:vAlign w:val="center"/>
          </w:tcPr>
          <w:p w14:paraId="51BED3F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1474.25</w:t>
            </w:r>
          </w:p>
        </w:tc>
        <w:tc>
          <w:tcPr>
            <w:tcW w:w="944" w:type="dxa"/>
            <w:tcBorders>
              <w:tl2br w:val="nil"/>
              <w:tr2bl w:val="nil"/>
            </w:tcBorders>
            <w:shd w:val="clear" w:color="auto" w:fill="auto"/>
            <w:vAlign w:val="center"/>
          </w:tcPr>
          <w:p w14:paraId="20D7AAD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 xml:space="preserve">16.31 </w:t>
            </w:r>
          </w:p>
        </w:tc>
        <w:tc>
          <w:tcPr>
            <w:tcW w:w="1172" w:type="dxa"/>
            <w:tcBorders>
              <w:tl2br w:val="nil"/>
              <w:tr2bl w:val="nil"/>
            </w:tcBorders>
            <w:shd w:val="clear" w:color="auto" w:fill="auto"/>
            <w:vAlign w:val="center"/>
          </w:tcPr>
          <w:p w14:paraId="0CC0CAD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 xml:space="preserve">3987.29 </w:t>
            </w:r>
          </w:p>
        </w:tc>
        <w:tc>
          <w:tcPr>
            <w:tcW w:w="944" w:type="dxa"/>
            <w:tcBorders>
              <w:tl2br w:val="nil"/>
              <w:tr2bl w:val="nil"/>
            </w:tcBorders>
            <w:shd w:val="clear" w:color="auto" w:fill="auto"/>
            <w:vAlign w:val="center"/>
          </w:tcPr>
          <w:p w14:paraId="5B32C62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 xml:space="preserve">7.10 </w:t>
            </w:r>
          </w:p>
        </w:tc>
      </w:tr>
      <w:tr w14:paraId="73FE16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97" w:type="dxa"/>
            <w:vMerge w:val="restart"/>
            <w:tcBorders>
              <w:tl2br w:val="nil"/>
              <w:tr2bl w:val="nil"/>
            </w:tcBorders>
            <w:shd w:val="clear" w:color="auto" w:fill="auto"/>
            <w:vAlign w:val="center"/>
          </w:tcPr>
          <w:p w14:paraId="775501F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湿地生态系统</w:t>
            </w:r>
          </w:p>
        </w:tc>
        <w:tc>
          <w:tcPr>
            <w:tcW w:w="796" w:type="dxa"/>
            <w:tcBorders>
              <w:tl2br w:val="nil"/>
              <w:tr2bl w:val="nil"/>
            </w:tcBorders>
            <w:shd w:val="clear" w:color="auto" w:fill="auto"/>
            <w:vAlign w:val="center"/>
          </w:tcPr>
          <w:p w14:paraId="13383DC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河流</w:t>
            </w:r>
          </w:p>
        </w:tc>
        <w:tc>
          <w:tcPr>
            <w:tcW w:w="1105" w:type="dxa"/>
            <w:tcBorders>
              <w:tl2br w:val="nil"/>
              <w:tr2bl w:val="nil"/>
            </w:tcBorders>
            <w:shd w:val="clear" w:color="auto" w:fill="auto"/>
            <w:vAlign w:val="center"/>
          </w:tcPr>
          <w:p w14:paraId="6FA6392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4</w:t>
            </w:r>
          </w:p>
        </w:tc>
        <w:tc>
          <w:tcPr>
            <w:tcW w:w="939" w:type="dxa"/>
            <w:tcBorders>
              <w:tl2br w:val="nil"/>
              <w:tr2bl w:val="nil"/>
            </w:tcBorders>
            <w:shd w:val="clear" w:color="auto" w:fill="auto"/>
            <w:vAlign w:val="center"/>
          </w:tcPr>
          <w:p w14:paraId="56EA984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16.88</w:t>
            </w:r>
          </w:p>
        </w:tc>
        <w:tc>
          <w:tcPr>
            <w:tcW w:w="810" w:type="dxa"/>
            <w:tcBorders>
              <w:tl2br w:val="nil"/>
              <w:tr2bl w:val="nil"/>
            </w:tcBorders>
            <w:shd w:val="clear" w:color="auto" w:fill="auto"/>
            <w:vAlign w:val="center"/>
          </w:tcPr>
          <w:p w14:paraId="00E0CE3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 xml:space="preserve">6.212 </w:t>
            </w:r>
          </w:p>
        </w:tc>
        <w:tc>
          <w:tcPr>
            <w:tcW w:w="915" w:type="dxa"/>
            <w:tcBorders>
              <w:tl2br w:val="nil"/>
              <w:tr2bl w:val="nil"/>
            </w:tcBorders>
            <w:shd w:val="clear" w:color="auto" w:fill="auto"/>
            <w:vAlign w:val="center"/>
          </w:tcPr>
          <w:p w14:paraId="4B53AF1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24.85</w:t>
            </w:r>
          </w:p>
        </w:tc>
        <w:tc>
          <w:tcPr>
            <w:tcW w:w="944" w:type="dxa"/>
            <w:tcBorders>
              <w:tl2br w:val="nil"/>
              <w:tr2bl w:val="nil"/>
            </w:tcBorders>
            <w:shd w:val="clear" w:color="auto" w:fill="auto"/>
            <w:vAlign w:val="center"/>
          </w:tcPr>
          <w:p w14:paraId="64716F3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 xml:space="preserve">0.27 </w:t>
            </w:r>
          </w:p>
        </w:tc>
        <w:tc>
          <w:tcPr>
            <w:tcW w:w="1172" w:type="dxa"/>
            <w:tcBorders>
              <w:tl2br w:val="nil"/>
              <w:tr2bl w:val="nil"/>
            </w:tcBorders>
            <w:shd w:val="clear" w:color="auto" w:fill="auto"/>
            <w:vAlign w:val="center"/>
          </w:tcPr>
          <w:p w14:paraId="6EC425B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 xml:space="preserve">104.87 </w:t>
            </w:r>
          </w:p>
        </w:tc>
        <w:tc>
          <w:tcPr>
            <w:tcW w:w="944" w:type="dxa"/>
            <w:tcBorders>
              <w:tl2br w:val="nil"/>
              <w:tr2bl w:val="nil"/>
            </w:tcBorders>
            <w:shd w:val="clear" w:color="auto" w:fill="auto"/>
            <w:vAlign w:val="center"/>
          </w:tcPr>
          <w:p w14:paraId="75E8833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 xml:space="preserve">0.19 </w:t>
            </w:r>
          </w:p>
        </w:tc>
      </w:tr>
      <w:tr w14:paraId="68B981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97" w:type="dxa"/>
            <w:vMerge w:val="continue"/>
            <w:tcBorders>
              <w:tl2br w:val="nil"/>
              <w:tr2bl w:val="nil"/>
            </w:tcBorders>
            <w:shd w:val="clear" w:color="auto" w:fill="auto"/>
            <w:vAlign w:val="center"/>
          </w:tcPr>
          <w:p w14:paraId="75B486D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p>
        </w:tc>
        <w:tc>
          <w:tcPr>
            <w:tcW w:w="796" w:type="dxa"/>
            <w:tcBorders>
              <w:tl2br w:val="nil"/>
              <w:tr2bl w:val="nil"/>
            </w:tcBorders>
            <w:shd w:val="clear" w:color="auto" w:fill="auto"/>
            <w:vAlign w:val="center"/>
          </w:tcPr>
          <w:p w14:paraId="29A537E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湖泊</w:t>
            </w:r>
          </w:p>
        </w:tc>
        <w:tc>
          <w:tcPr>
            <w:tcW w:w="1105" w:type="dxa"/>
            <w:tcBorders>
              <w:tl2br w:val="nil"/>
              <w:tr2bl w:val="nil"/>
            </w:tcBorders>
            <w:shd w:val="clear" w:color="auto" w:fill="auto"/>
            <w:vAlign w:val="center"/>
          </w:tcPr>
          <w:p w14:paraId="425D638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4</w:t>
            </w:r>
          </w:p>
        </w:tc>
        <w:tc>
          <w:tcPr>
            <w:tcW w:w="939" w:type="dxa"/>
            <w:tcBorders>
              <w:tl2br w:val="nil"/>
              <w:tr2bl w:val="nil"/>
            </w:tcBorders>
            <w:shd w:val="clear" w:color="auto" w:fill="auto"/>
            <w:vAlign w:val="center"/>
          </w:tcPr>
          <w:p w14:paraId="13BFA25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16.88</w:t>
            </w:r>
          </w:p>
        </w:tc>
        <w:tc>
          <w:tcPr>
            <w:tcW w:w="810" w:type="dxa"/>
            <w:tcBorders>
              <w:tl2br w:val="nil"/>
              <w:tr2bl w:val="nil"/>
            </w:tcBorders>
            <w:shd w:val="clear" w:color="auto" w:fill="auto"/>
            <w:vAlign w:val="center"/>
          </w:tcPr>
          <w:p w14:paraId="39C284F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 xml:space="preserve">0.133 </w:t>
            </w:r>
          </w:p>
        </w:tc>
        <w:tc>
          <w:tcPr>
            <w:tcW w:w="915" w:type="dxa"/>
            <w:tcBorders>
              <w:tl2br w:val="nil"/>
              <w:tr2bl w:val="nil"/>
            </w:tcBorders>
            <w:shd w:val="clear" w:color="auto" w:fill="auto"/>
            <w:vAlign w:val="center"/>
          </w:tcPr>
          <w:p w14:paraId="7674EB5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0.53</w:t>
            </w:r>
          </w:p>
        </w:tc>
        <w:tc>
          <w:tcPr>
            <w:tcW w:w="944" w:type="dxa"/>
            <w:tcBorders>
              <w:tl2br w:val="nil"/>
              <w:tr2bl w:val="nil"/>
            </w:tcBorders>
            <w:shd w:val="clear" w:color="auto" w:fill="auto"/>
            <w:vAlign w:val="center"/>
          </w:tcPr>
          <w:p w14:paraId="7E76995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 xml:space="preserve">0.01 </w:t>
            </w:r>
          </w:p>
        </w:tc>
        <w:tc>
          <w:tcPr>
            <w:tcW w:w="1172" w:type="dxa"/>
            <w:tcBorders>
              <w:tl2br w:val="nil"/>
              <w:tr2bl w:val="nil"/>
            </w:tcBorders>
            <w:shd w:val="clear" w:color="auto" w:fill="auto"/>
            <w:vAlign w:val="center"/>
          </w:tcPr>
          <w:p w14:paraId="26E4915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 xml:space="preserve">2.25 </w:t>
            </w:r>
          </w:p>
        </w:tc>
        <w:tc>
          <w:tcPr>
            <w:tcW w:w="944" w:type="dxa"/>
            <w:tcBorders>
              <w:tl2br w:val="nil"/>
              <w:tr2bl w:val="nil"/>
            </w:tcBorders>
            <w:shd w:val="clear" w:color="auto" w:fill="auto"/>
            <w:vAlign w:val="center"/>
          </w:tcPr>
          <w:p w14:paraId="29A98E0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 xml:space="preserve">0.00 </w:t>
            </w:r>
          </w:p>
        </w:tc>
      </w:tr>
      <w:tr w14:paraId="64562C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93" w:type="dxa"/>
            <w:gridSpan w:val="2"/>
            <w:tcBorders>
              <w:tl2br w:val="nil"/>
              <w:tr2bl w:val="nil"/>
            </w:tcBorders>
            <w:shd w:val="clear" w:color="auto" w:fill="auto"/>
            <w:vAlign w:val="center"/>
          </w:tcPr>
          <w:p w14:paraId="2FA7DE6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合计</w:t>
            </w:r>
          </w:p>
        </w:tc>
        <w:tc>
          <w:tcPr>
            <w:tcW w:w="1105" w:type="dxa"/>
            <w:tcBorders>
              <w:tl2br w:val="nil"/>
              <w:tr2bl w:val="nil"/>
            </w:tcBorders>
            <w:shd w:val="clear" w:color="auto" w:fill="auto"/>
            <w:vAlign w:val="center"/>
          </w:tcPr>
          <w:p w14:paraId="560B4BF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w:t>
            </w:r>
          </w:p>
        </w:tc>
        <w:tc>
          <w:tcPr>
            <w:tcW w:w="939" w:type="dxa"/>
            <w:tcBorders>
              <w:tl2br w:val="nil"/>
              <w:tr2bl w:val="nil"/>
            </w:tcBorders>
            <w:shd w:val="clear" w:color="auto" w:fill="auto"/>
            <w:vAlign w:val="center"/>
          </w:tcPr>
          <w:p w14:paraId="0A6F027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w:t>
            </w:r>
          </w:p>
        </w:tc>
        <w:tc>
          <w:tcPr>
            <w:tcW w:w="810" w:type="dxa"/>
            <w:tcBorders>
              <w:tl2br w:val="nil"/>
              <w:tr2bl w:val="nil"/>
            </w:tcBorders>
            <w:shd w:val="clear" w:color="auto" w:fill="auto"/>
            <w:vAlign w:val="center"/>
          </w:tcPr>
          <w:p w14:paraId="5FBDD1F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w:t>
            </w:r>
          </w:p>
        </w:tc>
        <w:tc>
          <w:tcPr>
            <w:tcW w:w="915" w:type="dxa"/>
            <w:tcBorders>
              <w:tl2br w:val="nil"/>
              <w:tr2bl w:val="nil"/>
            </w:tcBorders>
            <w:shd w:val="clear" w:color="auto" w:fill="auto"/>
            <w:vAlign w:val="center"/>
          </w:tcPr>
          <w:p w14:paraId="102BCE1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 xml:space="preserve">9041.03 </w:t>
            </w:r>
          </w:p>
        </w:tc>
        <w:tc>
          <w:tcPr>
            <w:tcW w:w="944" w:type="dxa"/>
            <w:tcBorders>
              <w:tl2br w:val="nil"/>
              <w:tr2bl w:val="nil"/>
            </w:tcBorders>
            <w:shd w:val="clear" w:color="auto" w:fill="auto"/>
            <w:vAlign w:val="center"/>
          </w:tcPr>
          <w:p w14:paraId="7B8D088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100</w:t>
            </w:r>
          </w:p>
        </w:tc>
        <w:tc>
          <w:tcPr>
            <w:tcW w:w="1172" w:type="dxa"/>
            <w:tcBorders>
              <w:tl2br w:val="nil"/>
              <w:tr2bl w:val="nil"/>
            </w:tcBorders>
            <w:shd w:val="clear" w:color="auto" w:fill="auto"/>
            <w:vAlign w:val="center"/>
          </w:tcPr>
          <w:p w14:paraId="6C8D6FF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 xml:space="preserve">56187.13 </w:t>
            </w:r>
          </w:p>
        </w:tc>
        <w:tc>
          <w:tcPr>
            <w:tcW w:w="944" w:type="dxa"/>
            <w:tcBorders>
              <w:tl2br w:val="nil"/>
              <w:tr2bl w:val="nil"/>
            </w:tcBorders>
            <w:shd w:val="clear" w:color="auto" w:fill="auto"/>
            <w:vAlign w:val="center"/>
          </w:tcPr>
          <w:p w14:paraId="090D753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等线" w:cs="Times New Roman"/>
                <w:color w:val="auto"/>
                <w:sz w:val="18"/>
                <w:szCs w:val="18"/>
              </w:rPr>
              <w:t>100</w:t>
            </w:r>
          </w:p>
        </w:tc>
      </w:tr>
    </w:tbl>
    <w:p w14:paraId="58EF3D39">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评价区总生产力约为9041.03t/a，总生物量56187.13t。年生物生产力最高的前三位依次是针叶林生态系统、阔叶灌丛生态系统、耕地生态系统。</w:t>
      </w:r>
    </w:p>
    <w:p w14:paraId="6D0CA213">
      <w:pPr>
        <w:keepNext/>
        <w:keepLines/>
        <w:widowControl/>
        <w:numPr>
          <w:ilvl w:val="3"/>
          <w:numId w:val="0"/>
        </w:numPr>
        <w:adjustRightInd w:val="0"/>
        <w:snapToGrid w:val="0"/>
        <w:spacing w:after="0" w:line="440" w:lineRule="exact"/>
        <w:ind w:firstLine="422" w:firstLineChars="200"/>
        <w:outlineLvl w:val="3"/>
        <w:rPr>
          <w:rFonts w:hint="default" w:ascii="Times New Roman" w:hAnsi="Times New Roman" w:eastAsia="宋体" w:cs="Times New Roman"/>
          <w:b/>
          <w:bCs/>
          <w:color w:val="auto"/>
          <w:szCs w:val="28"/>
        </w:rPr>
      </w:pPr>
      <w:r>
        <w:rPr>
          <w:rFonts w:hint="default" w:ascii="Times New Roman" w:hAnsi="Times New Roman" w:eastAsia="宋体" w:cs="Times New Roman"/>
          <w:b/>
          <w:bCs/>
          <w:color w:val="auto"/>
          <w:szCs w:val="28"/>
        </w:rPr>
        <w:t>2.7.2.3植被覆盖度</w:t>
      </w:r>
    </w:p>
    <w:p w14:paraId="18B2A219">
      <w:pPr>
        <w:keepNext w:val="0"/>
        <w:keepLines w:val="0"/>
        <w:pageBreakBefore w:val="0"/>
        <w:widowControl w:val="0"/>
        <w:kinsoku/>
        <w:wordWrap/>
        <w:overflowPunct/>
        <w:topLinePunct w:val="0"/>
        <w:autoSpaceDE/>
        <w:autoSpaceDN/>
        <w:bidi w:val="0"/>
        <w:adjustRightInd w:val="0"/>
        <w:snapToGrid w:val="0"/>
        <w:spacing w:after="0" w:line="440" w:lineRule="exact"/>
        <w:ind w:firstLine="46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spacing w:val="-5"/>
        </w:rPr>
        <w:t>采用植被覆盖度指标定量分析评价范围内植被现状。通过</w:t>
      </w:r>
      <w:r>
        <w:rPr>
          <w:rFonts w:hint="default" w:ascii="Times New Roman" w:hAnsi="Times New Roman" w:eastAsia="宋体" w:cs="Times New Roman"/>
          <w:color w:val="auto"/>
          <w:spacing w:val="-6"/>
        </w:rPr>
        <w:t>遥感手段，采用归</w:t>
      </w:r>
      <w:r>
        <w:rPr>
          <w:rFonts w:hint="default" w:ascii="Times New Roman" w:hAnsi="Times New Roman" w:eastAsia="宋体" w:cs="Times New Roman"/>
          <w:color w:val="auto"/>
          <w:spacing w:val="-4"/>
        </w:rPr>
        <w:t>一化植被指数（NDVI）方法，对评价区的植被覆盖度进行分析</w:t>
      </w:r>
      <w:r>
        <w:rPr>
          <w:rFonts w:hint="default" w:ascii="Times New Roman" w:hAnsi="Times New Roman" w:eastAsia="宋体" w:cs="Times New Roman"/>
          <w:color w:val="auto"/>
          <w:spacing w:val="-5"/>
        </w:rPr>
        <w:t>。NDVI计算公式</w:t>
      </w:r>
      <w:r>
        <w:rPr>
          <w:rFonts w:hint="default" w:ascii="Times New Roman" w:hAnsi="Times New Roman" w:eastAsia="宋体" w:cs="Times New Roman"/>
          <w:color w:val="auto"/>
          <w:spacing w:val="-13"/>
        </w:rPr>
        <w:t>如下：</w:t>
      </w:r>
    </w:p>
    <w:p w14:paraId="180161D7">
      <w:pPr>
        <w:keepNext w:val="0"/>
        <w:keepLines w:val="0"/>
        <w:pageBreakBefore w:val="0"/>
        <w:widowControl w:val="0"/>
        <w:kinsoku/>
        <w:wordWrap/>
        <w:overflowPunct/>
        <w:topLinePunct w:val="0"/>
        <w:autoSpaceDE/>
        <w:autoSpaceDN/>
        <w:bidi w:val="0"/>
        <w:adjustRightInd w:val="0"/>
        <w:snapToGrid w:val="0"/>
        <w:spacing w:after="0" w:line="440" w:lineRule="exact"/>
        <w:ind w:firstLine="48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NDVI=(NIR-R)/(NIR+R)</w:t>
      </w:r>
    </w:p>
    <w:p w14:paraId="081336E5">
      <w:pPr>
        <w:keepNext w:val="0"/>
        <w:keepLines w:val="0"/>
        <w:pageBreakBefore w:val="0"/>
        <w:widowControl w:val="0"/>
        <w:kinsoku/>
        <w:wordWrap/>
        <w:overflowPunct/>
        <w:topLinePunct w:val="0"/>
        <w:autoSpaceDE/>
        <w:autoSpaceDN/>
        <w:bidi w:val="0"/>
        <w:adjustRightInd w:val="0"/>
        <w:snapToGrid w:val="0"/>
        <w:spacing w:after="0" w:line="440" w:lineRule="exact"/>
        <w:ind w:firstLine="472"/>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spacing w:val="-2"/>
        </w:rPr>
        <w:t>其中：NIR为近红外波段，R为红波段。</w:t>
      </w:r>
    </w:p>
    <w:p w14:paraId="642DB519">
      <w:pPr>
        <w:keepNext w:val="0"/>
        <w:keepLines w:val="0"/>
        <w:pageBreakBefore w:val="0"/>
        <w:widowControl w:val="0"/>
        <w:kinsoku/>
        <w:wordWrap/>
        <w:overflowPunct/>
        <w:topLinePunct w:val="0"/>
        <w:autoSpaceDE/>
        <w:autoSpaceDN/>
        <w:bidi w:val="0"/>
        <w:adjustRightInd w:val="0"/>
        <w:snapToGrid w:val="0"/>
        <w:spacing w:after="0" w:line="440" w:lineRule="exact"/>
        <w:ind w:firstLine="472"/>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spacing w:val="-2"/>
        </w:rPr>
        <w:t>基于NDVI，采用像元二分模型计算植被覆盖度，</w:t>
      </w:r>
      <w:r>
        <w:rPr>
          <w:rFonts w:hint="default" w:ascii="Times New Roman" w:hAnsi="Times New Roman" w:eastAsia="宋体" w:cs="Times New Roman"/>
          <w:color w:val="auto"/>
          <w:spacing w:val="-3"/>
        </w:rPr>
        <w:t>公式如下：</w:t>
      </w:r>
    </w:p>
    <w:p w14:paraId="48896BFB">
      <w:pPr>
        <w:keepNext w:val="0"/>
        <w:keepLines w:val="0"/>
        <w:pageBreakBefore w:val="0"/>
        <w:widowControl w:val="0"/>
        <w:kinsoku/>
        <w:wordWrap/>
        <w:overflowPunct/>
        <w:topLinePunct w:val="0"/>
        <w:autoSpaceDE/>
        <w:autoSpaceDN/>
        <w:bidi w:val="0"/>
        <w:adjustRightInd w:val="0"/>
        <w:snapToGrid w:val="0"/>
        <w:spacing w:after="0" w:line="440" w:lineRule="exact"/>
        <w:ind w:firstLine="48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FVC=(NDVI-NDVIs)/(NDVIv</w:t>
      </w:r>
      <w:r>
        <w:rPr>
          <w:rFonts w:hint="default" w:ascii="Times New Roman" w:hAnsi="Times New Roman" w:eastAsia="宋体" w:cs="Times New Roman"/>
          <w:color w:val="auto"/>
          <w:spacing w:val="-1"/>
        </w:rPr>
        <w:t>-NDVIs)</w:t>
      </w:r>
    </w:p>
    <w:p w14:paraId="5B00453D">
      <w:pPr>
        <w:keepNext w:val="0"/>
        <w:keepLines w:val="0"/>
        <w:pageBreakBefore w:val="0"/>
        <w:widowControl w:val="0"/>
        <w:kinsoku/>
        <w:wordWrap/>
        <w:overflowPunct/>
        <w:topLinePunct w:val="0"/>
        <w:autoSpaceDE/>
        <w:autoSpaceDN/>
        <w:bidi w:val="0"/>
        <w:adjustRightInd w:val="0"/>
        <w:snapToGrid w:val="0"/>
        <w:spacing w:after="0" w:line="440" w:lineRule="exact"/>
        <w:ind w:firstLine="468"/>
        <w:textAlignment w:val="auto"/>
        <w:rPr>
          <w:rFonts w:hint="default" w:ascii="Times New Roman" w:hAnsi="Times New Roman" w:eastAsia="宋体" w:cs="Times New Roman"/>
          <w:color w:val="auto"/>
          <w:spacing w:val="7"/>
        </w:rPr>
      </w:pPr>
      <w:r>
        <w:rPr>
          <w:rFonts w:hint="default" w:ascii="Times New Roman" w:hAnsi="Times New Roman" w:eastAsia="宋体" w:cs="Times New Roman"/>
          <w:color w:val="auto"/>
          <w:spacing w:val="-3"/>
        </w:rPr>
        <w:t>式中：FVC—所计算像元的植被覆盖度；</w:t>
      </w:r>
    </w:p>
    <w:p w14:paraId="346D12D2">
      <w:pPr>
        <w:keepNext w:val="0"/>
        <w:keepLines w:val="0"/>
        <w:pageBreakBefore w:val="0"/>
        <w:widowControl w:val="0"/>
        <w:kinsoku/>
        <w:wordWrap/>
        <w:overflowPunct/>
        <w:topLinePunct w:val="0"/>
        <w:autoSpaceDE/>
        <w:autoSpaceDN/>
        <w:bidi w:val="0"/>
        <w:adjustRightInd w:val="0"/>
        <w:snapToGrid w:val="0"/>
        <w:spacing w:after="0" w:line="440" w:lineRule="exact"/>
        <w:ind w:firstLine="1040" w:firstLineChars="500"/>
        <w:textAlignment w:val="auto"/>
        <w:rPr>
          <w:rFonts w:hint="default" w:ascii="Times New Roman" w:hAnsi="Times New Roman" w:eastAsia="宋体" w:cs="Times New Roman"/>
          <w:color w:val="auto"/>
        </w:rPr>
      </w:pPr>
      <w:r>
        <w:rPr>
          <w:rFonts w:hint="default" w:ascii="Times New Roman" w:hAnsi="Times New Roman" w:eastAsia="宋体" w:cs="Times New Roman"/>
          <w:i/>
          <w:iCs/>
          <w:color w:val="auto"/>
          <w:spacing w:val="-1"/>
        </w:rPr>
        <w:t>NDVI</w:t>
      </w:r>
      <w:r>
        <w:rPr>
          <w:rFonts w:hint="default" w:ascii="Times New Roman" w:hAnsi="Times New Roman" w:eastAsia="宋体" w:cs="Times New Roman"/>
          <w:color w:val="auto"/>
          <w:spacing w:val="-1"/>
        </w:rPr>
        <w:t>—所计算像元的</w:t>
      </w:r>
      <w:r>
        <w:rPr>
          <w:rFonts w:hint="default" w:ascii="Times New Roman" w:hAnsi="Times New Roman" w:eastAsia="宋体" w:cs="Times New Roman"/>
          <w:i/>
          <w:iCs/>
          <w:color w:val="auto"/>
          <w:spacing w:val="-1"/>
        </w:rPr>
        <w:t>NDVI</w:t>
      </w:r>
      <w:r>
        <w:rPr>
          <w:rFonts w:hint="default" w:ascii="Times New Roman" w:hAnsi="Times New Roman" w:eastAsia="宋体" w:cs="Times New Roman"/>
          <w:color w:val="auto"/>
          <w:spacing w:val="-1"/>
        </w:rPr>
        <w:t>值；</w:t>
      </w:r>
    </w:p>
    <w:p w14:paraId="5777DE13">
      <w:pPr>
        <w:keepNext w:val="0"/>
        <w:keepLines w:val="0"/>
        <w:pageBreakBefore w:val="0"/>
        <w:widowControl w:val="0"/>
        <w:kinsoku/>
        <w:wordWrap/>
        <w:overflowPunct/>
        <w:topLinePunct w:val="0"/>
        <w:autoSpaceDE/>
        <w:autoSpaceDN/>
        <w:bidi w:val="0"/>
        <w:adjustRightInd w:val="0"/>
        <w:snapToGrid w:val="0"/>
        <w:spacing w:after="0" w:line="440" w:lineRule="exact"/>
        <w:ind w:firstLine="1040" w:firstLineChars="500"/>
        <w:textAlignment w:val="auto"/>
        <w:rPr>
          <w:rFonts w:hint="default" w:ascii="Times New Roman" w:hAnsi="Times New Roman" w:eastAsia="宋体" w:cs="Times New Roman"/>
          <w:color w:val="auto"/>
        </w:rPr>
      </w:pPr>
      <w:r>
        <w:rPr>
          <w:rFonts w:hint="default" w:ascii="Times New Roman" w:hAnsi="Times New Roman" w:eastAsia="宋体" w:cs="Times New Roman"/>
          <w:i/>
          <w:iCs/>
          <w:color w:val="auto"/>
          <w:spacing w:val="-1"/>
        </w:rPr>
        <w:t>NDVIv</w:t>
      </w:r>
      <w:r>
        <w:rPr>
          <w:rFonts w:hint="default" w:ascii="Times New Roman" w:hAnsi="Times New Roman" w:eastAsia="宋体" w:cs="Times New Roman"/>
          <w:color w:val="auto"/>
          <w:spacing w:val="-1"/>
        </w:rPr>
        <w:t>—纯植物像元的</w:t>
      </w:r>
      <w:r>
        <w:rPr>
          <w:rFonts w:hint="default" w:ascii="Times New Roman" w:hAnsi="Times New Roman" w:eastAsia="宋体" w:cs="Times New Roman"/>
          <w:i/>
          <w:iCs/>
          <w:color w:val="auto"/>
          <w:spacing w:val="-1"/>
        </w:rPr>
        <w:t>NDVI</w:t>
      </w:r>
      <w:r>
        <w:rPr>
          <w:rFonts w:hint="default" w:ascii="Times New Roman" w:hAnsi="Times New Roman" w:eastAsia="宋体" w:cs="Times New Roman"/>
          <w:color w:val="auto"/>
          <w:spacing w:val="-1"/>
        </w:rPr>
        <w:t>值；</w:t>
      </w:r>
    </w:p>
    <w:p w14:paraId="2C8F6C4D">
      <w:pPr>
        <w:keepNext w:val="0"/>
        <w:keepLines w:val="0"/>
        <w:pageBreakBefore w:val="0"/>
        <w:widowControl w:val="0"/>
        <w:kinsoku/>
        <w:wordWrap/>
        <w:overflowPunct/>
        <w:topLinePunct w:val="0"/>
        <w:autoSpaceDE/>
        <w:autoSpaceDN/>
        <w:bidi w:val="0"/>
        <w:adjustRightInd w:val="0"/>
        <w:snapToGrid w:val="0"/>
        <w:spacing w:after="0" w:line="440" w:lineRule="exact"/>
        <w:ind w:firstLine="1050" w:firstLineChars="500"/>
        <w:textAlignment w:val="auto"/>
        <w:rPr>
          <w:rFonts w:hint="default" w:ascii="Times New Roman" w:hAnsi="Times New Roman" w:eastAsia="宋体" w:cs="Times New Roman"/>
          <w:color w:val="auto"/>
        </w:rPr>
      </w:pPr>
      <w:r>
        <w:rPr>
          <w:rFonts w:hint="default" w:ascii="Times New Roman" w:hAnsi="Times New Roman" w:eastAsia="宋体" w:cs="Times New Roman"/>
          <w:i/>
          <w:iCs/>
          <w:color w:val="auto"/>
        </w:rPr>
        <w:t>NDVIs</w:t>
      </w:r>
      <w:r>
        <w:rPr>
          <w:rFonts w:hint="default" w:ascii="Times New Roman" w:hAnsi="Times New Roman" w:eastAsia="宋体" w:cs="Times New Roman"/>
          <w:color w:val="auto"/>
        </w:rPr>
        <w:t>—完全无植被覆盖像元的</w:t>
      </w:r>
      <w:r>
        <w:rPr>
          <w:rFonts w:hint="default" w:ascii="Times New Roman" w:hAnsi="Times New Roman" w:eastAsia="宋体" w:cs="Times New Roman"/>
          <w:i/>
          <w:iCs/>
          <w:color w:val="auto"/>
        </w:rPr>
        <w:t>NDVI</w:t>
      </w:r>
      <w:r>
        <w:rPr>
          <w:rFonts w:hint="default" w:ascii="Times New Roman" w:hAnsi="Times New Roman" w:eastAsia="宋体" w:cs="Times New Roman"/>
          <w:color w:val="auto"/>
        </w:rPr>
        <w:t>值。</w:t>
      </w:r>
    </w:p>
    <w:p w14:paraId="153A80F2">
      <w:pPr>
        <w:keepNext w:val="0"/>
        <w:keepLines w:val="0"/>
        <w:pageBreakBefore w:val="0"/>
        <w:widowControl w:val="0"/>
        <w:kinsoku/>
        <w:wordWrap/>
        <w:overflowPunct/>
        <w:topLinePunct w:val="0"/>
        <w:autoSpaceDE/>
        <w:autoSpaceDN/>
        <w:bidi w:val="0"/>
        <w:adjustRightInd w:val="0"/>
        <w:snapToGrid w:val="0"/>
        <w:spacing w:after="0" w:line="440" w:lineRule="exact"/>
        <w:ind w:firstLine="472"/>
        <w:textAlignment w:val="auto"/>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rPr>
        <w:t>本次计算采用的遥感影像数据经过辐射校正、几何校正、辐射定标和大气校正。采用ENVI软件平台计算FVC，并用GIS软件制作评价范围内植被覆盖度空间分布图。</w:t>
      </w:r>
    </w:p>
    <w:p w14:paraId="00717585">
      <w:pPr>
        <w:keepNext w:val="0"/>
        <w:keepLines w:val="0"/>
        <w:pageBreakBefore w:val="0"/>
        <w:widowControl w:val="0"/>
        <w:kinsoku/>
        <w:wordWrap/>
        <w:overflowPunct/>
        <w:topLinePunct w:val="0"/>
        <w:autoSpaceDE/>
        <w:autoSpaceDN/>
        <w:bidi w:val="0"/>
        <w:adjustRightInd w:val="0"/>
        <w:snapToGrid w:val="0"/>
        <w:spacing w:after="0" w:line="440" w:lineRule="exact"/>
        <w:ind w:firstLine="472"/>
        <w:textAlignment w:val="auto"/>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rPr>
        <w:t>基于植被覆盖度（FVC）栅格数据开展分区统计分析，评价区植被覆盖度以中低覆盖度（20%～40%） 为主，分布面积 416.945hm²，占评价区总面积 38.89%；其次为中覆盖度（40%～60%），面积342.198hm²，占比31.92%；中高覆盖度（60%～80%）面积305.794hm²，占比28.52%；低覆盖度（0～20%）、高覆盖度（≥80%）分布面积均较小，占比分别仅0.30%、0.38%。对评价区植被覆盖度开展全域空间均值计算，区域平均植被覆盖度为48.34%，整体植被覆盖水平一般。评价区各植被覆盖度等级面积及占比统计详见下表。</w:t>
      </w:r>
    </w:p>
    <w:p w14:paraId="7BDFBBA3">
      <w:pPr>
        <w:adjustRightInd w:val="0"/>
        <w:snapToGrid w:val="0"/>
        <w:spacing w:after="0" w:line="240" w:lineRule="auto"/>
        <w:ind w:firstLine="0" w:firstLineChars="0"/>
        <w:jc w:val="center"/>
        <w:rPr>
          <w:rFonts w:hint="default" w:ascii="Times New Roman" w:hAnsi="Times New Roman" w:eastAsia="宋体" w:cs="Times New Roman"/>
          <w:b/>
          <w:bCs/>
          <w:color w:val="auto"/>
          <w:szCs w:val="30"/>
          <w14:ligatures w14:val="standardContextual"/>
        </w:rPr>
      </w:pPr>
      <w:r>
        <w:rPr>
          <w:rFonts w:hint="default" w:ascii="Times New Roman" w:hAnsi="Times New Roman" w:eastAsia="宋体" w:cs="Times New Roman"/>
          <w:b/>
          <w:bCs/>
          <w:color w:val="auto"/>
          <w:szCs w:val="30"/>
          <w14:ligatures w14:val="standardContextual"/>
        </w:rPr>
        <w:t>表2.7-7  评价区FVC统计一览表</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292"/>
        <w:gridCol w:w="2757"/>
        <w:gridCol w:w="2701"/>
      </w:tblGrid>
      <w:tr w14:paraId="655679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05" w:type="dxa"/>
            <w:tcBorders>
              <w:tl2br w:val="nil"/>
              <w:tr2bl w:val="nil"/>
            </w:tcBorders>
            <w:shd w:val="clear" w:color="auto" w:fill="auto"/>
            <w:vAlign w:val="center"/>
          </w:tcPr>
          <w:p w14:paraId="512E4C28">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植被覆盖度等级</w:t>
            </w:r>
          </w:p>
        </w:tc>
        <w:tc>
          <w:tcPr>
            <w:tcW w:w="2684" w:type="dxa"/>
            <w:tcBorders>
              <w:tl2br w:val="nil"/>
              <w:tr2bl w:val="nil"/>
            </w:tcBorders>
            <w:shd w:val="clear" w:color="auto" w:fill="auto"/>
            <w:vAlign w:val="center"/>
          </w:tcPr>
          <w:p w14:paraId="782C82C1">
            <w:pPr>
              <w:keepNext w:val="0"/>
              <w:keepLines w:val="0"/>
              <w:pageBreakBefore w:val="0"/>
              <w:widowControl/>
              <w:kinsoku/>
              <w:wordWrap/>
              <w:overflowPunct/>
              <w:topLinePunct w:val="0"/>
              <w:autoSpaceDE/>
              <w:autoSpaceDN/>
              <w:bidi w:val="0"/>
              <w:adjustRightInd/>
              <w:snapToGrid/>
              <w:spacing w:after="0" w:line="240" w:lineRule="auto"/>
              <w:ind w:firstLine="420"/>
              <w:jc w:val="center"/>
              <w:textAlignment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lang w:bidi="ar"/>
              </w:rPr>
              <w:t>评价区分布面积（hm²）</w:t>
            </w:r>
          </w:p>
        </w:tc>
        <w:tc>
          <w:tcPr>
            <w:tcW w:w="2630" w:type="dxa"/>
            <w:tcBorders>
              <w:tl2br w:val="nil"/>
              <w:tr2bl w:val="nil"/>
            </w:tcBorders>
            <w:shd w:val="clear" w:color="auto" w:fill="auto"/>
            <w:vAlign w:val="center"/>
          </w:tcPr>
          <w:p w14:paraId="5EA1195A">
            <w:pPr>
              <w:keepNext w:val="0"/>
              <w:keepLines w:val="0"/>
              <w:pageBreakBefore w:val="0"/>
              <w:widowControl/>
              <w:kinsoku/>
              <w:wordWrap/>
              <w:overflowPunct/>
              <w:topLinePunct w:val="0"/>
              <w:autoSpaceDE/>
              <w:autoSpaceDN/>
              <w:bidi w:val="0"/>
              <w:adjustRightInd/>
              <w:snapToGrid/>
              <w:spacing w:after="0" w:line="240" w:lineRule="auto"/>
              <w:ind w:firstLine="420"/>
              <w:jc w:val="center"/>
              <w:textAlignment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lang w:bidi="ar"/>
              </w:rPr>
              <w:t>占评价区面积比例%</w:t>
            </w:r>
          </w:p>
        </w:tc>
      </w:tr>
      <w:tr w14:paraId="0CE461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05" w:type="dxa"/>
            <w:tcBorders>
              <w:tl2br w:val="nil"/>
              <w:tr2bl w:val="nil"/>
            </w:tcBorders>
            <w:shd w:val="clear" w:color="auto" w:fill="auto"/>
            <w:vAlign w:val="center"/>
          </w:tcPr>
          <w:p w14:paraId="4184A021">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≥80（高覆盖度）</w:t>
            </w:r>
          </w:p>
        </w:tc>
        <w:tc>
          <w:tcPr>
            <w:tcW w:w="2684" w:type="dxa"/>
            <w:tcBorders>
              <w:tl2br w:val="nil"/>
              <w:tr2bl w:val="nil"/>
            </w:tcBorders>
            <w:shd w:val="clear" w:color="auto" w:fill="auto"/>
            <w:vAlign w:val="center"/>
          </w:tcPr>
          <w:p w14:paraId="17FFE3E3">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4.033</w:t>
            </w:r>
          </w:p>
        </w:tc>
        <w:tc>
          <w:tcPr>
            <w:tcW w:w="2630" w:type="dxa"/>
            <w:tcBorders>
              <w:tl2br w:val="nil"/>
              <w:tr2bl w:val="nil"/>
            </w:tcBorders>
            <w:shd w:val="clear" w:color="auto" w:fill="auto"/>
            <w:vAlign w:val="center"/>
          </w:tcPr>
          <w:p w14:paraId="4ED64365">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0.38</w:t>
            </w:r>
          </w:p>
        </w:tc>
      </w:tr>
      <w:tr w14:paraId="71F9BF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05" w:type="dxa"/>
            <w:tcBorders>
              <w:tl2br w:val="nil"/>
              <w:tr2bl w:val="nil"/>
            </w:tcBorders>
            <w:shd w:val="clear" w:color="auto" w:fill="auto"/>
            <w:vAlign w:val="center"/>
          </w:tcPr>
          <w:p w14:paraId="308D4140">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60-80（中高覆盖度）</w:t>
            </w:r>
          </w:p>
        </w:tc>
        <w:tc>
          <w:tcPr>
            <w:tcW w:w="2684" w:type="dxa"/>
            <w:tcBorders>
              <w:tl2br w:val="nil"/>
              <w:tr2bl w:val="nil"/>
            </w:tcBorders>
            <w:shd w:val="clear" w:color="auto" w:fill="auto"/>
            <w:vAlign w:val="center"/>
          </w:tcPr>
          <w:p w14:paraId="360CF5AA">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305.794</w:t>
            </w:r>
          </w:p>
        </w:tc>
        <w:tc>
          <w:tcPr>
            <w:tcW w:w="2630" w:type="dxa"/>
            <w:tcBorders>
              <w:tl2br w:val="nil"/>
              <w:tr2bl w:val="nil"/>
            </w:tcBorders>
            <w:shd w:val="clear" w:color="auto" w:fill="auto"/>
            <w:vAlign w:val="center"/>
          </w:tcPr>
          <w:p w14:paraId="2A394430">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28.52</w:t>
            </w:r>
          </w:p>
        </w:tc>
      </w:tr>
      <w:tr w14:paraId="549F39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05" w:type="dxa"/>
            <w:tcBorders>
              <w:tl2br w:val="nil"/>
              <w:tr2bl w:val="nil"/>
            </w:tcBorders>
            <w:shd w:val="clear" w:color="auto" w:fill="auto"/>
            <w:vAlign w:val="center"/>
          </w:tcPr>
          <w:p w14:paraId="153757F3">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40-60（中覆盖度）</w:t>
            </w:r>
          </w:p>
        </w:tc>
        <w:tc>
          <w:tcPr>
            <w:tcW w:w="2684" w:type="dxa"/>
            <w:tcBorders>
              <w:tl2br w:val="nil"/>
              <w:tr2bl w:val="nil"/>
            </w:tcBorders>
            <w:shd w:val="clear" w:color="auto" w:fill="auto"/>
            <w:vAlign w:val="center"/>
          </w:tcPr>
          <w:p w14:paraId="0735CE56">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342.198</w:t>
            </w:r>
          </w:p>
        </w:tc>
        <w:tc>
          <w:tcPr>
            <w:tcW w:w="2630" w:type="dxa"/>
            <w:tcBorders>
              <w:tl2br w:val="nil"/>
              <w:tr2bl w:val="nil"/>
            </w:tcBorders>
            <w:shd w:val="clear" w:color="auto" w:fill="auto"/>
            <w:vAlign w:val="center"/>
          </w:tcPr>
          <w:p w14:paraId="3639708A">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31.92</w:t>
            </w:r>
          </w:p>
        </w:tc>
      </w:tr>
      <w:tr w14:paraId="45CEEF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05" w:type="dxa"/>
            <w:tcBorders>
              <w:tl2br w:val="nil"/>
              <w:tr2bl w:val="nil"/>
            </w:tcBorders>
            <w:shd w:val="clear" w:color="auto" w:fill="auto"/>
            <w:vAlign w:val="center"/>
          </w:tcPr>
          <w:p w14:paraId="7B7DD9C3">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20-40（中低覆盖度）</w:t>
            </w:r>
          </w:p>
        </w:tc>
        <w:tc>
          <w:tcPr>
            <w:tcW w:w="2684" w:type="dxa"/>
            <w:tcBorders>
              <w:tl2br w:val="nil"/>
              <w:tr2bl w:val="nil"/>
            </w:tcBorders>
            <w:shd w:val="clear" w:color="auto" w:fill="auto"/>
            <w:vAlign w:val="center"/>
          </w:tcPr>
          <w:p w14:paraId="26181589">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416.945</w:t>
            </w:r>
          </w:p>
        </w:tc>
        <w:tc>
          <w:tcPr>
            <w:tcW w:w="2630" w:type="dxa"/>
            <w:tcBorders>
              <w:tl2br w:val="nil"/>
              <w:tr2bl w:val="nil"/>
            </w:tcBorders>
            <w:shd w:val="clear" w:color="auto" w:fill="auto"/>
            <w:vAlign w:val="center"/>
          </w:tcPr>
          <w:p w14:paraId="04FF00D0">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38.89</w:t>
            </w:r>
          </w:p>
        </w:tc>
      </w:tr>
      <w:tr w14:paraId="5BCDA9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05" w:type="dxa"/>
            <w:tcBorders>
              <w:tl2br w:val="nil"/>
              <w:tr2bl w:val="nil"/>
            </w:tcBorders>
            <w:shd w:val="clear" w:color="auto" w:fill="auto"/>
            <w:vAlign w:val="center"/>
          </w:tcPr>
          <w:p w14:paraId="2EC4D7FC">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0-20（低覆盖度）</w:t>
            </w:r>
          </w:p>
        </w:tc>
        <w:tc>
          <w:tcPr>
            <w:tcW w:w="2684" w:type="dxa"/>
            <w:tcBorders>
              <w:tl2br w:val="nil"/>
              <w:tr2bl w:val="nil"/>
            </w:tcBorders>
            <w:shd w:val="clear" w:color="auto" w:fill="auto"/>
            <w:vAlign w:val="center"/>
          </w:tcPr>
          <w:p w14:paraId="509EA3C8">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3.213</w:t>
            </w:r>
          </w:p>
        </w:tc>
        <w:tc>
          <w:tcPr>
            <w:tcW w:w="2630" w:type="dxa"/>
            <w:tcBorders>
              <w:tl2br w:val="nil"/>
              <w:tr2bl w:val="nil"/>
            </w:tcBorders>
            <w:shd w:val="clear" w:color="auto" w:fill="auto"/>
            <w:vAlign w:val="center"/>
          </w:tcPr>
          <w:p w14:paraId="70FE0333">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0.30</w:t>
            </w:r>
          </w:p>
        </w:tc>
      </w:tr>
      <w:tr w14:paraId="7FE66F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205" w:type="dxa"/>
            <w:tcBorders>
              <w:tl2br w:val="nil"/>
              <w:tr2bl w:val="nil"/>
            </w:tcBorders>
            <w:shd w:val="clear" w:color="auto" w:fill="auto"/>
            <w:vAlign w:val="center"/>
          </w:tcPr>
          <w:p w14:paraId="7BF305EB">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合计</w:t>
            </w:r>
          </w:p>
        </w:tc>
        <w:tc>
          <w:tcPr>
            <w:tcW w:w="2684" w:type="dxa"/>
            <w:tcBorders>
              <w:tl2br w:val="nil"/>
              <w:tr2bl w:val="nil"/>
            </w:tcBorders>
            <w:shd w:val="clear" w:color="auto" w:fill="auto"/>
            <w:vAlign w:val="center"/>
          </w:tcPr>
          <w:p w14:paraId="353711CA">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1072.183</w:t>
            </w:r>
          </w:p>
        </w:tc>
        <w:tc>
          <w:tcPr>
            <w:tcW w:w="2630" w:type="dxa"/>
            <w:tcBorders>
              <w:tl2br w:val="nil"/>
              <w:tr2bl w:val="nil"/>
            </w:tcBorders>
            <w:shd w:val="clear" w:color="auto" w:fill="auto"/>
            <w:vAlign w:val="center"/>
          </w:tcPr>
          <w:p w14:paraId="1CB25152">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100.00</w:t>
            </w:r>
          </w:p>
        </w:tc>
      </w:tr>
    </w:tbl>
    <w:p w14:paraId="6EDD1470">
      <w:pPr>
        <w:keepNext/>
        <w:keepLines/>
        <w:pageBreakBefore w:val="0"/>
        <w:widowControl w:val="0"/>
        <w:kinsoku/>
        <w:wordWrap/>
        <w:overflowPunct/>
        <w:topLinePunct w:val="0"/>
        <w:bidi w:val="0"/>
        <w:adjustRightInd w:val="0"/>
        <w:snapToGrid w:val="0"/>
        <w:spacing w:after="0" w:line="440" w:lineRule="exact"/>
        <w:ind w:firstLine="482"/>
        <w:textAlignment w:val="auto"/>
        <w:outlineLvl w:val="3"/>
        <w:rPr>
          <w:rFonts w:hint="default" w:ascii="Times New Roman" w:hAnsi="Times New Roman" w:eastAsia="宋体" w:cs="Times New Roman"/>
          <w:b/>
          <w:bCs/>
          <w:color w:val="auto"/>
          <w:szCs w:val="24"/>
        </w:rPr>
      </w:pPr>
      <w:r>
        <w:rPr>
          <w:rFonts w:hint="default" w:ascii="Times New Roman" w:hAnsi="Times New Roman" w:eastAsia="宋体" w:cs="Times New Roman"/>
          <w:b/>
          <w:bCs/>
          <w:color w:val="auto"/>
          <w:szCs w:val="24"/>
        </w:rPr>
        <w:t>2.7.2.4生态系统优势度</w:t>
      </w:r>
    </w:p>
    <w:p w14:paraId="32661116">
      <w:pPr>
        <w:pageBreakBefore w:val="0"/>
        <w:widowControl w:val="0"/>
        <w:kinsoku/>
        <w:wordWrap/>
        <w:overflowPunct/>
        <w:topLinePunct w:val="0"/>
        <w:bidi w:val="0"/>
        <w:adjustRightInd w:val="0"/>
        <w:snapToGrid w:val="0"/>
        <w:spacing w:after="0" w:line="440" w:lineRule="exact"/>
        <w:ind w:firstLine="480"/>
        <w:textAlignment w:val="auto"/>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生态系统类型的优势度由3个参数计算而成，即密度（Rd）、频率（Rf）和生态系统比例（Lp）。生态系统采样采用生态系统分布图转换为栅格文件自动随机均匀采样，采样样方为100m*100m网格。</w:t>
      </w:r>
    </w:p>
    <w:p w14:paraId="10AA5156">
      <w:pPr>
        <w:pageBreakBefore w:val="0"/>
        <w:widowControl w:val="0"/>
        <w:kinsoku/>
        <w:wordWrap/>
        <w:overflowPunct/>
        <w:topLinePunct w:val="0"/>
        <w:autoSpaceDE w:val="0"/>
        <w:autoSpaceDN w:val="0"/>
        <w:bidi w:val="0"/>
        <w:adjustRightInd w:val="0"/>
        <w:snapToGrid w:val="0"/>
        <w:spacing w:after="0" w:line="440" w:lineRule="exact"/>
        <w:ind w:firstLine="480"/>
        <w:textAlignment w:val="auto"/>
        <w:rPr>
          <w:rFonts w:hint="default" w:ascii="Times New Roman" w:hAnsi="Times New Roman" w:eastAsia="宋体" w:cs="Times New Roman"/>
          <w:color w:val="auto"/>
          <w:szCs w:val="20"/>
          <w:lang w:val="zh-CN"/>
        </w:rPr>
      </w:pPr>
      <w:r>
        <w:rPr>
          <w:rFonts w:hint="default" w:ascii="Times New Roman" w:hAnsi="Times New Roman" w:eastAsia="宋体" w:cs="Times New Roman"/>
          <w:color w:val="auto"/>
          <w:szCs w:val="20"/>
          <w:lang w:val="zh-CN"/>
        </w:rPr>
        <w:t>生态系统优势度计算的数学表达式如下：</w:t>
      </w:r>
    </w:p>
    <w:p w14:paraId="70FF09A2">
      <w:pPr>
        <w:autoSpaceDE w:val="0"/>
        <w:autoSpaceDN w:val="0"/>
        <w:adjustRightInd w:val="0"/>
        <w:spacing w:after="0" w:line="240" w:lineRule="auto"/>
        <w:ind w:firstLine="480"/>
        <w:jc w:val="center"/>
        <w:rPr>
          <w:rFonts w:hint="default" w:ascii="Times New Roman" w:hAnsi="Times New Roman" w:eastAsia="宋体" w:cs="Times New Roman"/>
          <w:color w:val="auto"/>
          <w:szCs w:val="20"/>
          <w:lang w:val="zh-CN"/>
        </w:rPr>
      </w:pPr>
      <w:r>
        <w:rPr>
          <w:rFonts w:hint="default" w:ascii="Times New Roman" w:hAnsi="Times New Roman" w:eastAsia="宋体" w:cs="Times New Roman"/>
          <w:color w:val="auto"/>
          <w:szCs w:val="20"/>
        </w:rPr>
        <w:drawing>
          <wp:inline distT="0" distB="0" distL="0" distR="0">
            <wp:extent cx="1800225" cy="400050"/>
            <wp:effectExtent l="0" t="0" r="952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a:xfrm>
                      <a:off x="0" y="0"/>
                      <a:ext cx="1800225" cy="400050"/>
                    </a:xfrm>
                    <a:prstGeom prst="rect">
                      <a:avLst/>
                    </a:prstGeom>
                    <a:noFill/>
                    <a:ln>
                      <a:noFill/>
                    </a:ln>
                  </pic:spPr>
                </pic:pic>
              </a:graphicData>
            </a:graphic>
          </wp:inline>
        </w:drawing>
      </w:r>
    </w:p>
    <w:p w14:paraId="0321914E">
      <w:pPr>
        <w:autoSpaceDE w:val="0"/>
        <w:autoSpaceDN w:val="0"/>
        <w:adjustRightInd w:val="0"/>
        <w:spacing w:after="0" w:line="240" w:lineRule="auto"/>
        <w:ind w:firstLine="480"/>
        <w:jc w:val="center"/>
        <w:rPr>
          <w:rFonts w:hint="default" w:ascii="Times New Roman" w:hAnsi="Times New Roman" w:eastAsia="宋体" w:cs="Times New Roman"/>
          <w:color w:val="auto"/>
          <w:szCs w:val="20"/>
          <w:lang w:val="zh-CN"/>
        </w:rPr>
      </w:pPr>
      <w:r>
        <w:rPr>
          <w:rFonts w:hint="default" w:ascii="Times New Roman" w:hAnsi="Times New Roman" w:eastAsia="宋体" w:cs="Times New Roman"/>
          <w:color w:val="auto"/>
          <w:szCs w:val="20"/>
        </w:rPr>
        <w:drawing>
          <wp:inline distT="0" distB="0" distL="0" distR="0">
            <wp:extent cx="2266950" cy="400050"/>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a:xfrm>
                      <a:off x="0" y="0"/>
                      <a:ext cx="2266950" cy="400050"/>
                    </a:xfrm>
                    <a:prstGeom prst="rect">
                      <a:avLst/>
                    </a:prstGeom>
                    <a:noFill/>
                    <a:ln>
                      <a:noFill/>
                    </a:ln>
                  </pic:spPr>
                </pic:pic>
              </a:graphicData>
            </a:graphic>
          </wp:inline>
        </w:drawing>
      </w:r>
    </w:p>
    <w:p w14:paraId="39CFFDC8">
      <w:pPr>
        <w:adjustRightInd w:val="0"/>
        <w:snapToGrid w:val="0"/>
        <w:spacing w:after="0" w:line="440" w:lineRule="exact"/>
        <w:ind w:firstLine="480"/>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drawing>
          <wp:anchor distT="0" distB="0" distL="114300" distR="114300" simplePos="0" relativeHeight="251689984" behindDoc="0" locked="0" layoutInCell="1" allowOverlap="1">
            <wp:simplePos x="0" y="0"/>
            <wp:positionH relativeFrom="margin">
              <wp:posOffset>1607185</wp:posOffset>
            </wp:positionH>
            <wp:positionV relativeFrom="paragraph">
              <wp:posOffset>19685</wp:posOffset>
            </wp:positionV>
            <wp:extent cx="2400300" cy="393065"/>
            <wp:effectExtent l="0" t="0" r="0" b="6985"/>
            <wp:wrapNone/>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95">
                      <a:extLst>
                        <a:ext uri="{28A0092B-C50C-407E-A947-70E740481C1C}">
                          <a14:useLocalDpi xmlns:a14="http://schemas.microsoft.com/office/drawing/2010/main" val="0"/>
                        </a:ext>
                      </a:extLst>
                    </a:blip>
                    <a:srcRect l="19675" t="39847" r="27437" b="41762"/>
                    <a:stretch>
                      <a:fillRect/>
                    </a:stretch>
                  </pic:blipFill>
                  <pic:spPr>
                    <a:xfrm>
                      <a:off x="0" y="0"/>
                      <a:ext cx="2400300" cy="393065"/>
                    </a:xfrm>
                    <a:prstGeom prst="rect">
                      <a:avLst/>
                    </a:prstGeom>
                    <a:noFill/>
                    <a:ln>
                      <a:noFill/>
                    </a:ln>
                  </pic:spPr>
                </pic:pic>
              </a:graphicData>
            </a:graphic>
          </wp:anchor>
        </w:drawing>
      </w:r>
    </w:p>
    <w:p w14:paraId="4E890052">
      <w:pPr>
        <w:pStyle w:val="2"/>
        <w:rPr>
          <w:rFonts w:hint="default"/>
          <w:color w:val="auto"/>
        </w:rPr>
      </w:pPr>
    </w:p>
    <w:p w14:paraId="5D8AF49B">
      <w:pPr>
        <w:adjustRightInd w:val="0"/>
        <w:snapToGrid w:val="0"/>
        <w:spacing w:after="0" w:line="440" w:lineRule="exact"/>
        <w:ind w:firstLine="480"/>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drawing>
          <wp:anchor distT="0" distB="0" distL="114300" distR="114300" simplePos="0" relativeHeight="251688960" behindDoc="0" locked="0" layoutInCell="1" allowOverlap="1">
            <wp:simplePos x="0" y="0"/>
            <wp:positionH relativeFrom="margin">
              <wp:align>center</wp:align>
            </wp:positionH>
            <wp:positionV relativeFrom="paragraph">
              <wp:posOffset>27940</wp:posOffset>
            </wp:positionV>
            <wp:extent cx="2199005" cy="400050"/>
            <wp:effectExtent l="0" t="0" r="10795" b="0"/>
            <wp:wrapNone/>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a:xfrm>
                      <a:off x="0" y="0"/>
                      <a:ext cx="2199005" cy="400050"/>
                    </a:xfrm>
                    <a:prstGeom prst="rect">
                      <a:avLst/>
                    </a:prstGeom>
                    <a:noFill/>
                    <a:ln>
                      <a:noFill/>
                    </a:ln>
                  </pic:spPr>
                </pic:pic>
              </a:graphicData>
            </a:graphic>
          </wp:anchor>
        </w:drawing>
      </w:r>
    </w:p>
    <w:p w14:paraId="36D6C4F6">
      <w:pPr>
        <w:adjustRightInd w:val="0"/>
        <w:snapToGrid w:val="0"/>
        <w:spacing w:after="0" w:line="440" w:lineRule="exact"/>
        <w:ind w:firstLine="480"/>
        <w:rPr>
          <w:rFonts w:hint="default" w:ascii="Times New Roman" w:hAnsi="Times New Roman" w:eastAsia="宋体" w:cs="Times New Roman"/>
          <w:color w:val="auto"/>
          <w:szCs w:val="20"/>
        </w:rPr>
      </w:pPr>
    </w:p>
    <w:p w14:paraId="684EE55C">
      <w:pPr>
        <w:spacing w:after="0" w:line="240" w:lineRule="auto"/>
        <w:ind w:firstLine="482"/>
        <w:jc w:val="center"/>
        <w:rPr>
          <w:rFonts w:hint="default" w:ascii="Times New Roman" w:hAnsi="Times New Roman" w:eastAsia="宋体" w:cs="Times New Roman"/>
          <w:b/>
          <w:bCs/>
          <w:color w:val="auto"/>
          <w:szCs w:val="30"/>
        </w:rPr>
      </w:pPr>
      <w:r>
        <w:rPr>
          <w:rFonts w:hint="default" w:ascii="Times New Roman" w:hAnsi="Times New Roman" w:eastAsia="宋体" w:cs="Times New Roman"/>
          <w:b/>
          <w:bCs/>
          <w:color w:val="auto"/>
          <w:szCs w:val="30"/>
        </w:rPr>
        <w:t>表</w:t>
      </w:r>
      <w:r>
        <w:rPr>
          <w:rFonts w:hint="eastAsia" w:ascii="Times New Roman" w:hAnsi="Times New Roman" w:eastAsia="宋体" w:cs="Times New Roman"/>
          <w:b/>
          <w:bCs/>
          <w:color w:val="auto"/>
          <w:szCs w:val="30"/>
          <w:lang w:val="en-US" w:eastAsia="zh-CN"/>
        </w:rPr>
        <w:t>2.7-8</w:t>
      </w:r>
      <w:r>
        <w:rPr>
          <w:rFonts w:hint="default" w:ascii="Times New Roman" w:hAnsi="Times New Roman" w:eastAsia="宋体" w:cs="Times New Roman"/>
          <w:b/>
          <w:bCs/>
          <w:color w:val="auto"/>
          <w:szCs w:val="30"/>
        </w:rPr>
        <w:t xml:space="preserve">  评价区内各类生态系统优势度现状统计表</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873"/>
        <w:gridCol w:w="1337"/>
        <w:gridCol w:w="1462"/>
        <w:gridCol w:w="1882"/>
        <w:gridCol w:w="1196"/>
      </w:tblGrid>
      <w:tr w14:paraId="456658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2" w:type="pct"/>
            <w:tcBorders>
              <w:tl2br w:val="nil"/>
              <w:tr2bl w:val="nil"/>
            </w:tcBorders>
            <w:noWrap/>
            <w:vAlign w:val="center"/>
          </w:tcPr>
          <w:p w14:paraId="35C1EC0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生态系统类型</w:t>
            </w:r>
          </w:p>
        </w:tc>
        <w:tc>
          <w:tcPr>
            <w:tcW w:w="764" w:type="pct"/>
            <w:tcBorders>
              <w:tl2br w:val="nil"/>
              <w:tr2bl w:val="nil"/>
            </w:tcBorders>
            <w:noWrap/>
            <w:vAlign w:val="center"/>
          </w:tcPr>
          <w:p w14:paraId="6B88170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密度Rd</w:t>
            </w:r>
          </w:p>
        </w:tc>
        <w:tc>
          <w:tcPr>
            <w:tcW w:w="835" w:type="pct"/>
            <w:tcBorders>
              <w:tl2br w:val="nil"/>
              <w:tr2bl w:val="nil"/>
            </w:tcBorders>
            <w:noWrap/>
            <w:vAlign w:val="center"/>
          </w:tcPr>
          <w:p w14:paraId="5EE7CBD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频率Rf</w:t>
            </w:r>
          </w:p>
        </w:tc>
        <w:tc>
          <w:tcPr>
            <w:tcW w:w="1075" w:type="pct"/>
            <w:tcBorders>
              <w:tl2br w:val="nil"/>
              <w:tr2bl w:val="nil"/>
            </w:tcBorders>
            <w:vAlign w:val="center"/>
          </w:tcPr>
          <w:p w14:paraId="7D83095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生态系统比例Lp</w:t>
            </w:r>
          </w:p>
        </w:tc>
        <w:tc>
          <w:tcPr>
            <w:tcW w:w="683" w:type="pct"/>
            <w:tcBorders>
              <w:tl2br w:val="nil"/>
              <w:tr2bl w:val="nil"/>
            </w:tcBorders>
            <w:noWrap/>
            <w:vAlign w:val="center"/>
          </w:tcPr>
          <w:p w14:paraId="2709FE1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优势度Do</w:t>
            </w:r>
          </w:p>
        </w:tc>
      </w:tr>
      <w:tr w14:paraId="364843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2" w:type="pct"/>
            <w:tcBorders>
              <w:tl2br w:val="nil"/>
              <w:tr2bl w:val="nil"/>
            </w:tcBorders>
            <w:noWrap/>
            <w:vAlign w:val="center"/>
          </w:tcPr>
          <w:p w14:paraId="025683E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森林生态系统——针叶林</w:t>
            </w:r>
          </w:p>
        </w:tc>
        <w:tc>
          <w:tcPr>
            <w:tcW w:w="764" w:type="pct"/>
            <w:tcBorders>
              <w:tl2br w:val="nil"/>
              <w:tr2bl w:val="nil"/>
            </w:tcBorders>
            <w:shd w:val="clear" w:color="auto" w:fill="auto"/>
            <w:noWrap/>
            <w:vAlign w:val="center"/>
          </w:tcPr>
          <w:p w14:paraId="4C0EE70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14.08</w:t>
            </w:r>
          </w:p>
        </w:tc>
        <w:tc>
          <w:tcPr>
            <w:tcW w:w="835" w:type="pct"/>
            <w:tcBorders>
              <w:tl2br w:val="nil"/>
              <w:tr2bl w:val="nil"/>
            </w:tcBorders>
            <w:shd w:val="clear" w:color="auto" w:fill="auto"/>
            <w:noWrap/>
            <w:vAlign w:val="center"/>
          </w:tcPr>
          <w:p w14:paraId="72C27EB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26.384</w:t>
            </w:r>
          </w:p>
        </w:tc>
        <w:tc>
          <w:tcPr>
            <w:tcW w:w="1075" w:type="pct"/>
            <w:tcBorders>
              <w:tl2br w:val="nil"/>
              <w:tr2bl w:val="nil"/>
            </w:tcBorders>
            <w:shd w:val="clear" w:color="auto" w:fill="auto"/>
            <w:vAlign w:val="center"/>
          </w:tcPr>
          <w:p w14:paraId="2A833A2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35.182</w:t>
            </w:r>
          </w:p>
        </w:tc>
        <w:tc>
          <w:tcPr>
            <w:tcW w:w="683" w:type="pct"/>
            <w:tcBorders>
              <w:tl2br w:val="nil"/>
              <w:tr2bl w:val="nil"/>
            </w:tcBorders>
            <w:shd w:val="clear" w:color="auto" w:fill="auto"/>
            <w:noWrap/>
            <w:vAlign w:val="center"/>
          </w:tcPr>
          <w:p w14:paraId="075A826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 xml:space="preserve">27.707 </w:t>
            </w:r>
          </w:p>
        </w:tc>
      </w:tr>
      <w:tr w14:paraId="0AA5B4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2" w:type="pct"/>
            <w:tcBorders>
              <w:tl2br w:val="nil"/>
              <w:tr2bl w:val="nil"/>
            </w:tcBorders>
            <w:noWrap/>
            <w:vAlign w:val="center"/>
          </w:tcPr>
          <w:p w14:paraId="3161D0B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灌丛生态系统—阔叶灌丛</w:t>
            </w:r>
          </w:p>
        </w:tc>
        <w:tc>
          <w:tcPr>
            <w:tcW w:w="764" w:type="pct"/>
            <w:tcBorders>
              <w:tl2br w:val="nil"/>
              <w:tr2bl w:val="nil"/>
            </w:tcBorders>
            <w:shd w:val="clear" w:color="auto" w:fill="auto"/>
            <w:noWrap/>
            <w:vAlign w:val="center"/>
          </w:tcPr>
          <w:p w14:paraId="109049E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Cs w:val="20"/>
              </w:rPr>
            </w:pPr>
            <w:r>
              <w:rPr>
                <w:rFonts w:hint="default" w:ascii="Times New Roman" w:hAnsi="Times New Roman" w:eastAsia="等线" w:cs="Times New Roman"/>
                <w:color w:val="auto"/>
                <w:sz w:val="21"/>
                <w:szCs w:val="21"/>
              </w:rPr>
              <w:t>13.93</w:t>
            </w:r>
          </w:p>
        </w:tc>
        <w:tc>
          <w:tcPr>
            <w:tcW w:w="835" w:type="pct"/>
            <w:tcBorders>
              <w:tl2br w:val="nil"/>
              <w:tr2bl w:val="nil"/>
            </w:tcBorders>
            <w:shd w:val="clear" w:color="auto" w:fill="auto"/>
            <w:noWrap/>
            <w:vAlign w:val="center"/>
          </w:tcPr>
          <w:p w14:paraId="0A700BD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15.496</w:t>
            </w:r>
          </w:p>
        </w:tc>
        <w:tc>
          <w:tcPr>
            <w:tcW w:w="1075" w:type="pct"/>
            <w:tcBorders>
              <w:tl2br w:val="nil"/>
              <w:tr2bl w:val="nil"/>
            </w:tcBorders>
            <w:shd w:val="clear" w:color="auto" w:fill="auto"/>
            <w:vAlign w:val="center"/>
          </w:tcPr>
          <w:p w14:paraId="0782362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19.037</w:t>
            </w:r>
          </w:p>
        </w:tc>
        <w:tc>
          <w:tcPr>
            <w:tcW w:w="683" w:type="pct"/>
            <w:tcBorders>
              <w:tl2br w:val="nil"/>
              <w:tr2bl w:val="nil"/>
            </w:tcBorders>
            <w:shd w:val="clear" w:color="auto" w:fill="auto"/>
            <w:noWrap/>
            <w:vAlign w:val="center"/>
          </w:tcPr>
          <w:p w14:paraId="29645F3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 xml:space="preserve">16.875 </w:t>
            </w:r>
          </w:p>
        </w:tc>
      </w:tr>
      <w:tr w14:paraId="703B26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2" w:type="pct"/>
            <w:tcBorders>
              <w:tl2br w:val="nil"/>
              <w:tr2bl w:val="nil"/>
            </w:tcBorders>
            <w:vAlign w:val="center"/>
          </w:tcPr>
          <w:p w14:paraId="0D59943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草丛生态系统——稀疏草丛</w:t>
            </w:r>
          </w:p>
        </w:tc>
        <w:tc>
          <w:tcPr>
            <w:tcW w:w="764" w:type="pct"/>
            <w:tcBorders>
              <w:tl2br w:val="nil"/>
              <w:tr2bl w:val="nil"/>
            </w:tcBorders>
            <w:shd w:val="clear" w:color="auto" w:fill="auto"/>
            <w:noWrap/>
            <w:vAlign w:val="center"/>
          </w:tcPr>
          <w:p w14:paraId="40982E0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10.7</w:t>
            </w:r>
          </w:p>
        </w:tc>
        <w:tc>
          <w:tcPr>
            <w:tcW w:w="835" w:type="pct"/>
            <w:tcBorders>
              <w:tl2br w:val="nil"/>
              <w:tr2bl w:val="nil"/>
            </w:tcBorders>
            <w:shd w:val="clear" w:color="auto" w:fill="auto"/>
            <w:noWrap/>
            <w:vAlign w:val="center"/>
          </w:tcPr>
          <w:p w14:paraId="292A2B1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15.197</w:t>
            </w:r>
          </w:p>
        </w:tc>
        <w:tc>
          <w:tcPr>
            <w:tcW w:w="1075" w:type="pct"/>
            <w:tcBorders>
              <w:tl2br w:val="nil"/>
              <w:tr2bl w:val="nil"/>
            </w:tcBorders>
            <w:shd w:val="clear" w:color="auto" w:fill="auto"/>
            <w:vAlign w:val="center"/>
          </w:tcPr>
          <w:p w14:paraId="51C3F0D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15.704</w:t>
            </w:r>
          </w:p>
        </w:tc>
        <w:tc>
          <w:tcPr>
            <w:tcW w:w="683" w:type="pct"/>
            <w:tcBorders>
              <w:tl2br w:val="nil"/>
              <w:tr2bl w:val="nil"/>
            </w:tcBorders>
            <w:shd w:val="clear" w:color="auto" w:fill="auto"/>
            <w:noWrap/>
            <w:vAlign w:val="center"/>
          </w:tcPr>
          <w:p w14:paraId="64FA452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 xml:space="preserve">14.326 </w:t>
            </w:r>
          </w:p>
        </w:tc>
      </w:tr>
      <w:tr w14:paraId="238DEB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2" w:type="pct"/>
            <w:tcBorders>
              <w:tl2br w:val="nil"/>
              <w:tr2bl w:val="nil"/>
            </w:tcBorders>
            <w:vAlign w:val="center"/>
          </w:tcPr>
          <w:p w14:paraId="4E6EFE3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农田生态系统—耕地</w:t>
            </w:r>
          </w:p>
        </w:tc>
        <w:tc>
          <w:tcPr>
            <w:tcW w:w="764" w:type="pct"/>
            <w:tcBorders>
              <w:tl2br w:val="nil"/>
              <w:tr2bl w:val="nil"/>
            </w:tcBorders>
            <w:shd w:val="clear" w:color="auto" w:fill="auto"/>
            <w:noWrap/>
            <w:vAlign w:val="center"/>
          </w:tcPr>
          <w:p w14:paraId="131B5E0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Cs w:val="20"/>
              </w:rPr>
            </w:pPr>
            <w:r>
              <w:rPr>
                <w:rFonts w:hint="default" w:ascii="Times New Roman" w:hAnsi="Times New Roman" w:eastAsia="等线" w:cs="Times New Roman"/>
                <w:color w:val="auto"/>
                <w:sz w:val="21"/>
                <w:szCs w:val="21"/>
              </w:rPr>
              <w:t>34.75</w:t>
            </w:r>
          </w:p>
        </w:tc>
        <w:tc>
          <w:tcPr>
            <w:tcW w:w="835" w:type="pct"/>
            <w:tcBorders>
              <w:tl2br w:val="nil"/>
              <w:tr2bl w:val="nil"/>
            </w:tcBorders>
            <w:shd w:val="clear" w:color="auto" w:fill="auto"/>
            <w:noWrap/>
            <w:vAlign w:val="center"/>
          </w:tcPr>
          <w:p w14:paraId="1BF3B29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25.574</w:t>
            </w:r>
          </w:p>
        </w:tc>
        <w:tc>
          <w:tcPr>
            <w:tcW w:w="1075" w:type="pct"/>
            <w:tcBorders>
              <w:tl2br w:val="nil"/>
              <w:tr2bl w:val="nil"/>
            </w:tcBorders>
            <w:shd w:val="clear" w:color="auto" w:fill="auto"/>
            <w:vAlign w:val="center"/>
          </w:tcPr>
          <w:p w14:paraId="6F167E6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27.397</w:t>
            </w:r>
          </w:p>
        </w:tc>
        <w:tc>
          <w:tcPr>
            <w:tcW w:w="683" w:type="pct"/>
            <w:tcBorders>
              <w:tl2br w:val="nil"/>
              <w:tr2bl w:val="nil"/>
            </w:tcBorders>
            <w:shd w:val="clear" w:color="auto" w:fill="auto"/>
            <w:noWrap/>
            <w:vAlign w:val="center"/>
          </w:tcPr>
          <w:p w14:paraId="4CFD114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 xml:space="preserve">28.780 </w:t>
            </w:r>
          </w:p>
        </w:tc>
      </w:tr>
      <w:tr w14:paraId="24EE09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2" w:type="pct"/>
            <w:tcBorders>
              <w:tl2br w:val="nil"/>
              <w:tr2bl w:val="nil"/>
            </w:tcBorders>
            <w:vAlign w:val="center"/>
          </w:tcPr>
          <w:p w14:paraId="285162C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bookmarkStart w:id="253" w:name="_Hlk232429007"/>
            <w:r>
              <w:rPr>
                <w:rFonts w:hint="default" w:ascii="Times New Roman" w:hAnsi="Times New Roman" w:eastAsia="宋体" w:cs="Times New Roman"/>
                <w:color w:val="auto"/>
                <w:kern w:val="0"/>
                <w:sz w:val="21"/>
                <w:szCs w:val="21"/>
              </w:rPr>
              <w:t>城镇生态系统——</w:t>
            </w:r>
            <w:bookmarkEnd w:id="253"/>
            <w:r>
              <w:rPr>
                <w:rFonts w:hint="default" w:ascii="Times New Roman" w:hAnsi="Times New Roman" w:eastAsia="宋体" w:cs="Times New Roman"/>
                <w:color w:val="auto"/>
                <w:kern w:val="0"/>
                <w:sz w:val="21"/>
                <w:szCs w:val="21"/>
              </w:rPr>
              <w:t>居住地</w:t>
            </w:r>
          </w:p>
        </w:tc>
        <w:tc>
          <w:tcPr>
            <w:tcW w:w="764" w:type="pct"/>
            <w:tcBorders>
              <w:tl2br w:val="nil"/>
              <w:tr2bl w:val="nil"/>
            </w:tcBorders>
            <w:shd w:val="clear" w:color="auto" w:fill="auto"/>
            <w:noWrap/>
            <w:vAlign w:val="center"/>
          </w:tcPr>
          <w:p w14:paraId="5547894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9.97</w:t>
            </w:r>
          </w:p>
        </w:tc>
        <w:tc>
          <w:tcPr>
            <w:tcW w:w="835" w:type="pct"/>
            <w:tcBorders>
              <w:tl2br w:val="nil"/>
              <w:tr2bl w:val="nil"/>
            </w:tcBorders>
            <w:shd w:val="clear" w:color="auto" w:fill="auto"/>
            <w:noWrap/>
            <w:vAlign w:val="center"/>
          </w:tcPr>
          <w:p w14:paraId="3469E42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5.537</w:t>
            </w:r>
          </w:p>
        </w:tc>
        <w:tc>
          <w:tcPr>
            <w:tcW w:w="1075" w:type="pct"/>
            <w:tcBorders>
              <w:tl2br w:val="nil"/>
              <w:tr2bl w:val="nil"/>
            </w:tcBorders>
            <w:shd w:val="clear" w:color="auto" w:fill="auto"/>
            <w:vAlign w:val="center"/>
          </w:tcPr>
          <w:p w14:paraId="5D62559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0.916</w:t>
            </w:r>
          </w:p>
        </w:tc>
        <w:tc>
          <w:tcPr>
            <w:tcW w:w="683" w:type="pct"/>
            <w:tcBorders>
              <w:tl2br w:val="nil"/>
              <w:tr2bl w:val="nil"/>
            </w:tcBorders>
            <w:shd w:val="clear" w:color="auto" w:fill="auto"/>
            <w:noWrap/>
            <w:vAlign w:val="center"/>
          </w:tcPr>
          <w:p w14:paraId="207ADFF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 xml:space="preserve">4.335 </w:t>
            </w:r>
          </w:p>
        </w:tc>
      </w:tr>
      <w:tr w14:paraId="2458DA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2" w:type="pct"/>
            <w:tcBorders>
              <w:tl2br w:val="nil"/>
              <w:tr2bl w:val="nil"/>
            </w:tcBorders>
            <w:vAlign w:val="center"/>
          </w:tcPr>
          <w:p w14:paraId="5ADF06A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城镇生态系统——工矿交通</w:t>
            </w:r>
          </w:p>
        </w:tc>
        <w:tc>
          <w:tcPr>
            <w:tcW w:w="764" w:type="pct"/>
            <w:tcBorders>
              <w:tl2br w:val="nil"/>
              <w:tr2bl w:val="nil"/>
            </w:tcBorders>
            <w:shd w:val="clear" w:color="auto" w:fill="auto"/>
            <w:noWrap/>
            <w:vAlign w:val="center"/>
          </w:tcPr>
          <w:p w14:paraId="390F0BF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8.8</w:t>
            </w:r>
          </w:p>
        </w:tc>
        <w:tc>
          <w:tcPr>
            <w:tcW w:w="835" w:type="pct"/>
            <w:tcBorders>
              <w:tl2br w:val="nil"/>
              <w:tr2bl w:val="nil"/>
            </w:tcBorders>
            <w:shd w:val="clear" w:color="auto" w:fill="auto"/>
            <w:noWrap/>
            <w:vAlign w:val="center"/>
          </w:tcPr>
          <w:p w14:paraId="114AA74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12.068</w:t>
            </w:r>
          </w:p>
        </w:tc>
        <w:tc>
          <w:tcPr>
            <w:tcW w:w="1075" w:type="pct"/>
            <w:tcBorders>
              <w:tl2br w:val="nil"/>
              <w:tr2bl w:val="nil"/>
            </w:tcBorders>
            <w:shd w:val="clear" w:color="auto" w:fill="auto"/>
            <w:vAlign w:val="center"/>
          </w:tcPr>
          <w:p w14:paraId="7800DAA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1.015</w:t>
            </w:r>
          </w:p>
        </w:tc>
        <w:tc>
          <w:tcPr>
            <w:tcW w:w="683" w:type="pct"/>
            <w:tcBorders>
              <w:tl2br w:val="nil"/>
              <w:tr2bl w:val="nil"/>
            </w:tcBorders>
            <w:shd w:val="clear" w:color="auto" w:fill="auto"/>
            <w:noWrap/>
            <w:vAlign w:val="center"/>
          </w:tcPr>
          <w:p w14:paraId="53D16D3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 xml:space="preserve">5.725 </w:t>
            </w:r>
          </w:p>
        </w:tc>
      </w:tr>
      <w:tr w14:paraId="188C55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2" w:type="pct"/>
            <w:tcBorders>
              <w:tl2br w:val="nil"/>
              <w:tr2bl w:val="nil"/>
            </w:tcBorders>
            <w:vAlign w:val="center"/>
          </w:tcPr>
          <w:p w14:paraId="158A569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湿地生态系统——河流</w:t>
            </w:r>
          </w:p>
        </w:tc>
        <w:tc>
          <w:tcPr>
            <w:tcW w:w="764" w:type="pct"/>
            <w:tcBorders>
              <w:tl2br w:val="nil"/>
              <w:tr2bl w:val="nil"/>
            </w:tcBorders>
            <w:shd w:val="clear" w:color="auto" w:fill="auto"/>
            <w:noWrap/>
            <w:vAlign w:val="center"/>
          </w:tcPr>
          <w:p w14:paraId="7727E06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4.11</w:t>
            </w:r>
          </w:p>
        </w:tc>
        <w:tc>
          <w:tcPr>
            <w:tcW w:w="835" w:type="pct"/>
            <w:tcBorders>
              <w:tl2br w:val="nil"/>
              <w:tr2bl w:val="nil"/>
            </w:tcBorders>
            <w:shd w:val="clear" w:color="auto" w:fill="auto"/>
            <w:noWrap/>
            <w:vAlign w:val="center"/>
          </w:tcPr>
          <w:p w14:paraId="4FD7ABB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0.503</w:t>
            </w:r>
          </w:p>
        </w:tc>
        <w:tc>
          <w:tcPr>
            <w:tcW w:w="1075" w:type="pct"/>
            <w:tcBorders>
              <w:tl2br w:val="nil"/>
              <w:tr2bl w:val="nil"/>
            </w:tcBorders>
            <w:shd w:val="clear" w:color="auto" w:fill="auto"/>
            <w:vAlign w:val="center"/>
          </w:tcPr>
          <w:p w14:paraId="1FE2D05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0.332</w:t>
            </w:r>
          </w:p>
        </w:tc>
        <w:tc>
          <w:tcPr>
            <w:tcW w:w="683" w:type="pct"/>
            <w:tcBorders>
              <w:tl2br w:val="nil"/>
              <w:tr2bl w:val="nil"/>
            </w:tcBorders>
            <w:shd w:val="clear" w:color="auto" w:fill="auto"/>
            <w:noWrap/>
            <w:vAlign w:val="center"/>
          </w:tcPr>
          <w:p w14:paraId="5B604D8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 xml:space="preserve">1.319 </w:t>
            </w:r>
          </w:p>
        </w:tc>
      </w:tr>
      <w:tr w14:paraId="091D62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2" w:type="pct"/>
            <w:tcBorders>
              <w:tl2br w:val="nil"/>
              <w:tr2bl w:val="nil"/>
            </w:tcBorders>
            <w:vAlign w:val="center"/>
          </w:tcPr>
          <w:p w14:paraId="6389E56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湿地生态系统——湖泊</w:t>
            </w:r>
          </w:p>
        </w:tc>
        <w:tc>
          <w:tcPr>
            <w:tcW w:w="764" w:type="pct"/>
            <w:tcBorders>
              <w:tl2br w:val="nil"/>
              <w:tr2bl w:val="nil"/>
            </w:tcBorders>
            <w:shd w:val="clear" w:color="auto" w:fill="auto"/>
            <w:noWrap/>
            <w:vAlign w:val="center"/>
          </w:tcPr>
          <w:p w14:paraId="3C33034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Cs w:val="20"/>
              </w:rPr>
            </w:pPr>
            <w:r>
              <w:rPr>
                <w:rFonts w:hint="default" w:ascii="Times New Roman" w:hAnsi="Times New Roman" w:eastAsia="等线" w:cs="Times New Roman"/>
                <w:color w:val="auto"/>
                <w:sz w:val="21"/>
                <w:szCs w:val="21"/>
              </w:rPr>
              <w:t>0.15</w:t>
            </w:r>
          </w:p>
        </w:tc>
        <w:tc>
          <w:tcPr>
            <w:tcW w:w="835" w:type="pct"/>
            <w:tcBorders>
              <w:tl2br w:val="nil"/>
              <w:tr2bl w:val="nil"/>
            </w:tcBorders>
            <w:shd w:val="clear" w:color="auto" w:fill="auto"/>
            <w:noWrap/>
            <w:vAlign w:val="center"/>
          </w:tcPr>
          <w:p w14:paraId="0C127B1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0.042</w:t>
            </w:r>
          </w:p>
        </w:tc>
        <w:tc>
          <w:tcPr>
            <w:tcW w:w="1075" w:type="pct"/>
            <w:tcBorders>
              <w:tl2br w:val="nil"/>
              <w:tr2bl w:val="nil"/>
            </w:tcBorders>
            <w:shd w:val="clear" w:color="auto" w:fill="auto"/>
            <w:vAlign w:val="center"/>
          </w:tcPr>
          <w:p w14:paraId="3C09CEB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0.011</w:t>
            </w:r>
          </w:p>
        </w:tc>
        <w:tc>
          <w:tcPr>
            <w:tcW w:w="683" w:type="pct"/>
            <w:tcBorders>
              <w:tl2br w:val="nil"/>
              <w:tr2bl w:val="nil"/>
            </w:tcBorders>
            <w:shd w:val="clear" w:color="auto" w:fill="auto"/>
            <w:noWrap/>
            <w:vAlign w:val="center"/>
          </w:tcPr>
          <w:p w14:paraId="5F4C31B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 xml:space="preserve">0.054 </w:t>
            </w:r>
          </w:p>
        </w:tc>
      </w:tr>
      <w:tr w14:paraId="47DA6B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2" w:type="pct"/>
            <w:tcBorders>
              <w:tl2br w:val="nil"/>
              <w:tr2bl w:val="nil"/>
            </w:tcBorders>
            <w:shd w:val="clear" w:color="auto" w:fill="auto"/>
            <w:vAlign w:val="center"/>
          </w:tcPr>
          <w:p w14:paraId="6DBD7E7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其他—裸地</w:t>
            </w:r>
          </w:p>
        </w:tc>
        <w:tc>
          <w:tcPr>
            <w:tcW w:w="764" w:type="pct"/>
            <w:tcBorders>
              <w:tl2br w:val="nil"/>
              <w:tr2bl w:val="nil"/>
            </w:tcBorders>
            <w:shd w:val="clear" w:color="auto" w:fill="auto"/>
            <w:noWrap/>
            <w:vAlign w:val="center"/>
          </w:tcPr>
          <w:p w14:paraId="19A8C4F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Cs w:val="20"/>
              </w:rPr>
            </w:pPr>
            <w:r>
              <w:rPr>
                <w:rFonts w:hint="default" w:ascii="Times New Roman" w:hAnsi="Times New Roman" w:eastAsia="等线" w:cs="Times New Roman"/>
                <w:color w:val="auto"/>
                <w:sz w:val="21"/>
                <w:szCs w:val="21"/>
              </w:rPr>
              <w:t>2.49</w:t>
            </w:r>
          </w:p>
        </w:tc>
        <w:tc>
          <w:tcPr>
            <w:tcW w:w="835" w:type="pct"/>
            <w:tcBorders>
              <w:tl2br w:val="nil"/>
              <w:tr2bl w:val="nil"/>
            </w:tcBorders>
            <w:shd w:val="clear" w:color="auto" w:fill="auto"/>
            <w:noWrap/>
            <w:vAlign w:val="center"/>
          </w:tcPr>
          <w:p w14:paraId="7A99F53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1.001</w:t>
            </w:r>
          </w:p>
        </w:tc>
        <w:tc>
          <w:tcPr>
            <w:tcW w:w="1075" w:type="pct"/>
            <w:tcBorders>
              <w:tl2br w:val="nil"/>
              <w:tr2bl w:val="nil"/>
            </w:tcBorders>
            <w:shd w:val="clear" w:color="auto" w:fill="auto"/>
            <w:vAlign w:val="center"/>
          </w:tcPr>
          <w:p w14:paraId="7F6096D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0.406</w:t>
            </w:r>
          </w:p>
        </w:tc>
        <w:tc>
          <w:tcPr>
            <w:tcW w:w="683" w:type="pct"/>
            <w:tcBorders>
              <w:tl2br w:val="nil"/>
              <w:tr2bl w:val="nil"/>
            </w:tcBorders>
            <w:shd w:val="clear" w:color="auto" w:fill="auto"/>
            <w:noWrap/>
            <w:vAlign w:val="center"/>
          </w:tcPr>
          <w:p w14:paraId="3786C25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 xml:space="preserve">1.076 </w:t>
            </w:r>
          </w:p>
        </w:tc>
      </w:tr>
    </w:tbl>
    <w:p w14:paraId="5ABD731A">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分析结果表明，评价区农田生态系统—耕地优势度最高，其次为森林生态系统—针叶林。</w:t>
      </w:r>
    </w:p>
    <w:p w14:paraId="74EDEBFB">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254" w:name="_Toc2483"/>
      <w:bookmarkStart w:id="255" w:name="_Toc23841"/>
      <w:r>
        <w:rPr>
          <w:rFonts w:hint="default" w:ascii="Times New Roman" w:hAnsi="Times New Roman" w:eastAsia="宋体" w:cs="Times New Roman"/>
          <w:bCs w:val="0"/>
          <w:color w:val="auto"/>
          <w:kern w:val="0"/>
          <w:sz w:val="28"/>
          <w:szCs w:val="28"/>
          <w:lang w:val="zh-CN"/>
        </w:rPr>
        <w:t>2.8生物多样性现状</w:t>
      </w:r>
      <w:bookmarkEnd w:id="254"/>
      <w:bookmarkEnd w:id="255"/>
    </w:p>
    <w:p w14:paraId="6683005B">
      <w:pPr>
        <w:keepNext w:val="0"/>
        <w:keepLines w:val="0"/>
        <w:pageBreakBefore w:val="0"/>
        <w:widowControl w:val="0"/>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1）生态系统类型多样性</w:t>
      </w:r>
    </w:p>
    <w:p w14:paraId="4AB1A3DC">
      <w:pPr>
        <w:keepNext w:val="0"/>
        <w:keepLines w:val="0"/>
        <w:pageBreakBefore w:val="0"/>
        <w:widowControl w:val="0"/>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评价区内共分布9种生态系统类型，较为多样。</w:t>
      </w:r>
    </w:p>
    <w:p w14:paraId="1BE811FB">
      <w:pPr>
        <w:keepNext w:val="0"/>
        <w:keepLines w:val="0"/>
        <w:pageBreakBefore w:val="0"/>
        <w:widowControl w:val="0"/>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2）物种丰富度</w:t>
      </w:r>
    </w:p>
    <w:p w14:paraId="3106829B">
      <w:pPr>
        <w:keepNext w:val="0"/>
        <w:keepLines w:val="0"/>
        <w:pageBreakBefore w:val="0"/>
        <w:widowControl w:val="0"/>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评价区维管植物</w:t>
      </w:r>
      <w:r>
        <w:rPr>
          <w:rFonts w:hint="default" w:ascii="Times New Roman" w:hAnsi="Times New Roman" w:eastAsia="宋体" w:cs="Times New Roman"/>
          <w:color w:val="auto"/>
          <w:lang w:val="zh-CN"/>
        </w:rPr>
        <w:t>475种（包含种下等级），隶属于</w:t>
      </w:r>
      <w:r>
        <w:rPr>
          <w:rFonts w:hint="default" w:ascii="Times New Roman" w:hAnsi="Times New Roman" w:eastAsia="宋体" w:cs="Times New Roman"/>
          <w:color w:val="auto"/>
        </w:rPr>
        <w:t>98</w:t>
      </w:r>
      <w:r>
        <w:rPr>
          <w:rFonts w:hint="default" w:ascii="Times New Roman" w:hAnsi="Times New Roman" w:eastAsia="宋体" w:cs="Times New Roman"/>
          <w:color w:val="auto"/>
          <w:lang w:val="zh-CN"/>
        </w:rPr>
        <w:t>科、</w:t>
      </w:r>
      <w:r>
        <w:rPr>
          <w:rFonts w:hint="default" w:ascii="Times New Roman" w:hAnsi="Times New Roman" w:eastAsia="宋体" w:cs="Times New Roman"/>
          <w:color w:val="auto"/>
        </w:rPr>
        <w:t>327</w:t>
      </w:r>
      <w:r>
        <w:rPr>
          <w:rFonts w:hint="default" w:ascii="Times New Roman" w:hAnsi="Times New Roman" w:eastAsia="宋体" w:cs="Times New Roman"/>
          <w:color w:val="auto"/>
          <w:lang w:val="zh-CN"/>
        </w:rPr>
        <w:t>属。其中蕨类植物有</w:t>
      </w:r>
      <w:r>
        <w:rPr>
          <w:rFonts w:hint="default" w:ascii="Times New Roman" w:hAnsi="Times New Roman" w:eastAsia="宋体" w:cs="Times New Roman"/>
          <w:color w:val="auto"/>
        </w:rPr>
        <w:t>11</w:t>
      </w:r>
      <w:r>
        <w:rPr>
          <w:rFonts w:hint="default" w:ascii="Times New Roman" w:hAnsi="Times New Roman" w:eastAsia="宋体" w:cs="Times New Roman"/>
          <w:color w:val="auto"/>
          <w:lang w:val="zh-CN"/>
        </w:rPr>
        <w:t>科、</w:t>
      </w:r>
      <w:r>
        <w:rPr>
          <w:rFonts w:hint="default" w:ascii="Times New Roman" w:hAnsi="Times New Roman" w:eastAsia="宋体" w:cs="Times New Roman"/>
          <w:color w:val="auto"/>
        </w:rPr>
        <w:t>15</w:t>
      </w:r>
      <w:r>
        <w:rPr>
          <w:rFonts w:hint="default" w:ascii="Times New Roman" w:hAnsi="Times New Roman" w:eastAsia="宋体" w:cs="Times New Roman"/>
          <w:color w:val="auto"/>
          <w:lang w:val="zh-CN"/>
        </w:rPr>
        <w:t>属、</w:t>
      </w:r>
      <w:r>
        <w:rPr>
          <w:rFonts w:hint="default" w:ascii="Times New Roman" w:hAnsi="Times New Roman" w:eastAsia="宋体" w:cs="Times New Roman"/>
          <w:color w:val="auto"/>
        </w:rPr>
        <w:t>20</w:t>
      </w:r>
      <w:r>
        <w:rPr>
          <w:rFonts w:hint="default" w:ascii="Times New Roman" w:hAnsi="Times New Roman" w:eastAsia="宋体" w:cs="Times New Roman"/>
          <w:color w:val="auto"/>
          <w:lang w:val="zh-CN"/>
        </w:rPr>
        <w:t>种；裸子植物有3科、4属、5种；被子植物有84科、308属、450种。陆生脊椎动物73种。</w:t>
      </w:r>
      <w:r>
        <w:rPr>
          <w:rFonts w:hint="default" w:ascii="Times New Roman" w:hAnsi="Times New Roman" w:eastAsia="宋体" w:cs="Times New Roman"/>
          <w:color w:val="auto"/>
        </w:rPr>
        <w:t>就评价区面积来说，物种较为多样。</w:t>
      </w:r>
    </w:p>
    <w:p w14:paraId="61CD4587">
      <w:pPr>
        <w:keepNext w:val="0"/>
        <w:keepLines w:val="0"/>
        <w:pageBreakBefore w:val="0"/>
        <w:widowControl w:val="0"/>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3）生物群落多样性</w:t>
      </w:r>
    </w:p>
    <w:p w14:paraId="1AF1485A">
      <w:pPr>
        <w:keepNext w:val="0"/>
        <w:keepLines w:val="0"/>
        <w:pageBreakBefore w:val="0"/>
        <w:widowControl w:val="0"/>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评价区内生态系统天然植物群落分布有3个群落，整体来说由于评价区呈条带化分布，生物群落并不丰富。</w:t>
      </w:r>
    </w:p>
    <w:p w14:paraId="35716549">
      <w:pPr>
        <w:keepNext w:val="0"/>
        <w:keepLines w:val="0"/>
        <w:pageBreakBefore w:val="0"/>
        <w:widowControl w:val="0"/>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4）遗传多样性</w:t>
      </w:r>
    </w:p>
    <w:p w14:paraId="5A476B06">
      <w:pPr>
        <w:keepNext w:val="0"/>
        <w:keepLines w:val="0"/>
        <w:pageBreakBefore w:val="0"/>
        <w:widowControl w:val="0"/>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本次评价主要采用形态学水平进行评价区内遗传多样性评价。评价区共调查到陆生维管束475种，陆生脊椎动物73种。评价区内各物种有效种群均较为稳定，远高于最小种群规模，性别比例趋近于1:1，生活史完整，从形态学角度未发现种群遗传存在明显不利因素和退化，种群内物种受人为干扰相对较小，遗传多样性较高。</w:t>
      </w:r>
    </w:p>
    <w:p w14:paraId="00E1A64A">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256" w:name="_Toc11209"/>
      <w:bookmarkStart w:id="257" w:name="_Toc3579"/>
      <w:r>
        <w:rPr>
          <w:rFonts w:hint="default" w:ascii="Times New Roman" w:hAnsi="Times New Roman" w:eastAsia="宋体" w:cs="Times New Roman"/>
          <w:bCs w:val="0"/>
          <w:color w:val="auto"/>
          <w:kern w:val="0"/>
          <w:sz w:val="28"/>
          <w:szCs w:val="28"/>
          <w:lang w:val="zh-CN"/>
        </w:rPr>
        <w:t>2.9 生态保护红线</w:t>
      </w:r>
      <w:bookmarkEnd w:id="256"/>
      <w:bookmarkEnd w:id="257"/>
    </w:p>
    <w:p w14:paraId="6BB527F1">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58" w:name="_Toc1181"/>
      <w:r>
        <w:rPr>
          <w:rFonts w:hint="default" w:ascii="Times New Roman" w:hAnsi="Times New Roman" w:cs="Times New Roman"/>
          <w:color w:val="auto"/>
          <w:sz w:val="24"/>
          <w:szCs w:val="24"/>
        </w:rPr>
        <w:t>2.9.1生态保护红线概况</w:t>
      </w:r>
      <w:bookmarkEnd w:id="258"/>
    </w:p>
    <w:p w14:paraId="1FCA3833">
      <w:pPr>
        <w:adjustRightInd w:val="0"/>
        <w:snapToGrid w:val="0"/>
        <w:spacing w:after="0" w:line="440" w:lineRule="exact"/>
        <w:ind w:firstLine="480"/>
        <w:rPr>
          <w:rFonts w:hint="default" w:ascii="Times New Roman" w:hAnsi="Times New Roman" w:cs="Times New Roman"/>
          <w:color w:val="auto"/>
          <w:szCs w:val="24"/>
        </w:rPr>
      </w:pPr>
      <w:r>
        <w:rPr>
          <w:rFonts w:hint="default" w:ascii="Times New Roman" w:hAnsi="Times New Roman" w:eastAsia="宋体" w:cs="Times New Roman"/>
          <w:color w:val="auto"/>
          <w:szCs w:val="24"/>
        </w:rPr>
        <w:t>2018年6月29日，云南省人民政府印发《云南省人民政府关于发布云南省生态保护红线的通知》</w:t>
      </w:r>
      <w:r>
        <w:rPr>
          <w:rFonts w:hint="eastAsia" w:ascii="Times New Roman" w:hAnsi="Times New Roman" w:eastAsia="宋体" w:cs="Times New Roman"/>
          <w:color w:val="auto"/>
          <w:szCs w:val="24"/>
          <w:lang w:eastAsia="zh-CN"/>
        </w:rPr>
        <w:t>（</w:t>
      </w:r>
      <w:r>
        <w:rPr>
          <w:rFonts w:hint="default" w:ascii="Times New Roman" w:hAnsi="Times New Roman" w:eastAsia="宋体" w:cs="Times New Roman"/>
          <w:color w:val="auto"/>
          <w:szCs w:val="24"/>
        </w:rPr>
        <w:t>云政发〔2018〕32号</w:t>
      </w:r>
      <w:r>
        <w:rPr>
          <w:rFonts w:hint="eastAsia" w:ascii="Times New Roman" w:hAnsi="Times New Roman" w:eastAsia="宋体" w:cs="Times New Roman"/>
          <w:color w:val="auto"/>
          <w:szCs w:val="24"/>
          <w:lang w:eastAsia="zh-CN"/>
        </w:rPr>
        <w:t>）</w:t>
      </w:r>
      <w:r>
        <w:rPr>
          <w:rFonts w:hint="default" w:ascii="Times New Roman" w:hAnsi="Times New Roman" w:eastAsia="宋体" w:cs="Times New Roman"/>
          <w:color w:val="auto"/>
          <w:szCs w:val="24"/>
        </w:rPr>
        <w:t>。项目涉及金沙江下游—小江流域水土流失控制生态保护红线。该区域位于我省东北部，涉及昆明、曲靖、昭通等3个市，面积0.73万平方千米，占全省生态保护红线面积的6.17%，是高原边缘的中山峡谷区，四季分明，夏季高温多雨、冬季温和湿润。植被以半湿润常绿阔叶林、落叶阔叶林、暖温性针叶林、亚高山草甸等为代表。重点保护物种有金钱豹、云豹、小熊猫、大灵猫、大鲵、南方红豆杉、珙桐、连香树、异颖草等珍稀动植物。已建有云南大山包黑颈鹤国家级自然保护区、云南药山国家级自然保护区、云南乌蒙山国家级自然保护区、云南会泽黑颈鹤国家级自然保护区等保护地。</w:t>
      </w:r>
    </w:p>
    <w:p w14:paraId="2BDAADE8">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59" w:name="_Toc22733"/>
      <w:r>
        <w:rPr>
          <w:rFonts w:hint="default" w:ascii="Times New Roman" w:hAnsi="Times New Roman" w:cs="Times New Roman"/>
          <w:color w:val="auto"/>
          <w:sz w:val="24"/>
          <w:szCs w:val="24"/>
        </w:rPr>
        <w:t>2.9.2工程与生态保护红线的位置关系</w:t>
      </w:r>
      <w:bookmarkEnd w:id="259"/>
    </w:p>
    <w:p w14:paraId="7F4E6BA7">
      <w:pPr>
        <w:adjustRightInd w:val="0"/>
        <w:snapToGrid w:val="0"/>
        <w:spacing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bCs/>
          <w:color w:val="auto"/>
        </w:rPr>
        <w:t>根据资料，</w:t>
      </w:r>
      <w:r>
        <w:rPr>
          <w:rFonts w:hint="default" w:ascii="Times New Roman" w:hAnsi="Times New Roman" w:eastAsia="宋体" w:cs="Times New Roman"/>
          <w:b w:val="0"/>
          <w:bCs/>
          <w:color w:val="auto"/>
          <w:sz w:val="24"/>
        </w:rPr>
        <w:t>项目输电线路</w:t>
      </w:r>
      <w:r>
        <w:rPr>
          <w:rFonts w:hint="default" w:ascii="Times New Roman" w:hAnsi="Times New Roman" w:eastAsia="宋体" w:cs="Times New Roman"/>
          <w:b w:val="0"/>
          <w:bCs/>
          <w:color w:val="auto"/>
          <w:sz w:val="24"/>
          <w:lang w:val="en-US" w:eastAsia="zh-CN"/>
        </w:rPr>
        <w:t>不</w:t>
      </w:r>
      <w:r>
        <w:rPr>
          <w:rFonts w:hint="default" w:ascii="Times New Roman" w:hAnsi="Times New Roman" w:eastAsia="宋体" w:cs="Times New Roman"/>
          <w:b w:val="0"/>
          <w:bCs/>
          <w:color w:val="auto"/>
          <w:sz w:val="24"/>
        </w:rPr>
        <w:t>涉及占用生态保护红线，经进一步核查，</w:t>
      </w:r>
      <w:r>
        <w:rPr>
          <w:rFonts w:hint="default" w:ascii="Times New Roman" w:hAnsi="Times New Roman" w:eastAsia="宋体" w:cs="Times New Roman"/>
          <w:b w:val="0"/>
          <w:bCs/>
          <w:color w:val="auto"/>
          <w:sz w:val="24"/>
          <w:lang w:val="en-US" w:eastAsia="zh-CN"/>
        </w:rPr>
        <w:t>输电</w:t>
      </w:r>
      <w:r>
        <w:rPr>
          <w:rFonts w:hint="eastAsia" w:ascii="Times New Roman" w:hAnsi="Times New Roman" w:eastAsia="宋体" w:cs="Times New Roman"/>
          <w:b w:val="0"/>
          <w:bCs/>
          <w:color w:val="auto"/>
          <w:sz w:val="24"/>
          <w:lang w:val="en-US" w:eastAsia="zh-CN"/>
        </w:rPr>
        <w:t>线路</w:t>
      </w:r>
      <w:r>
        <w:rPr>
          <w:rFonts w:hint="default" w:ascii="Times New Roman" w:hAnsi="Times New Roman" w:eastAsia="宋体" w:cs="Times New Roman"/>
          <w:b w:val="0"/>
          <w:bCs/>
          <w:color w:val="auto"/>
          <w:sz w:val="24"/>
          <w:lang w:val="en-US" w:eastAsia="zh-CN"/>
        </w:rPr>
        <w:t>塔基N7~N8之间约89.2m跨越金沙江下游—小江流域水土流失控制生态保护红线，不在生态保护红线内立塔</w:t>
      </w:r>
      <w:r>
        <w:rPr>
          <w:rFonts w:hint="eastAsia" w:ascii="Times New Roman" w:hAnsi="Times New Roman" w:eastAsia="宋体" w:cs="Times New Roman"/>
          <w:b w:val="0"/>
          <w:bCs/>
          <w:color w:val="auto"/>
          <w:sz w:val="24"/>
          <w:lang w:val="en-US" w:eastAsia="zh-CN"/>
        </w:rPr>
        <w:t>，距离塔基N7为6m，距离塔基N8为8m。</w:t>
      </w:r>
    </w:p>
    <w:p w14:paraId="7E84E5B8">
      <w:pPr>
        <w:pStyle w:val="73"/>
        <w:snapToGrid w:val="0"/>
        <w:spacing w:after="0" w:line="240" w:lineRule="auto"/>
        <w:ind w:firstLine="474"/>
        <w:jc w:val="center"/>
        <w:outlineLvl w:val="9"/>
        <w:rPr>
          <w:rFonts w:hint="default" w:ascii="Times New Roman" w:hAnsi="Times New Roman" w:eastAsia="宋体" w:cs="Times New Roman"/>
          <w:bCs/>
          <w:color w:val="auto"/>
          <w:spacing w:val="-2"/>
          <w:sz w:val="24"/>
          <w:szCs w:val="24"/>
        </w:rPr>
      </w:pPr>
      <w:r>
        <w:rPr>
          <w:rFonts w:hint="default" w:ascii="Times New Roman" w:hAnsi="Times New Roman" w:eastAsia="宋体" w:cs="Times New Roman"/>
          <w:bCs/>
          <w:color w:val="auto"/>
          <w:spacing w:val="-2"/>
          <w:sz w:val="24"/>
          <w:szCs w:val="24"/>
        </w:rPr>
        <w:t>表2.9-1  工程涉及生态保护红线一览表</w:t>
      </w:r>
    </w:p>
    <w:tbl>
      <w:tblPr>
        <w:tblStyle w:val="91"/>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178"/>
        <w:gridCol w:w="686"/>
        <w:gridCol w:w="1154"/>
        <w:gridCol w:w="2756"/>
        <w:gridCol w:w="2006"/>
        <w:gridCol w:w="755"/>
      </w:tblGrid>
      <w:tr w14:paraId="7FE8ECF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690" w:type="pct"/>
            <w:tcBorders>
              <w:tl2br w:val="nil"/>
              <w:tr2bl w:val="nil"/>
            </w:tcBorders>
            <w:vAlign w:val="center"/>
          </w:tcPr>
          <w:p w14:paraId="4B6DAE04">
            <w:pPr>
              <w:autoSpaceDE/>
              <w:autoSpaceDN/>
              <w:spacing w:after="0" w:line="240" w:lineRule="auto"/>
              <w:ind w:firstLine="0" w:firstLineChars="0"/>
              <w:jc w:val="center"/>
              <w:rPr>
                <w:rFonts w:hint="default" w:ascii="Times New Roman" w:hAnsi="Times New Roman" w:eastAsia="宋体" w:cs="Times New Roman"/>
                <w:b/>
                <w:bCs/>
                <w:color w:val="auto"/>
                <w:sz w:val="21"/>
                <w:szCs w:val="21"/>
                <w:lang w:eastAsia="en-US"/>
              </w:rPr>
            </w:pPr>
            <w:r>
              <w:rPr>
                <w:rFonts w:hint="default" w:ascii="Times New Roman" w:hAnsi="Times New Roman" w:eastAsia="宋体" w:cs="Times New Roman"/>
                <w:b/>
                <w:bCs/>
                <w:color w:val="auto"/>
                <w:sz w:val="21"/>
                <w:szCs w:val="21"/>
                <w:lang w:eastAsia="en-US"/>
              </w:rPr>
              <w:t>工程内容</w:t>
            </w:r>
          </w:p>
        </w:tc>
        <w:tc>
          <w:tcPr>
            <w:tcW w:w="402" w:type="pct"/>
            <w:tcBorders>
              <w:tl2br w:val="nil"/>
              <w:tr2bl w:val="nil"/>
            </w:tcBorders>
            <w:vAlign w:val="center"/>
          </w:tcPr>
          <w:p w14:paraId="49B9B821">
            <w:pPr>
              <w:autoSpaceDE/>
              <w:autoSpaceDN/>
              <w:spacing w:after="0" w:line="240" w:lineRule="auto"/>
              <w:ind w:firstLine="0" w:firstLineChars="0"/>
              <w:jc w:val="center"/>
              <w:rPr>
                <w:rFonts w:hint="default" w:ascii="Times New Roman" w:hAnsi="Times New Roman" w:eastAsia="宋体" w:cs="Times New Roman"/>
                <w:b/>
                <w:bCs/>
                <w:color w:val="auto"/>
                <w:sz w:val="21"/>
                <w:szCs w:val="21"/>
                <w:lang w:eastAsia="en-US"/>
              </w:rPr>
            </w:pPr>
            <w:r>
              <w:rPr>
                <w:rFonts w:hint="default" w:ascii="Times New Roman" w:hAnsi="Times New Roman" w:eastAsia="宋体" w:cs="Times New Roman"/>
                <w:b/>
                <w:bCs/>
                <w:color w:val="auto"/>
                <w:sz w:val="21"/>
                <w:szCs w:val="21"/>
                <w:lang w:eastAsia="en-US"/>
              </w:rPr>
              <w:t>涉及区县</w:t>
            </w:r>
          </w:p>
        </w:tc>
        <w:tc>
          <w:tcPr>
            <w:tcW w:w="675" w:type="pct"/>
            <w:tcBorders>
              <w:tl2br w:val="nil"/>
              <w:tr2bl w:val="nil"/>
            </w:tcBorders>
            <w:vAlign w:val="center"/>
          </w:tcPr>
          <w:p w14:paraId="74D99A4F">
            <w:pPr>
              <w:autoSpaceDE/>
              <w:autoSpaceDN/>
              <w:spacing w:after="0" w:line="240" w:lineRule="auto"/>
              <w:ind w:firstLine="0" w:firstLineChars="0"/>
              <w:jc w:val="center"/>
              <w:rPr>
                <w:rFonts w:hint="default" w:ascii="Times New Roman" w:hAnsi="Times New Roman" w:eastAsia="宋体" w:cs="Times New Roman"/>
                <w:b/>
                <w:bCs/>
                <w:color w:val="auto"/>
                <w:sz w:val="21"/>
                <w:szCs w:val="21"/>
                <w:lang w:eastAsia="en-US"/>
              </w:rPr>
            </w:pPr>
            <w:r>
              <w:rPr>
                <w:rFonts w:hint="default" w:ascii="Times New Roman" w:hAnsi="Times New Roman" w:eastAsia="宋体" w:cs="Times New Roman"/>
                <w:b/>
                <w:bCs/>
                <w:color w:val="auto"/>
                <w:sz w:val="21"/>
                <w:szCs w:val="21"/>
                <w:lang w:eastAsia="zh-CN"/>
              </w:rPr>
              <w:t>总路径长度/塔基数量</w:t>
            </w:r>
          </w:p>
        </w:tc>
        <w:tc>
          <w:tcPr>
            <w:tcW w:w="1614" w:type="pct"/>
            <w:tcBorders>
              <w:tl2br w:val="nil"/>
              <w:tr2bl w:val="nil"/>
            </w:tcBorders>
            <w:vAlign w:val="center"/>
          </w:tcPr>
          <w:p w14:paraId="5B01BE1C">
            <w:pPr>
              <w:autoSpaceDE/>
              <w:autoSpaceDN/>
              <w:spacing w:after="0" w:line="240" w:lineRule="auto"/>
              <w:ind w:firstLine="0" w:firstLineChars="0"/>
              <w:jc w:val="center"/>
              <w:rPr>
                <w:rFonts w:hint="default" w:ascii="Times New Roman" w:hAnsi="Times New Roman" w:eastAsia="宋体" w:cs="Times New Roman"/>
                <w:b/>
                <w:bCs/>
                <w:color w:val="auto"/>
                <w:sz w:val="21"/>
                <w:szCs w:val="21"/>
                <w:lang w:eastAsia="en-US"/>
              </w:rPr>
            </w:pPr>
            <w:r>
              <w:rPr>
                <w:rFonts w:hint="default" w:ascii="Times New Roman" w:hAnsi="Times New Roman" w:eastAsia="宋体" w:cs="Times New Roman"/>
                <w:b/>
                <w:bCs/>
                <w:color w:val="auto"/>
                <w:sz w:val="21"/>
                <w:szCs w:val="21"/>
                <w:lang w:eastAsia="zh-CN"/>
              </w:rPr>
              <w:t>跨越生态保护红线</w:t>
            </w:r>
            <w:r>
              <w:rPr>
                <w:rFonts w:hint="default" w:ascii="Times New Roman" w:hAnsi="Times New Roman" w:eastAsia="宋体" w:cs="Times New Roman"/>
                <w:b/>
                <w:bCs/>
                <w:color w:val="auto"/>
                <w:sz w:val="21"/>
                <w:szCs w:val="21"/>
                <w:lang w:eastAsia="en-US"/>
              </w:rPr>
              <w:t>长度</w:t>
            </w:r>
          </w:p>
        </w:tc>
        <w:tc>
          <w:tcPr>
            <w:tcW w:w="1175" w:type="pct"/>
            <w:tcBorders>
              <w:tl2br w:val="nil"/>
              <w:tr2bl w:val="nil"/>
            </w:tcBorders>
            <w:vAlign w:val="center"/>
          </w:tcPr>
          <w:p w14:paraId="6CE72A49">
            <w:pPr>
              <w:autoSpaceDE/>
              <w:autoSpaceDN/>
              <w:spacing w:after="0" w:line="240" w:lineRule="auto"/>
              <w:ind w:firstLine="0" w:firstLineChars="0"/>
              <w:jc w:val="center"/>
              <w:rPr>
                <w:rFonts w:hint="default" w:ascii="Times New Roman" w:hAnsi="Times New Roman" w:eastAsia="宋体" w:cs="Times New Roman"/>
                <w:b/>
                <w:bCs/>
                <w:color w:val="auto"/>
                <w:sz w:val="21"/>
                <w:szCs w:val="21"/>
                <w:lang w:eastAsia="en-US"/>
              </w:rPr>
            </w:pPr>
            <w:r>
              <w:rPr>
                <w:rFonts w:hint="default" w:ascii="Times New Roman" w:hAnsi="Times New Roman" w:eastAsia="宋体" w:cs="Times New Roman"/>
                <w:b/>
                <w:bCs/>
                <w:color w:val="auto"/>
                <w:sz w:val="21"/>
                <w:szCs w:val="21"/>
                <w:lang w:eastAsia="zh-CN"/>
              </w:rPr>
              <w:t>生态保护红线</w:t>
            </w:r>
            <w:r>
              <w:rPr>
                <w:rFonts w:hint="default" w:ascii="Times New Roman" w:hAnsi="Times New Roman" w:eastAsia="宋体" w:cs="Times New Roman"/>
                <w:b/>
                <w:bCs/>
                <w:color w:val="auto"/>
                <w:sz w:val="21"/>
                <w:szCs w:val="21"/>
                <w:lang w:eastAsia="en-US"/>
              </w:rPr>
              <w:t>类型</w:t>
            </w:r>
          </w:p>
        </w:tc>
        <w:tc>
          <w:tcPr>
            <w:tcW w:w="442" w:type="pct"/>
            <w:tcBorders>
              <w:tl2br w:val="nil"/>
              <w:tr2bl w:val="nil"/>
            </w:tcBorders>
            <w:vAlign w:val="center"/>
          </w:tcPr>
          <w:p w14:paraId="7B4E24DB">
            <w:pPr>
              <w:autoSpaceDE/>
              <w:autoSpaceDN/>
              <w:spacing w:after="0" w:line="240" w:lineRule="auto"/>
              <w:ind w:firstLine="0" w:firstLineChars="0"/>
              <w:jc w:val="center"/>
              <w:rPr>
                <w:rFonts w:hint="default" w:ascii="Times New Roman" w:hAnsi="Times New Roman" w:eastAsia="宋体" w:cs="Times New Roman"/>
                <w:b/>
                <w:bCs/>
                <w:color w:val="auto"/>
                <w:sz w:val="21"/>
                <w:szCs w:val="21"/>
                <w:lang w:eastAsia="en-US"/>
              </w:rPr>
            </w:pPr>
            <w:r>
              <w:rPr>
                <w:rFonts w:hint="default" w:ascii="Times New Roman" w:hAnsi="Times New Roman" w:eastAsia="宋体" w:cs="Times New Roman"/>
                <w:b/>
                <w:bCs/>
                <w:color w:val="auto"/>
                <w:sz w:val="21"/>
                <w:szCs w:val="21"/>
                <w:lang w:eastAsia="en-US"/>
              </w:rPr>
              <w:t>主导功能</w:t>
            </w:r>
          </w:p>
        </w:tc>
      </w:tr>
      <w:tr w14:paraId="2B1478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690" w:type="pct"/>
            <w:tcBorders>
              <w:tl2br w:val="nil"/>
              <w:tr2bl w:val="nil"/>
            </w:tcBorders>
            <w:vAlign w:val="center"/>
          </w:tcPr>
          <w:p w14:paraId="25D72F2C">
            <w:pPr>
              <w:autoSpaceDE/>
              <w:autoSpaceDN/>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zh-CN"/>
              </w:rPr>
              <w:t>220kV送出线路工程</w:t>
            </w:r>
          </w:p>
        </w:tc>
        <w:tc>
          <w:tcPr>
            <w:tcW w:w="402" w:type="pct"/>
            <w:tcBorders>
              <w:tl2br w:val="nil"/>
              <w:tr2bl w:val="nil"/>
            </w:tcBorders>
            <w:vAlign w:val="center"/>
          </w:tcPr>
          <w:p w14:paraId="4B397F6E">
            <w:pPr>
              <w:autoSpaceDE/>
              <w:autoSpaceDN/>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zh-CN"/>
              </w:rPr>
              <w:t>会泽县</w:t>
            </w:r>
          </w:p>
        </w:tc>
        <w:tc>
          <w:tcPr>
            <w:tcW w:w="675" w:type="pct"/>
            <w:tcBorders>
              <w:tl2br w:val="nil"/>
              <w:tr2bl w:val="nil"/>
            </w:tcBorders>
            <w:vAlign w:val="center"/>
          </w:tcPr>
          <w:p w14:paraId="77DA6DA2">
            <w:pPr>
              <w:autoSpaceDE/>
              <w:autoSpaceDN/>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zh-CN"/>
              </w:rPr>
              <w:t>16/45</w:t>
            </w:r>
          </w:p>
        </w:tc>
        <w:tc>
          <w:tcPr>
            <w:tcW w:w="1614" w:type="pct"/>
            <w:tcBorders>
              <w:tl2br w:val="nil"/>
              <w:tr2bl w:val="nil"/>
            </w:tcBorders>
            <w:vAlign w:val="center"/>
          </w:tcPr>
          <w:p w14:paraId="11ACD56B">
            <w:pPr>
              <w:autoSpaceDE/>
              <w:autoSpaceDN/>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en-US"/>
              </w:rPr>
              <w:t>N</w:t>
            </w:r>
            <w:r>
              <w:rPr>
                <w:rFonts w:hint="default" w:ascii="Times New Roman" w:hAnsi="Times New Roman" w:eastAsia="宋体" w:cs="Times New Roman"/>
                <w:color w:val="auto"/>
                <w:sz w:val="21"/>
                <w:szCs w:val="21"/>
                <w:lang w:eastAsia="zh-CN"/>
              </w:rPr>
              <w:t>7</w:t>
            </w:r>
            <w:r>
              <w:rPr>
                <w:rFonts w:hint="default" w:ascii="Times New Roman" w:hAnsi="Times New Roman" w:eastAsia="宋体" w:cs="Times New Roman"/>
                <w:color w:val="auto"/>
                <w:sz w:val="21"/>
                <w:szCs w:val="21"/>
                <w:lang w:eastAsia="en-US"/>
              </w:rPr>
              <w:t>~N</w:t>
            </w:r>
            <w:r>
              <w:rPr>
                <w:rFonts w:hint="default" w:ascii="Times New Roman" w:hAnsi="Times New Roman" w:eastAsia="宋体" w:cs="Times New Roman"/>
                <w:color w:val="auto"/>
                <w:sz w:val="21"/>
                <w:szCs w:val="21"/>
                <w:lang w:eastAsia="zh-CN"/>
              </w:rPr>
              <w:t>8</w:t>
            </w:r>
            <w:r>
              <w:rPr>
                <w:rFonts w:hint="default" w:ascii="Times New Roman" w:hAnsi="Times New Roman" w:eastAsia="宋体" w:cs="Times New Roman"/>
                <w:color w:val="auto"/>
                <w:sz w:val="21"/>
                <w:szCs w:val="21"/>
                <w:lang w:eastAsia="en-US"/>
              </w:rPr>
              <w:t>段</w:t>
            </w:r>
            <w:r>
              <w:rPr>
                <w:rFonts w:hint="default" w:ascii="Times New Roman" w:hAnsi="Times New Roman" w:eastAsia="宋体" w:cs="Times New Roman"/>
                <w:color w:val="auto"/>
                <w:sz w:val="21"/>
                <w:szCs w:val="21"/>
                <w:lang w:eastAsia="zh-CN"/>
              </w:rPr>
              <w:t>89.2m</w:t>
            </w:r>
          </w:p>
        </w:tc>
        <w:tc>
          <w:tcPr>
            <w:tcW w:w="1175" w:type="pct"/>
            <w:vMerge w:val="restart"/>
            <w:tcBorders>
              <w:tl2br w:val="nil"/>
              <w:tr2bl w:val="nil"/>
            </w:tcBorders>
            <w:vAlign w:val="center"/>
          </w:tcPr>
          <w:p w14:paraId="2E841D33">
            <w:pPr>
              <w:autoSpaceDE/>
              <w:autoSpaceDN/>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zh-CN"/>
              </w:rPr>
              <w:t>金沙江下游—小江流域水土流失控制生态保护红线</w:t>
            </w:r>
          </w:p>
        </w:tc>
        <w:tc>
          <w:tcPr>
            <w:tcW w:w="442" w:type="pct"/>
            <w:vMerge w:val="restart"/>
            <w:tcBorders>
              <w:tl2br w:val="nil"/>
              <w:tr2bl w:val="nil"/>
            </w:tcBorders>
            <w:vAlign w:val="center"/>
          </w:tcPr>
          <w:p w14:paraId="1D60F144">
            <w:pPr>
              <w:autoSpaceDE/>
              <w:autoSpaceDN/>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zh-CN"/>
              </w:rPr>
              <w:t>水土保持</w:t>
            </w:r>
          </w:p>
        </w:tc>
      </w:tr>
      <w:tr w14:paraId="4735B2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768" w:type="pct"/>
            <w:gridSpan w:val="3"/>
            <w:tcBorders>
              <w:tl2br w:val="nil"/>
              <w:tr2bl w:val="nil"/>
            </w:tcBorders>
            <w:vAlign w:val="center"/>
          </w:tcPr>
          <w:p w14:paraId="4B71B5EF">
            <w:pPr>
              <w:autoSpaceDE/>
              <w:autoSpaceDN/>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zh-CN"/>
              </w:rPr>
              <w:t>小计</w:t>
            </w:r>
          </w:p>
        </w:tc>
        <w:tc>
          <w:tcPr>
            <w:tcW w:w="1614" w:type="pct"/>
            <w:tcBorders>
              <w:tl2br w:val="nil"/>
              <w:tr2bl w:val="nil"/>
            </w:tcBorders>
            <w:vAlign w:val="center"/>
          </w:tcPr>
          <w:p w14:paraId="645D649E">
            <w:pPr>
              <w:autoSpaceDE/>
              <w:autoSpaceDN/>
              <w:spacing w:after="0" w:line="240" w:lineRule="auto"/>
              <w:ind w:firstLine="0" w:firstLineChars="0"/>
              <w:jc w:val="center"/>
              <w:rPr>
                <w:rFonts w:hint="default" w:ascii="Times New Roman" w:hAnsi="Times New Roman" w:eastAsia="宋体" w:cs="Times New Roman"/>
                <w:color w:val="auto"/>
                <w:sz w:val="21"/>
                <w:szCs w:val="21"/>
                <w:lang w:eastAsia="en-US"/>
              </w:rPr>
            </w:pPr>
            <w:r>
              <w:rPr>
                <w:rFonts w:hint="default" w:ascii="Times New Roman" w:hAnsi="Times New Roman" w:eastAsia="宋体" w:cs="Times New Roman"/>
                <w:color w:val="auto"/>
                <w:sz w:val="21"/>
                <w:szCs w:val="21"/>
                <w:lang w:eastAsia="zh-CN"/>
              </w:rPr>
              <w:t>89.2m</w:t>
            </w:r>
          </w:p>
        </w:tc>
        <w:tc>
          <w:tcPr>
            <w:tcW w:w="1175" w:type="pct"/>
            <w:vMerge w:val="continue"/>
            <w:tcBorders>
              <w:tl2br w:val="nil"/>
              <w:tr2bl w:val="nil"/>
            </w:tcBorders>
            <w:vAlign w:val="center"/>
          </w:tcPr>
          <w:p w14:paraId="6DE9F695">
            <w:pPr>
              <w:autoSpaceDE/>
              <w:autoSpaceDN/>
              <w:spacing w:after="0" w:line="240" w:lineRule="auto"/>
              <w:ind w:firstLine="0" w:firstLineChars="0"/>
              <w:jc w:val="center"/>
              <w:rPr>
                <w:rFonts w:hint="default" w:ascii="Times New Roman" w:hAnsi="Times New Roman" w:eastAsia="宋体" w:cs="Times New Roman"/>
                <w:color w:val="auto"/>
                <w:sz w:val="21"/>
                <w:szCs w:val="21"/>
                <w:lang w:eastAsia="en-US"/>
              </w:rPr>
            </w:pPr>
          </w:p>
        </w:tc>
        <w:tc>
          <w:tcPr>
            <w:tcW w:w="442" w:type="pct"/>
            <w:vMerge w:val="continue"/>
            <w:tcBorders>
              <w:tl2br w:val="nil"/>
              <w:tr2bl w:val="nil"/>
            </w:tcBorders>
            <w:vAlign w:val="center"/>
          </w:tcPr>
          <w:p w14:paraId="43A5B5A1">
            <w:pPr>
              <w:autoSpaceDE/>
              <w:autoSpaceDN/>
              <w:spacing w:after="0" w:line="240" w:lineRule="auto"/>
              <w:ind w:firstLine="0" w:firstLineChars="0"/>
              <w:jc w:val="center"/>
              <w:rPr>
                <w:rFonts w:hint="default" w:ascii="Times New Roman" w:hAnsi="Times New Roman" w:eastAsia="宋体" w:cs="Times New Roman"/>
                <w:color w:val="auto"/>
                <w:sz w:val="21"/>
                <w:szCs w:val="21"/>
                <w:lang w:eastAsia="en-US"/>
              </w:rPr>
            </w:pPr>
          </w:p>
        </w:tc>
      </w:tr>
    </w:tbl>
    <w:p w14:paraId="721E65A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cs="Times New Roman"/>
          <w:color w:val="auto"/>
          <w:sz w:val="11"/>
          <w:szCs w:val="10"/>
        </w:rPr>
      </w:pPr>
    </w:p>
    <w:p w14:paraId="132F5213">
      <w:pPr>
        <w:pStyle w:val="1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drawing>
          <wp:anchor distT="0" distB="0" distL="114300" distR="114300" simplePos="0" relativeHeight="251675648" behindDoc="0" locked="0" layoutInCell="1" allowOverlap="1">
            <wp:simplePos x="0" y="0"/>
            <wp:positionH relativeFrom="column">
              <wp:posOffset>652145</wp:posOffset>
            </wp:positionH>
            <wp:positionV relativeFrom="paragraph">
              <wp:posOffset>3394075</wp:posOffset>
            </wp:positionV>
            <wp:extent cx="2647950" cy="1040130"/>
            <wp:effectExtent l="0" t="0" r="0" b="7620"/>
            <wp:wrapNone/>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33"/>
                    <a:stretch>
                      <a:fillRect/>
                    </a:stretch>
                  </pic:blipFill>
                  <pic:spPr>
                    <a:xfrm>
                      <a:off x="0" y="0"/>
                      <a:ext cx="2647950" cy="1040130"/>
                    </a:xfrm>
                    <a:prstGeom prst="rect">
                      <a:avLst/>
                    </a:prstGeom>
                    <a:noFill/>
                    <a:ln>
                      <a:noFill/>
                    </a:ln>
                  </pic:spPr>
                </pic:pic>
              </a:graphicData>
            </a:graphic>
          </wp:anchor>
        </w:drawing>
      </w:r>
      <w:r>
        <w:rPr>
          <w:rFonts w:hint="default" w:ascii="Times New Roman" w:hAnsi="Times New Roman" w:cs="Times New Roman"/>
          <w:color w:val="auto"/>
          <w:sz w:val="24"/>
          <w:szCs w:val="24"/>
        </w:rPr>
        <w:drawing>
          <wp:anchor distT="0" distB="0" distL="114300" distR="114300" simplePos="0" relativeHeight="251674624" behindDoc="0" locked="0" layoutInCell="1" allowOverlap="1">
            <wp:simplePos x="0" y="0"/>
            <wp:positionH relativeFrom="column">
              <wp:posOffset>4191000</wp:posOffset>
            </wp:positionH>
            <wp:positionV relativeFrom="paragraph">
              <wp:posOffset>139065</wp:posOffset>
            </wp:positionV>
            <wp:extent cx="619760" cy="659130"/>
            <wp:effectExtent l="0" t="0" r="8890" b="7620"/>
            <wp:wrapNone/>
            <wp:docPr id="66" name="图片 66" descr="风玫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风玫瑰"/>
                    <pic:cNvPicPr>
                      <a:picLocks noChangeAspect="1"/>
                    </pic:cNvPicPr>
                  </pic:nvPicPr>
                  <pic:blipFill>
                    <a:blip r:embed="rId34"/>
                    <a:stretch>
                      <a:fillRect/>
                    </a:stretch>
                  </pic:blipFill>
                  <pic:spPr>
                    <a:xfrm>
                      <a:off x="0" y="0"/>
                      <a:ext cx="619760" cy="659130"/>
                    </a:xfrm>
                    <a:prstGeom prst="rect">
                      <a:avLst/>
                    </a:prstGeom>
                  </pic:spPr>
                </pic:pic>
              </a:graphicData>
            </a:graphic>
          </wp:anchor>
        </w:drawing>
      </w:r>
      <w:r>
        <w:rPr>
          <w:rFonts w:hint="default" w:ascii="Times New Roman" w:hAnsi="Times New Roman" w:cs="Times New Roman"/>
          <w:color w:val="auto"/>
          <w:sz w:val="24"/>
          <w:szCs w:val="24"/>
        </w:rPr>
        <w:drawing>
          <wp:inline distT="0" distB="0" distL="114300" distR="114300">
            <wp:extent cx="5144135" cy="4739005"/>
            <wp:effectExtent l="0" t="0" r="18415" b="444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35"/>
                    <a:stretch>
                      <a:fillRect/>
                    </a:stretch>
                  </pic:blipFill>
                  <pic:spPr>
                    <a:xfrm>
                      <a:off x="0" y="0"/>
                      <a:ext cx="5144135" cy="4739005"/>
                    </a:xfrm>
                    <a:prstGeom prst="rect">
                      <a:avLst/>
                    </a:prstGeom>
                    <a:noFill/>
                    <a:ln>
                      <a:noFill/>
                    </a:ln>
                  </pic:spPr>
                </pic:pic>
              </a:graphicData>
            </a:graphic>
          </wp:inline>
        </w:drawing>
      </w:r>
    </w:p>
    <w:p w14:paraId="196C6D9C">
      <w:pPr>
        <w:pStyle w:val="1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图2.9-1  项目跨越生态保护红线位置关系图</w:t>
      </w:r>
    </w:p>
    <w:p w14:paraId="6FB5B0D1">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60" w:name="_Toc11364"/>
      <w:r>
        <w:rPr>
          <w:rFonts w:hint="default" w:ascii="Times New Roman" w:hAnsi="Times New Roman" w:cs="Times New Roman"/>
          <w:color w:val="auto"/>
          <w:sz w:val="24"/>
          <w:szCs w:val="24"/>
        </w:rPr>
        <w:t>2.9.3</w:t>
      </w:r>
      <w:r>
        <w:rPr>
          <w:rFonts w:hint="default" w:ascii="Times New Roman" w:hAnsi="Times New Roman" w:cs="Times New Roman"/>
          <w:color w:val="auto"/>
          <w:spacing w:val="-1"/>
          <w:sz w:val="24"/>
        </w:rPr>
        <w:t>项目线路不可避让生态保护红线分析</w:t>
      </w:r>
      <w:bookmarkEnd w:id="260"/>
    </w:p>
    <w:p w14:paraId="284D3624">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根据前文分析，本工程输变电线路跨越生态保护红线共计89.2m，不在生态保护红线范围内立塔，跨越金沙江下游—小江流域水土流失控制生态保护红线。本项目线路不可避让跨越生态保护红线分析如下：</w:t>
      </w:r>
    </w:p>
    <w:p w14:paraId="3522D26E">
      <w:pPr>
        <w:keepNext/>
        <w:keepLines/>
        <w:widowControl/>
        <w:numPr>
          <w:ilvl w:val="3"/>
          <w:numId w:val="0"/>
        </w:numPr>
        <w:adjustRightInd w:val="0"/>
        <w:snapToGrid w:val="0"/>
        <w:spacing w:after="0" w:line="440" w:lineRule="exact"/>
        <w:ind w:firstLine="422" w:firstLineChars="200"/>
        <w:outlineLvl w:val="3"/>
        <w:rPr>
          <w:rFonts w:hint="default" w:ascii="Times New Roman" w:hAnsi="Times New Roman" w:eastAsia="宋体" w:cs="Times New Roman"/>
          <w:b/>
          <w:bCs/>
          <w:color w:val="auto"/>
          <w:szCs w:val="28"/>
        </w:rPr>
      </w:pPr>
      <w:r>
        <w:rPr>
          <w:rFonts w:hint="default" w:ascii="Times New Roman" w:hAnsi="Times New Roman" w:eastAsia="宋体" w:cs="Times New Roman"/>
          <w:b/>
          <w:bCs/>
          <w:color w:val="auto"/>
          <w:szCs w:val="28"/>
        </w:rPr>
        <w:t>2.9.3.1总体路径方案不可避让分析</w:t>
      </w:r>
    </w:p>
    <w:p w14:paraId="13EF8727">
      <w:pPr>
        <w:adjustRightInd w:val="0"/>
        <w:snapToGrid w:val="0"/>
        <w:spacing w:line="440" w:lineRule="exact"/>
        <w:ind w:firstLine="480"/>
        <w:rPr>
          <w:rFonts w:hint="default" w:ascii="Times New Roman" w:hAnsi="Times New Roman" w:eastAsia="宋体" w:cs="Times New Roman"/>
          <w:color w:val="auto"/>
          <w:szCs w:val="24"/>
        </w:rPr>
      </w:pPr>
      <w:r>
        <w:rPr>
          <w:rFonts w:hint="default" w:ascii="Times New Roman" w:hAnsi="Times New Roman" w:cs="Times New Roman"/>
          <w:color w:val="auto"/>
          <w:szCs w:val="24"/>
        </w:rPr>
        <w:t>根据线路路径方案拟定原则，同时结合室内选线和实地勘察，对线路路径进行优化，结合设计报告资料，新建110kV线路两个比选方案，</w:t>
      </w:r>
      <w:r>
        <w:rPr>
          <w:rFonts w:hint="default" w:ascii="Times New Roman" w:hAnsi="Times New Roman" w:eastAsia="宋体" w:cs="Times New Roman"/>
          <w:color w:val="auto"/>
          <w:szCs w:val="24"/>
        </w:rPr>
        <w:t>线路均不涉及占用风景名胜、自然保护区、饮用水水源保护区</w:t>
      </w:r>
      <w:r>
        <w:rPr>
          <w:rFonts w:hint="default" w:ascii="Times New Roman" w:hAnsi="Times New Roman" w:cs="Times New Roman"/>
          <w:color w:val="auto"/>
          <w:szCs w:val="24"/>
        </w:rPr>
        <w:t>，</w:t>
      </w:r>
      <w:r>
        <w:rPr>
          <w:rFonts w:hint="default" w:ascii="Times New Roman" w:hAnsi="Times New Roman" w:eastAsia="宋体" w:cs="Times New Roman"/>
          <w:color w:val="auto"/>
          <w:szCs w:val="24"/>
        </w:rPr>
        <w:t>线路多段位于山区，均能避让线路沿线居民点，在施工建设中避免了拆迁、补偿问题；线路沿线均有乡村道路和机耕道路，交通较为便利，材料运输、施工建设、运行检修较为方便。</w:t>
      </w:r>
    </w:p>
    <w:p w14:paraId="672097B1">
      <w:pPr>
        <w:adjustRightInd w:val="0"/>
        <w:snapToGrid w:val="0"/>
        <w:spacing w:line="440" w:lineRule="exact"/>
        <w:ind w:firstLine="480"/>
        <w:rPr>
          <w:rFonts w:hint="default" w:ascii="Times New Roman" w:hAnsi="Times New Roman" w:eastAsia="宋体" w:cs="Times New Roman"/>
          <w:bCs/>
          <w:color w:val="auto"/>
        </w:rPr>
      </w:pPr>
      <w:r>
        <w:rPr>
          <w:rFonts w:hint="default" w:ascii="Times New Roman" w:hAnsi="Times New Roman" w:eastAsia="宋体" w:cs="Times New Roman"/>
          <w:bCs/>
          <w:color w:val="auto"/>
        </w:rPr>
        <w:t>建设单位及设计单位经多次组织召开会议，对路径方案进行讨论、评审及地灾评估，拟定出了2个路径方案。经方案比选，结合工程设计及环境影响角度分析，本着“经济合理、统筹兼顾”的原则，项目110kV线路推荐方案一作为拟建线路路径，即：</w:t>
      </w:r>
      <w:r>
        <w:rPr>
          <w:rFonts w:hint="default" w:ascii="Times New Roman" w:hAnsi="Times New Roman" w:cs="Times New Roman"/>
          <w:color w:val="auto"/>
        </w:rPr>
        <w:t>从大草房光伏电站出线构架架空出线后，向北出线后右转从大山沟北面山脊走线，到达鲁珠河前右转，跨过鲁珠河，在山脊上跨过生态保护红线，在石堆窝北面跨过铜沟河到达水井湾和荒沟中间山顶，左转从水井湾和荒沟之间走线到荒沟北面，右转沿山脊到达马家田北面山脊，左转到达北面山脊，右转穿过500kV铜永甲线；到达上寨，右转在上寨、丁家塘、唐家小脑包、箐门前北面走线，在冷水沟前右转，从箐里头和包谷箐之间穿过到达六合一光伏电站西北面，连续右转和六合至乐业变220kV送出线路并排进入六合一光伏电站。</w:t>
      </w:r>
    </w:p>
    <w:p w14:paraId="686847CD">
      <w:pPr>
        <w:adjustRightInd w:val="0"/>
        <w:snapToGrid w:val="0"/>
        <w:spacing w:line="240" w:lineRule="auto"/>
        <w:ind w:firstLine="0" w:firstLineChars="0"/>
        <w:jc w:val="center"/>
        <w:rPr>
          <w:rFonts w:hint="default" w:ascii="Times New Roman" w:hAnsi="Times New Roman" w:eastAsia="宋体" w:cs="Times New Roman"/>
          <w:b/>
          <w:bCs/>
          <w:color w:val="auto"/>
          <w:szCs w:val="24"/>
        </w:rPr>
      </w:pPr>
      <w:r>
        <w:rPr>
          <w:rFonts w:hint="default" w:ascii="Times New Roman" w:hAnsi="Times New Roman" w:cs="Times New Roman"/>
          <w:color w:val="auto"/>
        </w:rPr>
        <mc:AlternateContent>
          <mc:Choice Requires="wps">
            <w:drawing>
              <wp:anchor distT="0" distB="0" distL="114300" distR="114300" simplePos="0" relativeHeight="251677696" behindDoc="0" locked="0" layoutInCell="1" allowOverlap="1">
                <wp:simplePos x="0" y="0"/>
                <wp:positionH relativeFrom="column">
                  <wp:posOffset>401955</wp:posOffset>
                </wp:positionH>
                <wp:positionV relativeFrom="paragraph">
                  <wp:posOffset>4107180</wp:posOffset>
                </wp:positionV>
                <wp:extent cx="1000125" cy="260350"/>
                <wp:effectExtent l="0" t="0" r="0" b="0"/>
                <wp:wrapNone/>
                <wp:docPr id="68" name="文本框 68"/>
                <wp:cNvGraphicFramePr/>
                <a:graphic xmlns:a="http://schemas.openxmlformats.org/drawingml/2006/main">
                  <a:graphicData uri="http://schemas.microsoft.com/office/word/2010/wordprocessingShape">
                    <wps:wsp>
                      <wps:cNvSpPr txBox="1"/>
                      <wps:spPr>
                        <a:xfrm>
                          <a:off x="2906395" y="3101975"/>
                          <a:ext cx="1000125" cy="2603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47C1F4">
                            <w:pPr>
                              <w:adjustRightInd w:val="0"/>
                              <w:snapToGrid w:val="0"/>
                              <w:spacing w:after="0" w:line="240" w:lineRule="auto"/>
                              <w:ind w:firstLine="0" w:firstLineChars="0"/>
                              <w:jc w:val="left"/>
                              <w:rPr>
                                <w:color w:val="FF0000"/>
                                <w:sz w:val="21"/>
                                <w:szCs w:val="20"/>
                                <w:highlight w:val="yellow"/>
                              </w:rPr>
                            </w:pPr>
                            <w:r>
                              <w:rPr>
                                <w:rFonts w:hint="eastAsia"/>
                                <w:color w:val="FF0000"/>
                                <w:sz w:val="21"/>
                                <w:szCs w:val="20"/>
                                <w:highlight w:val="yellow"/>
                              </w:rPr>
                              <w:t>生态保护红线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65pt;margin-top:323.4pt;height:20.5pt;width:78.75pt;z-index:251677696;mso-width-relative:page;mso-height-relative:page;" filled="f" stroked="f" coordsize="21600,21600" o:gfxdata="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iNR8H9oAAAAKAQAADwAAAAAAAAAB&#10;ACAAAAAiAAAAZHJzL2Rvd25yZXYueG1sUEsBAhQAFAAAAAgAh07iQKEacLVHAgAAdAQAAA4AAAAA&#10;AAAAAQAgAAAAKQEAAGRycy9lMm9Eb2MueG1sUEsFBgAAAAAGAAYAWQEAAOIFAAAAAA==&#10;">
                <v:fill on="f" focussize="0,0"/>
                <v:stroke on="f" weight="0.5pt"/>
                <v:imagedata o:title=""/>
                <o:lock v:ext="edit" aspectratio="f"/>
                <v:textbox>
                  <w:txbxContent>
                    <w:p w14:paraId="5B47C1F4">
                      <w:pPr>
                        <w:adjustRightInd w:val="0"/>
                        <w:snapToGrid w:val="0"/>
                        <w:spacing w:after="0" w:line="240" w:lineRule="auto"/>
                        <w:ind w:firstLine="0" w:firstLineChars="0"/>
                        <w:jc w:val="left"/>
                        <w:rPr>
                          <w:color w:val="FF0000"/>
                          <w:sz w:val="21"/>
                          <w:szCs w:val="20"/>
                          <w:highlight w:val="yellow"/>
                        </w:rPr>
                      </w:pPr>
                      <w:r>
                        <w:rPr>
                          <w:rFonts w:hint="eastAsia"/>
                          <w:color w:val="FF0000"/>
                          <w:sz w:val="21"/>
                          <w:szCs w:val="20"/>
                          <w:highlight w:val="yellow"/>
                        </w:rPr>
                        <w:t>生态保护红线</w:t>
                      </w:r>
                    </w:p>
                  </w:txbxContent>
                </v:textbox>
              </v:shape>
            </w:pict>
          </mc:Fallback>
        </mc:AlternateContent>
      </w:r>
      <w:r>
        <w:rPr>
          <w:rFonts w:hint="default" w:ascii="Times New Roman" w:hAnsi="Times New Roman" w:cs="Times New Roman"/>
          <w:color w:val="auto"/>
        </w:rPr>
        <mc:AlternateContent>
          <mc:Choice Requires="wps">
            <w:drawing>
              <wp:anchor distT="0" distB="0" distL="114300" distR="114300" simplePos="0" relativeHeight="251678720" behindDoc="0" locked="0" layoutInCell="1" allowOverlap="1">
                <wp:simplePos x="0" y="0"/>
                <wp:positionH relativeFrom="column">
                  <wp:posOffset>4019550</wp:posOffset>
                </wp:positionH>
                <wp:positionV relativeFrom="paragraph">
                  <wp:posOffset>2086610</wp:posOffset>
                </wp:positionV>
                <wp:extent cx="914400" cy="297180"/>
                <wp:effectExtent l="527050" t="4445" r="6350" b="669925"/>
                <wp:wrapNone/>
                <wp:docPr id="69" name="矩形标注 69"/>
                <wp:cNvGraphicFramePr/>
                <a:graphic xmlns:a="http://schemas.openxmlformats.org/drawingml/2006/main">
                  <a:graphicData uri="http://schemas.microsoft.com/office/word/2010/wordprocessingShape">
                    <wps:wsp>
                      <wps:cNvSpPr/>
                      <wps:spPr>
                        <a:xfrm>
                          <a:off x="4846955" y="3756660"/>
                          <a:ext cx="914400" cy="297180"/>
                        </a:xfrm>
                        <a:prstGeom prst="wedgeRectCallout">
                          <a:avLst>
                            <a:gd name="adj1" fmla="val -107152"/>
                            <a:gd name="adj2" fmla="val 270940"/>
                          </a:avLst>
                        </a:prstGeom>
                        <a:solidFill>
                          <a:schemeClr val="accent3">
                            <a:lumMod val="20000"/>
                            <a:lumOff val="80000"/>
                          </a:schemeClr>
                        </a:solidFill>
                        <a:ln w="6350"/>
                      </wps:spPr>
                      <wps:style>
                        <a:lnRef idx="2">
                          <a:schemeClr val="accent1">
                            <a:lumMod val="75000"/>
                          </a:schemeClr>
                        </a:lnRef>
                        <a:fillRef idx="1">
                          <a:schemeClr val="accent1"/>
                        </a:fillRef>
                        <a:effectRef idx="0">
                          <a:srgbClr val="FFFFFF"/>
                        </a:effectRef>
                        <a:fontRef idx="minor">
                          <a:schemeClr val="lt1"/>
                        </a:fontRef>
                      </wps:style>
                      <wps:txbx>
                        <w:txbxContent>
                          <w:p w14:paraId="76576334">
                            <w:pPr>
                              <w:adjustRightInd w:val="0"/>
                              <w:snapToGrid w:val="0"/>
                              <w:spacing w:after="0" w:line="240" w:lineRule="auto"/>
                              <w:ind w:firstLine="0" w:firstLineChars="0"/>
                              <w:rPr>
                                <w:color w:val="0000FF"/>
                              </w:rPr>
                            </w:pPr>
                            <w:r>
                              <w:rPr>
                                <w:rFonts w:hint="eastAsia"/>
                                <w:color w:val="0000FF"/>
                              </w:rPr>
                              <w:t>推荐方案</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16.5pt;margin-top:164.3pt;height:23.4pt;width:72pt;z-index:251678720;v-text-anchor:middle;mso-width-relative:page;mso-height-relative:page;" fillcolor="#EBF1DE [662]" filled="t" stroked="t" coordsize="21600,21600" o:gfxdata="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" adj="-12345,69323">
                <v:fill on="t" focussize="0,0"/>
                <v:stroke weight="0.5pt" color="#376092 [2404]" joinstyle="round"/>
                <v:imagedata o:title=""/>
                <o:lock v:ext="edit" aspectratio="f"/>
                <v:textbox>
                  <w:txbxContent>
                    <w:p w14:paraId="76576334">
                      <w:pPr>
                        <w:adjustRightInd w:val="0"/>
                        <w:snapToGrid w:val="0"/>
                        <w:spacing w:after="0" w:line="240" w:lineRule="auto"/>
                        <w:ind w:firstLine="0" w:firstLineChars="0"/>
                        <w:rPr>
                          <w:color w:val="0000FF"/>
                        </w:rPr>
                      </w:pPr>
                      <w:r>
                        <w:rPr>
                          <w:rFonts w:hint="eastAsia"/>
                          <w:color w:val="0000FF"/>
                        </w:rPr>
                        <w:t>推荐方案</w:t>
                      </w:r>
                    </w:p>
                  </w:txbxContent>
                </v:textbox>
              </v:shape>
            </w:pict>
          </mc:Fallback>
        </mc:AlternateContent>
      </w:r>
      <w:r>
        <w:rPr>
          <w:rFonts w:hint="default" w:ascii="Times New Roman" w:hAnsi="Times New Roman" w:cs="Times New Roman"/>
          <w:color w:val="auto"/>
        </w:rPr>
        <mc:AlternateContent>
          <mc:Choice Requires="wps">
            <w:drawing>
              <wp:anchor distT="0" distB="0" distL="114300" distR="114300" simplePos="0" relativeHeight="251679744" behindDoc="0" locked="0" layoutInCell="1" allowOverlap="1">
                <wp:simplePos x="0" y="0"/>
                <wp:positionH relativeFrom="column">
                  <wp:posOffset>1290320</wp:posOffset>
                </wp:positionH>
                <wp:positionV relativeFrom="paragraph">
                  <wp:posOffset>2430780</wp:posOffset>
                </wp:positionV>
                <wp:extent cx="914400" cy="297180"/>
                <wp:effectExtent l="4445" t="4445" r="719455" b="460375"/>
                <wp:wrapNone/>
                <wp:docPr id="70" name="矩形标注 70"/>
                <wp:cNvGraphicFramePr/>
                <a:graphic xmlns:a="http://schemas.openxmlformats.org/drawingml/2006/main">
                  <a:graphicData uri="http://schemas.microsoft.com/office/word/2010/wordprocessingShape">
                    <wps:wsp>
                      <wps:cNvSpPr/>
                      <wps:spPr>
                        <a:xfrm>
                          <a:off x="0" y="0"/>
                          <a:ext cx="914400" cy="297180"/>
                        </a:xfrm>
                        <a:prstGeom prst="wedgeRectCallout">
                          <a:avLst>
                            <a:gd name="adj1" fmla="val 126111"/>
                            <a:gd name="adj2" fmla="val 202136"/>
                          </a:avLst>
                        </a:prstGeom>
                        <a:solidFill>
                          <a:schemeClr val="accent3">
                            <a:lumMod val="20000"/>
                            <a:lumOff val="80000"/>
                          </a:schemeClr>
                        </a:solidFill>
                        <a:ln w="6350"/>
                      </wps:spPr>
                      <wps:style>
                        <a:lnRef idx="2">
                          <a:schemeClr val="accent1">
                            <a:lumMod val="75000"/>
                          </a:schemeClr>
                        </a:lnRef>
                        <a:fillRef idx="1">
                          <a:schemeClr val="accent1"/>
                        </a:fillRef>
                        <a:effectRef idx="0">
                          <a:srgbClr val="FFFFFF"/>
                        </a:effectRef>
                        <a:fontRef idx="minor">
                          <a:schemeClr val="lt1"/>
                        </a:fontRef>
                      </wps:style>
                      <wps:txbx>
                        <w:txbxContent>
                          <w:p w14:paraId="54BB95B9">
                            <w:pPr>
                              <w:adjustRightInd w:val="0"/>
                              <w:snapToGrid w:val="0"/>
                              <w:spacing w:after="0" w:line="240" w:lineRule="auto"/>
                              <w:ind w:firstLine="0" w:firstLineChars="0"/>
                              <w:rPr>
                                <w:color w:val="0000FF"/>
                              </w:rPr>
                            </w:pPr>
                            <w:r>
                              <w:rPr>
                                <w:rFonts w:hint="eastAsia"/>
                                <w:color w:val="0000FF"/>
                              </w:rPr>
                              <w:t>比选方案</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01.6pt;margin-top:191.4pt;height:23.4pt;width:72pt;z-index:251679744;v-text-anchor:middle;mso-width-relative:page;mso-height-relative:page;" fillcolor="#EBF1DE [662]" filled="t" stroked="t" coordsize="21600,21600" o:gfxdata="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" adj="38040,54461">
                <v:fill on="t" focussize="0,0"/>
                <v:stroke weight="0.5pt" color="#376092 [2404]" joinstyle="round"/>
                <v:imagedata o:title=""/>
                <o:lock v:ext="edit" aspectratio="f"/>
                <v:textbox>
                  <w:txbxContent>
                    <w:p w14:paraId="54BB95B9">
                      <w:pPr>
                        <w:adjustRightInd w:val="0"/>
                        <w:snapToGrid w:val="0"/>
                        <w:spacing w:after="0" w:line="240" w:lineRule="auto"/>
                        <w:ind w:firstLine="0" w:firstLineChars="0"/>
                        <w:rPr>
                          <w:color w:val="0000FF"/>
                        </w:rPr>
                      </w:pPr>
                      <w:r>
                        <w:rPr>
                          <w:rFonts w:hint="eastAsia"/>
                          <w:color w:val="0000FF"/>
                        </w:rPr>
                        <w:t>比选方案</w:t>
                      </w:r>
                    </w:p>
                  </w:txbxContent>
                </v:textbox>
              </v:shape>
            </w:pict>
          </mc:Fallback>
        </mc:AlternateContent>
      </w:r>
      <w:r>
        <w:rPr>
          <w:rFonts w:hint="default" w:ascii="Times New Roman" w:hAnsi="Times New Roman" w:cs="Times New Roman"/>
          <w:color w:val="auto"/>
        </w:rPr>
        <w:drawing>
          <wp:inline distT="0" distB="0" distL="114300" distR="114300">
            <wp:extent cx="5257800" cy="7305675"/>
            <wp:effectExtent l="0" t="0" r="0" b="9525"/>
            <wp:docPr id="71" name="图片 71" descr="ec66f2b3-034d-4274-bb84-5c78ce9aa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ec66f2b3-034d-4274-bb84-5c78ce9aa884"/>
                    <pic:cNvPicPr>
                      <a:picLocks noChangeAspect="1"/>
                    </pic:cNvPicPr>
                  </pic:nvPicPr>
                  <pic:blipFill>
                    <a:blip r:embed="rId96"/>
                    <a:stretch>
                      <a:fillRect/>
                    </a:stretch>
                  </pic:blipFill>
                  <pic:spPr>
                    <a:xfrm>
                      <a:off x="0" y="0"/>
                      <a:ext cx="5257800" cy="7305675"/>
                    </a:xfrm>
                    <a:prstGeom prst="rect">
                      <a:avLst/>
                    </a:prstGeom>
                  </pic:spPr>
                </pic:pic>
              </a:graphicData>
            </a:graphic>
          </wp:inline>
        </w:drawing>
      </w:r>
    </w:p>
    <w:p w14:paraId="03976FE6">
      <w:pPr>
        <w:widowControl/>
        <w:spacing w:after="0" w:line="240" w:lineRule="auto"/>
        <w:ind w:firstLine="482"/>
        <w:jc w:val="center"/>
        <w:rPr>
          <w:rFonts w:hint="default" w:ascii="Times New Roman" w:hAnsi="Times New Roman" w:eastAsia="宋体" w:cs="Times New Roman"/>
          <w:b/>
          <w:bCs/>
          <w:color w:val="auto"/>
          <w:kern w:val="0"/>
          <w:szCs w:val="24"/>
          <w:lang w:bidi="ar"/>
        </w:rPr>
      </w:pPr>
      <w:r>
        <w:rPr>
          <w:rFonts w:hint="default" w:ascii="Times New Roman" w:hAnsi="Times New Roman" w:eastAsia="宋体" w:cs="Times New Roman"/>
          <w:b/>
          <w:bCs/>
          <w:color w:val="auto"/>
          <w:kern w:val="0"/>
          <w:szCs w:val="24"/>
          <w:lang w:bidi="ar"/>
        </w:rPr>
        <w:t>图2.9-2  总体路径走向示意图</w:t>
      </w:r>
    </w:p>
    <w:p w14:paraId="63AC77A9">
      <w:pPr>
        <w:widowControl/>
        <w:spacing w:after="0" w:line="440" w:lineRule="exact"/>
        <w:ind w:firstLine="480"/>
        <w:rPr>
          <w:rFonts w:hint="default" w:ascii="Times New Roman" w:hAnsi="Times New Roman" w:eastAsia="宋体" w:cs="Times New Roman"/>
          <w:color w:val="auto"/>
          <w:kern w:val="0"/>
          <w:szCs w:val="24"/>
          <w:lang w:bidi="ar"/>
        </w:rPr>
      </w:pPr>
      <w:r>
        <w:rPr>
          <w:rFonts w:hint="default" w:ascii="Times New Roman" w:hAnsi="Times New Roman" w:eastAsia="宋体" w:cs="Times New Roman"/>
          <w:color w:val="auto"/>
          <w:kern w:val="0"/>
          <w:szCs w:val="24"/>
          <w:lang w:bidi="ar"/>
        </w:rPr>
        <w:t>项目位于</w:t>
      </w:r>
      <w:r>
        <w:rPr>
          <w:rFonts w:hint="default" w:ascii="Times New Roman" w:hAnsi="Times New Roman" w:cs="Times New Roman"/>
          <w:color w:val="auto"/>
          <w:szCs w:val="24"/>
        </w:rPr>
        <w:t>会泽县乐业镇、宝云街道、五星乡境内</w:t>
      </w:r>
      <w:r>
        <w:rPr>
          <w:rFonts w:hint="default" w:ascii="Times New Roman" w:hAnsi="Times New Roman" w:eastAsia="宋体" w:cs="Times New Roman"/>
          <w:color w:val="auto"/>
          <w:kern w:val="0"/>
          <w:szCs w:val="24"/>
          <w:lang w:bidi="ar"/>
        </w:rPr>
        <w:t>，线路起点段因110kV大草房升压站选址限制（</w:t>
      </w:r>
      <w:r>
        <w:rPr>
          <w:rFonts w:hint="default" w:ascii="Times New Roman" w:hAnsi="Times New Roman" w:cs="Times New Roman"/>
          <w:color w:val="auto"/>
          <w:szCs w:val="24"/>
        </w:rPr>
        <w:t>于2026年6月2日取得曲靖市生态环境局关于火红乡湾子村委会大草房光伏项目（复合型光伏发电项目）（重新报批）环境影响报告表的批复（曲环审〔2026〕20号）</w:t>
      </w:r>
      <w:r>
        <w:rPr>
          <w:rFonts w:hint="default" w:ascii="Times New Roman" w:hAnsi="Times New Roman" w:eastAsia="宋体" w:cs="Times New Roman"/>
          <w:color w:val="auto"/>
          <w:kern w:val="0"/>
          <w:szCs w:val="24"/>
          <w:lang w:bidi="ar"/>
        </w:rPr>
        <w:t>），线路终点段因220kV六合一升压站选址限制（</w:t>
      </w:r>
      <w:r>
        <w:rPr>
          <w:rFonts w:hint="default" w:ascii="Times New Roman" w:hAnsi="Times New Roman" w:cs="Times New Roman"/>
          <w:color w:val="auto"/>
          <w:szCs w:val="24"/>
        </w:rPr>
        <w:t>于2022年8月25日取得曲靖市生态环境局关于乐业镇六合村一期光伏项目（复合型光伏发电项目）环境影响报告表的批复（曲环审〔2022〕44号）</w:t>
      </w:r>
      <w:r>
        <w:rPr>
          <w:rFonts w:hint="default" w:ascii="Times New Roman" w:hAnsi="Times New Roman" w:eastAsia="宋体" w:cs="Times New Roman"/>
          <w:color w:val="auto"/>
          <w:kern w:val="0"/>
          <w:szCs w:val="24"/>
          <w:lang w:bidi="ar"/>
        </w:rPr>
        <w:t>），线路整体由西南向东北布线，在会泽县五星乡镇西侧有零星块状分布生态保护红线，项目区域东侧为大面积的基本农田、村庄建成区，若将推荐线路向西侧偏移，线路大面积地穿越生态保护红线，将增加进入生态保护红线路径的长度，进而增加对生态保护红线的影响，生态保护红线零星分布，均无法避让生态保护红线；若要完全避开生态保护红线，线路路径将会进入老窑冲村、水井湾村、康家箐等居民聚集区；线路对周边居民的影响将增大，同时会占用更大面积的基本农田，对农业影响较大，因此，线路总体走线为大致从110kV大草房升压站出线构架向北出线，从西南向东北走向，区域内受大面积基本农田、村镇建成区、附近成片生态保护红线等限制，本工程线路路径为</w:t>
      </w:r>
      <w:r>
        <w:rPr>
          <w:rFonts w:hint="eastAsia" w:ascii="Times New Roman" w:hAnsi="Times New Roman" w:eastAsia="宋体" w:cs="Times New Roman"/>
          <w:color w:val="auto"/>
          <w:kern w:val="0"/>
          <w:szCs w:val="24"/>
          <w:lang w:eastAsia="zh-CN" w:bidi="ar"/>
        </w:rPr>
        <w:t>南北</w:t>
      </w:r>
      <w:r>
        <w:rPr>
          <w:rFonts w:hint="default" w:ascii="Times New Roman" w:hAnsi="Times New Roman" w:eastAsia="宋体" w:cs="Times New Roman"/>
          <w:color w:val="auto"/>
          <w:kern w:val="0"/>
          <w:szCs w:val="24"/>
          <w:lang w:bidi="ar"/>
        </w:rPr>
        <w:t>走向，不可避免地跨越了金沙江下游—小江流域水土流失控制生态保护红线。</w:t>
      </w:r>
    </w:p>
    <w:p w14:paraId="6A777592">
      <w:pPr>
        <w:keepNext/>
        <w:keepLines/>
        <w:widowControl/>
        <w:numPr>
          <w:ilvl w:val="3"/>
          <w:numId w:val="0"/>
        </w:numPr>
        <w:adjustRightInd w:val="0"/>
        <w:snapToGrid w:val="0"/>
        <w:spacing w:after="0" w:line="440" w:lineRule="exact"/>
        <w:ind w:firstLine="422" w:firstLineChars="200"/>
        <w:outlineLvl w:val="3"/>
        <w:rPr>
          <w:rFonts w:hint="default" w:ascii="Times New Roman" w:hAnsi="Times New Roman" w:eastAsia="宋体" w:cs="Times New Roman"/>
          <w:b/>
          <w:bCs/>
          <w:color w:val="auto"/>
          <w:szCs w:val="28"/>
        </w:rPr>
      </w:pPr>
      <w:r>
        <w:rPr>
          <w:rFonts w:hint="default" w:ascii="Times New Roman" w:hAnsi="Times New Roman" w:eastAsia="宋体" w:cs="Times New Roman"/>
          <w:b/>
          <w:bCs/>
          <w:color w:val="auto"/>
          <w:szCs w:val="28"/>
        </w:rPr>
        <w:t>2.9.3.2路径分段不可避让分析</w:t>
      </w:r>
    </w:p>
    <w:p w14:paraId="03E64074">
      <w:pPr>
        <w:widowControl/>
        <w:spacing w:after="0" w:line="440" w:lineRule="exact"/>
        <w:ind w:firstLine="480"/>
        <w:rPr>
          <w:rFonts w:hint="default" w:ascii="Times New Roman" w:hAnsi="Times New Roman" w:cs="Times New Roman"/>
          <w:color w:val="auto"/>
        </w:rPr>
      </w:pPr>
      <w:r>
        <w:rPr>
          <w:rFonts w:hint="default" w:ascii="Times New Roman" w:hAnsi="Times New Roman" w:eastAsia="宋体" w:cs="Times New Roman"/>
          <w:color w:val="auto"/>
          <w:kern w:val="0"/>
          <w:szCs w:val="24"/>
          <w:lang w:bidi="ar"/>
        </w:rPr>
        <w:t>本工程线路位于</w:t>
      </w:r>
      <w:r>
        <w:rPr>
          <w:rFonts w:hint="default" w:ascii="Times New Roman" w:hAnsi="Times New Roman" w:cs="Times New Roman"/>
          <w:color w:val="auto"/>
          <w:szCs w:val="24"/>
        </w:rPr>
        <w:t>会泽县乐业镇、宝云街道、五星乡境内</w:t>
      </w:r>
      <w:r>
        <w:rPr>
          <w:rFonts w:hint="default" w:ascii="Times New Roman" w:hAnsi="Times New Roman" w:eastAsia="宋体" w:cs="Times New Roman"/>
          <w:color w:val="auto"/>
          <w:kern w:val="0"/>
          <w:szCs w:val="24"/>
          <w:lang w:bidi="ar"/>
        </w:rPr>
        <w:t>，线路不涉及占用金沙江下游—小江流域水土流失控制生态保护红线，</w:t>
      </w:r>
      <w:r>
        <w:rPr>
          <w:rFonts w:hint="default" w:ascii="Times New Roman" w:hAnsi="Times New Roman" w:eastAsia="宋体" w:cs="Times New Roman"/>
          <w:bCs/>
          <w:color w:val="auto"/>
        </w:rPr>
        <w:t>输电</w:t>
      </w:r>
      <w:r>
        <w:rPr>
          <w:rFonts w:hint="eastAsia" w:ascii="Times New Roman" w:hAnsi="Times New Roman" w:eastAsia="宋体" w:cs="Times New Roman"/>
          <w:bCs/>
          <w:color w:val="auto"/>
          <w:lang w:eastAsia="zh-CN"/>
        </w:rPr>
        <w:t>线路</w:t>
      </w:r>
      <w:r>
        <w:rPr>
          <w:rFonts w:hint="default" w:ascii="Times New Roman" w:hAnsi="Times New Roman" w:eastAsia="宋体" w:cs="Times New Roman"/>
          <w:bCs/>
          <w:color w:val="auto"/>
        </w:rPr>
        <w:t>塔基N7-N8之间约89.2米跨越生态保护红线，不在生态保护红线内立塔。</w:t>
      </w:r>
    </w:p>
    <w:p w14:paraId="33435086">
      <w:pPr>
        <w:widowControl/>
        <w:spacing w:after="0" w:line="440" w:lineRule="exact"/>
        <w:ind w:firstLine="480"/>
        <w:rPr>
          <w:rFonts w:hint="default" w:ascii="Times New Roman" w:hAnsi="Times New Roman" w:eastAsia="宋体" w:cs="Times New Roman"/>
          <w:bCs/>
          <w:color w:val="auto"/>
        </w:rPr>
      </w:pPr>
      <w:r>
        <w:rPr>
          <w:rFonts w:hint="default" w:ascii="Times New Roman" w:hAnsi="Times New Roman" w:eastAsia="宋体" w:cs="Times New Roman"/>
          <w:color w:val="auto"/>
          <w:kern w:val="0"/>
          <w:szCs w:val="24"/>
          <w:lang w:bidi="ar"/>
        </w:rPr>
        <w:t>根据线路所经区域生态敏感性因素，金沙江下游—小江流域水土流失控制生态保护红线为大面积且连续性分布，覆盖范围广。</w:t>
      </w:r>
      <w:r>
        <w:rPr>
          <w:rFonts w:hint="default" w:ascii="Times New Roman" w:hAnsi="Times New Roman" w:eastAsia="宋体" w:cs="Times New Roman"/>
          <w:bCs/>
          <w:color w:val="auto"/>
        </w:rPr>
        <w:t>由于路径长、跨度大，</w:t>
      </w:r>
      <w:r>
        <w:rPr>
          <w:rFonts w:hint="default" w:ascii="Times New Roman" w:hAnsi="Times New Roman" w:eastAsia="宋体" w:cs="Times New Roman"/>
          <w:color w:val="auto"/>
          <w:kern w:val="0"/>
          <w:szCs w:val="24"/>
          <w:lang w:bidi="ar"/>
        </w:rPr>
        <w:t>结合现场地形、地质条件及沿线村庄房屋密集区，</w:t>
      </w:r>
      <w:r>
        <w:rPr>
          <w:rFonts w:hint="default" w:ascii="Times New Roman" w:hAnsi="Times New Roman" w:eastAsia="宋体" w:cs="Times New Roman"/>
          <w:bCs/>
          <w:color w:val="auto"/>
        </w:rPr>
        <w:t>受城镇规划、自然条件、对居民点影响等因素的限制，项目选线无法完全避让生态保护红线。</w:t>
      </w:r>
    </w:p>
    <w:p w14:paraId="1C1995D3">
      <w:pPr>
        <w:widowControl/>
        <w:spacing w:after="0" w:line="440" w:lineRule="exact"/>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该段线路北侧为成片生态保护红线，无法避让；南侧地势高差过大，若线路往南侧</w:t>
      </w:r>
      <w:r>
        <w:rPr>
          <w:rFonts w:hint="eastAsia" w:ascii="Times New Roman" w:hAnsi="Times New Roman" w:eastAsia="宋体" w:cs="Times New Roman"/>
          <w:color w:val="auto"/>
          <w:lang w:eastAsia="zh-CN"/>
        </w:rPr>
        <w:t>生态保护红线</w:t>
      </w:r>
      <w:r>
        <w:rPr>
          <w:rFonts w:hint="default" w:ascii="Times New Roman" w:hAnsi="Times New Roman" w:eastAsia="宋体" w:cs="Times New Roman"/>
          <w:color w:val="auto"/>
        </w:rPr>
        <w:t>边缘绕行，线路（塔基N7-N12）整体向南侧移动，塔基（N10-N11侧南移将直接穿越石碓窝村）；布线空间有限，且地势高差较大，塔基不能布置于陡坡上，必须确保铁塔基础位于边坡的稳定区域之内，避免边坡失稳或变形对铁塔安全造成威胁，有地质滑坡安全风险，不具备立塔条件。</w:t>
      </w:r>
    </w:p>
    <w:p w14:paraId="3874E8DD">
      <w:pPr>
        <w:widowControl/>
        <w:spacing w:after="0" w:line="440" w:lineRule="exact"/>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因此，该段（N7~N8段）线路通过生态保护红线路径唯一，不可避让生态保护红线。如下图所示：</w:t>
      </w:r>
    </w:p>
    <w:p w14:paraId="78164B5C">
      <w:pPr>
        <w:adjustRightInd w:val="0"/>
        <w:snapToGrid w:val="0"/>
        <w:spacing w:after="0" w:line="240" w:lineRule="auto"/>
        <w:ind w:firstLine="0" w:firstLineChars="0"/>
        <w:jc w:val="center"/>
        <w:rPr>
          <w:rFonts w:hint="default" w:ascii="Times New Roman" w:hAnsi="Times New Roman" w:cs="Times New Roman"/>
          <w:color w:val="auto"/>
        </w:rPr>
      </w:pPr>
      <w:r>
        <w:rPr>
          <w:rFonts w:hint="default" w:ascii="Times New Roman" w:hAnsi="Times New Roman" w:eastAsia="宋体" w:cs="Times New Roman"/>
          <w:b/>
          <w:bCs/>
          <w:color w:val="auto"/>
          <w:sz w:val="24"/>
        </w:rPr>
        <mc:AlternateContent>
          <mc:Choice Requires="wps">
            <w:drawing>
              <wp:anchor distT="0" distB="0" distL="114300" distR="114300" simplePos="0" relativeHeight="251693056" behindDoc="0" locked="0" layoutInCell="1" allowOverlap="1">
                <wp:simplePos x="0" y="0"/>
                <wp:positionH relativeFrom="column">
                  <wp:posOffset>4317365</wp:posOffset>
                </wp:positionH>
                <wp:positionV relativeFrom="paragraph">
                  <wp:posOffset>1970405</wp:posOffset>
                </wp:positionV>
                <wp:extent cx="554355" cy="23622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554355" cy="236220"/>
                        </a:xfrm>
                        <a:prstGeom prst="rect">
                          <a:avLst/>
                        </a:prstGeom>
                        <a:noFill/>
                        <a:ln w="6350">
                          <a:noFill/>
                        </a:ln>
                        <a:effectLst/>
                      </wps:spPr>
                      <wps:txbx>
                        <w:txbxContent>
                          <w:p w14:paraId="1F90782C">
                            <w:pPr>
                              <w:keepNext w:val="0"/>
                              <w:keepLines w:val="0"/>
                              <w:pageBreakBefore w:val="0"/>
                              <w:widowControl w:val="0"/>
                              <w:kinsoku/>
                              <w:wordWrap/>
                              <w:overflowPunct/>
                              <w:topLinePunct w:val="0"/>
                              <w:bidi w:val="0"/>
                              <w:adjustRightInd w:val="0"/>
                              <w:snapToGrid w:val="0"/>
                              <w:spacing w:after="0" w:line="240" w:lineRule="auto"/>
                              <w:ind w:left="0" w:leftChars="0" w:firstLine="0" w:firstLineChars="0"/>
                              <w:textAlignment w:val="auto"/>
                              <w:rPr>
                                <w:rFonts w:hint="default"/>
                                <w:color w:val="0000FF"/>
                                <w:sz w:val="18"/>
                                <w:szCs w:val="16"/>
                                <w:highlight w:val="yellow"/>
                                <w:lang w:val="en-US"/>
                              </w:rPr>
                            </w:pPr>
                            <w:r>
                              <w:rPr>
                                <w:rFonts w:hint="eastAsia"/>
                                <w:color w:val="0000FF"/>
                                <w:sz w:val="18"/>
                                <w:szCs w:val="16"/>
                                <w:highlight w:val="yellow"/>
                                <w:lang w:val="en-US" w:eastAsia="zh-CN"/>
                              </w:rPr>
                              <w:t>居民区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9.95pt;margin-top:155.15pt;height:18.6pt;width:43.65pt;z-index:251693056;mso-width-relative:page;mso-height-relative:page;" filled="f" stroked="f" coordsize="21600,21600" o:gfxdata="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9Lra13AAAAAsBAAAPAAAAAAAAAAEA&#10;IAAAACIAAABkcnMvZG93bnJldi54bWxQSwECFAAUAAAACACHTuJABcO7XkQCAAB1BAAADgAAAAAA&#10;AAABACAAAAArAQAAZHJzL2Uyb0RvYy54bWxQSwUGAAAAAAYABgBZAQAA4QUAAAAA&#10;">
                <v:fill on="f" focussize="0,0"/>
                <v:stroke on="f" weight="0.5pt"/>
                <v:imagedata o:title=""/>
                <o:lock v:ext="edit" aspectratio="f"/>
                <v:textbox>
                  <w:txbxContent>
                    <w:p w14:paraId="1F90782C">
                      <w:pPr>
                        <w:keepNext w:val="0"/>
                        <w:keepLines w:val="0"/>
                        <w:pageBreakBefore w:val="0"/>
                        <w:widowControl w:val="0"/>
                        <w:kinsoku/>
                        <w:wordWrap/>
                        <w:overflowPunct/>
                        <w:topLinePunct w:val="0"/>
                        <w:bidi w:val="0"/>
                        <w:adjustRightInd w:val="0"/>
                        <w:snapToGrid w:val="0"/>
                        <w:spacing w:after="0" w:line="240" w:lineRule="auto"/>
                        <w:ind w:left="0" w:leftChars="0" w:firstLine="0" w:firstLineChars="0"/>
                        <w:textAlignment w:val="auto"/>
                        <w:rPr>
                          <w:rFonts w:hint="default"/>
                          <w:color w:val="0000FF"/>
                          <w:sz w:val="18"/>
                          <w:szCs w:val="16"/>
                          <w:highlight w:val="yellow"/>
                          <w:lang w:val="en-US"/>
                        </w:rPr>
                      </w:pPr>
                      <w:r>
                        <w:rPr>
                          <w:rFonts w:hint="eastAsia"/>
                          <w:color w:val="0000FF"/>
                          <w:sz w:val="18"/>
                          <w:szCs w:val="16"/>
                          <w:highlight w:val="yellow"/>
                          <w:lang w:val="en-US" w:eastAsia="zh-CN"/>
                        </w:rPr>
                        <w:t>居民区</w:t>
                      </w:r>
                    </w:p>
                  </w:txbxContent>
                </v:textbox>
              </v:shape>
            </w:pict>
          </mc:Fallback>
        </mc:AlternateContent>
      </w:r>
      <w:r>
        <w:rPr>
          <w:color w:val="auto"/>
          <w:sz w:val="24"/>
        </w:rPr>
        <mc:AlternateContent>
          <mc:Choice Requires="wps">
            <w:drawing>
              <wp:anchor distT="0" distB="0" distL="114300" distR="114300" simplePos="0" relativeHeight="251692032" behindDoc="0" locked="0" layoutInCell="1" allowOverlap="1">
                <wp:simplePos x="0" y="0"/>
                <wp:positionH relativeFrom="column">
                  <wp:posOffset>4345305</wp:posOffset>
                </wp:positionH>
                <wp:positionV relativeFrom="paragraph">
                  <wp:posOffset>1558290</wp:posOffset>
                </wp:positionV>
                <wp:extent cx="629920" cy="413385"/>
                <wp:effectExtent l="4445" t="4445" r="13335" b="20320"/>
                <wp:wrapNone/>
                <wp:docPr id="73" name="任意多边形 73"/>
                <wp:cNvGraphicFramePr/>
                <a:graphic xmlns:a="http://schemas.openxmlformats.org/drawingml/2006/main">
                  <a:graphicData uri="http://schemas.microsoft.com/office/word/2010/wordprocessingShape">
                    <wps:wsp>
                      <wps:cNvSpPr/>
                      <wps:spPr>
                        <a:xfrm>
                          <a:off x="0" y="0"/>
                          <a:ext cx="629920" cy="413385"/>
                        </a:xfrm>
                        <a:custGeom>
                          <a:avLst/>
                          <a:gdLst>
                            <a:gd name="connisteX0" fmla="*/ 172085 w 629920"/>
                            <a:gd name="connsiteY0" fmla="*/ 28575 h 243205"/>
                            <a:gd name="connisteX1" fmla="*/ 0 w 629920"/>
                            <a:gd name="connsiteY1" fmla="*/ 142875 h 243205"/>
                            <a:gd name="connisteX2" fmla="*/ 172085 w 629920"/>
                            <a:gd name="connsiteY2" fmla="*/ 243205 h 243205"/>
                            <a:gd name="connisteX3" fmla="*/ 443865 w 629920"/>
                            <a:gd name="connsiteY3" fmla="*/ 243205 h 243205"/>
                            <a:gd name="connisteX4" fmla="*/ 629920 w 629920"/>
                            <a:gd name="connsiteY4" fmla="*/ 214630 h 243205"/>
                            <a:gd name="connisteX5" fmla="*/ 393700 w 629920"/>
                            <a:gd name="connsiteY5" fmla="*/ 93345 h 243205"/>
                            <a:gd name="connisteX6" fmla="*/ 386715 w 629920"/>
                            <a:gd name="connsiteY6" fmla="*/ 0 h 243205"/>
                            <a:gd name="connisteX7" fmla="*/ 172085 w 629920"/>
                            <a:gd name="connsiteY7" fmla="*/ 28575 h 24320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Lst>
                          <a:rect l="l" t="t" r="r" b="b"/>
                          <a:pathLst>
                            <a:path w="629920" h="243205">
                              <a:moveTo>
                                <a:pt x="172085" y="28575"/>
                              </a:moveTo>
                              <a:lnTo>
                                <a:pt x="0" y="142875"/>
                              </a:lnTo>
                              <a:lnTo>
                                <a:pt x="172085" y="243205"/>
                              </a:lnTo>
                              <a:lnTo>
                                <a:pt x="443865" y="243205"/>
                              </a:lnTo>
                              <a:lnTo>
                                <a:pt x="629920" y="214630"/>
                              </a:lnTo>
                              <a:lnTo>
                                <a:pt x="393700" y="93345"/>
                              </a:lnTo>
                              <a:lnTo>
                                <a:pt x="386715" y="0"/>
                              </a:lnTo>
                              <a:lnTo>
                                <a:pt x="172085" y="28575"/>
                              </a:lnTo>
                              <a:close/>
                            </a:path>
                          </a:pathLst>
                        </a:custGeom>
                        <a:noFill/>
                        <a:ln w="6350">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342.15pt;margin-top:122.7pt;height:32.55pt;width:49.6pt;z-index:251692032;mso-width-relative:page;mso-height-relative:page;" filled="f" stroked="t" coordsize="629920,243205" o:gfxdata="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" path="m172085,28575l0,142875,172085,243205,443865,243205,629920,214630,393700,93345,386715,0,172085,28575xe">
                <v:path o:connectlocs="172085,48570;0,242850;172085,413385;443865,413385;629920,364814;393700,158662;386715,0;172085,48570" o:connectangles="0,0,0,0,0,0,0,0"/>
                <v:fill on="f" focussize="0,0"/>
                <v:stroke weight="0.5pt" color="#00B050 [2404]" joinstyle="round"/>
                <v:imagedata o:title=""/>
                <o:lock v:ext="edit" aspectratio="f"/>
              </v:shape>
            </w:pict>
          </mc:Fallback>
        </mc:AlternateContent>
      </w:r>
      <w:r>
        <w:rPr>
          <w:color w:val="auto"/>
          <w:sz w:val="24"/>
        </w:rPr>
        <mc:AlternateContent>
          <mc:Choice Requires="wps">
            <w:drawing>
              <wp:anchor distT="0" distB="0" distL="114300" distR="114300" simplePos="0" relativeHeight="251691008" behindDoc="0" locked="0" layoutInCell="1" allowOverlap="1">
                <wp:simplePos x="0" y="0"/>
                <wp:positionH relativeFrom="column">
                  <wp:posOffset>1795780</wp:posOffset>
                </wp:positionH>
                <wp:positionV relativeFrom="paragraph">
                  <wp:posOffset>1682115</wp:posOffset>
                </wp:positionV>
                <wp:extent cx="810260" cy="309245"/>
                <wp:effectExtent l="56515" t="394970" r="9525" b="19685"/>
                <wp:wrapNone/>
                <wp:docPr id="74" name="矩形标注 74"/>
                <wp:cNvGraphicFramePr/>
                <a:graphic xmlns:a="http://schemas.openxmlformats.org/drawingml/2006/main">
                  <a:graphicData uri="http://schemas.microsoft.com/office/word/2010/wordprocessingShape">
                    <wps:wsp>
                      <wps:cNvSpPr/>
                      <wps:spPr>
                        <a:xfrm>
                          <a:off x="0" y="0"/>
                          <a:ext cx="810260" cy="309245"/>
                        </a:xfrm>
                        <a:prstGeom prst="wedgeRectCallout">
                          <a:avLst>
                            <a:gd name="adj1" fmla="val -56426"/>
                            <a:gd name="adj2" fmla="val -176283"/>
                          </a:avLst>
                        </a:prstGeom>
                        <a:noFill/>
                        <a:ln w="6350">
                          <a:solidFill>
                            <a:schemeClr val="accent6"/>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38ED017">
                            <w:pPr>
                              <w:keepNext w:val="0"/>
                              <w:keepLines w:val="0"/>
                              <w:pageBreakBefore w:val="0"/>
                              <w:widowControl w:val="0"/>
                              <w:kinsoku/>
                              <w:wordWrap/>
                              <w:overflowPunct/>
                              <w:topLinePunct w:val="0"/>
                              <w:bidi w:val="0"/>
                              <w:adjustRightInd w:val="0"/>
                              <w:snapToGrid w:val="0"/>
                              <w:spacing w:after="0" w:line="240" w:lineRule="auto"/>
                              <w:ind w:firstLine="0" w:firstLineChars="0"/>
                              <w:jc w:val="center"/>
                              <w:textAlignment w:val="auto"/>
                              <w:rPr>
                                <w:rFonts w:hint="default" w:eastAsiaTheme="minorEastAsia"/>
                                <w:color w:val="0000FF"/>
                                <w:sz w:val="21"/>
                                <w:szCs w:val="20"/>
                                <w:highlight w:val="yellow"/>
                                <w:lang w:val="en-US" w:eastAsia="zh-CN"/>
                              </w:rPr>
                            </w:pPr>
                            <w:r>
                              <w:rPr>
                                <w:rFonts w:hint="eastAsia"/>
                                <w:color w:val="0000FF"/>
                                <w:sz w:val="21"/>
                                <w:szCs w:val="20"/>
                                <w:highlight w:val="yellow"/>
                                <w:lang w:val="en-US" w:eastAsia="zh-CN"/>
                              </w:rPr>
                              <w:t>高陡坡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41.4pt;margin-top:132.45pt;height:24.35pt;width:63.8pt;z-index:251691008;v-text-anchor:middle;mso-width-relative:page;mso-height-relative:page;" filled="f" stroked="t" coordsize="21600,21600" o:gfxdata="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CikKzA2gAAAAsBAAAPAAAAAAAAAAEAIAAAACIAAABkcnMvZG93bnJldi54bWxQ&#10;SwECFAAUAAAACACHTuJAJX/ZFqACAAAlBQAADgAAAAAAAAABACAAAAApAQAAZHJzL2Uyb0RvYy54&#10;bWxQSwUGAAAAAAYABgBZAQAAOwYAAAAA&#10;" adj="-1388,-27277">
                <v:fill on="f" focussize="0,0"/>
                <v:stroke weight="0.5pt" color="#F79646 [3209]" joinstyle="round"/>
                <v:imagedata o:title=""/>
                <o:lock v:ext="edit" aspectratio="f"/>
                <v:textbox>
                  <w:txbxContent>
                    <w:p w14:paraId="738ED017">
                      <w:pPr>
                        <w:keepNext w:val="0"/>
                        <w:keepLines w:val="0"/>
                        <w:pageBreakBefore w:val="0"/>
                        <w:widowControl w:val="0"/>
                        <w:kinsoku/>
                        <w:wordWrap/>
                        <w:overflowPunct/>
                        <w:topLinePunct w:val="0"/>
                        <w:bidi w:val="0"/>
                        <w:adjustRightInd w:val="0"/>
                        <w:snapToGrid w:val="0"/>
                        <w:spacing w:after="0" w:line="240" w:lineRule="auto"/>
                        <w:ind w:firstLine="0" w:firstLineChars="0"/>
                        <w:jc w:val="center"/>
                        <w:textAlignment w:val="auto"/>
                        <w:rPr>
                          <w:rFonts w:hint="default" w:eastAsiaTheme="minorEastAsia"/>
                          <w:color w:val="0000FF"/>
                          <w:sz w:val="21"/>
                          <w:szCs w:val="20"/>
                          <w:highlight w:val="yellow"/>
                          <w:lang w:val="en-US" w:eastAsia="zh-CN"/>
                        </w:rPr>
                      </w:pPr>
                      <w:r>
                        <w:rPr>
                          <w:rFonts w:hint="eastAsia"/>
                          <w:color w:val="0000FF"/>
                          <w:sz w:val="21"/>
                          <w:szCs w:val="20"/>
                          <w:highlight w:val="yellow"/>
                          <w:lang w:val="en-US" w:eastAsia="zh-CN"/>
                        </w:rPr>
                        <w:t>高陡坡</w:t>
                      </w:r>
                    </w:p>
                  </w:txbxContent>
                </v:textbox>
              </v:shape>
            </w:pict>
          </mc:Fallback>
        </mc:AlternateContent>
      </w:r>
      <w:r>
        <w:rPr>
          <w:rFonts w:hint="default" w:ascii="Times New Roman" w:hAnsi="Times New Roman" w:cs="Times New Roman"/>
          <w:color w:val="auto"/>
        </w:rPr>
        <mc:AlternateContent>
          <mc:Choice Requires="wps">
            <w:drawing>
              <wp:anchor distT="0" distB="0" distL="114300" distR="114300" simplePos="0" relativeHeight="251687936" behindDoc="0" locked="0" layoutInCell="1" allowOverlap="1">
                <wp:simplePos x="0" y="0"/>
                <wp:positionH relativeFrom="column">
                  <wp:posOffset>417195</wp:posOffset>
                </wp:positionH>
                <wp:positionV relativeFrom="paragraph">
                  <wp:posOffset>1355725</wp:posOffset>
                </wp:positionV>
                <wp:extent cx="459105" cy="30099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459105" cy="3009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76E714">
                            <w:pPr>
                              <w:ind w:firstLine="0" w:firstLineChars="0"/>
                              <w:rPr>
                                <w:color w:val="FF0000"/>
                              </w:rPr>
                            </w:pPr>
                            <w:r>
                              <w:rPr>
                                <w:rFonts w:hint="eastAsia"/>
                                <w:color w:val="FF0000"/>
                              </w:rPr>
                              <w:t>N6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85pt;margin-top:106.75pt;height:23.7pt;width:36.15pt;z-index:251687936;mso-width-relative:page;mso-height-relative:page;" filled="f" stroked="f" coordsize="21600,21600" o:gfxdata="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0Q9852gAAAAoBAAAPAAAAAAAAAAEAIAAAACIAAABk&#10;cnMvZG93bnJldi54bWxQSwECFAAUAAAACACHTuJA3mNmMD0CAABnBAAADgAAAAAAAAABACAAAAAp&#10;AQAAZHJzL2Uyb0RvYy54bWxQSwUGAAAAAAYABgBZAQAA2AUAAAAA&#10;">
                <v:fill on="f" focussize="0,0"/>
                <v:stroke on="f" weight="0.5pt"/>
                <v:imagedata o:title=""/>
                <o:lock v:ext="edit" aspectratio="f"/>
                <v:textbox>
                  <w:txbxContent>
                    <w:p w14:paraId="2D76E714">
                      <w:pPr>
                        <w:ind w:firstLine="0" w:firstLineChars="0"/>
                        <w:rPr>
                          <w:color w:val="FF0000"/>
                        </w:rPr>
                      </w:pPr>
                      <w:r>
                        <w:rPr>
                          <w:rFonts w:hint="eastAsia"/>
                          <w:color w:val="FF0000"/>
                        </w:rPr>
                        <w:t>N6</w:t>
                      </w:r>
                    </w:p>
                  </w:txbxContent>
                </v:textbox>
              </v:shape>
            </w:pict>
          </mc:Fallback>
        </mc:AlternateContent>
      </w:r>
      <w:r>
        <w:rPr>
          <w:rFonts w:hint="default" w:ascii="Times New Roman" w:hAnsi="Times New Roman" w:cs="Times New Roman"/>
          <w:color w:val="auto"/>
        </w:rPr>
        <mc:AlternateContent>
          <mc:Choice Requires="wps">
            <w:drawing>
              <wp:anchor distT="0" distB="0" distL="114300" distR="114300" simplePos="0" relativeHeight="251686912" behindDoc="0" locked="0" layoutInCell="1" allowOverlap="1">
                <wp:simplePos x="0" y="0"/>
                <wp:positionH relativeFrom="column">
                  <wp:posOffset>4032885</wp:posOffset>
                </wp:positionH>
                <wp:positionV relativeFrom="paragraph">
                  <wp:posOffset>855980</wp:posOffset>
                </wp:positionV>
                <wp:extent cx="459105" cy="30099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459105" cy="3009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34E7EE">
                            <w:pPr>
                              <w:ind w:firstLine="0" w:firstLineChars="0"/>
                              <w:rPr>
                                <w:color w:val="FF0000"/>
                              </w:rPr>
                            </w:pPr>
                            <w:r>
                              <w:rPr>
                                <w:rFonts w:hint="eastAsia"/>
                                <w:color w:val="FF0000"/>
                              </w:rPr>
                              <w:t>N10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7.55pt;margin-top:67.4pt;height:23.7pt;width:36.15pt;z-index:251686912;mso-width-relative:page;mso-height-relative:page;" filled="f" stroked="f" coordsize="21600,21600" o:gfxdata="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Iew7LnbAAAACwEAAA8AAAAAAAAAAQAgAAAAIgAA&#10;AGRycy9kb3ducmV2LnhtbFBLAQIUABQAAAAIAIdO4kBx5FLSPgIAAGcEAAAOAAAAAAAAAAEAIAAA&#10;ACoBAABkcnMvZTJvRG9jLnhtbFBLBQYAAAAABgAGAFkBAADaBQAAAAA=&#10;">
                <v:fill on="f" focussize="0,0"/>
                <v:stroke on="f" weight="0.5pt"/>
                <v:imagedata o:title=""/>
                <o:lock v:ext="edit" aspectratio="f"/>
                <v:textbox>
                  <w:txbxContent>
                    <w:p w14:paraId="1934E7EE">
                      <w:pPr>
                        <w:ind w:firstLine="0" w:firstLineChars="0"/>
                        <w:rPr>
                          <w:color w:val="FF0000"/>
                        </w:rPr>
                      </w:pPr>
                      <w:r>
                        <w:rPr>
                          <w:rFonts w:hint="eastAsia"/>
                          <w:color w:val="FF0000"/>
                        </w:rPr>
                        <w:t>N10</w:t>
                      </w:r>
                    </w:p>
                  </w:txbxContent>
                </v:textbox>
              </v:shape>
            </w:pict>
          </mc:Fallback>
        </mc:AlternateContent>
      </w:r>
      <w:r>
        <w:rPr>
          <w:rFonts w:hint="default" w:ascii="Times New Roman" w:hAnsi="Times New Roman" w:cs="Times New Roman"/>
          <w:color w:val="auto"/>
        </w:rPr>
        <mc:AlternateContent>
          <mc:Choice Requires="wps">
            <w:drawing>
              <wp:anchor distT="0" distB="0" distL="114300" distR="114300" simplePos="0" relativeHeight="251685888" behindDoc="0" locked="0" layoutInCell="1" allowOverlap="1">
                <wp:simplePos x="0" y="0"/>
                <wp:positionH relativeFrom="column">
                  <wp:posOffset>3351530</wp:posOffset>
                </wp:positionH>
                <wp:positionV relativeFrom="paragraph">
                  <wp:posOffset>735330</wp:posOffset>
                </wp:positionV>
                <wp:extent cx="459105" cy="30099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459105" cy="3009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DE42C3">
                            <w:pPr>
                              <w:ind w:firstLine="0" w:firstLineChars="0"/>
                              <w:rPr>
                                <w:color w:val="FF0000"/>
                              </w:rPr>
                            </w:pPr>
                            <w:r>
                              <w:rPr>
                                <w:rFonts w:hint="eastAsia"/>
                                <w:color w:val="FF0000"/>
                              </w:rPr>
                              <w:t>N9</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3.9pt;margin-top:57.9pt;height:23.7pt;width:36.15pt;z-index:251685888;mso-width-relative:page;mso-height-relative:page;" filled="f" stroked="f" coordsize="21600,21600" o:gfxdata="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C9DgHbbAAAACwEAAA8AAAAAAAAAAQAgAAAAIgAA&#10;AGRycy9kb3ducmV2LnhtbFBLAQIUABQAAAAIAIdO4kArm5E6PgIAAGcEAAAOAAAAAAAAAAEAIAAA&#10;ACoBAABkcnMvZTJvRG9jLnhtbFBLBQYAAAAABgAGAFkBAADaBQAAAAA=&#10;">
                <v:fill on="f" focussize="0,0"/>
                <v:stroke on="f" weight="0.5pt"/>
                <v:imagedata o:title=""/>
                <o:lock v:ext="edit" aspectratio="f"/>
                <v:textbox>
                  <w:txbxContent>
                    <w:p w14:paraId="5CDE42C3">
                      <w:pPr>
                        <w:ind w:firstLine="0" w:firstLineChars="0"/>
                        <w:rPr>
                          <w:color w:val="FF0000"/>
                        </w:rPr>
                      </w:pPr>
                      <w:r>
                        <w:rPr>
                          <w:rFonts w:hint="eastAsia"/>
                          <w:color w:val="FF0000"/>
                        </w:rPr>
                        <w:t>N9</w:t>
                      </w:r>
                    </w:p>
                  </w:txbxContent>
                </v:textbox>
              </v:shape>
            </w:pict>
          </mc:Fallback>
        </mc:AlternateContent>
      </w:r>
      <w:r>
        <w:rPr>
          <w:rFonts w:hint="default" w:ascii="Times New Roman" w:hAnsi="Times New Roman" w:cs="Times New Roman"/>
          <w:color w:val="auto"/>
        </w:rPr>
        <mc:AlternateContent>
          <mc:Choice Requires="wps">
            <w:drawing>
              <wp:anchor distT="0" distB="0" distL="114300" distR="114300" simplePos="0" relativeHeight="251683840" behindDoc="0" locked="0" layoutInCell="1" allowOverlap="1">
                <wp:simplePos x="0" y="0"/>
                <wp:positionH relativeFrom="column">
                  <wp:posOffset>2352675</wp:posOffset>
                </wp:positionH>
                <wp:positionV relativeFrom="paragraph">
                  <wp:posOffset>657225</wp:posOffset>
                </wp:positionV>
                <wp:extent cx="459105" cy="30099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459105" cy="3009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F24E63">
                            <w:pPr>
                              <w:ind w:firstLine="0" w:firstLineChars="0"/>
                              <w:rPr>
                                <w:color w:val="FF0000"/>
                              </w:rPr>
                            </w:pPr>
                            <w:r>
                              <w:rPr>
                                <w:rFonts w:hint="eastAsia"/>
                                <w:color w:val="FF0000"/>
                              </w:rPr>
                              <w:t>N8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5.25pt;margin-top:51.75pt;height:23.7pt;width:36.15pt;z-index:251683840;mso-width-relative:page;mso-height-relative:page;" filled="f" stroked="f" coordsize="21600,21600" o:gfxdata="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Baur0HbAAAACwEAAA8AAAAAAAAAAQAgAAAAIgAA&#10;AGRycy9kb3ducmV2LnhtbFBLAQIUABQAAAAIAIdO4kC6DpXmPgIAAGcEAAAOAAAAAAAAAAEAIAAA&#10;ACoBAABkcnMvZTJvRG9jLnhtbFBLBQYAAAAABgAGAFkBAADaBQAAAAA=&#10;">
                <v:fill on="f" focussize="0,0"/>
                <v:stroke on="f" weight="0.5pt"/>
                <v:imagedata o:title=""/>
                <o:lock v:ext="edit" aspectratio="f"/>
                <v:textbox>
                  <w:txbxContent>
                    <w:p w14:paraId="78F24E63">
                      <w:pPr>
                        <w:ind w:firstLine="0" w:firstLineChars="0"/>
                        <w:rPr>
                          <w:color w:val="FF0000"/>
                        </w:rPr>
                      </w:pPr>
                      <w:r>
                        <w:rPr>
                          <w:rFonts w:hint="eastAsia"/>
                          <w:color w:val="FF0000"/>
                        </w:rPr>
                        <w:t>N8</w:t>
                      </w:r>
                    </w:p>
                  </w:txbxContent>
                </v:textbox>
              </v:shape>
            </w:pict>
          </mc:Fallback>
        </mc:AlternateContent>
      </w:r>
      <w:r>
        <w:rPr>
          <w:rFonts w:hint="default" w:ascii="Times New Roman" w:hAnsi="Times New Roman" w:cs="Times New Roman"/>
          <w:color w:val="auto"/>
        </w:rPr>
        <mc:AlternateContent>
          <mc:Choice Requires="wps">
            <w:drawing>
              <wp:anchor distT="0" distB="0" distL="114300" distR="114300" simplePos="0" relativeHeight="251681792" behindDoc="0" locked="0" layoutInCell="1" allowOverlap="1">
                <wp:simplePos x="0" y="0"/>
                <wp:positionH relativeFrom="column">
                  <wp:posOffset>1608455</wp:posOffset>
                </wp:positionH>
                <wp:positionV relativeFrom="paragraph">
                  <wp:posOffset>811530</wp:posOffset>
                </wp:positionV>
                <wp:extent cx="459105" cy="300990"/>
                <wp:effectExtent l="0" t="0" r="0" b="0"/>
                <wp:wrapNone/>
                <wp:docPr id="79" name="文本框 79"/>
                <wp:cNvGraphicFramePr/>
                <a:graphic xmlns:a="http://schemas.openxmlformats.org/drawingml/2006/main">
                  <a:graphicData uri="http://schemas.microsoft.com/office/word/2010/wordprocessingShape">
                    <wps:wsp>
                      <wps:cNvSpPr txBox="1"/>
                      <wps:spPr>
                        <a:xfrm>
                          <a:off x="2825750" y="1905635"/>
                          <a:ext cx="459105" cy="3009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A437FF">
                            <w:pPr>
                              <w:ind w:firstLine="0" w:firstLineChars="0"/>
                              <w:rPr>
                                <w:color w:val="FF0000"/>
                              </w:rPr>
                            </w:pPr>
                            <w:r>
                              <w:rPr>
                                <w:rFonts w:hint="eastAsia"/>
                                <w:color w:val="FF0000"/>
                              </w:rPr>
                              <w:t>N7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6.65pt;margin-top:63.9pt;height:23.7pt;width:36.15pt;z-index:251681792;mso-width-relative:page;mso-height-relative:page;" filled="f" stroked="f" coordsize="21600,21600" o:gfxdata="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rGlFH9sAAAALAQAADwAAAAAA&#10;AAABACAAAAAiAAAAZHJzL2Rvd25yZXYueG1sUEsBAhQAFAAAAAgAh07iQOZO189JAgAAcwQAAA4A&#10;AAAAAAAAAQAgAAAAKgEAAGRycy9lMm9Eb2MueG1sUEsFBgAAAAAGAAYAWQEAAOUFAAAAAA==&#10;">
                <v:fill on="f" focussize="0,0"/>
                <v:stroke on="f" weight="0.5pt"/>
                <v:imagedata o:title=""/>
                <o:lock v:ext="edit" aspectratio="f"/>
                <v:textbox>
                  <w:txbxContent>
                    <w:p w14:paraId="1FA437FF">
                      <w:pPr>
                        <w:ind w:firstLine="0" w:firstLineChars="0"/>
                        <w:rPr>
                          <w:color w:val="FF0000"/>
                        </w:rPr>
                      </w:pPr>
                      <w:r>
                        <w:rPr>
                          <w:rFonts w:hint="eastAsia"/>
                          <w:color w:val="FF0000"/>
                        </w:rPr>
                        <w:t>N7</w:t>
                      </w:r>
                    </w:p>
                  </w:txbxContent>
                </v:textbox>
              </v:shape>
            </w:pict>
          </mc:Fallback>
        </mc:AlternateContent>
      </w:r>
      <w:r>
        <w:rPr>
          <w:rFonts w:hint="default" w:ascii="Times New Roman" w:hAnsi="Times New Roman" w:cs="Times New Roman"/>
          <w:color w:val="auto"/>
        </w:rPr>
        <w:drawing>
          <wp:inline distT="0" distB="0" distL="114300" distR="114300">
            <wp:extent cx="5262880" cy="3186430"/>
            <wp:effectExtent l="0" t="0" r="13970" b="13970"/>
            <wp:docPr id="80" name="图片 80" descr="31a9e7c6-c76e-4e1f-92f1-de0dcc692d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31a9e7c6-c76e-4e1f-92f1-de0dcc692d41"/>
                    <pic:cNvPicPr>
                      <a:picLocks noChangeAspect="1"/>
                    </pic:cNvPicPr>
                  </pic:nvPicPr>
                  <pic:blipFill>
                    <a:blip r:embed="rId97"/>
                    <a:stretch>
                      <a:fillRect/>
                    </a:stretch>
                  </pic:blipFill>
                  <pic:spPr>
                    <a:xfrm>
                      <a:off x="0" y="0"/>
                      <a:ext cx="5262880" cy="3186430"/>
                    </a:xfrm>
                    <a:prstGeom prst="rect">
                      <a:avLst/>
                    </a:prstGeom>
                  </pic:spPr>
                </pic:pic>
              </a:graphicData>
            </a:graphic>
          </wp:inline>
        </w:drawing>
      </w:r>
      <w:r>
        <w:rPr>
          <w:rFonts w:hint="default" w:ascii="Times New Roman" w:hAnsi="Times New Roman" w:cs="Times New Roman"/>
          <w:color w:val="auto"/>
        </w:rPr>
        <mc:AlternateContent>
          <mc:Choice Requires="wps">
            <w:drawing>
              <wp:anchor distT="0" distB="0" distL="114300" distR="114300" simplePos="0" relativeHeight="251680768" behindDoc="0" locked="0" layoutInCell="1" allowOverlap="1">
                <wp:simplePos x="0" y="0"/>
                <wp:positionH relativeFrom="column">
                  <wp:posOffset>1353820</wp:posOffset>
                </wp:positionH>
                <wp:positionV relativeFrom="paragraph">
                  <wp:posOffset>607060</wp:posOffset>
                </wp:positionV>
                <wp:extent cx="1000125" cy="260350"/>
                <wp:effectExtent l="0" t="0" r="0" b="0"/>
                <wp:wrapNone/>
                <wp:docPr id="81" name="文本框 81"/>
                <wp:cNvGraphicFramePr/>
                <a:graphic xmlns:a="http://schemas.openxmlformats.org/drawingml/2006/main">
                  <a:graphicData uri="http://schemas.microsoft.com/office/word/2010/wordprocessingShape">
                    <wps:wsp>
                      <wps:cNvSpPr txBox="1"/>
                      <wps:spPr>
                        <a:xfrm>
                          <a:off x="0" y="0"/>
                          <a:ext cx="1000125" cy="2603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BEF0B7">
                            <w:pPr>
                              <w:adjustRightInd w:val="0"/>
                              <w:snapToGrid w:val="0"/>
                              <w:spacing w:after="0" w:line="240" w:lineRule="auto"/>
                              <w:ind w:firstLine="0" w:firstLineChars="0"/>
                              <w:jc w:val="left"/>
                              <w:rPr>
                                <w:color w:val="FF0000"/>
                                <w:sz w:val="21"/>
                                <w:szCs w:val="20"/>
                                <w:highlight w:val="yellow"/>
                              </w:rPr>
                            </w:pPr>
                            <w:r>
                              <w:rPr>
                                <w:rFonts w:hint="eastAsia"/>
                                <w:color w:val="FF0000"/>
                                <w:sz w:val="21"/>
                                <w:szCs w:val="20"/>
                                <w:highlight w:val="yellow"/>
                              </w:rPr>
                              <w:t>生态保护红线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6.6pt;margin-top:47.8pt;height:20.5pt;width:78.75pt;z-index:251680768;mso-width-relative:page;mso-height-relative:page;" filled="f" stroked="f" coordsize="21600,21600" o:gfxdata="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&#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BFMYy/bAAAACgEAAA8AAAAAAAAAAQAgAAAAIgAAAGRy&#10;cy9kb3ducmV2LnhtbFBLAQIUABQAAAAIAIdO4kBCskEOOwIAAGgEAAAOAAAAAAAAAAEAIAAAACoB&#10;AABkcnMvZTJvRG9jLnhtbFBLBQYAAAAABgAGAFkBAADXBQAAAAA=&#10;">
                <v:fill on="f" focussize="0,0"/>
                <v:stroke on="f" weight="0.5pt"/>
                <v:imagedata o:title=""/>
                <o:lock v:ext="edit" aspectratio="f"/>
                <v:textbox>
                  <w:txbxContent>
                    <w:p w14:paraId="2BBEF0B7">
                      <w:pPr>
                        <w:adjustRightInd w:val="0"/>
                        <w:snapToGrid w:val="0"/>
                        <w:spacing w:after="0" w:line="240" w:lineRule="auto"/>
                        <w:ind w:firstLine="0" w:firstLineChars="0"/>
                        <w:jc w:val="left"/>
                        <w:rPr>
                          <w:color w:val="FF0000"/>
                          <w:sz w:val="21"/>
                          <w:szCs w:val="20"/>
                          <w:highlight w:val="yellow"/>
                        </w:rPr>
                      </w:pPr>
                      <w:r>
                        <w:rPr>
                          <w:rFonts w:hint="eastAsia"/>
                          <w:color w:val="FF0000"/>
                          <w:sz w:val="21"/>
                          <w:szCs w:val="20"/>
                          <w:highlight w:val="yellow"/>
                        </w:rPr>
                        <w:t>生态保护红线</w:t>
                      </w:r>
                    </w:p>
                  </w:txbxContent>
                </v:textbox>
              </v:shape>
            </w:pict>
          </mc:Fallback>
        </mc:AlternateContent>
      </w:r>
      <w:r>
        <w:rPr>
          <w:rFonts w:hint="default" w:ascii="Times New Roman" w:hAnsi="Times New Roman" w:cs="Times New Roman"/>
          <w:color w:val="auto"/>
          <w:sz w:val="21"/>
        </w:rPr>
        <mc:AlternateContent>
          <mc:Choice Requires="wps">
            <w:drawing>
              <wp:anchor distT="0" distB="0" distL="114300" distR="114300" simplePos="0" relativeHeight="251676672" behindDoc="0" locked="0" layoutInCell="1" allowOverlap="1">
                <wp:simplePos x="0" y="0"/>
                <wp:positionH relativeFrom="column">
                  <wp:posOffset>4567555</wp:posOffset>
                </wp:positionH>
                <wp:positionV relativeFrom="paragraph">
                  <wp:posOffset>5715</wp:posOffset>
                </wp:positionV>
                <wp:extent cx="708025" cy="851535"/>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708025" cy="8515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D17E1E">
                            <w:pPr>
                              <w:adjustRightInd w:val="0"/>
                              <w:snapToGrid w:val="0"/>
                              <w:spacing w:after="0" w:line="240" w:lineRule="auto"/>
                              <w:ind w:firstLine="0" w:firstLineChars="0"/>
                              <w:rPr>
                                <w:rFonts w:eastAsia="宋体"/>
                              </w:rPr>
                            </w:pPr>
                            <w:r>
                              <w:rPr>
                                <w:rFonts w:hint="eastAsia" w:eastAsia="宋体"/>
                              </w:rPr>
                              <w:drawing>
                                <wp:inline distT="0" distB="0" distL="114300" distR="114300">
                                  <wp:extent cx="600075" cy="659130"/>
                                  <wp:effectExtent l="0" t="0" r="9525" b="7620"/>
                                  <wp:docPr id="83" name="图片 83" descr="风玫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风玫瑰"/>
                                          <pic:cNvPicPr>
                                            <a:picLocks noChangeAspect="1"/>
                                          </pic:cNvPicPr>
                                        </pic:nvPicPr>
                                        <pic:blipFill>
                                          <a:blip r:embed="rId34"/>
                                          <a:stretch>
                                            <a:fillRect/>
                                          </a:stretch>
                                        </pic:blipFill>
                                        <pic:spPr>
                                          <a:xfrm>
                                            <a:off x="0" y="0"/>
                                            <a:ext cx="600075" cy="6591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9.65pt;margin-top:0.45pt;height:67.05pt;width:55.75pt;z-index:251676672;mso-width-relative:page;mso-height-relative:page;" filled="f" stroked="f" coordsize="21600,21600" o:gfxdata="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GwARrbZAAAACAEAAA8AAAAAAAAAAQAgAAAAIgAAAGRy&#10;cy9kb3ducmV2LnhtbFBLAQIUABQAAAAIAIdO4kCVuUcmPQIAAGcEAAAOAAAAAAAAAAEAIAAAACgB&#10;AABkcnMvZTJvRG9jLnhtbFBLBQYAAAAABgAGAFkBAADXBQAAAAA=&#10;">
                <v:fill on="f" focussize="0,0"/>
                <v:stroke on="f" weight="0.5pt"/>
                <v:imagedata o:title=""/>
                <o:lock v:ext="edit" aspectratio="f"/>
                <v:textbox>
                  <w:txbxContent>
                    <w:p w14:paraId="52D17E1E">
                      <w:pPr>
                        <w:adjustRightInd w:val="0"/>
                        <w:snapToGrid w:val="0"/>
                        <w:spacing w:after="0" w:line="240" w:lineRule="auto"/>
                        <w:ind w:firstLine="0" w:firstLineChars="0"/>
                        <w:rPr>
                          <w:rFonts w:eastAsia="宋体"/>
                        </w:rPr>
                      </w:pPr>
                      <w:r>
                        <w:rPr>
                          <w:rFonts w:hint="eastAsia" w:eastAsia="宋体"/>
                        </w:rPr>
                        <w:drawing>
                          <wp:inline distT="0" distB="0" distL="114300" distR="114300">
                            <wp:extent cx="600075" cy="659130"/>
                            <wp:effectExtent l="0" t="0" r="9525" b="7620"/>
                            <wp:docPr id="83" name="图片 83" descr="风玫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风玫瑰"/>
                                    <pic:cNvPicPr>
                                      <a:picLocks noChangeAspect="1"/>
                                    </pic:cNvPicPr>
                                  </pic:nvPicPr>
                                  <pic:blipFill>
                                    <a:blip r:embed="rId34"/>
                                    <a:stretch>
                                      <a:fillRect/>
                                    </a:stretch>
                                  </pic:blipFill>
                                  <pic:spPr>
                                    <a:xfrm>
                                      <a:off x="0" y="0"/>
                                      <a:ext cx="600075" cy="659130"/>
                                    </a:xfrm>
                                    <a:prstGeom prst="rect">
                                      <a:avLst/>
                                    </a:prstGeom>
                                  </pic:spPr>
                                </pic:pic>
                              </a:graphicData>
                            </a:graphic>
                          </wp:inline>
                        </w:drawing>
                      </w:r>
                    </w:p>
                  </w:txbxContent>
                </v:textbox>
              </v:shape>
            </w:pict>
          </mc:Fallback>
        </mc:AlternateContent>
      </w:r>
    </w:p>
    <w:p w14:paraId="0A5609E7">
      <w:pPr>
        <w:adjustRightInd w:val="0"/>
        <w:snapToGrid w:val="0"/>
        <w:spacing w:after="0" w:line="240" w:lineRule="auto"/>
        <w:ind w:firstLine="0" w:firstLineChars="0"/>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kern w:val="0"/>
          <w:szCs w:val="24"/>
          <w:lang w:bidi="ar"/>
        </w:rPr>
        <w:t>图2.9-3  N7~N8</w:t>
      </w:r>
      <w:r>
        <w:rPr>
          <w:rFonts w:hint="default" w:ascii="Times New Roman" w:hAnsi="Times New Roman" w:eastAsia="宋体" w:cs="Times New Roman"/>
          <w:b/>
          <w:bCs/>
          <w:color w:val="auto"/>
        </w:rPr>
        <w:t>段跨越</w:t>
      </w:r>
      <w:r>
        <w:rPr>
          <w:rFonts w:hint="eastAsia" w:ascii="Times New Roman" w:hAnsi="Times New Roman" w:eastAsia="宋体" w:cs="Times New Roman"/>
          <w:b/>
          <w:bCs/>
          <w:color w:val="auto"/>
          <w:lang w:eastAsia="zh-CN"/>
        </w:rPr>
        <w:t>生态保护红线</w:t>
      </w:r>
      <w:r>
        <w:rPr>
          <w:rFonts w:hint="default" w:ascii="Times New Roman" w:hAnsi="Times New Roman" w:eastAsia="宋体" w:cs="Times New Roman"/>
          <w:b/>
          <w:bCs/>
          <w:color w:val="auto"/>
        </w:rPr>
        <w:t>路径走向图</w:t>
      </w:r>
    </w:p>
    <w:p w14:paraId="21C6919A">
      <w:pPr>
        <w:keepNext/>
        <w:keepLines/>
        <w:widowControl/>
        <w:numPr>
          <w:ilvl w:val="3"/>
          <w:numId w:val="0"/>
        </w:numPr>
        <w:adjustRightInd w:val="0"/>
        <w:snapToGrid w:val="0"/>
        <w:spacing w:after="0" w:line="440" w:lineRule="exact"/>
        <w:ind w:firstLine="422" w:firstLineChars="200"/>
        <w:outlineLvl w:val="3"/>
        <w:rPr>
          <w:rFonts w:hint="default" w:ascii="Times New Roman" w:hAnsi="Times New Roman" w:eastAsia="宋体" w:cs="Times New Roman"/>
          <w:b/>
          <w:bCs/>
          <w:color w:val="auto"/>
          <w:szCs w:val="28"/>
        </w:rPr>
      </w:pPr>
      <w:r>
        <w:rPr>
          <w:rFonts w:hint="default" w:ascii="Times New Roman" w:hAnsi="Times New Roman" w:eastAsia="宋体" w:cs="Times New Roman"/>
          <w:b/>
          <w:bCs/>
          <w:color w:val="auto"/>
          <w:szCs w:val="28"/>
        </w:rPr>
        <w:t>2.9.3.3线路跨越生态保护红线不可避让小结</w:t>
      </w:r>
    </w:p>
    <w:p w14:paraId="59CC7AA4">
      <w:pPr>
        <w:pStyle w:val="2"/>
        <w:keepNext w:val="0"/>
        <w:keepLines w:val="0"/>
        <w:pageBreakBefore w:val="0"/>
        <w:kinsoku/>
        <w:wordWrap/>
        <w:overflowPunct/>
        <w:topLinePunct w:val="0"/>
        <w:autoSpaceDE/>
        <w:autoSpaceDN/>
        <w:bidi w:val="0"/>
        <w:adjustRightInd w:val="0"/>
        <w:snapToGrid w:val="0"/>
        <w:spacing w:before="0" w:after="0" w:line="440" w:lineRule="exact"/>
        <w:ind w:firstLine="480"/>
        <w:textAlignment w:val="auto"/>
        <w:rPr>
          <w:rFonts w:hint="default" w:ascii="Times New Roman" w:hAnsi="Times New Roman" w:cs="Times New Roman"/>
          <w:color w:val="auto"/>
          <w:sz w:val="24"/>
        </w:rPr>
      </w:pPr>
      <w:r>
        <w:rPr>
          <w:rFonts w:hint="default" w:ascii="Times New Roman" w:hAnsi="Times New Roman" w:cs="Times New Roman"/>
          <w:color w:val="auto"/>
          <w:sz w:val="24"/>
        </w:rPr>
        <w:t>项目在设计阶段，在线路路径选择时已充分听取沿线政府、环保局、自然资源局、林草局等相关行政部门的支持与同意，优化路径，减少工程建设对环境的影响，目前已取得了线路所经地区城市规划部门、自然资源部门和人民政府同意线路经过的原则性意见。线路路径不涉及占用沿线自然保护区、风景名胜区等生态敏感地区。路径选择还应避开沿线居民聚集区，减少拆迁民宅的数量，尽量避开林木密集覆盖区，避开军事设施、城镇规划等。但由于路径长、跨度大，受城镇规划、自然条件、水源地保护区、村庄居民区等的限制，建设单位多次组织召开会议，对路径方案进行讨论、评审及压矿评估，根据“经济合理、统筹兼顾”的原则，最终确定了途经</w:t>
      </w:r>
      <w:r>
        <w:rPr>
          <w:rFonts w:hint="default" w:ascii="Times New Roman" w:hAnsi="Times New Roman" w:cs="Times New Roman"/>
          <w:color w:val="auto"/>
          <w:sz w:val="24"/>
          <w:szCs w:val="24"/>
        </w:rPr>
        <w:t>会泽县乐业镇、宝云街道、五星乡境内</w:t>
      </w:r>
      <w:r>
        <w:rPr>
          <w:rFonts w:hint="default" w:ascii="Times New Roman" w:hAnsi="Times New Roman" w:cs="Times New Roman"/>
          <w:color w:val="auto"/>
          <w:sz w:val="24"/>
        </w:rPr>
        <w:t>的路径方案。项目选线无法完全避让生态保护红线。</w:t>
      </w:r>
    </w:p>
    <w:p w14:paraId="1489BA2D">
      <w:pPr>
        <w:keepNext w:val="0"/>
        <w:keepLines w:val="0"/>
        <w:pageBreakBefore w:val="0"/>
        <w:kinsoku/>
        <w:wordWrap/>
        <w:overflowPunct/>
        <w:topLinePunct w:val="0"/>
        <w:autoSpaceDE/>
        <w:autoSpaceDN/>
        <w:bidi w:val="0"/>
        <w:adjustRightInd w:val="0"/>
        <w:snapToGrid w:val="0"/>
        <w:spacing w:line="440" w:lineRule="exact"/>
        <w:ind w:firstLine="480"/>
        <w:textAlignment w:val="auto"/>
        <w:rPr>
          <w:rFonts w:hint="default" w:ascii="Times New Roman" w:hAnsi="Times New Roman" w:cs="Times New Roman"/>
          <w:color w:val="auto"/>
          <w:szCs w:val="24"/>
        </w:rPr>
      </w:pPr>
      <w:r>
        <w:rPr>
          <w:rFonts w:hint="default" w:ascii="Times New Roman" w:hAnsi="Times New Roman" w:cs="Times New Roman"/>
          <w:color w:val="auto"/>
        </w:rPr>
        <w:t>项目区域西侧分布大片生态保护红线，线路无法避让生态保护红线；若输电线路完全避让生态保护红线，线路穿越</w:t>
      </w:r>
      <w:r>
        <w:rPr>
          <w:rFonts w:hint="default" w:ascii="Times New Roman" w:hAnsi="Times New Roman" w:eastAsia="宋体" w:cs="Times New Roman"/>
          <w:color w:val="auto"/>
          <w:kern w:val="0"/>
          <w:szCs w:val="24"/>
          <w:lang w:bidi="ar"/>
        </w:rPr>
        <w:t>老窑冲村、水井湾村、康家箐等居民聚集区</w:t>
      </w:r>
      <w:r>
        <w:rPr>
          <w:rFonts w:hint="default" w:ascii="Times New Roman" w:hAnsi="Times New Roman" w:cs="Times New Roman"/>
          <w:color w:val="auto"/>
        </w:rPr>
        <w:t>，影响较大</w:t>
      </w:r>
      <w:r>
        <w:rPr>
          <w:rFonts w:hint="default" w:ascii="Times New Roman" w:hAnsi="Times New Roman" w:eastAsia="宋体" w:cs="Times New Roman"/>
          <w:color w:val="auto"/>
        </w:rPr>
        <w:t>；</w:t>
      </w:r>
      <w:r>
        <w:rPr>
          <w:rFonts w:hint="default" w:ascii="Times New Roman" w:hAnsi="Times New Roman" w:cs="Times New Roman"/>
          <w:color w:val="auto"/>
        </w:rPr>
        <w:t>东侧存在基本农田、矿区、村庄等</w:t>
      </w:r>
      <w:r>
        <w:rPr>
          <w:rFonts w:hint="default" w:ascii="Times New Roman" w:hAnsi="Times New Roman" w:eastAsia="宋体" w:cs="Times New Roman"/>
          <w:color w:val="auto"/>
        </w:rPr>
        <w:t>多种障碍物，布线空间有限，且地势高差较大，塔基不能布置于陡坡上，必须确保铁塔基础位于边坡的稳定区域之内，避免边坡失稳或变形对铁塔安全造成威胁，有地质滑坡安全风险，不具备立塔条件。</w:t>
      </w:r>
    </w:p>
    <w:p w14:paraId="02B8069A">
      <w:pPr>
        <w:keepNext w:val="0"/>
        <w:keepLines w:val="0"/>
        <w:pageBreakBefore w:val="0"/>
        <w:kinsoku/>
        <w:wordWrap/>
        <w:overflowPunct/>
        <w:topLinePunct w:val="0"/>
        <w:autoSpaceDE/>
        <w:autoSpaceDN/>
        <w:bidi w:val="0"/>
        <w:adjustRightInd w:val="0"/>
        <w:snapToGrid w:val="0"/>
        <w:spacing w:line="44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受</w:t>
      </w:r>
      <w:r>
        <w:rPr>
          <w:rFonts w:hint="default" w:ascii="Times New Roman" w:hAnsi="Times New Roman" w:eastAsia="宋体" w:cs="Times New Roman"/>
          <w:bCs/>
          <w:color w:val="auto"/>
        </w:rPr>
        <w:t>自然条件、对居民点、大面积基本农田、矿区布局影响等因素的限制，</w:t>
      </w:r>
      <w:r>
        <w:rPr>
          <w:rFonts w:hint="default" w:ascii="Times New Roman" w:hAnsi="Times New Roman" w:eastAsia="宋体" w:cs="Times New Roman"/>
          <w:color w:val="auto"/>
          <w:szCs w:val="24"/>
        </w:rPr>
        <w:t>输电线路共89.2米不可避让跨越生态保护红线，但不在生态保护红线范围内立塔，对生态环境影响相对较小。</w:t>
      </w:r>
      <w:r>
        <w:rPr>
          <w:rFonts w:hint="default" w:ascii="Times New Roman" w:hAnsi="Times New Roman" w:eastAsia="宋体" w:cs="Times New Roman"/>
          <w:color w:val="auto"/>
        </w:rPr>
        <w:t>本工程线路路径为西南向东北走向，从生态保护红线边缘布线，不可避让的跨越生态保护红线。</w:t>
      </w:r>
    </w:p>
    <w:p w14:paraId="68E1E289">
      <w:pPr>
        <w:pStyle w:val="2"/>
        <w:keepNext w:val="0"/>
        <w:keepLines w:val="0"/>
        <w:pageBreakBefore w:val="0"/>
        <w:kinsoku/>
        <w:wordWrap/>
        <w:overflowPunct/>
        <w:topLinePunct w:val="0"/>
        <w:autoSpaceDE/>
        <w:autoSpaceDN/>
        <w:bidi w:val="0"/>
        <w:adjustRightInd w:val="0"/>
        <w:snapToGrid w:val="0"/>
        <w:spacing w:before="0" w:after="0" w:line="440" w:lineRule="exact"/>
        <w:ind w:firstLine="480"/>
        <w:textAlignment w:val="auto"/>
        <w:rPr>
          <w:rFonts w:hint="default" w:ascii="Times New Roman" w:hAnsi="Times New Roman" w:cs="Times New Roman"/>
          <w:color w:val="auto"/>
          <w:sz w:val="24"/>
        </w:rPr>
      </w:pPr>
      <w:r>
        <w:rPr>
          <w:rFonts w:hint="default" w:ascii="Times New Roman" w:hAnsi="Times New Roman" w:eastAsia="宋体" w:cs="Times New Roman"/>
          <w:color w:val="auto"/>
          <w:sz w:val="24"/>
        </w:rPr>
        <w:t>因此，工程线路跨越生态保护红线段路径方案具有不可避让性</w:t>
      </w:r>
      <w:r>
        <w:rPr>
          <w:rFonts w:hint="default" w:ascii="Times New Roman" w:hAnsi="Times New Roman" w:cs="Times New Roman"/>
          <w:color w:val="auto"/>
          <w:sz w:val="24"/>
        </w:rPr>
        <w:t>，具有唯一性。</w:t>
      </w:r>
    </w:p>
    <w:p w14:paraId="3CBCA280">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61" w:name="_Toc15511"/>
      <w:r>
        <w:rPr>
          <w:rFonts w:hint="default" w:ascii="Times New Roman" w:hAnsi="Times New Roman" w:cs="Times New Roman"/>
          <w:color w:val="auto"/>
          <w:sz w:val="24"/>
          <w:szCs w:val="24"/>
        </w:rPr>
        <w:t>2.9.4工程与相关法律法规相符性分析</w:t>
      </w:r>
      <w:bookmarkEnd w:id="261"/>
    </w:p>
    <w:p w14:paraId="2BB2D53A">
      <w:pPr>
        <w:keepNext w:val="0"/>
        <w:keepLines w:val="0"/>
        <w:pageBreakBefore w:val="0"/>
        <w:kinsoku/>
        <w:wordWrap/>
        <w:overflowPunct/>
        <w:topLinePunct w:val="0"/>
        <w:autoSpaceDE/>
        <w:autoSpaceDN/>
        <w:bidi w:val="0"/>
        <w:adjustRightInd w:val="0"/>
        <w:snapToGrid w:val="0"/>
        <w:spacing w:after="0" w:line="440" w:lineRule="exact"/>
        <w:ind w:right="0"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目前，国家已发布了《关于以改善环境质量为核心加强环境影响评价管理的通知》（环环评〔2016〕150号）、《关于生态环境领域进一步深化“放管服”改革，推动经济高质量发展的指导意见》（环规财〔2018〕86号）、中共中央办公厅、国务院办公厅2019年11月印发《关于在国土空间规划中统筹划定落实三条控制线的指导意见》（厅〔2019〕48号）、自然资源部 生态环境部 国家林业和草原局发布《关于加强生态保护红线管理的通知（试行）》（</w:t>
      </w:r>
      <w:r>
        <w:rPr>
          <w:rFonts w:hint="default" w:ascii="Times New Roman" w:hAnsi="Times New Roman" w:eastAsia="宋体" w:cs="Times New Roman"/>
          <w:color w:val="auto"/>
          <w:szCs w:val="24"/>
          <w:lang w:val="zh-CN"/>
        </w:rPr>
        <w:t>自然资发〔2022〕142号</w:t>
      </w:r>
      <w:r>
        <w:rPr>
          <w:rFonts w:hint="default" w:ascii="Times New Roman" w:hAnsi="Times New Roman" w:eastAsia="宋体" w:cs="Times New Roman"/>
          <w:color w:val="auto"/>
          <w:szCs w:val="24"/>
        </w:rPr>
        <w:t>）及《云南省自然资源厅 云南省生态环境厅 云南省林业和草原局关于加强生态保护红线管理工作的通知》（云自然资〔2023〕98号）等若干关于生态保护红线管理的指导意见。</w:t>
      </w:r>
    </w:p>
    <w:p w14:paraId="06AAEBEA">
      <w:pPr>
        <w:keepNext w:val="0"/>
        <w:keepLines w:val="0"/>
        <w:pageBreakBefore w:val="0"/>
        <w:kinsoku/>
        <w:wordWrap/>
        <w:overflowPunct/>
        <w:topLinePunct w:val="0"/>
        <w:autoSpaceDE/>
        <w:autoSpaceDN/>
        <w:bidi w:val="0"/>
        <w:adjustRightInd w:val="0"/>
        <w:snapToGrid w:val="0"/>
        <w:spacing w:after="0" w:line="440" w:lineRule="exact"/>
        <w:ind w:right="0" w:firstLine="482"/>
        <w:textAlignment w:val="auto"/>
        <w:rPr>
          <w:rFonts w:hint="default" w:ascii="Times New Roman" w:hAnsi="Times New Roman" w:eastAsia="宋体" w:cs="Times New Roman"/>
          <w:b/>
          <w:bCs/>
          <w:color w:val="auto"/>
          <w:szCs w:val="24"/>
        </w:rPr>
      </w:pPr>
      <w:r>
        <w:rPr>
          <w:rFonts w:hint="default" w:ascii="Times New Roman" w:hAnsi="Times New Roman" w:eastAsia="宋体" w:cs="Times New Roman"/>
          <w:b/>
          <w:bCs/>
          <w:color w:val="auto"/>
          <w:szCs w:val="24"/>
        </w:rPr>
        <w:t>①与《关于以改善环境质量为核心加强环境影响评价管理的通知》相符性</w:t>
      </w:r>
    </w:p>
    <w:p w14:paraId="66291B50">
      <w:pPr>
        <w:keepNext w:val="0"/>
        <w:keepLines w:val="0"/>
        <w:pageBreakBefore w:val="0"/>
        <w:kinsoku/>
        <w:wordWrap/>
        <w:overflowPunct/>
        <w:topLinePunct w:val="0"/>
        <w:autoSpaceDE/>
        <w:autoSpaceDN/>
        <w:bidi w:val="0"/>
        <w:adjustRightInd w:val="0"/>
        <w:snapToGrid w:val="0"/>
        <w:spacing w:after="0" w:line="440" w:lineRule="exact"/>
        <w:ind w:right="0"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关于以改善环境质量为核心加强环境影响评价管理的通知》（简称“通知”）中“一、强化“三线一单”约束作用—（一）生态保护红线是生态空间范围内具有特殊重要生态功能必须实行强制性严格保护的区域。相关规划环评应将生态空间管控作为重要内容，规划区域涉及生态保护红线的，在规划环评结论和审查意见中应落实生态保护红线的管理要求，提出相应对策措施。除受自然条件限制、确实无法避让的铁路、公路、航道、防洪、管道、干渠、通讯、输变电等重要基础设施项目外，在生态保护红线范围内，严控各类开发建设活动，依法不予审批新建工业项目和矿产开发项目的环评文件。”</w:t>
      </w:r>
    </w:p>
    <w:p w14:paraId="5209CBD1">
      <w:pPr>
        <w:keepNext w:val="0"/>
        <w:keepLines w:val="0"/>
        <w:pageBreakBefore w:val="0"/>
        <w:kinsoku/>
        <w:wordWrap/>
        <w:overflowPunct/>
        <w:topLinePunct w:val="0"/>
        <w:autoSpaceDE/>
        <w:autoSpaceDN/>
        <w:bidi w:val="0"/>
        <w:adjustRightInd w:val="0"/>
        <w:snapToGrid w:val="0"/>
        <w:spacing w:after="0" w:line="440" w:lineRule="exact"/>
        <w:ind w:right="0"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本项目属于高压输电线路工程，不属于《通知》中的严控开发建设活动类别。</w:t>
      </w:r>
    </w:p>
    <w:p w14:paraId="5CDCDF26">
      <w:pPr>
        <w:keepNext w:val="0"/>
        <w:keepLines w:val="0"/>
        <w:pageBreakBefore w:val="0"/>
        <w:kinsoku/>
        <w:wordWrap/>
        <w:overflowPunct/>
        <w:topLinePunct w:val="0"/>
        <w:autoSpaceDE/>
        <w:autoSpaceDN/>
        <w:bidi w:val="0"/>
        <w:adjustRightInd w:val="0"/>
        <w:snapToGrid w:val="0"/>
        <w:spacing w:after="0" w:line="440" w:lineRule="exact"/>
        <w:ind w:right="0" w:firstLine="482"/>
        <w:textAlignment w:val="auto"/>
        <w:rPr>
          <w:rFonts w:hint="default" w:ascii="Times New Roman" w:hAnsi="Times New Roman" w:eastAsia="宋体" w:cs="Times New Roman"/>
          <w:b/>
          <w:bCs/>
          <w:color w:val="auto"/>
          <w:szCs w:val="24"/>
        </w:rPr>
      </w:pPr>
      <w:r>
        <w:rPr>
          <w:rFonts w:hint="default" w:ascii="Times New Roman" w:hAnsi="Times New Roman" w:eastAsia="宋体" w:cs="Times New Roman"/>
          <w:b/>
          <w:bCs/>
          <w:color w:val="auto"/>
          <w:szCs w:val="24"/>
        </w:rPr>
        <w:t>②与《关于生态环境领域进一步深化“放管服”改革，推动经济高质量发展的指导意见》相符性</w:t>
      </w:r>
    </w:p>
    <w:p w14:paraId="2069A6EC">
      <w:pPr>
        <w:keepNext w:val="0"/>
        <w:keepLines w:val="0"/>
        <w:pageBreakBefore w:val="0"/>
        <w:kinsoku/>
        <w:wordWrap/>
        <w:overflowPunct/>
        <w:topLinePunct w:val="0"/>
        <w:autoSpaceDE/>
        <w:autoSpaceDN/>
        <w:bidi w:val="0"/>
        <w:adjustRightInd w:val="0"/>
        <w:snapToGrid w:val="0"/>
        <w:spacing w:after="0" w:line="440" w:lineRule="exact"/>
        <w:ind w:right="0"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关于生态环境领域进一步深化“放管服”改革，推动经济高质量发展的指导意见》（简称“意见”）中“二、加快审批制度改革，激发发展活力与动力—（五）进一步提高环评审批效率，服务实体经济。各级生态环境部门要主动服务，提前指导，开展重大项目审批调度，拉条挂账形成清单，会同行业主管部门督促建设单位尽早开展环评，合理安排报批时间。优化审批管理，为重大基础设施、民生工程和重大产业布局项目开辟绿色通道，实行即到即受理、即受理即评估、评估与审查同步，审批时限原则上压缩至法定的一半。实施分类处理，对符合生态环境保护要求的项目一律加快环评审批；对审批中发现涉及生态保护红线和相关法定保护区的输气管线、铁路等线性项目，指导督促项目优化调整选线、主动避让；确实无法避让的，要求建设单位采取无害化穿（跨）越方式，或依法依规向有关行政主管部门履行穿（跨）越法定保护区的行政许可手续、强化减缓和补偿措施。”</w:t>
      </w:r>
    </w:p>
    <w:p w14:paraId="103577B7">
      <w:pPr>
        <w:keepNext w:val="0"/>
        <w:keepLines w:val="0"/>
        <w:pageBreakBefore w:val="0"/>
        <w:kinsoku/>
        <w:wordWrap/>
        <w:overflowPunct/>
        <w:topLinePunct w:val="0"/>
        <w:autoSpaceDE/>
        <w:autoSpaceDN/>
        <w:bidi w:val="0"/>
        <w:adjustRightInd w:val="0"/>
        <w:snapToGrid w:val="0"/>
        <w:spacing w:after="0" w:line="440" w:lineRule="exact"/>
        <w:ind w:right="0"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本项目属于输电线路线性工程，工程选址选线在综合考虑地方规划、环境敏感区、重要矿产、军事设施等多方限制性条件后，仍无法完全避让生态保护红线。基于工程点状线性分布特点，对</w:t>
      </w:r>
      <w:r>
        <w:rPr>
          <w:rFonts w:hint="eastAsia" w:ascii="Times New Roman" w:hAnsi="Times New Roman" w:eastAsia="宋体" w:cs="Times New Roman"/>
          <w:color w:val="auto"/>
          <w:szCs w:val="24"/>
          <w:lang w:eastAsia="zh-CN"/>
        </w:rPr>
        <w:t>必须</w:t>
      </w:r>
      <w:r>
        <w:rPr>
          <w:rFonts w:hint="default" w:ascii="Times New Roman" w:hAnsi="Times New Roman" w:eastAsia="宋体" w:cs="Times New Roman"/>
          <w:color w:val="auto"/>
          <w:szCs w:val="24"/>
        </w:rPr>
        <w:t>经过生态保护红线的部分，采取了高塔跨越的穿越方式，同时，项目线路路径方案已取得会泽县关于会泽华电道成清洁能源开发有限公司大草房至六合一110千伏送出线路工程路径方案的批复，当地人民政府原则上同意该项目线路路径走向，因此，与《意见》要求相符。</w:t>
      </w:r>
    </w:p>
    <w:p w14:paraId="6E3E61FF">
      <w:pPr>
        <w:keepNext w:val="0"/>
        <w:keepLines w:val="0"/>
        <w:pageBreakBefore w:val="0"/>
        <w:kinsoku/>
        <w:wordWrap/>
        <w:overflowPunct/>
        <w:topLinePunct w:val="0"/>
        <w:autoSpaceDE/>
        <w:autoSpaceDN/>
        <w:bidi w:val="0"/>
        <w:adjustRightInd w:val="0"/>
        <w:snapToGrid w:val="0"/>
        <w:spacing w:after="0" w:line="440" w:lineRule="exact"/>
        <w:ind w:right="0" w:firstLine="482"/>
        <w:textAlignment w:val="auto"/>
        <w:rPr>
          <w:rFonts w:hint="default" w:ascii="Times New Roman" w:hAnsi="Times New Roman" w:eastAsia="宋体" w:cs="Times New Roman"/>
          <w:b/>
          <w:bCs/>
          <w:color w:val="auto"/>
          <w:szCs w:val="24"/>
        </w:rPr>
      </w:pPr>
      <w:r>
        <w:rPr>
          <w:rFonts w:hint="default" w:ascii="Times New Roman" w:hAnsi="Times New Roman" w:eastAsia="宋体" w:cs="Times New Roman"/>
          <w:b/>
          <w:bCs/>
          <w:color w:val="auto"/>
          <w:szCs w:val="24"/>
        </w:rPr>
        <w:t>③与《关于在国土空间规划中统筹划定落实三条控制线的指导意见》相符性</w:t>
      </w:r>
    </w:p>
    <w:p w14:paraId="6A426E84">
      <w:pPr>
        <w:keepNext w:val="0"/>
        <w:keepLines w:val="0"/>
        <w:pageBreakBefore w:val="0"/>
        <w:kinsoku/>
        <w:wordWrap/>
        <w:overflowPunct/>
        <w:topLinePunct w:val="0"/>
        <w:autoSpaceDE/>
        <w:autoSpaceDN/>
        <w:bidi w:val="0"/>
        <w:adjustRightInd w:val="0"/>
        <w:snapToGrid w:val="0"/>
        <w:spacing w:after="0" w:line="440" w:lineRule="exact"/>
        <w:ind w:right="0"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关于在国土空间规划中统筹划定落实三条控制线的指导意见》（简称“意见”）中“二、科学有序划定—（四）按照生态功能划定生态保护红线。生态保护红线内，自然保护地核心保护区原则上禁止人为活动，其他区域严格禁止开发性、生产性建设活动，在符合现行法律法规前提下，除国家重大战略项目外，仅允许对生态功能不造成破坏的有限人为活动，主要包括：零星的原住民在不扩大现有建设用地和耕地规模前提下，修缮生产生活设施，保留生活必需的少量种植、放牧、捕捞、养殖；因国家重大能源资源安全需要开展的战略性能源资源勘查，公益性自然资源调查和地质勘查；自然资源、生态环境监测和执法包括水文水资源监测及涉水违法事件的查处等，灾害防治和应急抢险活动；经依法批准进行的非破坏性科学研究观测、标本采集；经依法批准的考古调查发掘和文物保护活动；不破坏生态功能的适度参观旅游和相关的必要公共设施建设；必须且无法避让、符合县级以上国土空间规划的线性基础设施建设、防洪和供水设施建设与运行维护；重要生态修复工程”。</w:t>
      </w:r>
    </w:p>
    <w:p w14:paraId="1196B9F6">
      <w:pPr>
        <w:keepNext w:val="0"/>
        <w:keepLines w:val="0"/>
        <w:pageBreakBefore w:val="0"/>
        <w:kinsoku/>
        <w:wordWrap/>
        <w:overflowPunct/>
        <w:topLinePunct w:val="0"/>
        <w:autoSpaceDE/>
        <w:autoSpaceDN/>
        <w:bidi w:val="0"/>
        <w:adjustRightInd w:val="0"/>
        <w:snapToGrid w:val="0"/>
        <w:spacing w:line="440" w:lineRule="exact"/>
        <w:ind w:right="0" w:firstLine="480"/>
        <w:textAlignment w:val="auto"/>
        <w:rPr>
          <w:rFonts w:hint="default" w:ascii="Times New Roman" w:hAnsi="Times New Roman" w:cs="Times New Roman"/>
          <w:color w:val="auto"/>
        </w:rPr>
      </w:pPr>
      <w:r>
        <w:rPr>
          <w:rFonts w:hint="default" w:ascii="Times New Roman" w:hAnsi="Times New Roman" w:cs="Times New Roman"/>
          <w:color w:val="auto"/>
          <w:szCs w:val="24"/>
        </w:rPr>
        <w:t>本工程建设主要为满足曲靖市会泽县火红乡湾子村委会大草房光伏发电项目新能源的装机电力送出和消纳。</w:t>
      </w:r>
      <w:r>
        <w:rPr>
          <w:rFonts w:hint="eastAsia" w:ascii="Times New Roman" w:hAnsi="Times New Roman"/>
          <w:color w:val="auto"/>
          <w:sz w:val="24"/>
          <w:szCs w:val="24"/>
        </w:rPr>
        <w:t>项目</w:t>
      </w:r>
      <w:r>
        <w:rPr>
          <w:rFonts w:hint="eastAsia" w:ascii="Times New Roman" w:hAnsi="Times New Roman"/>
          <w:color w:val="auto"/>
          <w:sz w:val="24"/>
          <w:szCs w:val="24"/>
          <w:lang w:val="en-US" w:eastAsia="zh-CN"/>
        </w:rPr>
        <w:t>已纳入《云南省2024年第一批新能源项目开发建设方案》（云能源水电〔2024〕74号），属于云南省2024年新能源项目建设清单中“三、曲靖市9大草房光伏发电项目”，</w:t>
      </w:r>
      <w:r>
        <w:rPr>
          <w:rFonts w:hint="default" w:ascii="Times New Roman" w:hAnsi="Times New Roman" w:cs="Times New Roman"/>
          <w:color w:val="auto"/>
          <w:szCs w:val="24"/>
        </w:rPr>
        <w:t>项目的建设有利于缓解曲靖市、会泽县电力供需矛盾，提高云南省电力保障能力，改善全省以水电为主的电源结构。同时，</w:t>
      </w:r>
      <w:r>
        <w:rPr>
          <w:rFonts w:hint="eastAsia" w:ascii="Times New Roman" w:hAnsi="Times New Roman" w:cs="Times New Roman"/>
          <w:color w:val="auto"/>
          <w:sz w:val="24"/>
          <w:szCs w:val="24"/>
          <w:lang w:val="en-US" w:eastAsia="zh-CN"/>
        </w:rPr>
        <w:t>2026年7月7日，云南电网有限责任公司电网规划建设研究中心《关于报送曲靖市会泽县大草房光伏发电项目、乐业镇六合一村一期光伏项目（复合型光伏发电项目）接入系统方案复核评审意见的函》（规划建设研究〔2026〕287号），2026年7月30日，取得云南电网有限责任公司关于曲靖市会泽县大草房光伏及乐业镇六合村一期光伏项目（复合型光伏发电项目）接入系统调整方案的意见（云电规划〔2026〕387号）</w:t>
      </w:r>
      <w:r>
        <w:rPr>
          <w:rFonts w:hint="default" w:ascii="Times New Roman" w:hAnsi="Times New Roman" w:cs="Times New Roman"/>
          <w:color w:val="auto"/>
          <w:sz w:val="24"/>
          <w:szCs w:val="24"/>
          <w:lang w:val="en-US" w:eastAsia="zh-CN"/>
        </w:rPr>
        <w:t>，</w:t>
      </w:r>
      <w:r>
        <w:rPr>
          <w:rFonts w:hint="default" w:ascii="Times New Roman" w:hAnsi="Times New Roman" w:cs="Times New Roman"/>
          <w:color w:val="auto"/>
          <w:szCs w:val="24"/>
        </w:rPr>
        <w:t>符合电网规划。</w:t>
      </w:r>
    </w:p>
    <w:p w14:paraId="5E68DD72">
      <w:pPr>
        <w:keepNext w:val="0"/>
        <w:keepLines w:val="0"/>
        <w:pageBreakBefore w:val="0"/>
        <w:kinsoku/>
        <w:wordWrap/>
        <w:overflowPunct/>
        <w:topLinePunct w:val="0"/>
        <w:autoSpaceDE/>
        <w:autoSpaceDN/>
        <w:bidi w:val="0"/>
        <w:adjustRightInd w:val="0"/>
        <w:snapToGrid w:val="0"/>
        <w:spacing w:after="0" w:line="440" w:lineRule="exact"/>
        <w:ind w:right="0"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项目为重要线性基础设施工程，在选址选线和设计阶段进行了多次优化调整，但由于线路距离长、地理环境复杂，综合考虑地方规划、环境敏感区、重要矿产、军事设施等多方限制性条件后，仍无法避免</w:t>
      </w:r>
      <w:r>
        <w:rPr>
          <w:rFonts w:hint="eastAsia" w:ascii="Times New Roman" w:hAnsi="Times New Roman" w:eastAsia="宋体" w:cs="Times New Roman"/>
          <w:color w:val="auto"/>
          <w:szCs w:val="24"/>
          <w:lang w:val="en-US" w:eastAsia="zh-CN"/>
        </w:rPr>
        <w:t>跨越</w:t>
      </w:r>
      <w:r>
        <w:rPr>
          <w:rFonts w:hint="default" w:ascii="Times New Roman" w:hAnsi="Times New Roman" w:eastAsia="宋体" w:cs="Times New Roman"/>
          <w:color w:val="auto"/>
          <w:szCs w:val="24"/>
        </w:rPr>
        <w:t>部分生态保护红线，针对涉及的生态保护红线范围内的各级各类环境敏感区，本项目已征得有关行政主管部门的同意意见。</w:t>
      </w:r>
    </w:p>
    <w:p w14:paraId="78043866">
      <w:pPr>
        <w:pStyle w:val="2"/>
        <w:keepNext w:val="0"/>
        <w:keepLines w:val="0"/>
        <w:pageBreakBefore w:val="0"/>
        <w:kinsoku/>
        <w:wordWrap/>
        <w:overflowPunct/>
        <w:topLinePunct w:val="0"/>
        <w:autoSpaceDE/>
        <w:autoSpaceDN/>
        <w:bidi w:val="0"/>
        <w:adjustRightInd w:val="0"/>
        <w:snapToGrid w:val="0"/>
        <w:spacing w:before="0" w:after="0" w:line="440" w:lineRule="exact"/>
        <w:ind w:right="0" w:firstLine="482"/>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④与《关于加强生态保护红线管理的通知（试行）》（</w:t>
      </w:r>
      <w:r>
        <w:rPr>
          <w:rFonts w:hint="default" w:ascii="Times New Roman" w:hAnsi="Times New Roman" w:cs="Times New Roman"/>
          <w:b/>
          <w:bCs/>
          <w:color w:val="auto"/>
          <w:sz w:val="24"/>
          <w:lang w:val="zh-CN"/>
        </w:rPr>
        <w:t>自然资发〔2022〕142号</w:t>
      </w:r>
      <w:r>
        <w:rPr>
          <w:rFonts w:hint="default" w:ascii="Times New Roman" w:hAnsi="Times New Roman" w:cs="Times New Roman"/>
          <w:b/>
          <w:bCs/>
          <w:color w:val="auto"/>
          <w:sz w:val="24"/>
        </w:rPr>
        <w:t>）符合性</w:t>
      </w:r>
    </w:p>
    <w:p w14:paraId="54F4A707">
      <w:pPr>
        <w:keepNext w:val="0"/>
        <w:keepLines w:val="0"/>
        <w:pageBreakBefore w:val="0"/>
        <w:kinsoku/>
        <w:wordWrap/>
        <w:overflowPunct/>
        <w:topLinePunct w:val="0"/>
        <w:autoSpaceDE/>
        <w:autoSpaceDN/>
        <w:bidi w:val="0"/>
        <w:adjustRightInd w:val="0"/>
        <w:snapToGrid w:val="0"/>
        <w:spacing w:after="0" w:line="440" w:lineRule="exact"/>
        <w:ind w:right="0"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2022年8月16日自然资源部 生态环境部 国家林业和草原局发布《关于加强生态保护红线管理的通知（试行）》（</w:t>
      </w:r>
      <w:r>
        <w:rPr>
          <w:rFonts w:hint="default" w:ascii="Times New Roman" w:hAnsi="Times New Roman" w:eastAsia="宋体" w:cs="Times New Roman"/>
          <w:color w:val="auto"/>
          <w:szCs w:val="24"/>
          <w:lang w:val="zh-CN"/>
        </w:rPr>
        <w:t>自然资发〔2022〕142号</w:t>
      </w:r>
      <w:r>
        <w:rPr>
          <w:rFonts w:hint="default" w:ascii="Times New Roman" w:hAnsi="Times New Roman" w:eastAsia="宋体" w:cs="Times New Roman"/>
          <w:color w:val="auto"/>
          <w:szCs w:val="24"/>
        </w:rPr>
        <w:t>），为贯彻落实《中共中央 国务院关于建立国土空间规划体系并监督实施的若干意见》《中共中央办公厅 国务院办公厅关于建立以国家公园为主体的自然保护地体系的指导意见》《中共中央办公厅 国务院办公厅关于在国土空间规划中统筹划定落实三条控制线的指导意见》，加强生态保护红线管理，严守自然生态安全边界，依据相关法律法规，就有关事项通知如下：</w:t>
      </w:r>
    </w:p>
    <w:p w14:paraId="48B888B1">
      <w:pPr>
        <w:keepNext w:val="0"/>
        <w:keepLines w:val="0"/>
        <w:pageBreakBefore w:val="0"/>
        <w:kinsoku/>
        <w:wordWrap/>
        <w:overflowPunct/>
        <w:topLinePunct w:val="0"/>
        <w:autoSpaceDE/>
        <w:autoSpaceDN/>
        <w:bidi w:val="0"/>
        <w:adjustRightInd w:val="0"/>
        <w:snapToGrid w:val="0"/>
        <w:spacing w:after="0" w:line="440" w:lineRule="exact"/>
        <w:ind w:right="0"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一、加强人为活动管控</w:t>
      </w:r>
    </w:p>
    <w:p w14:paraId="6A60BD46">
      <w:pPr>
        <w:keepNext w:val="0"/>
        <w:keepLines w:val="0"/>
        <w:pageBreakBefore w:val="0"/>
        <w:kinsoku/>
        <w:wordWrap/>
        <w:overflowPunct/>
        <w:topLinePunct w:val="0"/>
        <w:autoSpaceDE/>
        <w:autoSpaceDN/>
        <w:bidi w:val="0"/>
        <w:adjustRightInd w:val="0"/>
        <w:snapToGrid w:val="0"/>
        <w:spacing w:after="0" w:line="440" w:lineRule="exact"/>
        <w:ind w:right="0"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一）规范管控对生态功能不造成破坏的有限人为活动。生态保护红线是国土空间规划中的重要管控边界，生态保护红线内自然保护地核心保护区外，禁止开发性、生产性建设活动，在符合法律法规的前提下，仅允许以下对生态功能不造成破坏的有限人为活动。生态保护红线内自然保护区、风景名胜区、饮用水水源保护区等区域，依照法律法规执行。</w:t>
      </w:r>
    </w:p>
    <w:p w14:paraId="1C4A1181">
      <w:pPr>
        <w:keepNext w:val="0"/>
        <w:keepLines w:val="0"/>
        <w:pageBreakBefore w:val="0"/>
        <w:kinsoku/>
        <w:wordWrap/>
        <w:overflowPunct/>
        <w:topLinePunct w:val="0"/>
        <w:autoSpaceDE/>
        <w:autoSpaceDN/>
        <w:bidi w:val="0"/>
        <w:adjustRightInd w:val="0"/>
        <w:snapToGrid w:val="0"/>
        <w:spacing w:after="0" w:line="440" w:lineRule="exact"/>
        <w:ind w:right="0"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1.管护巡护、保护执法、科学研究、调查监测、测绘导航、防灾减灾救灾、军事国防、疫情防控等活动及相关的必要设施修筑。</w:t>
      </w:r>
    </w:p>
    <w:p w14:paraId="608E4AFE">
      <w:pPr>
        <w:keepNext w:val="0"/>
        <w:keepLines w:val="0"/>
        <w:pageBreakBefore w:val="0"/>
        <w:kinsoku/>
        <w:wordWrap/>
        <w:overflowPunct/>
        <w:topLinePunct w:val="0"/>
        <w:autoSpaceDE/>
        <w:autoSpaceDN/>
        <w:bidi w:val="0"/>
        <w:adjustRightInd w:val="0"/>
        <w:snapToGrid w:val="0"/>
        <w:spacing w:after="0" w:line="440" w:lineRule="exact"/>
        <w:ind w:right="0"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2.原住居民和其他合法权益主体，允许在不扩大现有建设用地、用海用岛、耕地、水产养殖规模和放牧强度（符合草畜平衡管理规定）的前提下，开展种植、放牧、捕捞、养殖（不包括投礁型海洋牧场、围海养殖）等活动，修筑生产生活设施。</w:t>
      </w:r>
    </w:p>
    <w:p w14:paraId="4DDFD6E7">
      <w:pPr>
        <w:keepNext w:val="0"/>
        <w:keepLines w:val="0"/>
        <w:pageBreakBefore w:val="0"/>
        <w:kinsoku/>
        <w:wordWrap/>
        <w:overflowPunct/>
        <w:topLinePunct w:val="0"/>
        <w:autoSpaceDE/>
        <w:autoSpaceDN/>
        <w:bidi w:val="0"/>
        <w:adjustRightInd w:val="0"/>
        <w:snapToGrid w:val="0"/>
        <w:spacing w:after="0" w:line="440" w:lineRule="exact"/>
        <w:ind w:right="0"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3.经依法批准的考古调查发掘、古生物化石调查发掘、标本采集和文物保护活动。</w:t>
      </w:r>
    </w:p>
    <w:p w14:paraId="1F443396">
      <w:pPr>
        <w:keepNext w:val="0"/>
        <w:keepLines w:val="0"/>
        <w:pageBreakBefore w:val="0"/>
        <w:kinsoku/>
        <w:wordWrap/>
        <w:overflowPunct/>
        <w:topLinePunct w:val="0"/>
        <w:autoSpaceDE/>
        <w:autoSpaceDN/>
        <w:bidi w:val="0"/>
        <w:adjustRightInd w:val="0"/>
        <w:snapToGrid w:val="0"/>
        <w:spacing w:after="0" w:line="440" w:lineRule="exact"/>
        <w:ind w:right="0"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4.按规定对人工商品林进行抚育采伐，或以提升森林质量、优化栖息地、建设生物防火隔离带等为目的的树种更新，依法开展的竹林采伐经营。</w:t>
      </w:r>
    </w:p>
    <w:p w14:paraId="167BC8E7">
      <w:pPr>
        <w:keepNext w:val="0"/>
        <w:keepLines w:val="0"/>
        <w:pageBreakBefore w:val="0"/>
        <w:kinsoku/>
        <w:wordWrap/>
        <w:overflowPunct/>
        <w:topLinePunct w:val="0"/>
        <w:autoSpaceDE/>
        <w:autoSpaceDN/>
        <w:bidi w:val="0"/>
        <w:adjustRightInd w:val="0"/>
        <w:snapToGrid w:val="0"/>
        <w:spacing w:after="0" w:line="440" w:lineRule="exact"/>
        <w:ind w:right="0"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5.不破坏生态功能的适度参观旅游、科普宣教及符合相关规划的配套性服务设施和相关的必要公共设施建设及维护。</w:t>
      </w:r>
    </w:p>
    <w:p w14:paraId="25D6FD5E">
      <w:pPr>
        <w:keepNext w:val="0"/>
        <w:keepLines w:val="0"/>
        <w:pageBreakBefore w:val="0"/>
        <w:kinsoku/>
        <w:wordWrap/>
        <w:overflowPunct/>
        <w:topLinePunct w:val="0"/>
        <w:autoSpaceDE/>
        <w:autoSpaceDN/>
        <w:bidi w:val="0"/>
        <w:adjustRightInd w:val="0"/>
        <w:snapToGrid w:val="0"/>
        <w:spacing w:after="0" w:line="440" w:lineRule="exact"/>
        <w:ind w:right="0" w:firstLine="482"/>
        <w:textAlignment w:val="auto"/>
        <w:rPr>
          <w:rFonts w:hint="default" w:ascii="Times New Roman" w:hAnsi="Times New Roman" w:eastAsia="宋体" w:cs="Times New Roman"/>
          <w:b/>
          <w:bCs/>
          <w:color w:val="auto"/>
          <w:szCs w:val="24"/>
        </w:rPr>
      </w:pPr>
      <w:r>
        <w:rPr>
          <w:rFonts w:hint="default" w:ascii="Times New Roman" w:hAnsi="Times New Roman" w:eastAsia="宋体" w:cs="Times New Roman"/>
          <w:b/>
          <w:bCs/>
          <w:color w:val="auto"/>
          <w:szCs w:val="24"/>
        </w:rPr>
        <w:t>6.必须且无法避让、符合县级以上国土空间规划的线性基础设施、通讯和防洪、供水设施建设和船舶航行、航道疏浚清淤等活动；已有的合法水利、交通运输等设施运行维护改造。</w:t>
      </w:r>
    </w:p>
    <w:p w14:paraId="43C2C282">
      <w:pPr>
        <w:keepNext w:val="0"/>
        <w:keepLines w:val="0"/>
        <w:pageBreakBefore w:val="0"/>
        <w:kinsoku/>
        <w:wordWrap/>
        <w:overflowPunct/>
        <w:topLinePunct w:val="0"/>
        <w:autoSpaceDE/>
        <w:autoSpaceDN/>
        <w:bidi w:val="0"/>
        <w:adjustRightInd w:val="0"/>
        <w:snapToGrid w:val="0"/>
        <w:spacing w:after="0" w:line="440" w:lineRule="exact"/>
        <w:ind w:right="0"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7.地质调查与矿产资源勘查开采。包括：基础地质调查和战略性矿产资源远景调查等公益性工作；铀矿勘查开采活动，可办理矿业权登记；已依法设立的油气探矿权继续勘查活动，可办理探矿权延续、变更（不含扩大勘查区块范围）、保留、注销，当发现可供开采油气资源并探明储量时，可将开采拟占用的地表或海域范围依照国家相关规定调出生态保护红线；已依法设立的油气采矿权不扩大用地用海范围，继续开采，可办理采矿权延续、变更（不含扩大矿区范围）、注销；已依法设立的矿泉水和地热采矿权，在不超出已经核定的生产规模、不新增生产设施的前提下继续开采，可办理采矿权延续、变更（不含扩大矿区范围）、注销；已依法设立和新立铬、铜、镍、锂、钴、锆、钾盐、（中）重稀土矿等战略性矿产探矿权开展勘查活动，可办理探矿权登记，因国家战略需要开展开采活动的，可办理采矿权登记。上述勘查开采活动，应落实减缓生态环境影响措施，严格执行绿色勘查、开采及矿山环境生态修复相关要求。</w:t>
      </w:r>
    </w:p>
    <w:p w14:paraId="21ACDA62">
      <w:pPr>
        <w:keepNext w:val="0"/>
        <w:keepLines w:val="0"/>
        <w:pageBreakBefore w:val="0"/>
        <w:kinsoku/>
        <w:wordWrap/>
        <w:overflowPunct/>
        <w:topLinePunct w:val="0"/>
        <w:autoSpaceDE/>
        <w:autoSpaceDN/>
        <w:bidi w:val="0"/>
        <w:adjustRightInd w:val="0"/>
        <w:snapToGrid w:val="0"/>
        <w:spacing w:after="0" w:line="440" w:lineRule="exact"/>
        <w:ind w:right="0"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8.依据县级以上国土空间规划和生态保护修复专项规划开展的生态修复。</w:t>
      </w:r>
    </w:p>
    <w:p w14:paraId="7F429D51">
      <w:pPr>
        <w:keepNext w:val="0"/>
        <w:keepLines w:val="0"/>
        <w:pageBreakBefore w:val="0"/>
        <w:kinsoku/>
        <w:wordWrap/>
        <w:overflowPunct/>
        <w:topLinePunct w:val="0"/>
        <w:autoSpaceDE/>
        <w:autoSpaceDN/>
        <w:bidi w:val="0"/>
        <w:adjustRightInd w:val="0"/>
        <w:snapToGrid w:val="0"/>
        <w:spacing w:after="0" w:line="440" w:lineRule="exact"/>
        <w:ind w:right="0"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9.根据我国相关法律法规和与邻国签署的国界管理制度协定（条约）开展的边界边境通视道清理以及界务工程的修建、维护和拆除工作。</w:t>
      </w:r>
    </w:p>
    <w:p w14:paraId="399A23B6">
      <w:pPr>
        <w:keepNext w:val="0"/>
        <w:keepLines w:val="0"/>
        <w:pageBreakBefore w:val="0"/>
        <w:kinsoku/>
        <w:wordWrap/>
        <w:overflowPunct/>
        <w:topLinePunct w:val="0"/>
        <w:autoSpaceDE/>
        <w:autoSpaceDN/>
        <w:bidi w:val="0"/>
        <w:adjustRightInd w:val="0"/>
        <w:snapToGrid w:val="0"/>
        <w:spacing w:after="0" w:line="440" w:lineRule="exact"/>
        <w:ind w:right="0"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10.法律法规规定允许的其他人为活动。”</w:t>
      </w:r>
    </w:p>
    <w:p w14:paraId="6958DD8C">
      <w:pPr>
        <w:keepNext w:val="0"/>
        <w:keepLines w:val="0"/>
        <w:pageBreakBefore w:val="0"/>
        <w:kinsoku/>
        <w:wordWrap/>
        <w:overflowPunct/>
        <w:topLinePunct w:val="0"/>
        <w:autoSpaceDE/>
        <w:autoSpaceDN/>
        <w:bidi w:val="0"/>
        <w:adjustRightInd w:val="0"/>
        <w:snapToGrid w:val="0"/>
        <w:spacing w:line="440" w:lineRule="exact"/>
        <w:ind w:right="0" w:firstLine="480"/>
        <w:textAlignment w:val="auto"/>
        <w:rPr>
          <w:rFonts w:hint="default" w:ascii="Times New Roman" w:hAnsi="Times New Roman" w:cs="Times New Roman"/>
          <w:color w:val="auto"/>
        </w:rPr>
      </w:pPr>
      <w:r>
        <w:rPr>
          <w:rFonts w:hint="default" w:ascii="Times New Roman" w:hAnsi="Times New Roman" w:cs="Times New Roman"/>
          <w:color w:val="auto"/>
          <w:szCs w:val="24"/>
        </w:rPr>
        <w:t>本工程建设主要为满足曲靖市会泽县火红乡湾子村委会大草房光伏发电项目新能源的装机电力送出和消纳。</w:t>
      </w:r>
      <w:r>
        <w:rPr>
          <w:rFonts w:hint="eastAsia" w:ascii="Times New Roman" w:hAnsi="Times New Roman" w:cs="Times New Roman"/>
          <w:color w:val="auto"/>
          <w:sz w:val="24"/>
          <w:szCs w:val="24"/>
          <w:lang w:val="en-US" w:eastAsia="zh-CN"/>
        </w:rPr>
        <w:t>2026年7月7日，云南电网有限责任公司电网规划建设研究中心《关于报送曲靖市会泽县大草房光伏发电项目、乐业镇六合一村一期光伏项目（复合型光伏发电项目）接入系统方案复核评审意见的函》（规划建设研究〔2026〕287号），2026年7月30日，取得云南电网有限责任公司关于曲靖市会泽县大草房光伏及乐业镇六合村一期光伏项目（复合型光伏发电项目）接入系统调整方案的意见（云电规划〔2026〕387号）</w:t>
      </w:r>
      <w:r>
        <w:rPr>
          <w:rFonts w:hint="default" w:ascii="Times New Roman" w:hAnsi="Times New Roman" w:cs="Times New Roman"/>
          <w:color w:val="auto"/>
          <w:sz w:val="24"/>
          <w:szCs w:val="24"/>
          <w:lang w:val="en-US" w:eastAsia="zh-CN"/>
        </w:rPr>
        <w:t>，</w:t>
      </w:r>
      <w:r>
        <w:rPr>
          <w:rFonts w:hint="default" w:ascii="Times New Roman" w:hAnsi="Times New Roman" w:cs="Times New Roman"/>
          <w:color w:val="auto"/>
          <w:szCs w:val="24"/>
        </w:rPr>
        <w:t>符合电网规划。</w:t>
      </w:r>
    </w:p>
    <w:p w14:paraId="11383B4C">
      <w:pPr>
        <w:pStyle w:val="2"/>
        <w:keepNext w:val="0"/>
        <w:keepLines w:val="0"/>
        <w:pageBreakBefore w:val="0"/>
        <w:kinsoku/>
        <w:wordWrap/>
        <w:overflowPunct/>
        <w:topLinePunct w:val="0"/>
        <w:autoSpaceDE/>
        <w:autoSpaceDN/>
        <w:bidi w:val="0"/>
        <w:adjustRightInd w:val="0"/>
        <w:snapToGrid w:val="0"/>
        <w:spacing w:before="0" w:after="0" w:line="440" w:lineRule="exact"/>
        <w:ind w:right="0" w:firstLine="480"/>
        <w:textAlignment w:val="auto"/>
        <w:rPr>
          <w:rFonts w:hint="default" w:ascii="Times New Roman" w:hAnsi="Times New Roman" w:cs="Times New Roman"/>
          <w:b/>
          <w:bCs/>
          <w:color w:val="auto"/>
          <w:sz w:val="24"/>
        </w:rPr>
      </w:pPr>
      <w:r>
        <w:rPr>
          <w:rFonts w:hint="default" w:ascii="Times New Roman" w:hAnsi="Times New Roman" w:cs="Times New Roman"/>
          <w:color w:val="auto"/>
          <w:sz w:val="24"/>
        </w:rPr>
        <w:t>项目属于电网规划项目，属于“必须且无法避让、符合县级以上国土空间规划的线性基础设施、通讯和防洪、供水设施建设和船舶航行、航道疏浚清淤等活动”，因此，项目建设符合自然资源部 生态环境部 国家林业和草原局发布《关于加强生态保护红线管理的通知（试行）》（</w:t>
      </w:r>
      <w:r>
        <w:rPr>
          <w:rFonts w:hint="default" w:ascii="Times New Roman" w:hAnsi="Times New Roman" w:cs="Times New Roman"/>
          <w:color w:val="auto"/>
          <w:sz w:val="24"/>
          <w:lang w:val="zh-CN"/>
        </w:rPr>
        <w:t>自然资发〔2022〕142号</w:t>
      </w:r>
      <w:r>
        <w:rPr>
          <w:rFonts w:hint="default" w:ascii="Times New Roman" w:hAnsi="Times New Roman" w:cs="Times New Roman"/>
          <w:color w:val="auto"/>
          <w:sz w:val="24"/>
        </w:rPr>
        <w:t>）相关要求。</w:t>
      </w:r>
    </w:p>
    <w:p w14:paraId="35479A9E">
      <w:pPr>
        <w:pStyle w:val="2"/>
        <w:keepNext w:val="0"/>
        <w:keepLines w:val="0"/>
        <w:pageBreakBefore w:val="0"/>
        <w:kinsoku/>
        <w:wordWrap/>
        <w:overflowPunct/>
        <w:topLinePunct w:val="0"/>
        <w:autoSpaceDE/>
        <w:autoSpaceDN/>
        <w:bidi w:val="0"/>
        <w:adjustRightInd w:val="0"/>
        <w:snapToGrid w:val="0"/>
        <w:spacing w:before="0" w:after="0" w:line="440" w:lineRule="exact"/>
        <w:ind w:right="0" w:firstLine="482"/>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⑤与《云南省自然资源厅 云南省生态环境厅 云南省林业和草原局关于加强生态保护红线管理工作的通知》（云自然资〔2023〕98号）符合性分析</w:t>
      </w:r>
    </w:p>
    <w:p w14:paraId="1703683B">
      <w:pPr>
        <w:keepNext w:val="0"/>
        <w:keepLines w:val="0"/>
        <w:pageBreakBefore w:val="0"/>
        <w:kinsoku/>
        <w:wordWrap/>
        <w:overflowPunct/>
        <w:topLinePunct w:val="0"/>
        <w:autoSpaceDE/>
        <w:autoSpaceDN/>
        <w:bidi w:val="0"/>
        <w:adjustRightInd w:val="0"/>
        <w:snapToGrid w:val="0"/>
        <w:spacing w:line="440" w:lineRule="exact"/>
        <w:ind w:right="0" w:firstLine="480"/>
        <w:textAlignment w:val="auto"/>
        <w:rPr>
          <w:rFonts w:hint="default" w:ascii="Times New Roman" w:hAnsi="Times New Roman" w:cs="Times New Roman"/>
          <w:color w:val="auto"/>
          <w:szCs w:val="24"/>
        </w:rPr>
      </w:pPr>
      <w:r>
        <w:rPr>
          <w:rFonts w:hint="default" w:ascii="Times New Roman" w:hAnsi="Times New Roman" w:cs="Times New Roman"/>
          <w:color w:val="auto"/>
          <w:szCs w:val="24"/>
        </w:rPr>
        <w:t>2023年8月25日，云南省自然资源厅 云南省生态环境厅 云南省林业和草原局发布《关于加强生态保护红线管理的通知（试行）》（云自然资〔2023〕98号），为贯彻落实《</w:t>
      </w:r>
      <w:r>
        <w:rPr>
          <w:rFonts w:hint="eastAsia" w:ascii="Times New Roman" w:hAnsi="Times New Roman" w:cs="Times New Roman"/>
          <w:color w:val="auto"/>
          <w:szCs w:val="24"/>
          <w:lang w:eastAsia="zh-CN"/>
        </w:rPr>
        <w:t>中共中央办公厅、国务院办公厅</w:t>
      </w:r>
      <w:r>
        <w:rPr>
          <w:rFonts w:hint="default" w:ascii="Times New Roman" w:hAnsi="Times New Roman" w:cs="Times New Roman"/>
          <w:color w:val="auto"/>
          <w:szCs w:val="24"/>
        </w:rPr>
        <w:t>印发关于在国土空间规划中统筹划定落实三条控制线的指导意见的通知》（厅字〔2019〕48号）、《自然资源部生态环境部国家林业和草原局关于加强生态保护红线管理的通知（试行）》（自然资发〔2022〕142号）要求，严格规范生态保护红线内有限人为活动和国家重大项目占用生态保护红线审批和监督管理。经对照分析，项目符合性分析见下表：</w:t>
      </w:r>
    </w:p>
    <w:p w14:paraId="78C26830">
      <w:pPr>
        <w:adjustRightInd w:val="0"/>
        <w:snapToGrid w:val="0"/>
        <w:spacing w:after="0" w:line="240" w:lineRule="auto"/>
        <w:ind w:firstLine="0" w:firstLineChars="0"/>
        <w:jc w:val="center"/>
        <w:rPr>
          <w:rFonts w:hint="default" w:ascii="Times New Roman" w:hAnsi="Times New Roman" w:cs="Times New Roman"/>
          <w:color w:val="auto"/>
          <w:szCs w:val="24"/>
        </w:rPr>
      </w:pPr>
      <w:r>
        <w:rPr>
          <w:rFonts w:hint="default" w:ascii="Times New Roman" w:hAnsi="Times New Roman" w:cs="Times New Roman"/>
          <w:b/>
          <w:bCs/>
          <w:color w:val="auto"/>
          <w:spacing w:val="-4"/>
          <w:szCs w:val="24"/>
        </w:rPr>
        <w:t>表2.9-2  项目与</w:t>
      </w:r>
      <w:r>
        <w:rPr>
          <w:rFonts w:hint="default" w:ascii="Times New Roman" w:hAnsi="Times New Roman" w:cs="Times New Roman"/>
          <w:b/>
          <w:bCs/>
          <w:color w:val="auto"/>
          <w:szCs w:val="24"/>
        </w:rPr>
        <w:t>（云自然资〔2023〕98号）符合性分析</w:t>
      </w:r>
    </w:p>
    <w:tbl>
      <w:tblPr>
        <w:tblStyle w:val="30"/>
        <w:tblW w:w="4995"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96"/>
        <w:gridCol w:w="4470"/>
        <w:gridCol w:w="2559"/>
        <w:gridCol w:w="820"/>
      </w:tblGrid>
      <w:tr w14:paraId="46F17E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3067" w:type="pct"/>
            <w:gridSpan w:val="2"/>
            <w:vAlign w:val="center"/>
          </w:tcPr>
          <w:p w14:paraId="5523E196">
            <w:pPr>
              <w:adjustRightInd w:val="0"/>
              <w:snapToGrid w:val="0"/>
              <w:spacing w:after="0" w:line="240" w:lineRule="auto"/>
              <w:ind w:firstLine="0" w:firstLineChars="0"/>
              <w:jc w:val="center"/>
              <w:rPr>
                <w:rFonts w:hint="default" w:ascii="Times New Roman" w:hAnsi="Times New Roman" w:eastAsia="宋体" w:cs="Times New Roman"/>
                <w:b/>
                <w:bCs/>
                <w:color w:val="auto"/>
                <w:spacing w:val="-4"/>
                <w:sz w:val="21"/>
                <w:szCs w:val="21"/>
              </w:rPr>
            </w:pPr>
            <w:r>
              <w:rPr>
                <w:rFonts w:hint="default" w:ascii="Times New Roman" w:hAnsi="Times New Roman" w:eastAsia="宋体" w:cs="Times New Roman"/>
                <w:b/>
                <w:bCs/>
                <w:color w:val="auto"/>
                <w:spacing w:val="-4"/>
                <w:sz w:val="21"/>
                <w:szCs w:val="21"/>
              </w:rPr>
              <w:t>管控要求</w:t>
            </w:r>
          </w:p>
        </w:tc>
        <w:tc>
          <w:tcPr>
            <w:tcW w:w="1463" w:type="pct"/>
            <w:vAlign w:val="center"/>
          </w:tcPr>
          <w:p w14:paraId="5C9223E9">
            <w:pPr>
              <w:adjustRightInd w:val="0"/>
              <w:snapToGrid w:val="0"/>
              <w:spacing w:after="0" w:line="240" w:lineRule="auto"/>
              <w:ind w:firstLine="0" w:firstLineChars="0"/>
              <w:jc w:val="center"/>
              <w:rPr>
                <w:rFonts w:hint="default" w:ascii="Times New Roman" w:hAnsi="Times New Roman" w:eastAsia="宋体" w:cs="Times New Roman"/>
                <w:b/>
                <w:bCs/>
                <w:color w:val="auto"/>
                <w:spacing w:val="-4"/>
                <w:sz w:val="21"/>
                <w:szCs w:val="21"/>
              </w:rPr>
            </w:pPr>
            <w:r>
              <w:rPr>
                <w:rFonts w:hint="default" w:ascii="Times New Roman" w:hAnsi="Times New Roman" w:eastAsia="宋体" w:cs="Times New Roman"/>
                <w:b/>
                <w:bCs/>
                <w:color w:val="auto"/>
                <w:spacing w:val="-4"/>
                <w:sz w:val="21"/>
                <w:szCs w:val="21"/>
              </w:rPr>
              <w:t>本项目情况</w:t>
            </w:r>
          </w:p>
        </w:tc>
        <w:tc>
          <w:tcPr>
            <w:tcW w:w="469" w:type="pct"/>
            <w:vAlign w:val="center"/>
          </w:tcPr>
          <w:p w14:paraId="6D789B7A">
            <w:pPr>
              <w:adjustRightInd w:val="0"/>
              <w:snapToGrid w:val="0"/>
              <w:spacing w:after="0" w:line="240" w:lineRule="auto"/>
              <w:ind w:firstLine="0" w:firstLineChars="0"/>
              <w:jc w:val="center"/>
              <w:rPr>
                <w:rFonts w:hint="default" w:ascii="Times New Roman" w:hAnsi="Times New Roman" w:eastAsia="宋体" w:cs="Times New Roman"/>
                <w:b/>
                <w:bCs/>
                <w:color w:val="auto"/>
                <w:spacing w:val="-4"/>
                <w:sz w:val="21"/>
                <w:szCs w:val="21"/>
              </w:rPr>
            </w:pPr>
            <w:r>
              <w:rPr>
                <w:rFonts w:hint="default" w:ascii="Times New Roman" w:hAnsi="Times New Roman" w:eastAsia="宋体" w:cs="Times New Roman"/>
                <w:b/>
                <w:bCs/>
                <w:color w:val="auto"/>
                <w:spacing w:val="-4"/>
                <w:sz w:val="21"/>
                <w:szCs w:val="21"/>
              </w:rPr>
              <w:t>符合性</w:t>
            </w:r>
          </w:p>
        </w:tc>
      </w:tr>
      <w:tr w14:paraId="0A9530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12" w:type="pct"/>
            <w:vMerge w:val="restart"/>
            <w:vAlign w:val="center"/>
          </w:tcPr>
          <w:p w14:paraId="398EAC9F">
            <w:pPr>
              <w:adjustRightInd w:val="0"/>
              <w:snapToGrid w:val="0"/>
              <w:spacing w:after="0" w:line="240" w:lineRule="auto"/>
              <w:ind w:firstLine="0" w:firstLineChars="0"/>
              <w:jc w:val="center"/>
              <w:outlineLvl w:val="0"/>
              <w:rPr>
                <w:rFonts w:hint="default" w:ascii="Times New Roman" w:hAnsi="Times New Roman" w:eastAsia="宋体" w:cs="Times New Roman"/>
                <w:color w:val="auto"/>
                <w:spacing w:val="-4"/>
                <w:sz w:val="21"/>
                <w:szCs w:val="21"/>
              </w:rPr>
            </w:pPr>
            <w:bookmarkStart w:id="262" w:name="_Toc14537"/>
            <w:r>
              <w:rPr>
                <w:rFonts w:hint="default" w:ascii="Times New Roman" w:hAnsi="Times New Roman" w:eastAsia="宋体" w:cs="Times New Roman"/>
                <w:color w:val="auto"/>
                <w:sz w:val="21"/>
                <w:szCs w:val="21"/>
              </w:rPr>
              <w:t>强化生态保护红线内有限人为活动审批管理</w:t>
            </w:r>
            <w:bookmarkEnd w:id="262"/>
          </w:p>
        </w:tc>
        <w:tc>
          <w:tcPr>
            <w:tcW w:w="2555" w:type="pct"/>
            <w:vAlign w:val="center"/>
          </w:tcPr>
          <w:p w14:paraId="31812B7A">
            <w:pPr>
              <w:adjustRightInd w:val="0"/>
              <w:snapToGrid w:val="0"/>
              <w:spacing w:after="0" w:line="240" w:lineRule="auto"/>
              <w:ind w:firstLine="0" w:firstLineChars="0"/>
              <w:jc w:val="center"/>
              <w:rPr>
                <w:rFonts w:hint="default" w:ascii="Times New Roman" w:hAnsi="Times New Roman" w:eastAsia="宋体" w:cs="Times New Roman"/>
                <w:color w:val="auto"/>
                <w:spacing w:val="-4"/>
                <w:sz w:val="21"/>
                <w:szCs w:val="21"/>
              </w:rPr>
            </w:pPr>
            <w:r>
              <w:rPr>
                <w:rFonts w:hint="default" w:ascii="Times New Roman" w:hAnsi="Times New Roman" w:eastAsia="宋体" w:cs="Times New Roman"/>
                <w:b/>
                <w:bCs/>
                <w:color w:val="auto"/>
                <w:spacing w:val="19"/>
                <w:sz w:val="21"/>
                <w:szCs w:val="21"/>
              </w:rPr>
              <w:t>（一）实行有限人为活动准入管控</w:t>
            </w:r>
            <w:r>
              <w:rPr>
                <w:rFonts w:hint="default" w:ascii="Times New Roman" w:hAnsi="Times New Roman" w:eastAsia="宋体" w:cs="Times New Roman"/>
                <w:color w:val="auto"/>
                <w:spacing w:val="12"/>
                <w:sz w:val="21"/>
                <w:szCs w:val="21"/>
              </w:rPr>
              <w:t>生态保护红线内，自然保护地核心保护区原则上禁止人为活</w:t>
            </w:r>
            <w:r>
              <w:rPr>
                <w:rFonts w:hint="default" w:ascii="Times New Roman" w:hAnsi="Times New Roman" w:eastAsia="宋体" w:cs="Times New Roman"/>
                <w:color w:val="auto"/>
                <w:spacing w:val="13"/>
                <w:sz w:val="21"/>
                <w:szCs w:val="21"/>
              </w:rPr>
              <w:t>动；自然保护地核心保护区外禁止开发性、生</w:t>
            </w:r>
            <w:r>
              <w:rPr>
                <w:rFonts w:hint="default" w:ascii="Times New Roman" w:hAnsi="Times New Roman" w:eastAsia="宋体" w:cs="Times New Roman"/>
                <w:color w:val="auto"/>
                <w:spacing w:val="12"/>
                <w:sz w:val="21"/>
                <w:szCs w:val="21"/>
              </w:rPr>
              <w:t>产性建设活动，在</w:t>
            </w:r>
            <w:r>
              <w:rPr>
                <w:rFonts w:hint="default" w:ascii="Times New Roman" w:hAnsi="Times New Roman" w:eastAsia="宋体" w:cs="Times New Roman"/>
                <w:color w:val="auto"/>
                <w:spacing w:val="14"/>
                <w:sz w:val="21"/>
                <w:szCs w:val="21"/>
              </w:rPr>
              <w:t>符合法律法规前提下，仅允许对生态功能不造成破坏的有限人为</w:t>
            </w:r>
            <w:r>
              <w:rPr>
                <w:rFonts w:hint="default" w:ascii="Times New Roman" w:hAnsi="Times New Roman" w:eastAsia="宋体" w:cs="Times New Roman"/>
                <w:color w:val="auto"/>
                <w:spacing w:val="7"/>
                <w:sz w:val="21"/>
                <w:szCs w:val="21"/>
              </w:rPr>
              <w:t>活动。有限人为活动范围按照《有限人为活动准入目录》（以下简</w:t>
            </w:r>
            <w:r>
              <w:rPr>
                <w:rFonts w:hint="default" w:ascii="Times New Roman" w:hAnsi="Times New Roman" w:eastAsia="宋体" w:cs="Times New Roman"/>
                <w:color w:val="auto"/>
                <w:spacing w:val="13"/>
                <w:sz w:val="21"/>
                <w:szCs w:val="21"/>
              </w:rPr>
              <w:t>称《准入目录》，详见附件</w:t>
            </w:r>
            <w:r>
              <w:rPr>
                <w:rFonts w:hint="default" w:ascii="Times New Roman" w:hAnsi="Times New Roman" w:eastAsia="宋体" w:cs="Times New Roman"/>
                <w:color w:val="auto"/>
                <w:spacing w:val="7"/>
                <w:sz w:val="21"/>
                <w:szCs w:val="21"/>
              </w:rPr>
              <w:t>）</w:t>
            </w:r>
            <w:r>
              <w:rPr>
                <w:rFonts w:hint="default" w:ascii="Times New Roman" w:hAnsi="Times New Roman" w:eastAsia="宋体" w:cs="Times New Roman"/>
                <w:color w:val="auto"/>
                <w:spacing w:val="13"/>
                <w:sz w:val="21"/>
                <w:szCs w:val="21"/>
              </w:rPr>
              <w:t>进行管控。有限人为活动应尽量避让</w:t>
            </w:r>
            <w:r>
              <w:rPr>
                <w:rFonts w:hint="default" w:ascii="Times New Roman" w:hAnsi="Times New Roman" w:eastAsia="宋体" w:cs="Times New Roman"/>
                <w:color w:val="auto"/>
                <w:spacing w:val="14"/>
                <w:sz w:val="21"/>
                <w:szCs w:val="21"/>
              </w:rPr>
              <w:t>自然保护区、风景名胜区等自然保护地、饮用水水源保护区、世</w:t>
            </w:r>
            <w:r>
              <w:rPr>
                <w:rFonts w:hint="default" w:ascii="Times New Roman" w:hAnsi="Times New Roman" w:eastAsia="宋体" w:cs="Times New Roman"/>
                <w:color w:val="auto"/>
                <w:spacing w:val="7"/>
                <w:sz w:val="21"/>
                <w:szCs w:val="21"/>
              </w:rPr>
              <w:t>界自然遗产地、重要湿地、九大高原湖泊生态黄线内等</w:t>
            </w:r>
            <w:r>
              <w:rPr>
                <w:rFonts w:hint="default" w:ascii="Times New Roman" w:hAnsi="Times New Roman" w:eastAsia="宋体" w:cs="Times New Roman"/>
                <w:color w:val="auto"/>
                <w:spacing w:val="6"/>
                <w:sz w:val="21"/>
                <w:szCs w:val="21"/>
              </w:rPr>
              <w:t>特殊区域，</w:t>
            </w:r>
            <w:r>
              <w:rPr>
                <w:rFonts w:hint="default" w:ascii="Times New Roman" w:hAnsi="Times New Roman" w:eastAsia="宋体" w:cs="Times New Roman"/>
                <w:color w:val="auto"/>
                <w:spacing w:val="9"/>
                <w:sz w:val="21"/>
                <w:szCs w:val="21"/>
              </w:rPr>
              <w:t>确实无法避让的应符合法律法规规定。</w:t>
            </w:r>
          </w:p>
        </w:tc>
        <w:tc>
          <w:tcPr>
            <w:tcW w:w="1463" w:type="pct"/>
            <w:vAlign w:val="center"/>
          </w:tcPr>
          <w:p w14:paraId="436DA762">
            <w:pPr>
              <w:adjustRightInd w:val="0"/>
              <w:snapToGrid w:val="0"/>
              <w:spacing w:after="0" w:line="240" w:lineRule="auto"/>
              <w:ind w:firstLine="0" w:firstLineChars="0"/>
              <w:jc w:val="center"/>
              <w:rPr>
                <w:rFonts w:hint="default" w:ascii="Times New Roman" w:hAnsi="Times New Roman" w:eastAsia="宋体" w:cs="Times New Roman"/>
                <w:color w:val="auto"/>
                <w:spacing w:val="-4"/>
                <w:sz w:val="21"/>
                <w:szCs w:val="21"/>
              </w:rPr>
            </w:pPr>
            <w:r>
              <w:rPr>
                <w:rFonts w:hint="default" w:ascii="Times New Roman" w:hAnsi="Times New Roman" w:eastAsia="宋体" w:cs="Times New Roman"/>
                <w:color w:val="auto"/>
                <w:spacing w:val="-4"/>
                <w:sz w:val="21"/>
                <w:szCs w:val="21"/>
              </w:rPr>
              <w:t>项目用地范围涉及</w:t>
            </w:r>
            <w:r>
              <w:rPr>
                <w:rFonts w:hint="eastAsia" w:ascii="Times New Roman" w:hAnsi="Times New Roman" w:eastAsia="宋体" w:cs="Times New Roman"/>
                <w:color w:val="auto"/>
                <w:spacing w:val="-4"/>
                <w:sz w:val="21"/>
                <w:szCs w:val="21"/>
                <w:lang w:val="en-US" w:eastAsia="zh-CN"/>
              </w:rPr>
              <w:t>跨越</w:t>
            </w:r>
            <w:r>
              <w:rPr>
                <w:rFonts w:hint="default" w:ascii="Times New Roman" w:hAnsi="Times New Roman" w:eastAsia="宋体" w:cs="Times New Roman"/>
                <w:color w:val="auto"/>
                <w:spacing w:val="-4"/>
                <w:sz w:val="21"/>
                <w:szCs w:val="21"/>
              </w:rPr>
              <w:t>生态保护红线，不涉及未划入生态保护红线的自然保护地、风景名胜区等区域，</w:t>
            </w:r>
            <w:r>
              <w:rPr>
                <w:rFonts w:hint="default" w:ascii="Times New Roman" w:hAnsi="Times New Roman" w:eastAsia="宋体" w:cs="Times New Roman"/>
                <w:color w:val="auto"/>
                <w:sz w:val="21"/>
                <w:szCs w:val="21"/>
              </w:rPr>
              <w:t>不属于禁止开发性、生产性建设活动</w:t>
            </w:r>
            <w:r>
              <w:rPr>
                <w:rFonts w:hint="default" w:ascii="Times New Roman" w:hAnsi="Times New Roman" w:eastAsia="宋体" w:cs="Times New Roman"/>
                <w:color w:val="auto"/>
                <w:spacing w:val="-4"/>
                <w:sz w:val="21"/>
                <w:szCs w:val="21"/>
              </w:rPr>
              <w:t>；不可避让跨越生态保护红线，</w:t>
            </w:r>
            <w:r>
              <w:rPr>
                <w:rFonts w:hint="default" w:ascii="Times New Roman" w:hAnsi="Times New Roman" w:eastAsia="宋体" w:cs="Times New Roman"/>
                <w:color w:val="auto"/>
                <w:sz w:val="21"/>
                <w:szCs w:val="21"/>
              </w:rPr>
              <w:t>对照《有限人为活动准入目录》，属于准入类别，“输电线塔基、通讯基站等小面积零星分散建设项目用地”属于准入目录，属于“必须且无法避让、符合县级以上国土空间规划的线性基础设施”</w:t>
            </w:r>
          </w:p>
        </w:tc>
        <w:tc>
          <w:tcPr>
            <w:tcW w:w="469" w:type="pct"/>
            <w:vAlign w:val="center"/>
          </w:tcPr>
          <w:p w14:paraId="60BB400E">
            <w:pPr>
              <w:adjustRightInd w:val="0"/>
              <w:snapToGrid w:val="0"/>
              <w:spacing w:after="0" w:line="240" w:lineRule="auto"/>
              <w:ind w:firstLine="0" w:firstLineChars="0"/>
              <w:jc w:val="center"/>
              <w:rPr>
                <w:rFonts w:hint="default" w:ascii="Times New Roman" w:hAnsi="Times New Roman" w:eastAsia="宋体" w:cs="Times New Roman"/>
                <w:color w:val="auto"/>
                <w:spacing w:val="-4"/>
                <w:sz w:val="21"/>
                <w:szCs w:val="21"/>
              </w:rPr>
            </w:pPr>
            <w:r>
              <w:rPr>
                <w:rFonts w:hint="default" w:ascii="Times New Roman" w:hAnsi="Times New Roman" w:eastAsia="宋体" w:cs="Times New Roman"/>
                <w:color w:val="auto"/>
                <w:spacing w:val="-4"/>
                <w:sz w:val="21"/>
                <w:szCs w:val="21"/>
              </w:rPr>
              <w:t>符合</w:t>
            </w:r>
          </w:p>
        </w:tc>
      </w:tr>
      <w:tr w14:paraId="2F04E0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12" w:type="pct"/>
            <w:vMerge w:val="continue"/>
            <w:vAlign w:val="center"/>
          </w:tcPr>
          <w:p w14:paraId="187943A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2555" w:type="pct"/>
            <w:vAlign w:val="center"/>
          </w:tcPr>
          <w:p w14:paraId="7F25193C">
            <w:pPr>
              <w:numPr>
                <w:ilvl w:val="0"/>
                <w:numId w:val="1"/>
              </w:numPr>
              <w:adjustRightInd w:val="0"/>
              <w:snapToGrid w:val="0"/>
              <w:spacing w:after="0" w:line="240" w:lineRule="auto"/>
              <w:ind w:firstLine="0" w:firstLineChars="0"/>
              <w:jc w:val="center"/>
              <w:rPr>
                <w:rFonts w:hint="default" w:ascii="Times New Roman" w:hAnsi="Times New Roman" w:eastAsia="宋体" w:cs="Times New Roman"/>
                <w:b/>
                <w:bCs/>
                <w:color w:val="auto"/>
                <w:spacing w:val="17"/>
                <w:sz w:val="21"/>
                <w:szCs w:val="21"/>
              </w:rPr>
            </w:pPr>
            <w:r>
              <w:rPr>
                <w:rFonts w:hint="default" w:ascii="Times New Roman" w:hAnsi="Times New Roman" w:eastAsia="宋体" w:cs="Times New Roman"/>
                <w:b/>
                <w:bCs/>
                <w:color w:val="auto"/>
                <w:spacing w:val="17"/>
                <w:sz w:val="21"/>
                <w:szCs w:val="21"/>
              </w:rPr>
              <w:t>规范涉及新增建设用地的有限人为活动认定工作</w:t>
            </w:r>
          </w:p>
          <w:p w14:paraId="4D45FC25">
            <w:pPr>
              <w:adjustRightInd w:val="0"/>
              <w:snapToGrid w:val="0"/>
              <w:spacing w:after="0" w:line="240" w:lineRule="auto"/>
              <w:ind w:firstLine="0" w:firstLineChars="0"/>
              <w:jc w:val="center"/>
              <w:rPr>
                <w:rFonts w:hint="default" w:ascii="Times New Roman" w:hAnsi="Times New Roman" w:eastAsia="宋体" w:cs="Times New Roman"/>
                <w:color w:val="auto"/>
                <w:spacing w:val="-4"/>
                <w:sz w:val="21"/>
                <w:szCs w:val="21"/>
              </w:rPr>
            </w:pPr>
            <w:r>
              <w:rPr>
                <w:rFonts w:hint="default" w:ascii="Times New Roman" w:hAnsi="Times New Roman" w:eastAsia="宋体" w:cs="Times New Roman"/>
                <w:color w:val="auto"/>
                <w:spacing w:val="24"/>
                <w:sz w:val="21"/>
                <w:szCs w:val="21"/>
              </w:rPr>
              <w:t>1.在用地预审选址阶段，由州</w:t>
            </w:r>
            <w:r>
              <w:rPr>
                <w:rFonts w:hint="eastAsia" w:ascii="Times New Roman" w:hAnsi="Times New Roman" w:eastAsia="宋体" w:cs="Times New Roman"/>
                <w:color w:val="auto"/>
                <w:spacing w:val="24"/>
                <w:sz w:val="21"/>
                <w:szCs w:val="21"/>
                <w:lang w:eastAsia="zh-CN"/>
              </w:rPr>
              <w:t>（</w:t>
            </w:r>
            <w:r>
              <w:rPr>
                <w:rFonts w:hint="default" w:ascii="Times New Roman" w:hAnsi="Times New Roman" w:eastAsia="宋体" w:cs="Times New Roman"/>
                <w:color w:val="auto"/>
                <w:spacing w:val="24"/>
                <w:sz w:val="21"/>
                <w:szCs w:val="21"/>
              </w:rPr>
              <w:t>市</w:t>
            </w:r>
            <w:r>
              <w:rPr>
                <w:rFonts w:hint="eastAsia" w:ascii="Times New Roman" w:hAnsi="Times New Roman" w:eastAsia="宋体" w:cs="Times New Roman"/>
                <w:color w:val="auto"/>
                <w:spacing w:val="24"/>
                <w:sz w:val="21"/>
                <w:szCs w:val="21"/>
                <w:lang w:eastAsia="zh-CN"/>
              </w:rPr>
              <w:t>）</w:t>
            </w:r>
            <w:r>
              <w:rPr>
                <w:rFonts w:hint="default" w:ascii="Times New Roman" w:hAnsi="Times New Roman" w:eastAsia="宋体" w:cs="Times New Roman"/>
                <w:color w:val="auto"/>
                <w:spacing w:val="24"/>
                <w:sz w:val="21"/>
                <w:szCs w:val="21"/>
              </w:rPr>
              <w:t>自然资源部门出具用地</w:t>
            </w:r>
            <w:r>
              <w:rPr>
                <w:rFonts w:hint="default" w:ascii="Times New Roman" w:hAnsi="Times New Roman" w:eastAsia="宋体" w:cs="Times New Roman"/>
                <w:color w:val="auto"/>
                <w:spacing w:val="13"/>
                <w:sz w:val="21"/>
                <w:szCs w:val="21"/>
              </w:rPr>
              <w:t>预审初审报告，并明确是否属于生态保护红线内允许有限人为活</w:t>
            </w:r>
            <w:r>
              <w:rPr>
                <w:rFonts w:hint="default" w:ascii="Times New Roman" w:hAnsi="Times New Roman" w:eastAsia="宋体" w:cs="Times New Roman"/>
                <w:color w:val="auto"/>
                <w:spacing w:val="9"/>
                <w:sz w:val="21"/>
                <w:szCs w:val="21"/>
              </w:rPr>
              <w:t>动，报有权机关办理用地预审与选址意见书。</w:t>
            </w:r>
            <w:r>
              <w:rPr>
                <w:rFonts w:hint="default" w:ascii="Times New Roman" w:hAnsi="Times New Roman" w:eastAsia="宋体" w:cs="Times New Roman"/>
                <w:color w:val="auto"/>
                <w:spacing w:val="13"/>
                <w:sz w:val="21"/>
                <w:szCs w:val="21"/>
              </w:rPr>
              <w:t>2.在农用地转用及土地征收报批阶段，涉及生态保护红线面积超过10公顷的建设项目、涉及自然保护区</w:t>
            </w:r>
            <w:r>
              <w:rPr>
                <w:rFonts w:hint="default" w:ascii="Times New Roman" w:hAnsi="Times New Roman" w:eastAsia="宋体" w:cs="Times New Roman"/>
                <w:color w:val="auto"/>
                <w:spacing w:val="12"/>
                <w:sz w:val="21"/>
                <w:szCs w:val="21"/>
              </w:rPr>
              <w:t>、风景名胜区等自然</w:t>
            </w:r>
            <w:r>
              <w:rPr>
                <w:rFonts w:hint="default" w:ascii="Times New Roman" w:hAnsi="Times New Roman" w:eastAsia="宋体" w:cs="Times New Roman"/>
                <w:color w:val="auto"/>
                <w:spacing w:val="14"/>
                <w:sz w:val="21"/>
                <w:szCs w:val="21"/>
              </w:rPr>
              <w:t>保护地、饮用水水源保护区、世界自然遗产地、重要湿地、九大</w:t>
            </w:r>
            <w:r>
              <w:rPr>
                <w:rFonts w:hint="default" w:ascii="Times New Roman" w:hAnsi="Times New Roman" w:eastAsia="宋体" w:cs="Times New Roman"/>
                <w:color w:val="auto"/>
                <w:spacing w:val="13"/>
                <w:sz w:val="21"/>
                <w:szCs w:val="21"/>
              </w:rPr>
              <w:t>高原湖泊生态黄线内等特殊区域，用地单位组织编制涉及生态保</w:t>
            </w:r>
            <w:r>
              <w:rPr>
                <w:rFonts w:hint="default" w:ascii="Times New Roman" w:hAnsi="Times New Roman" w:eastAsia="宋体" w:cs="Times New Roman"/>
                <w:color w:val="auto"/>
                <w:spacing w:val="25"/>
                <w:sz w:val="21"/>
                <w:szCs w:val="21"/>
              </w:rPr>
              <w:t>护红线不可避让性论证报告，由州（市）人民政府组织相关部门</w:t>
            </w:r>
            <w:r>
              <w:rPr>
                <w:rFonts w:hint="default" w:ascii="Times New Roman" w:hAnsi="Times New Roman" w:eastAsia="宋体" w:cs="Times New Roman"/>
                <w:color w:val="auto"/>
                <w:spacing w:val="13"/>
                <w:sz w:val="21"/>
                <w:szCs w:val="21"/>
              </w:rPr>
              <w:t>及专家进行审查论证并出具初步认定意见；涉及生态保护红线面</w:t>
            </w:r>
            <w:r>
              <w:rPr>
                <w:rFonts w:hint="default" w:ascii="Times New Roman" w:hAnsi="Times New Roman" w:eastAsia="宋体" w:cs="Times New Roman"/>
                <w:color w:val="auto"/>
                <w:spacing w:val="24"/>
                <w:sz w:val="21"/>
                <w:szCs w:val="21"/>
              </w:rPr>
              <w:t>积小于等于10公顷且不涉及以上特殊区域的，由州（市）人民政</w:t>
            </w:r>
            <w:r>
              <w:rPr>
                <w:rFonts w:hint="default" w:ascii="Times New Roman" w:hAnsi="Times New Roman" w:eastAsia="宋体" w:cs="Times New Roman"/>
                <w:color w:val="auto"/>
                <w:spacing w:val="14"/>
                <w:sz w:val="21"/>
                <w:szCs w:val="21"/>
              </w:rPr>
              <w:t>府出具初步认定意见。省自然资源厅在征求省生态环境厅、省林业和草原局等有关部门意见后出具审核意见，报请省人民政府出</w:t>
            </w:r>
            <w:r>
              <w:rPr>
                <w:rFonts w:hint="default" w:ascii="Times New Roman" w:hAnsi="Times New Roman" w:eastAsia="宋体" w:cs="Times New Roman"/>
                <w:color w:val="auto"/>
                <w:spacing w:val="1"/>
                <w:sz w:val="21"/>
                <w:szCs w:val="21"/>
              </w:rPr>
              <w:t>具认定意见。</w:t>
            </w:r>
          </w:p>
        </w:tc>
        <w:tc>
          <w:tcPr>
            <w:tcW w:w="1463" w:type="pct"/>
            <w:vAlign w:val="center"/>
          </w:tcPr>
          <w:p w14:paraId="10E70045">
            <w:pPr>
              <w:adjustRightInd w:val="0"/>
              <w:snapToGrid w:val="0"/>
              <w:spacing w:after="0" w:line="240" w:lineRule="auto"/>
              <w:ind w:firstLine="0" w:firstLineChars="0"/>
              <w:jc w:val="center"/>
              <w:rPr>
                <w:rFonts w:hint="default" w:ascii="Times New Roman" w:hAnsi="Times New Roman" w:eastAsia="宋体" w:cs="Times New Roman"/>
                <w:color w:val="auto"/>
                <w:spacing w:val="-4"/>
                <w:sz w:val="21"/>
                <w:szCs w:val="21"/>
              </w:rPr>
            </w:pPr>
            <w:r>
              <w:rPr>
                <w:rFonts w:hint="default" w:ascii="Times New Roman" w:hAnsi="Times New Roman" w:eastAsia="宋体" w:cs="Times New Roman"/>
                <w:color w:val="auto"/>
                <w:sz w:val="21"/>
                <w:szCs w:val="21"/>
              </w:rPr>
              <w:t>线路因自然条件限制，</w:t>
            </w:r>
            <w:r>
              <w:rPr>
                <w:rFonts w:hint="default" w:ascii="Times New Roman" w:hAnsi="Times New Roman" w:eastAsia="宋体" w:cs="Times New Roman"/>
                <w:color w:val="auto"/>
                <w:spacing w:val="-4"/>
                <w:sz w:val="21"/>
                <w:szCs w:val="21"/>
              </w:rPr>
              <w:t>不可避让跨越生态保护红线，</w:t>
            </w:r>
            <w:r>
              <w:rPr>
                <w:rFonts w:hint="default" w:ascii="Times New Roman" w:hAnsi="Times New Roman" w:eastAsia="宋体" w:cs="Times New Roman"/>
                <w:color w:val="auto"/>
                <w:sz w:val="21"/>
                <w:szCs w:val="21"/>
              </w:rPr>
              <w:t>对照《有限人为活动准入目录》，属于准入类别，“输电线塔基、通讯基站等小面积零星分散建设项目用地”属于准入目录，属于“必须且无法避让、符合县级以上国土空间规划的线性基础设施”</w:t>
            </w:r>
          </w:p>
        </w:tc>
        <w:tc>
          <w:tcPr>
            <w:tcW w:w="469" w:type="pct"/>
            <w:vAlign w:val="center"/>
          </w:tcPr>
          <w:p w14:paraId="09020EF7">
            <w:pPr>
              <w:adjustRightInd w:val="0"/>
              <w:snapToGrid w:val="0"/>
              <w:spacing w:after="0" w:line="240" w:lineRule="auto"/>
              <w:ind w:firstLine="0" w:firstLineChars="0"/>
              <w:jc w:val="center"/>
              <w:rPr>
                <w:rFonts w:hint="default" w:ascii="Times New Roman" w:hAnsi="Times New Roman" w:eastAsia="宋体" w:cs="Times New Roman"/>
                <w:color w:val="auto"/>
                <w:spacing w:val="-4"/>
                <w:sz w:val="21"/>
                <w:szCs w:val="21"/>
              </w:rPr>
            </w:pPr>
            <w:r>
              <w:rPr>
                <w:rFonts w:hint="default" w:ascii="Times New Roman" w:hAnsi="Times New Roman" w:eastAsia="宋体" w:cs="Times New Roman"/>
                <w:color w:val="auto"/>
                <w:spacing w:val="-4"/>
                <w:sz w:val="21"/>
                <w:szCs w:val="21"/>
              </w:rPr>
              <w:t>符合</w:t>
            </w:r>
          </w:p>
        </w:tc>
      </w:tr>
      <w:tr w14:paraId="0D7BAA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12" w:type="pct"/>
            <w:vMerge w:val="continue"/>
            <w:vAlign w:val="center"/>
          </w:tcPr>
          <w:p w14:paraId="6926DA8F">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2555" w:type="pct"/>
            <w:vAlign w:val="center"/>
          </w:tcPr>
          <w:p w14:paraId="129B8448">
            <w:pPr>
              <w:adjustRightInd w:val="0"/>
              <w:snapToGrid w:val="0"/>
              <w:spacing w:after="0" w:line="240" w:lineRule="auto"/>
              <w:ind w:firstLine="0" w:firstLineChars="0"/>
              <w:jc w:val="center"/>
              <w:rPr>
                <w:rFonts w:hint="default" w:ascii="Times New Roman" w:hAnsi="Times New Roman" w:eastAsia="宋体" w:cs="Times New Roman"/>
                <w:b/>
                <w:bCs/>
                <w:color w:val="auto"/>
                <w:spacing w:val="17"/>
                <w:sz w:val="21"/>
                <w:szCs w:val="21"/>
              </w:rPr>
            </w:pPr>
            <w:r>
              <w:rPr>
                <w:rFonts w:hint="default" w:ascii="Times New Roman" w:hAnsi="Times New Roman" w:eastAsia="宋体" w:cs="Times New Roman"/>
                <w:b/>
                <w:bCs/>
                <w:color w:val="auto"/>
                <w:spacing w:val="17"/>
                <w:sz w:val="21"/>
                <w:szCs w:val="21"/>
              </w:rPr>
              <w:t>（三）加强不涉及新增建设用地的有限人为活动监管</w:t>
            </w:r>
          </w:p>
          <w:p w14:paraId="732E79F2">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3"/>
                <w:sz w:val="21"/>
                <w:szCs w:val="21"/>
              </w:rPr>
              <w:t>应严格控制有限人为活动强度和规模，尽量避免对生态</w:t>
            </w:r>
            <w:r>
              <w:rPr>
                <w:rFonts w:hint="default" w:ascii="Times New Roman" w:hAnsi="Times New Roman" w:eastAsia="宋体" w:cs="Times New Roman"/>
                <w:color w:val="auto"/>
                <w:spacing w:val="12"/>
                <w:sz w:val="21"/>
                <w:szCs w:val="21"/>
              </w:rPr>
              <w:t>功能</w:t>
            </w:r>
            <w:r>
              <w:rPr>
                <w:rFonts w:hint="default" w:ascii="Times New Roman" w:hAnsi="Times New Roman" w:eastAsia="宋体" w:cs="Times New Roman"/>
                <w:color w:val="auto"/>
                <w:spacing w:val="24"/>
                <w:sz w:val="21"/>
                <w:szCs w:val="21"/>
              </w:rPr>
              <w:t>造成破坏。由县（市、区）人民政府按照《准入目录》认定，并</w:t>
            </w:r>
            <w:r>
              <w:rPr>
                <w:rFonts w:hint="default" w:ascii="Times New Roman" w:hAnsi="Times New Roman" w:eastAsia="宋体" w:cs="Times New Roman"/>
                <w:color w:val="auto"/>
                <w:spacing w:val="12"/>
                <w:sz w:val="21"/>
                <w:szCs w:val="21"/>
              </w:rPr>
              <w:t>出具属于生态保护红线内允许有限人为活动认定意见，相关行业</w:t>
            </w:r>
            <w:r>
              <w:rPr>
                <w:rFonts w:hint="default" w:ascii="Times New Roman" w:hAnsi="Times New Roman" w:eastAsia="宋体" w:cs="Times New Roman"/>
                <w:color w:val="auto"/>
                <w:spacing w:val="25"/>
                <w:sz w:val="21"/>
                <w:szCs w:val="21"/>
              </w:rPr>
              <w:t>主管部门结合职能职责按现行法律法规规定及要求办理有关手</w:t>
            </w:r>
            <w:r>
              <w:rPr>
                <w:rFonts w:hint="default" w:ascii="Times New Roman" w:hAnsi="Times New Roman" w:eastAsia="宋体" w:cs="Times New Roman"/>
                <w:color w:val="auto"/>
                <w:spacing w:val="24"/>
                <w:sz w:val="21"/>
                <w:szCs w:val="21"/>
              </w:rPr>
              <w:t>续，县（市、区）人民政府和有关部门负责做好后期生态保护监</w:t>
            </w:r>
            <w:r>
              <w:rPr>
                <w:rFonts w:hint="default" w:ascii="Times New Roman" w:hAnsi="Times New Roman" w:eastAsia="宋体" w:cs="Times New Roman"/>
                <w:color w:val="auto"/>
                <w:spacing w:val="-19"/>
                <w:sz w:val="21"/>
                <w:szCs w:val="21"/>
              </w:rPr>
              <w:t>管。</w:t>
            </w:r>
          </w:p>
        </w:tc>
        <w:tc>
          <w:tcPr>
            <w:tcW w:w="1463" w:type="pct"/>
            <w:vAlign w:val="center"/>
          </w:tcPr>
          <w:p w14:paraId="5909372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为输变电工程，对照《有限人为活动准入目录》，属于准入类别，“输电线塔基、通讯基站等小面积零星分散建设项目用地”属于准入目录，属于“必须且无法避让、符合县级以上国土空间规划的线性基础设施”；线路因自然条件限制，不可避让跨越生态保护红线，属于准入类别</w:t>
            </w:r>
          </w:p>
        </w:tc>
        <w:tc>
          <w:tcPr>
            <w:tcW w:w="469" w:type="pct"/>
            <w:vAlign w:val="center"/>
          </w:tcPr>
          <w:p w14:paraId="51964902">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4"/>
                <w:sz w:val="21"/>
                <w:szCs w:val="21"/>
              </w:rPr>
              <w:t>符合</w:t>
            </w:r>
          </w:p>
        </w:tc>
      </w:tr>
      <w:tr w14:paraId="38CF4F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12" w:type="pct"/>
            <w:vAlign w:val="center"/>
          </w:tcPr>
          <w:p w14:paraId="5C3B0DC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8"/>
                <w:sz w:val="21"/>
                <w:szCs w:val="21"/>
              </w:rPr>
              <w:t>严格国家重大项目占用生态保护红线用地审批</w:t>
            </w:r>
          </w:p>
        </w:tc>
        <w:tc>
          <w:tcPr>
            <w:tcW w:w="2555" w:type="pct"/>
            <w:vAlign w:val="center"/>
          </w:tcPr>
          <w:p w14:paraId="608D72CC">
            <w:pPr>
              <w:adjustRightInd w:val="0"/>
              <w:snapToGrid w:val="0"/>
              <w:spacing w:after="0" w:line="240" w:lineRule="auto"/>
              <w:ind w:firstLine="0" w:firstLineChars="0"/>
              <w:jc w:val="center"/>
              <w:rPr>
                <w:rFonts w:hint="default" w:ascii="Times New Roman" w:hAnsi="Times New Roman" w:eastAsia="宋体" w:cs="Times New Roman"/>
                <w:color w:val="auto"/>
                <w:spacing w:val="-19"/>
                <w:sz w:val="21"/>
                <w:szCs w:val="21"/>
              </w:rPr>
            </w:pPr>
            <w:r>
              <w:rPr>
                <w:rFonts w:hint="default" w:ascii="Times New Roman" w:hAnsi="Times New Roman" w:eastAsia="宋体" w:cs="Times New Roman"/>
                <w:color w:val="auto"/>
                <w:spacing w:val="12"/>
                <w:sz w:val="21"/>
                <w:szCs w:val="21"/>
              </w:rPr>
              <w:t>国家重大建设项目占用生态保护红线的，需在用地预审选址</w:t>
            </w:r>
            <w:r>
              <w:rPr>
                <w:rFonts w:hint="default" w:ascii="Times New Roman" w:hAnsi="Times New Roman" w:eastAsia="宋体" w:cs="Times New Roman"/>
                <w:color w:val="auto"/>
                <w:spacing w:val="23"/>
                <w:sz w:val="21"/>
                <w:szCs w:val="21"/>
              </w:rPr>
              <w:t>阶段，由州</w:t>
            </w:r>
            <w:r>
              <w:rPr>
                <w:rFonts w:hint="eastAsia" w:ascii="Times New Roman" w:hAnsi="Times New Roman" w:eastAsia="宋体" w:cs="Times New Roman"/>
                <w:color w:val="auto"/>
                <w:spacing w:val="23"/>
                <w:sz w:val="21"/>
                <w:szCs w:val="21"/>
                <w:lang w:eastAsia="zh-CN"/>
              </w:rPr>
              <w:t>（</w:t>
            </w:r>
            <w:r>
              <w:rPr>
                <w:rFonts w:hint="default" w:ascii="Times New Roman" w:hAnsi="Times New Roman" w:eastAsia="宋体" w:cs="Times New Roman"/>
                <w:color w:val="auto"/>
                <w:spacing w:val="23"/>
                <w:sz w:val="21"/>
                <w:szCs w:val="21"/>
              </w:rPr>
              <w:t>市</w:t>
            </w:r>
            <w:r>
              <w:rPr>
                <w:rFonts w:hint="eastAsia" w:ascii="Times New Roman" w:hAnsi="Times New Roman" w:eastAsia="宋体" w:cs="Times New Roman"/>
                <w:color w:val="auto"/>
                <w:spacing w:val="23"/>
                <w:sz w:val="21"/>
                <w:szCs w:val="21"/>
                <w:lang w:eastAsia="zh-CN"/>
              </w:rPr>
              <w:t>）</w:t>
            </w:r>
            <w:r>
              <w:rPr>
                <w:rFonts w:hint="default" w:ascii="Times New Roman" w:hAnsi="Times New Roman" w:eastAsia="宋体" w:cs="Times New Roman"/>
                <w:color w:val="auto"/>
                <w:spacing w:val="23"/>
                <w:sz w:val="21"/>
                <w:szCs w:val="21"/>
              </w:rPr>
              <w:t>自然资源部门在用地预审初审报告中，明确用</w:t>
            </w:r>
            <w:r>
              <w:rPr>
                <w:rFonts w:hint="default" w:ascii="Times New Roman" w:hAnsi="Times New Roman" w:eastAsia="宋体" w:cs="Times New Roman"/>
                <w:color w:val="auto"/>
                <w:spacing w:val="13"/>
                <w:sz w:val="21"/>
                <w:szCs w:val="21"/>
              </w:rPr>
              <w:t>地属于国家重大建设项目范围，经省自然资源厅审核后报自然资源部预审。在农用地转用及土地征收报批阶段，用地单位组织编</w:t>
            </w:r>
            <w:r>
              <w:rPr>
                <w:rFonts w:hint="default" w:ascii="Times New Roman" w:hAnsi="Times New Roman" w:eastAsia="宋体" w:cs="Times New Roman"/>
                <w:color w:val="auto"/>
                <w:spacing w:val="23"/>
                <w:sz w:val="21"/>
                <w:szCs w:val="21"/>
              </w:rPr>
              <w:t>制项目占用生态保护红线不可避让性论证报告，州</w:t>
            </w:r>
            <w:r>
              <w:rPr>
                <w:rFonts w:hint="eastAsia" w:ascii="Times New Roman" w:hAnsi="Times New Roman" w:eastAsia="宋体" w:cs="Times New Roman"/>
                <w:color w:val="auto"/>
                <w:spacing w:val="23"/>
                <w:sz w:val="21"/>
                <w:szCs w:val="21"/>
                <w:lang w:eastAsia="zh-CN"/>
              </w:rPr>
              <w:t>（</w:t>
            </w:r>
            <w:r>
              <w:rPr>
                <w:rFonts w:hint="default" w:ascii="Times New Roman" w:hAnsi="Times New Roman" w:eastAsia="宋体" w:cs="Times New Roman"/>
                <w:color w:val="auto"/>
                <w:spacing w:val="23"/>
                <w:sz w:val="21"/>
                <w:szCs w:val="21"/>
              </w:rPr>
              <w:t>市</w:t>
            </w:r>
            <w:r>
              <w:rPr>
                <w:rFonts w:hint="eastAsia" w:ascii="Times New Roman" w:hAnsi="Times New Roman" w:eastAsia="宋体" w:cs="Times New Roman"/>
                <w:color w:val="auto"/>
                <w:spacing w:val="23"/>
                <w:sz w:val="21"/>
                <w:szCs w:val="21"/>
                <w:lang w:eastAsia="zh-CN"/>
              </w:rPr>
              <w:t>）</w:t>
            </w:r>
            <w:r>
              <w:rPr>
                <w:rFonts w:hint="default" w:ascii="Times New Roman" w:hAnsi="Times New Roman" w:eastAsia="宋体" w:cs="Times New Roman"/>
                <w:color w:val="auto"/>
                <w:spacing w:val="23"/>
                <w:sz w:val="21"/>
                <w:szCs w:val="21"/>
              </w:rPr>
              <w:t>人民政</w:t>
            </w:r>
            <w:r>
              <w:rPr>
                <w:rFonts w:hint="default" w:ascii="Times New Roman" w:hAnsi="Times New Roman" w:eastAsia="宋体" w:cs="Times New Roman"/>
                <w:color w:val="auto"/>
                <w:spacing w:val="13"/>
                <w:sz w:val="21"/>
                <w:szCs w:val="21"/>
              </w:rPr>
              <w:t>府出具不可避让性论证初步意见，省自然资源厅组织省生态环境</w:t>
            </w:r>
            <w:r>
              <w:rPr>
                <w:rFonts w:hint="default" w:ascii="Times New Roman" w:hAnsi="Times New Roman" w:eastAsia="宋体" w:cs="Times New Roman"/>
                <w:color w:val="auto"/>
                <w:spacing w:val="7"/>
                <w:sz w:val="21"/>
                <w:szCs w:val="21"/>
              </w:rPr>
              <w:t>厅、省林业和草原局等有关部门及专家审查论证并出具审核意见，</w:t>
            </w:r>
            <w:r>
              <w:rPr>
                <w:rFonts w:hint="default" w:ascii="Times New Roman" w:hAnsi="Times New Roman" w:eastAsia="宋体" w:cs="Times New Roman"/>
                <w:color w:val="auto"/>
                <w:spacing w:val="11"/>
                <w:sz w:val="21"/>
                <w:szCs w:val="21"/>
              </w:rPr>
              <w:t>报请省人民政府出具不可避让性论证意见。</w:t>
            </w:r>
          </w:p>
        </w:tc>
        <w:tc>
          <w:tcPr>
            <w:tcW w:w="1463" w:type="pct"/>
            <w:vAlign w:val="center"/>
          </w:tcPr>
          <w:p w14:paraId="2D79E995">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属于输变电工程，不属于国家重大项目，对照《有限人为活动准入目录》，属于准入类别，“输电线塔基、通讯基站等小面积零星分散建设项目用地”属于准入目录，属于“必须且无法避让、符合县级以上国土空间规划的线性基础设施”</w:t>
            </w:r>
          </w:p>
        </w:tc>
        <w:tc>
          <w:tcPr>
            <w:tcW w:w="469" w:type="pct"/>
            <w:vAlign w:val="center"/>
          </w:tcPr>
          <w:p w14:paraId="3902BB11">
            <w:pPr>
              <w:adjustRightInd w:val="0"/>
              <w:snapToGrid w:val="0"/>
              <w:spacing w:after="0" w:line="240" w:lineRule="auto"/>
              <w:ind w:firstLine="0" w:firstLineChars="0"/>
              <w:jc w:val="center"/>
              <w:rPr>
                <w:rFonts w:hint="default" w:ascii="Times New Roman" w:hAnsi="Times New Roman" w:eastAsia="宋体" w:cs="Times New Roman"/>
                <w:color w:val="auto"/>
                <w:spacing w:val="-4"/>
                <w:sz w:val="21"/>
                <w:szCs w:val="21"/>
              </w:rPr>
            </w:pPr>
            <w:r>
              <w:rPr>
                <w:rFonts w:hint="default" w:ascii="Times New Roman" w:hAnsi="Times New Roman" w:eastAsia="宋体" w:cs="Times New Roman"/>
                <w:color w:val="auto"/>
                <w:spacing w:val="-4"/>
                <w:sz w:val="21"/>
                <w:szCs w:val="21"/>
              </w:rPr>
              <w:t>符合</w:t>
            </w:r>
          </w:p>
        </w:tc>
      </w:tr>
      <w:tr w14:paraId="647FB1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12" w:type="pct"/>
            <w:vAlign w:val="center"/>
          </w:tcPr>
          <w:p w14:paraId="0417567A">
            <w:pPr>
              <w:adjustRightInd w:val="0"/>
              <w:snapToGrid w:val="0"/>
              <w:spacing w:after="0" w:line="240" w:lineRule="auto"/>
              <w:ind w:firstLine="0" w:firstLineChars="0"/>
              <w:jc w:val="center"/>
              <w:rPr>
                <w:rFonts w:hint="default" w:ascii="Times New Roman" w:hAnsi="Times New Roman" w:eastAsia="宋体" w:cs="Times New Roman"/>
                <w:color w:val="auto"/>
                <w:spacing w:val="8"/>
                <w:sz w:val="21"/>
                <w:szCs w:val="21"/>
              </w:rPr>
            </w:pPr>
            <w:r>
              <w:rPr>
                <w:rFonts w:hint="default" w:ascii="Times New Roman" w:hAnsi="Times New Roman" w:eastAsia="宋体" w:cs="Times New Roman"/>
                <w:color w:val="auto"/>
                <w:spacing w:val="-3"/>
                <w:sz w:val="21"/>
                <w:szCs w:val="21"/>
              </w:rPr>
              <w:t>规范临时用地办理</w:t>
            </w:r>
          </w:p>
        </w:tc>
        <w:tc>
          <w:tcPr>
            <w:tcW w:w="2555" w:type="pct"/>
            <w:vAlign w:val="center"/>
          </w:tcPr>
          <w:p w14:paraId="0E5D29C4">
            <w:pPr>
              <w:adjustRightInd w:val="0"/>
              <w:snapToGrid w:val="0"/>
              <w:spacing w:after="0" w:line="240" w:lineRule="auto"/>
              <w:ind w:firstLine="0" w:firstLineChars="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25"/>
                <w:sz w:val="21"/>
                <w:szCs w:val="21"/>
              </w:rPr>
              <w:t>生态保护红线内允许的有限人为活动和国家重大项目所必</w:t>
            </w:r>
            <w:r>
              <w:rPr>
                <w:rFonts w:hint="default" w:ascii="Times New Roman" w:hAnsi="Times New Roman" w:eastAsia="宋体" w:cs="Times New Roman"/>
                <w:color w:val="auto"/>
                <w:spacing w:val="14"/>
                <w:sz w:val="21"/>
                <w:szCs w:val="21"/>
              </w:rPr>
              <w:t>需的临时用地，要优先避让生态保护红线，尽量</w:t>
            </w:r>
            <w:r>
              <w:rPr>
                <w:rFonts w:hint="default" w:ascii="Times New Roman" w:hAnsi="Times New Roman" w:eastAsia="宋体" w:cs="Times New Roman"/>
                <w:color w:val="auto"/>
                <w:spacing w:val="13"/>
                <w:sz w:val="21"/>
                <w:szCs w:val="21"/>
              </w:rPr>
              <w:t>少占或不占生态保护红线；要尽量避让自然保护地、重要湿地、重要野生动物栖</w:t>
            </w:r>
            <w:r>
              <w:rPr>
                <w:rFonts w:hint="default" w:ascii="Times New Roman" w:hAnsi="Times New Roman" w:eastAsia="宋体" w:cs="Times New Roman"/>
                <w:color w:val="auto"/>
                <w:spacing w:val="12"/>
                <w:sz w:val="21"/>
                <w:szCs w:val="21"/>
              </w:rPr>
              <w:t>息地、重点保护野生植物集中分布区及迁徙和洄游通道等重要生</w:t>
            </w:r>
            <w:r>
              <w:rPr>
                <w:rFonts w:hint="default" w:ascii="Times New Roman" w:hAnsi="Times New Roman" w:eastAsia="宋体" w:cs="Times New Roman"/>
                <w:color w:val="auto"/>
                <w:spacing w:val="14"/>
                <w:sz w:val="21"/>
                <w:szCs w:val="21"/>
              </w:rPr>
              <w:t>态空间，加强生物多样性保护。如确实无法避让的，要</w:t>
            </w:r>
            <w:r>
              <w:rPr>
                <w:rFonts w:hint="default" w:ascii="Times New Roman" w:hAnsi="Times New Roman" w:eastAsia="宋体" w:cs="Times New Roman"/>
                <w:color w:val="auto"/>
                <w:spacing w:val="13"/>
                <w:sz w:val="21"/>
                <w:szCs w:val="21"/>
              </w:rPr>
              <w:t>充分论证</w:t>
            </w:r>
            <w:r>
              <w:rPr>
                <w:rFonts w:hint="default" w:ascii="Times New Roman" w:hAnsi="Times New Roman" w:eastAsia="宋体" w:cs="Times New Roman"/>
                <w:color w:val="auto"/>
                <w:spacing w:val="14"/>
                <w:sz w:val="21"/>
                <w:szCs w:val="21"/>
              </w:rPr>
              <w:t>其必要性和不可避让性，强化节约集约用地和逐步恢复生态功能</w:t>
            </w:r>
            <w:r>
              <w:rPr>
                <w:rFonts w:hint="default" w:ascii="Times New Roman" w:hAnsi="Times New Roman" w:eastAsia="宋体" w:cs="Times New Roman"/>
                <w:color w:val="auto"/>
                <w:spacing w:val="13"/>
                <w:sz w:val="21"/>
                <w:szCs w:val="21"/>
              </w:rPr>
              <w:t>的措施，确保生态功能不降低。临时用地按照自然资源部</w:t>
            </w:r>
            <w:r>
              <w:rPr>
                <w:rFonts w:hint="default" w:ascii="Times New Roman" w:hAnsi="Times New Roman" w:eastAsia="宋体" w:cs="Times New Roman"/>
                <w:color w:val="auto"/>
                <w:spacing w:val="12"/>
                <w:sz w:val="21"/>
                <w:szCs w:val="21"/>
              </w:rPr>
              <w:t>关于规</w:t>
            </w:r>
            <w:r>
              <w:rPr>
                <w:rFonts w:hint="default" w:ascii="Times New Roman" w:hAnsi="Times New Roman" w:eastAsia="宋体" w:cs="Times New Roman"/>
                <w:color w:val="auto"/>
                <w:spacing w:val="14"/>
                <w:sz w:val="21"/>
                <w:szCs w:val="21"/>
              </w:rPr>
              <w:t>范临时用地管理的有关要求，参照临时占用永久基本农田规定办</w:t>
            </w:r>
            <w:r>
              <w:rPr>
                <w:rFonts w:hint="default" w:ascii="Times New Roman" w:hAnsi="Times New Roman" w:eastAsia="宋体" w:cs="Times New Roman"/>
                <w:color w:val="auto"/>
                <w:spacing w:val="25"/>
                <w:sz w:val="21"/>
                <w:szCs w:val="21"/>
              </w:rPr>
              <w:t>理，由</w:t>
            </w:r>
            <w:r>
              <w:rPr>
                <w:rFonts w:hint="eastAsia" w:ascii="Times New Roman" w:hAnsi="Times New Roman" w:eastAsia="宋体" w:cs="Times New Roman"/>
                <w:color w:val="auto"/>
                <w:spacing w:val="25"/>
                <w:sz w:val="21"/>
                <w:szCs w:val="21"/>
                <w:lang w:eastAsia="zh-CN"/>
              </w:rPr>
              <w:t>县（市、区）</w:t>
            </w:r>
            <w:r>
              <w:rPr>
                <w:rFonts w:hint="default" w:ascii="Times New Roman" w:hAnsi="Times New Roman" w:eastAsia="宋体" w:cs="Times New Roman"/>
                <w:color w:val="auto"/>
                <w:spacing w:val="25"/>
                <w:sz w:val="21"/>
                <w:szCs w:val="21"/>
              </w:rPr>
              <w:t>人民政府组织自然资源、生态环境、</w:t>
            </w:r>
            <w:r>
              <w:rPr>
                <w:rFonts w:hint="default" w:ascii="Times New Roman" w:hAnsi="Times New Roman" w:eastAsia="宋体" w:cs="Times New Roman"/>
                <w:color w:val="auto"/>
                <w:spacing w:val="24"/>
                <w:sz w:val="21"/>
                <w:szCs w:val="21"/>
              </w:rPr>
              <w:t>林草等</w:t>
            </w:r>
            <w:r>
              <w:rPr>
                <w:rFonts w:hint="default" w:ascii="Times New Roman" w:hAnsi="Times New Roman" w:eastAsia="宋体" w:cs="Times New Roman"/>
                <w:color w:val="auto"/>
                <w:spacing w:val="15"/>
                <w:sz w:val="21"/>
                <w:szCs w:val="21"/>
              </w:rPr>
              <w:t>相关部门开展审查论证，并出具论证意见，与临时用地报</w:t>
            </w:r>
            <w:r>
              <w:rPr>
                <w:rFonts w:hint="default" w:ascii="Times New Roman" w:hAnsi="Times New Roman" w:eastAsia="宋体" w:cs="Times New Roman"/>
                <w:color w:val="auto"/>
                <w:spacing w:val="14"/>
                <w:sz w:val="21"/>
                <w:szCs w:val="21"/>
              </w:rPr>
              <w:t>件一并</w:t>
            </w:r>
            <w:r>
              <w:rPr>
                <w:rFonts w:hint="default" w:ascii="Times New Roman" w:hAnsi="Times New Roman" w:eastAsia="宋体" w:cs="Times New Roman"/>
                <w:color w:val="auto"/>
                <w:spacing w:val="26"/>
                <w:sz w:val="21"/>
                <w:szCs w:val="21"/>
              </w:rPr>
              <w:t>报州</w:t>
            </w:r>
            <w:r>
              <w:rPr>
                <w:rFonts w:hint="eastAsia" w:ascii="Times New Roman" w:hAnsi="Times New Roman" w:eastAsia="宋体" w:cs="Times New Roman"/>
                <w:color w:val="auto"/>
                <w:spacing w:val="26"/>
                <w:sz w:val="21"/>
                <w:szCs w:val="21"/>
                <w:lang w:eastAsia="zh-CN"/>
              </w:rPr>
              <w:t>（</w:t>
            </w:r>
            <w:r>
              <w:rPr>
                <w:rFonts w:hint="default" w:ascii="Times New Roman" w:hAnsi="Times New Roman" w:eastAsia="宋体" w:cs="Times New Roman"/>
                <w:color w:val="auto"/>
                <w:spacing w:val="26"/>
                <w:sz w:val="21"/>
                <w:szCs w:val="21"/>
              </w:rPr>
              <w:t>市</w:t>
            </w:r>
            <w:r>
              <w:rPr>
                <w:rFonts w:hint="eastAsia" w:ascii="Times New Roman" w:hAnsi="Times New Roman" w:eastAsia="宋体" w:cs="Times New Roman"/>
                <w:color w:val="auto"/>
                <w:spacing w:val="26"/>
                <w:sz w:val="21"/>
                <w:szCs w:val="21"/>
                <w:lang w:eastAsia="zh-CN"/>
              </w:rPr>
              <w:t>）</w:t>
            </w:r>
            <w:r>
              <w:rPr>
                <w:rFonts w:hint="default" w:ascii="Times New Roman" w:hAnsi="Times New Roman" w:eastAsia="宋体" w:cs="Times New Roman"/>
                <w:color w:val="auto"/>
                <w:spacing w:val="26"/>
                <w:sz w:val="21"/>
                <w:szCs w:val="21"/>
              </w:rPr>
              <w:t>自然资源主管部门审批，如涉及林地的，还应符合林</w:t>
            </w:r>
            <w:r>
              <w:rPr>
                <w:rFonts w:hint="default" w:ascii="Times New Roman" w:hAnsi="Times New Roman" w:eastAsia="宋体" w:cs="Times New Roman"/>
                <w:color w:val="auto"/>
                <w:spacing w:val="6"/>
                <w:sz w:val="21"/>
                <w:szCs w:val="21"/>
              </w:rPr>
              <w:t>草部门的相关规定。</w:t>
            </w:r>
            <w:r>
              <w:rPr>
                <w:rFonts w:hint="default" w:ascii="Times New Roman" w:hAnsi="Times New Roman" w:eastAsia="宋体" w:cs="Times New Roman"/>
                <w:color w:val="auto"/>
                <w:spacing w:val="14"/>
                <w:sz w:val="21"/>
                <w:szCs w:val="21"/>
              </w:rPr>
              <w:t>临时用地使用期间做好生态环境保护，使用结束后，应及时</w:t>
            </w:r>
            <w:r>
              <w:rPr>
                <w:rFonts w:hint="default" w:ascii="Times New Roman" w:hAnsi="Times New Roman" w:eastAsia="宋体" w:cs="Times New Roman"/>
                <w:color w:val="auto"/>
                <w:spacing w:val="15"/>
                <w:sz w:val="21"/>
                <w:szCs w:val="21"/>
              </w:rPr>
              <w:t>开展生态修复，由县级生态环境、林草、自然资源等部门负</w:t>
            </w:r>
            <w:r>
              <w:rPr>
                <w:rFonts w:hint="default" w:ascii="Times New Roman" w:hAnsi="Times New Roman" w:eastAsia="宋体" w:cs="Times New Roman"/>
                <w:color w:val="auto"/>
                <w:spacing w:val="14"/>
                <w:sz w:val="21"/>
                <w:szCs w:val="21"/>
              </w:rPr>
              <w:t>责做</w:t>
            </w:r>
            <w:r>
              <w:rPr>
                <w:rFonts w:hint="default" w:ascii="Times New Roman" w:hAnsi="Times New Roman" w:eastAsia="宋体" w:cs="Times New Roman"/>
                <w:color w:val="auto"/>
                <w:spacing w:val="15"/>
                <w:sz w:val="21"/>
                <w:szCs w:val="21"/>
              </w:rPr>
              <w:t>好监管工作，严格督促使用单位落实生态修复责任，将对生态环</w:t>
            </w:r>
            <w:r>
              <w:rPr>
                <w:rFonts w:hint="default" w:ascii="Times New Roman" w:hAnsi="Times New Roman" w:eastAsia="宋体" w:cs="Times New Roman"/>
                <w:color w:val="auto"/>
                <w:spacing w:val="6"/>
                <w:sz w:val="21"/>
                <w:szCs w:val="21"/>
              </w:rPr>
              <w:t>境的影响降至最低。</w:t>
            </w:r>
          </w:p>
        </w:tc>
        <w:tc>
          <w:tcPr>
            <w:tcW w:w="1463" w:type="pct"/>
            <w:vAlign w:val="center"/>
          </w:tcPr>
          <w:p w14:paraId="2717F475">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项目临时占地已避让生态保护红线，避让自然保护地、重要湿地、重要野生动物栖息地、重点保护野生植物集中分布区及迁徙和洄游通道等重要生态空间，通过采取生态保护措施，采取临时遮盖，施工结</w:t>
            </w:r>
            <w:r>
              <w:rPr>
                <w:rFonts w:hint="eastAsia" w:ascii="Times New Roman" w:hAnsi="Times New Roman" w:eastAsia="宋体" w:cs="Times New Roman"/>
                <w:color w:val="auto"/>
                <w:sz w:val="21"/>
                <w:szCs w:val="21"/>
                <w:lang w:eastAsia="zh-CN"/>
              </w:rPr>
              <w:t>束后</w:t>
            </w:r>
            <w:r>
              <w:rPr>
                <w:rFonts w:hint="default" w:ascii="Times New Roman" w:hAnsi="Times New Roman" w:eastAsia="宋体" w:cs="Times New Roman"/>
                <w:color w:val="auto"/>
                <w:sz w:val="21"/>
                <w:szCs w:val="21"/>
              </w:rPr>
              <w:t>恢复原状，及时进行植被恢复，加强生物多样性保护；项目正在办理相关林地手续，合法使用林地。</w:t>
            </w:r>
          </w:p>
        </w:tc>
        <w:tc>
          <w:tcPr>
            <w:tcW w:w="469" w:type="pct"/>
            <w:vAlign w:val="center"/>
          </w:tcPr>
          <w:p w14:paraId="5D0A0571">
            <w:pPr>
              <w:adjustRightInd w:val="0"/>
              <w:snapToGrid w:val="0"/>
              <w:spacing w:after="0" w:line="240" w:lineRule="auto"/>
              <w:ind w:firstLine="0" w:firstLineChars="0"/>
              <w:jc w:val="center"/>
              <w:rPr>
                <w:rFonts w:hint="default" w:ascii="Times New Roman" w:hAnsi="Times New Roman" w:eastAsia="宋体" w:cs="Times New Roman"/>
                <w:color w:val="auto"/>
                <w:spacing w:val="-4"/>
                <w:sz w:val="21"/>
                <w:szCs w:val="21"/>
              </w:rPr>
            </w:pPr>
            <w:r>
              <w:rPr>
                <w:rFonts w:hint="default" w:ascii="Times New Roman" w:hAnsi="Times New Roman" w:eastAsia="宋体" w:cs="Times New Roman"/>
                <w:color w:val="auto"/>
                <w:spacing w:val="-4"/>
                <w:sz w:val="21"/>
                <w:szCs w:val="21"/>
              </w:rPr>
              <w:t>符合</w:t>
            </w:r>
          </w:p>
        </w:tc>
      </w:tr>
    </w:tbl>
    <w:p w14:paraId="11BD8948">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szCs w:val="24"/>
        </w:rPr>
      </w:pPr>
      <w:r>
        <w:rPr>
          <w:rFonts w:hint="default" w:ascii="Times New Roman" w:hAnsi="Times New Roman" w:cs="Times New Roman"/>
          <w:color w:val="auto"/>
          <w:szCs w:val="24"/>
        </w:rPr>
        <w:t>项目属于重要线性基础设施输变电工程，项目属于输变电工程，不属于禁止开发性、生产性建设活动；项目输电线路长约89.2m跨越生态保护红线，不在生态保护红线内立塔。</w:t>
      </w:r>
    </w:p>
    <w:p w14:paraId="0586CC1E">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szCs w:val="24"/>
        </w:rPr>
      </w:pPr>
      <w:r>
        <w:rPr>
          <w:rFonts w:hint="default" w:ascii="Times New Roman" w:hAnsi="Times New Roman" w:cs="Times New Roman"/>
          <w:color w:val="auto"/>
          <w:szCs w:val="24"/>
        </w:rPr>
        <w:t>项目属于电网规划项目，属于“必须且无法避让、符合县级以上国土空间规划的线性基础设施、通讯和防洪、供水设施建设和船舶航行、航道疏浚清淤等活动”，属于准入类别，因此，项目建设符合云南省自然资源厅 云南省生态环境厅 云南省林业和草原局发布《关于加强生态保护红线管理的通知（试行）》（云自然资〔2023〕98号）相关要求。</w:t>
      </w:r>
    </w:p>
    <w:p w14:paraId="1F515199">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综上分析，本项目符合现行的有关生态保护红线的管理要求。</w:t>
      </w:r>
    </w:p>
    <w:p w14:paraId="0DB424FD">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63" w:name="_Toc5319"/>
      <w:r>
        <w:rPr>
          <w:rFonts w:hint="default" w:ascii="Times New Roman" w:hAnsi="Times New Roman" w:cs="Times New Roman"/>
          <w:color w:val="auto"/>
          <w:sz w:val="24"/>
          <w:szCs w:val="24"/>
        </w:rPr>
        <w:t>2.9.5线路路径的选址选线环境合理性分析</w:t>
      </w:r>
      <w:bookmarkEnd w:id="263"/>
    </w:p>
    <w:p w14:paraId="52FBBF8C">
      <w:pPr>
        <w:pStyle w:val="73"/>
        <w:snapToGrid w:val="0"/>
        <w:spacing w:line="440" w:lineRule="exact"/>
        <w:ind w:firstLine="480"/>
        <w:jc w:val="both"/>
        <w:outlineLvl w:val="9"/>
        <w:rPr>
          <w:rFonts w:hint="default" w:ascii="Times New Roman" w:hAnsi="Times New Roman" w:eastAsia="宋体" w:cs="Times New Roman"/>
          <w:b w:val="0"/>
          <w:bCs/>
          <w:color w:val="auto"/>
          <w:sz w:val="24"/>
          <w:szCs w:val="24"/>
        </w:rPr>
      </w:pPr>
      <w:r>
        <w:rPr>
          <w:rFonts w:hint="default" w:ascii="Times New Roman" w:hAnsi="Times New Roman" w:eastAsia="宋体" w:cs="Times New Roman"/>
          <w:b w:val="0"/>
          <w:bCs/>
          <w:color w:val="auto"/>
          <w:sz w:val="24"/>
          <w:szCs w:val="24"/>
        </w:rPr>
        <w:t>根据前述，本项目输电线路不涉及占用自然保护区、风景名胜区等</w:t>
      </w:r>
      <w:r>
        <w:rPr>
          <w:rFonts w:hint="eastAsia" w:ascii="Times New Roman" w:hAnsi="Times New Roman" w:eastAsia="宋体" w:cs="Times New Roman"/>
          <w:b w:val="0"/>
          <w:bCs/>
          <w:color w:val="auto"/>
          <w:sz w:val="24"/>
          <w:szCs w:val="24"/>
          <w:lang w:eastAsia="zh-CN"/>
        </w:rPr>
        <w:t>环境敏感区</w:t>
      </w:r>
      <w:r>
        <w:rPr>
          <w:rFonts w:hint="default" w:ascii="Times New Roman" w:hAnsi="Times New Roman" w:eastAsia="宋体" w:cs="Times New Roman"/>
          <w:b w:val="0"/>
          <w:bCs/>
          <w:color w:val="auto"/>
          <w:sz w:val="24"/>
          <w:szCs w:val="24"/>
        </w:rPr>
        <w:t>，避让了居民集中区，但由于路径长、跨度大，受城镇规划、自然条件</w:t>
      </w:r>
      <w:r>
        <w:rPr>
          <w:rFonts w:hint="eastAsia" w:ascii="Times New Roman" w:hAnsi="Times New Roman" w:eastAsia="宋体" w:cs="Times New Roman"/>
          <w:b w:val="0"/>
          <w:bCs/>
          <w:color w:val="auto"/>
          <w:sz w:val="24"/>
          <w:szCs w:val="24"/>
          <w:lang w:eastAsia="zh-CN"/>
        </w:rPr>
        <w:t>、</w:t>
      </w:r>
      <w:r>
        <w:rPr>
          <w:rFonts w:hint="default" w:ascii="Times New Roman" w:hAnsi="Times New Roman" w:eastAsia="宋体" w:cs="Times New Roman"/>
          <w:b w:val="0"/>
          <w:bCs/>
          <w:color w:val="auto"/>
          <w:sz w:val="24"/>
          <w:szCs w:val="24"/>
        </w:rPr>
        <w:t>风电场等因素的限制，项目选线无法完全避让生态保护红线。</w:t>
      </w:r>
    </w:p>
    <w:p w14:paraId="1EF03C32">
      <w:pPr>
        <w:pStyle w:val="73"/>
        <w:snapToGrid w:val="0"/>
        <w:spacing w:line="440" w:lineRule="exact"/>
        <w:ind w:firstLine="480"/>
        <w:jc w:val="both"/>
        <w:outlineLvl w:val="9"/>
        <w:rPr>
          <w:rFonts w:hint="default" w:ascii="Times New Roman" w:hAnsi="Times New Roman" w:cs="Times New Roman"/>
          <w:b w:val="0"/>
          <w:bCs/>
          <w:color w:val="auto"/>
          <w:sz w:val="24"/>
        </w:rPr>
      </w:pPr>
      <w:r>
        <w:rPr>
          <w:rFonts w:hint="default" w:ascii="Times New Roman" w:hAnsi="Times New Roman" w:eastAsia="宋体" w:cs="Times New Roman"/>
          <w:b w:val="0"/>
          <w:bCs/>
          <w:color w:val="auto"/>
          <w:sz w:val="24"/>
        </w:rPr>
        <w:t>输电线路塔基N7-N8之间约89.2米跨越</w:t>
      </w:r>
      <w:r>
        <w:rPr>
          <w:rFonts w:hint="eastAsia" w:ascii="Times New Roman" w:hAnsi="Times New Roman" w:eastAsia="宋体" w:cs="Times New Roman"/>
          <w:b w:val="0"/>
          <w:bCs/>
          <w:color w:val="auto"/>
          <w:sz w:val="24"/>
          <w:lang w:eastAsia="zh-CN"/>
        </w:rPr>
        <w:t>生态保护红线</w:t>
      </w:r>
      <w:r>
        <w:rPr>
          <w:rFonts w:hint="default" w:ascii="Times New Roman" w:hAnsi="Times New Roman" w:eastAsia="宋体" w:cs="Times New Roman"/>
          <w:b w:val="0"/>
          <w:bCs/>
          <w:color w:val="auto"/>
          <w:sz w:val="24"/>
        </w:rPr>
        <w:t>，不在生态保护红线内立塔。</w:t>
      </w:r>
      <w:r>
        <w:rPr>
          <w:rFonts w:hint="default" w:ascii="Times New Roman" w:hAnsi="Times New Roman" w:cs="Times New Roman"/>
          <w:b w:val="0"/>
          <w:bCs/>
          <w:color w:val="auto"/>
          <w:sz w:val="24"/>
        </w:rPr>
        <w:t>本项目</w:t>
      </w:r>
      <w:r>
        <w:rPr>
          <w:rFonts w:hint="eastAsia" w:ascii="Times New Roman" w:hAnsi="Times New Roman" w:cs="Times New Roman"/>
          <w:b w:val="0"/>
          <w:bCs/>
          <w:color w:val="auto"/>
          <w:sz w:val="24"/>
          <w:lang w:val="en-US" w:eastAsia="zh-CN"/>
        </w:rPr>
        <w:t>跨越</w:t>
      </w:r>
      <w:r>
        <w:rPr>
          <w:rFonts w:hint="default" w:ascii="Times New Roman" w:hAnsi="Times New Roman" w:cs="Times New Roman"/>
          <w:b w:val="0"/>
          <w:bCs/>
          <w:color w:val="auto"/>
          <w:sz w:val="24"/>
        </w:rPr>
        <w:t>金沙江下游—小江流域水土流失控制生态保护红线，不在生态保护红线范围内立塔，评价区内分布的生态保护红线内主要植被类型为暖温性针叶林，主要功能为水土保持。</w:t>
      </w:r>
    </w:p>
    <w:p w14:paraId="014217F2">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本工程为输变电线性基础设施建设项目，受自然条件限制、无法避让生态保护红线，项目线路路径尽可能的减少了跨越生态保护红线的长度，涉及生态保护红线的线路较短。建设单位在架线过程中将采用高塔跨越的方式，在经过茂密林区时，采用无人机放线的方式进行施工，不砍伐放线通道，施工结束后，将对施工扰动区域进行植被恢复，以实现项目无害化跨越生态保护红线，有效减少水土流失，不会破坏工程涉及</w:t>
      </w:r>
      <w:r>
        <w:rPr>
          <w:rFonts w:hint="default" w:ascii="Times New Roman" w:hAnsi="Times New Roman" w:eastAsia="宋体" w:cs="Times New Roman"/>
          <w:bCs/>
          <w:color w:val="auto"/>
          <w:szCs w:val="24"/>
        </w:rPr>
        <w:t>会泽县范围内所涉及生态保护红线为金沙江下游—小江流域水土流失控制生态保护红线，主要功能为水土保持</w:t>
      </w:r>
      <w:r>
        <w:rPr>
          <w:rFonts w:hint="default" w:ascii="Times New Roman" w:hAnsi="Times New Roman" w:eastAsia="宋体" w:cs="Times New Roman"/>
          <w:color w:val="auto"/>
        </w:rPr>
        <w:t>。</w:t>
      </w:r>
    </w:p>
    <w:p w14:paraId="5F9D40DB">
      <w:pPr>
        <w:keepNext w:val="0"/>
        <w:keepLines w:val="0"/>
        <w:pageBreakBefore w:val="0"/>
        <w:widowControl w:val="0"/>
        <w:kinsoku/>
        <w:wordWrap/>
        <w:overflowPunct/>
        <w:topLinePunct w:val="0"/>
        <w:autoSpaceDE/>
        <w:autoSpaceDN/>
        <w:bidi w:val="0"/>
        <w:adjustRightInd w:val="0"/>
        <w:snapToGrid w:val="0"/>
        <w:spacing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同时，项目线路路径方案已取得会泽县关于会泽华电道成清洁能源开发有限公司</w:t>
      </w:r>
      <w:r>
        <w:rPr>
          <w:rFonts w:hint="eastAsia" w:ascii="Times New Roman" w:hAnsi="Times New Roman" w:eastAsia="宋体" w:cs="Times New Roman"/>
          <w:color w:val="auto"/>
          <w:szCs w:val="24"/>
          <w:lang w:eastAsia="zh-CN"/>
        </w:rPr>
        <w:t>（</w:t>
      </w:r>
      <w:r>
        <w:rPr>
          <w:rFonts w:hint="eastAsia" w:ascii="Times New Roman" w:hAnsi="Times New Roman" w:eastAsia="宋体" w:cs="Times New Roman"/>
          <w:color w:val="auto"/>
          <w:szCs w:val="24"/>
          <w:lang w:val="en-US" w:eastAsia="zh-CN"/>
        </w:rPr>
        <w:t>现更名为</w:t>
      </w:r>
      <w:r>
        <w:rPr>
          <w:rFonts w:hint="eastAsia" w:ascii="Times New Roman" w:hAnsi="Times New Roman" w:eastAsia="宋体" w:cs="Times New Roman"/>
          <w:color w:val="auto"/>
          <w:szCs w:val="24"/>
          <w:lang w:eastAsia="zh-CN"/>
        </w:rPr>
        <w:t>云南华电道成清洁能源有限公司）</w:t>
      </w:r>
      <w:r>
        <w:rPr>
          <w:rFonts w:hint="default" w:ascii="Times New Roman" w:hAnsi="Times New Roman" w:eastAsia="宋体" w:cs="Times New Roman"/>
          <w:color w:val="auto"/>
          <w:szCs w:val="24"/>
        </w:rPr>
        <w:t>大草房至六合一110千伏送出线路工程路径方案的批复，当地人民政府原则上同意该项目线路路径走向，因此，项目实施过程中在严格执行环评措施要求，强化对生态保护红线的减缓和补偿措施后，符合《关于以改善环境质量为核心加强环境影响评价管理的通知》（环环评〔2016〕150号）、《关于生态环境领域进一步深化“放管服”改革，推动经济高质量发展的指导意见》（环规财〔2018〕86号）、中共中央办公厅、国务院办公厅2019年11月印发《关于在国土空间规划中统筹划定落实三条控制线的指导意见》（厅〔2019〕48号）以及自然资源部 生态环境部 国家林业和草原局发布《关于加强生态保护红线管理的通知（试行）》（自然资发〔2022〕142号）和云南省自然资源厅 云南省生态环境厅 云南省林业和草原局发布《关于加强生态保护红线管理的通知（试行）》（云自然资〔2023〕98号）</w:t>
      </w:r>
      <w:r>
        <w:rPr>
          <w:rFonts w:hint="eastAsia" w:ascii="Times New Roman" w:hAnsi="Times New Roman" w:eastAsia="宋体" w:cs="Times New Roman"/>
          <w:color w:val="auto"/>
          <w:szCs w:val="24"/>
          <w:lang w:eastAsia="zh-CN"/>
        </w:rPr>
        <w:t>等</w:t>
      </w:r>
      <w:r>
        <w:rPr>
          <w:rFonts w:hint="default" w:ascii="Times New Roman" w:hAnsi="Times New Roman" w:eastAsia="宋体" w:cs="Times New Roman"/>
          <w:color w:val="auto"/>
          <w:szCs w:val="24"/>
        </w:rPr>
        <w:t>有关生态保护红线的管控政策要求。</w:t>
      </w:r>
    </w:p>
    <w:p w14:paraId="2ECDF644">
      <w:pPr>
        <w:keepNext w:val="0"/>
        <w:keepLines w:val="0"/>
        <w:pageBreakBefore w:val="0"/>
        <w:widowControl w:val="0"/>
        <w:kinsoku/>
        <w:wordWrap/>
        <w:overflowPunct/>
        <w:topLinePunct w:val="0"/>
        <w:autoSpaceDE/>
        <w:autoSpaceDN/>
        <w:bidi w:val="0"/>
        <w:adjustRightInd w:val="0"/>
        <w:snapToGrid w:val="0"/>
        <w:spacing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项目不涉及自然保护区等敏感区，没有经过禁止建设的区域，输电线路工程建设不属于国家</w:t>
      </w:r>
      <w:r>
        <w:rPr>
          <w:rFonts w:hint="eastAsia" w:cs="Times New Roman"/>
          <w:color w:val="auto"/>
          <w:szCs w:val="24"/>
          <w:lang w:val="en-US" w:eastAsia="zh-CN"/>
        </w:rPr>
        <w:t>级</w:t>
      </w:r>
      <w:r>
        <w:rPr>
          <w:rFonts w:hint="default" w:ascii="Times New Roman" w:hAnsi="Times New Roman" w:eastAsia="宋体" w:cs="Times New Roman"/>
          <w:color w:val="auto"/>
          <w:szCs w:val="24"/>
        </w:rPr>
        <w:t>公益林管理办法中禁止建设的行为。同时，建设符合《输变电建设项目环境保护技术要求》（HJ113-2020）中关于选址选线的要求，项目选址选线环境合理。</w:t>
      </w:r>
    </w:p>
    <w:p w14:paraId="2E6D5271">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64" w:name="_Toc19005"/>
      <w:r>
        <w:rPr>
          <w:rFonts w:hint="default" w:ascii="Times New Roman" w:hAnsi="Times New Roman" w:cs="Times New Roman"/>
          <w:color w:val="auto"/>
          <w:sz w:val="24"/>
          <w:szCs w:val="24"/>
        </w:rPr>
        <w:t>2.9.6评价范围内生态保护红线生态环境现状</w:t>
      </w:r>
      <w:bookmarkEnd w:id="264"/>
    </w:p>
    <w:p w14:paraId="33007452">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szCs w:val="24"/>
        </w:rPr>
      </w:pPr>
      <w:bookmarkStart w:id="265" w:name="_Hlk196906871"/>
      <w:r>
        <w:rPr>
          <w:rFonts w:hint="default" w:ascii="Times New Roman" w:hAnsi="Times New Roman" w:cs="Times New Roman"/>
          <w:color w:val="auto"/>
          <w:szCs w:val="24"/>
        </w:rPr>
        <w:t>评价区总面积1073.183hm</w:t>
      </w:r>
      <w:r>
        <w:rPr>
          <w:rFonts w:hint="default" w:ascii="Times New Roman" w:hAnsi="Times New Roman" w:cs="Times New Roman"/>
          <w:color w:val="auto"/>
          <w:szCs w:val="24"/>
          <w:vertAlign w:val="superscript"/>
        </w:rPr>
        <w:t>2</w:t>
      </w:r>
      <w:r>
        <w:rPr>
          <w:rFonts w:hint="default" w:ascii="Times New Roman" w:hAnsi="Times New Roman" w:cs="Times New Roman"/>
          <w:color w:val="auto"/>
          <w:szCs w:val="24"/>
        </w:rPr>
        <w:t>，评价区分布有会泽县生态保护红线面积47.933hm</w:t>
      </w:r>
      <w:r>
        <w:rPr>
          <w:rFonts w:hint="default" w:ascii="Times New Roman" w:hAnsi="Times New Roman" w:cs="Times New Roman"/>
          <w:color w:val="auto"/>
          <w:szCs w:val="24"/>
          <w:vertAlign w:val="superscript"/>
        </w:rPr>
        <w:t>2</w:t>
      </w:r>
      <w:r>
        <w:rPr>
          <w:rFonts w:hint="default" w:ascii="Times New Roman" w:hAnsi="Times New Roman" w:cs="Times New Roman"/>
          <w:color w:val="auto"/>
          <w:szCs w:val="24"/>
        </w:rPr>
        <w:t>，占评价区总面积的4.467%</w:t>
      </w:r>
      <w:bookmarkEnd w:id="265"/>
      <w:r>
        <w:rPr>
          <w:rFonts w:hint="default" w:ascii="Times New Roman" w:hAnsi="Times New Roman" w:cs="Times New Roman"/>
          <w:color w:val="auto"/>
          <w:szCs w:val="24"/>
        </w:rPr>
        <w:t>，工程占地范围不涉及占用生态保护红线，</w:t>
      </w:r>
      <w:r>
        <w:rPr>
          <w:rFonts w:hint="default" w:ascii="Times New Roman" w:hAnsi="Times New Roman" w:eastAsia="宋体" w:cs="Times New Roman"/>
          <w:bCs/>
          <w:color w:val="auto"/>
        </w:rPr>
        <w:t>输电线路塔基N7-N8之间约89.2米跨越金沙江下游—小江流域水土流失控制生态保护红线，</w:t>
      </w:r>
      <w:bookmarkStart w:id="266" w:name="_Hlk181546604"/>
      <w:r>
        <w:rPr>
          <w:rFonts w:hint="default" w:ascii="Times New Roman" w:hAnsi="Times New Roman" w:eastAsia="宋体" w:cs="Times New Roman"/>
          <w:bCs/>
          <w:color w:val="auto"/>
        </w:rPr>
        <w:t>主要功能为水土保持，</w:t>
      </w:r>
      <w:r>
        <w:rPr>
          <w:rFonts w:hint="default" w:ascii="Times New Roman" w:hAnsi="Times New Roman" w:cs="Times New Roman"/>
          <w:color w:val="auto"/>
          <w:szCs w:val="24"/>
        </w:rPr>
        <w:t>评价区内分布的生态保护红线内主要植被类型为暖温性针叶林。</w:t>
      </w:r>
      <w:bookmarkEnd w:id="266"/>
    </w:p>
    <w:p w14:paraId="337B3B44">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rPr>
      </w:pPr>
      <w:r>
        <w:rPr>
          <w:rFonts w:hint="default" w:ascii="Times New Roman" w:hAnsi="Times New Roman" w:cs="Times New Roman"/>
          <w:color w:val="auto"/>
          <w:szCs w:val="24"/>
        </w:rPr>
        <w:t>本次调查在N7-N8间跨越红线段分别设置1个样方调查区域内生态保护红线的主要植被情况。根据调查结果，跨越红线段植被类型主要为次生性暖温性针叶林，群落类型为云南松群落，根据现场踏勘，跨越段生态保护红线内植被为次生植被且受人为干扰较为严重，群落内云南松林内可见樵采、拾菌、采松香和放牧等活动痕迹，经过调查为周边人工林逸生，群落内草本层多稀疏，可见大量紫茎泽兰。因此，可见评价区内生态保护红线内的生物多样性较为一般，且植被群落不属于狭域特有的植被类型，而是在周边大量分布的次生植被。</w:t>
      </w:r>
    </w:p>
    <w:p w14:paraId="199D7280">
      <w:pPr>
        <w:pStyle w:val="139"/>
        <w:spacing w:line="240" w:lineRule="auto"/>
        <w:ind w:firstLine="0" w:firstLineChars="0"/>
        <w:jc w:val="center"/>
        <w:rPr>
          <w:rFonts w:hint="default" w:ascii="Times New Roman" w:hAnsi="Times New Roman" w:cs="Times New Roman"/>
          <w:b/>
          <w:bCs/>
          <w:color w:val="auto"/>
        </w:rPr>
      </w:pPr>
      <w:r>
        <w:rPr>
          <w:rFonts w:hint="default" w:ascii="Times New Roman" w:hAnsi="Times New Roman" w:cs="Times New Roman"/>
          <w:b/>
          <w:bCs/>
          <w:color w:val="auto"/>
        </w:rPr>
        <w:t>表2.9-2  评价范围内生态保护红线区域植被类型、植物资源一览表</w:t>
      </w:r>
    </w:p>
    <w:tbl>
      <w:tblPr>
        <w:tblStyle w:val="3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39"/>
        <w:gridCol w:w="963"/>
        <w:gridCol w:w="4268"/>
        <w:gridCol w:w="1569"/>
        <w:gridCol w:w="1116"/>
      </w:tblGrid>
      <w:tr w14:paraId="568D48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9" w:type="pct"/>
            <w:tcBorders>
              <w:tl2br w:val="nil"/>
              <w:tr2bl w:val="nil"/>
            </w:tcBorders>
            <w:vAlign w:val="center"/>
          </w:tcPr>
          <w:p w14:paraId="483E6753">
            <w:pPr>
              <w:widowControl/>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序号</w:t>
            </w:r>
          </w:p>
        </w:tc>
        <w:tc>
          <w:tcPr>
            <w:tcW w:w="549" w:type="pct"/>
            <w:tcBorders>
              <w:tl2br w:val="nil"/>
              <w:tr2bl w:val="nil"/>
            </w:tcBorders>
            <w:vAlign w:val="center"/>
          </w:tcPr>
          <w:p w14:paraId="1D0EB84A">
            <w:pPr>
              <w:widowControl/>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植被类型</w:t>
            </w:r>
          </w:p>
        </w:tc>
        <w:tc>
          <w:tcPr>
            <w:tcW w:w="2437" w:type="pct"/>
            <w:tcBorders>
              <w:tl2br w:val="nil"/>
              <w:tr2bl w:val="nil"/>
            </w:tcBorders>
            <w:vAlign w:val="center"/>
          </w:tcPr>
          <w:p w14:paraId="58C0C041">
            <w:pPr>
              <w:widowControl/>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群落主要组成物种</w:t>
            </w:r>
          </w:p>
        </w:tc>
        <w:tc>
          <w:tcPr>
            <w:tcW w:w="896" w:type="pct"/>
            <w:tcBorders>
              <w:tl2br w:val="nil"/>
              <w:tr2bl w:val="nil"/>
            </w:tcBorders>
            <w:vAlign w:val="center"/>
          </w:tcPr>
          <w:p w14:paraId="759C617D">
            <w:pPr>
              <w:widowControl/>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动物资源</w:t>
            </w:r>
          </w:p>
        </w:tc>
        <w:tc>
          <w:tcPr>
            <w:tcW w:w="637" w:type="pct"/>
            <w:tcBorders>
              <w:tl2br w:val="nil"/>
              <w:tr2bl w:val="nil"/>
            </w:tcBorders>
            <w:vAlign w:val="center"/>
          </w:tcPr>
          <w:p w14:paraId="0B54FD7D">
            <w:pPr>
              <w:widowControl/>
              <w:adjustRightInd w:val="0"/>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分布面积（hm</w:t>
            </w:r>
            <w:r>
              <w:rPr>
                <w:rFonts w:hint="default" w:ascii="Times New Roman" w:hAnsi="Times New Roman" w:eastAsia="宋体" w:cs="Times New Roman"/>
                <w:b/>
                <w:bCs/>
                <w:color w:val="auto"/>
                <w:kern w:val="0"/>
                <w:sz w:val="21"/>
                <w:szCs w:val="21"/>
                <w:vertAlign w:val="superscript"/>
              </w:rPr>
              <w:t>2</w:t>
            </w:r>
            <w:r>
              <w:rPr>
                <w:rFonts w:hint="default" w:ascii="Times New Roman" w:hAnsi="Times New Roman" w:eastAsia="宋体" w:cs="Times New Roman"/>
                <w:b/>
                <w:bCs/>
                <w:color w:val="auto"/>
                <w:kern w:val="0"/>
                <w:sz w:val="21"/>
                <w:szCs w:val="21"/>
              </w:rPr>
              <w:t>）</w:t>
            </w:r>
          </w:p>
        </w:tc>
      </w:tr>
      <w:tr w14:paraId="031BED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9" w:type="pct"/>
            <w:tcBorders>
              <w:tl2br w:val="nil"/>
              <w:tr2bl w:val="nil"/>
            </w:tcBorders>
            <w:shd w:val="clear" w:color="auto" w:fill="auto"/>
            <w:vAlign w:val="center"/>
          </w:tcPr>
          <w:p w14:paraId="051B8C0A">
            <w:pPr>
              <w:widowControl/>
              <w:adjustRightInd w:val="0"/>
              <w:snapToGrid w:val="0"/>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549" w:type="pct"/>
            <w:tcBorders>
              <w:tl2br w:val="nil"/>
              <w:tr2bl w:val="nil"/>
            </w:tcBorders>
            <w:shd w:val="clear" w:color="auto" w:fill="auto"/>
            <w:vAlign w:val="center"/>
          </w:tcPr>
          <w:p w14:paraId="0CD81BDA">
            <w:pPr>
              <w:widowControl/>
              <w:adjustRightInd w:val="0"/>
              <w:snapToGrid w:val="0"/>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暖温性针叶林</w:t>
            </w:r>
          </w:p>
        </w:tc>
        <w:tc>
          <w:tcPr>
            <w:tcW w:w="2437" w:type="pct"/>
            <w:tcBorders>
              <w:tl2br w:val="nil"/>
              <w:tr2bl w:val="nil"/>
            </w:tcBorders>
            <w:shd w:val="clear" w:color="auto" w:fill="auto"/>
            <w:vAlign w:val="center"/>
          </w:tcPr>
          <w:p w14:paraId="59B120DB">
            <w:pPr>
              <w:widowControl/>
              <w:adjustRightInd w:val="0"/>
              <w:snapToGrid w:val="0"/>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云南松</w:t>
            </w:r>
            <w:r>
              <w:rPr>
                <w:rFonts w:hint="default" w:ascii="Times New Roman" w:hAnsi="Times New Roman" w:eastAsia="宋体" w:cs="Times New Roman"/>
                <w:i/>
                <w:color w:val="auto"/>
                <w:sz w:val="21"/>
                <w:szCs w:val="21"/>
              </w:rPr>
              <w:t>Pinus yunnanensis</w:t>
            </w:r>
            <w:r>
              <w:rPr>
                <w:rFonts w:hint="default" w:ascii="Times New Roman" w:hAnsi="Times New Roman" w:eastAsia="宋体" w:cs="Times New Roman"/>
                <w:color w:val="auto"/>
                <w:sz w:val="21"/>
                <w:szCs w:val="21"/>
              </w:rPr>
              <w:t>、黄毛青冈</w:t>
            </w:r>
            <w:r>
              <w:rPr>
                <w:rFonts w:hint="default" w:ascii="Times New Roman" w:hAnsi="Times New Roman" w:eastAsia="宋体" w:cs="Times New Roman"/>
                <w:i/>
                <w:color w:val="auto"/>
                <w:sz w:val="21"/>
                <w:szCs w:val="21"/>
              </w:rPr>
              <w:t>Cyclobalanopsis delavayi</w:t>
            </w:r>
            <w:r>
              <w:rPr>
                <w:rFonts w:hint="default" w:ascii="Times New Roman" w:hAnsi="Times New Roman" w:eastAsia="宋体" w:cs="Times New Roman"/>
                <w:color w:val="auto"/>
                <w:sz w:val="21"/>
                <w:szCs w:val="21"/>
              </w:rPr>
              <w:t>、灰背栎</w:t>
            </w:r>
            <w:r>
              <w:rPr>
                <w:rFonts w:hint="default" w:ascii="Times New Roman" w:hAnsi="Times New Roman" w:eastAsia="宋体" w:cs="Times New Roman"/>
                <w:i/>
                <w:color w:val="auto"/>
                <w:sz w:val="21"/>
                <w:szCs w:val="21"/>
              </w:rPr>
              <w:t>Quercus senescens</w:t>
            </w:r>
            <w:r>
              <w:rPr>
                <w:rFonts w:hint="default" w:ascii="Times New Roman" w:hAnsi="Times New Roman" w:eastAsia="宋体" w:cs="Times New Roman"/>
                <w:color w:val="auto"/>
                <w:sz w:val="21"/>
                <w:szCs w:val="21"/>
              </w:rPr>
              <w:t>、滇石栎</w:t>
            </w:r>
            <w:r>
              <w:rPr>
                <w:rFonts w:hint="default" w:ascii="Times New Roman" w:hAnsi="Times New Roman" w:eastAsia="宋体" w:cs="Times New Roman"/>
                <w:i/>
                <w:color w:val="auto"/>
                <w:sz w:val="21"/>
                <w:szCs w:val="21"/>
              </w:rPr>
              <w:t>Lithocarpus dealbatus</w:t>
            </w:r>
            <w:r>
              <w:rPr>
                <w:rFonts w:hint="default" w:ascii="Times New Roman" w:hAnsi="Times New Roman" w:eastAsia="宋体" w:cs="Times New Roman"/>
                <w:color w:val="auto"/>
                <w:sz w:val="21"/>
                <w:szCs w:val="21"/>
              </w:rPr>
              <w:t>、大叶栎</w:t>
            </w:r>
            <w:r>
              <w:rPr>
                <w:rFonts w:hint="default" w:ascii="Times New Roman" w:hAnsi="Times New Roman" w:eastAsia="宋体" w:cs="Times New Roman"/>
                <w:i/>
                <w:color w:val="auto"/>
                <w:sz w:val="21"/>
                <w:szCs w:val="21"/>
              </w:rPr>
              <w:t>Quercus griffithii</w:t>
            </w:r>
            <w:r>
              <w:rPr>
                <w:rFonts w:hint="default" w:ascii="Times New Roman" w:hAnsi="Times New Roman" w:eastAsia="宋体" w:cs="Times New Roman"/>
                <w:color w:val="auto"/>
                <w:sz w:val="21"/>
                <w:szCs w:val="21"/>
              </w:rPr>
              <w:t>、滇青冈</w:t>
            </w:r>
            <w:r>
              <w:rPr>
                <w:rFonts w:hint="default" w:ascii="Times New Roman" w:hAnsi="Times New Roman" w:eastAsia="宋体" w:cs="Times New Roman"/>
                <w:i/>
                <w:color w:val="auto"/>
                <w:sz w:val="21"/>
                <w:szCs w:val="21"/>
              </w:rPr>
              <w:t>Cyclobalanopsis glaucoides</w:t>
            </w:r>
            <w:r>
              <w:rPr>
                <w:rFonts w:hint="default" w:ascii="Times New Roman" w:hAnsi="Times New Roman" w:eastAsia="宋体" w:cs="Times New Roman"/>
                <w:color w:val="auto"/>
                <w:sz w:val="21"/>
                <w:szCs w:val="21"/>
              </w:rPr>
              <w:t>、包斗栎</w:t>
            </w:r>
            <w:r>
              <w:rPr>
                <w:rFonts w:hint="default" w:ascii="Times New Roman" w:hAnsi="Times New Roman" w:eastAsia="宋体" w:cs="Times New Roman"/>
                <w:i/>
                <w:color w:val="auto"/>
                <w:sz w:val="21"/>
                <w:szCs w:val="21"/>
              </w:rPr>
              <w:t>Lithocarpus craibianus、</w:t>
            </w:r>
            <w:r>
              <w:rPr>
                <w:rFonts w:hint="default" w:ascii="Times New Roman" w:hAnsi="Times New Roman" w:eastAsia="宋体" w:cs="Times New Roman"/>
                <w:color w:val="auto"/>
                <w:sz w:val="21"/>
                <w:szCs w:val="21"/>
              </w:rPr>
              <w:t>野坝子</w:t>
            </w:r>
            <w:r>
              <w:rPr>
                <w:rFonts w:hint="default" w:ascii="Times New Roman" w:hAnsi="Times New Roman" w:eastAsia="宋体" w:cs="Times New Roman"/>
                <w:i/>
                <w:color w:val="auto"/>
                <w:sz w:val="21"/>
                <w:szCs w:val="21"/>
              </w:rPr>
              <w:t>Elsholtzia rugulosa</w:t>
            </w:r>
            <w:r>
              <w:rPr>
                <w:rFonts w:hint="default" w:ascii="Times New Roman" w:hAnsi="Times New Roman" w:eastAsia="宋体" w:cs="Times New Roman"/>
                <w:color w:val="auto"/>
                <w:sz w:val="21"/>
                <w:szCs w:val="21"/>
              </w:rPr>
              <w:t>、大白杜鹃</w:t>
            </w:r>
            <w:r>
              <w:rPr>
                <w:rFonts w:hint="default" w:ascii="Times New Roman" w:hAnsi="Times New Roman" w:eastAsia="宋体" w:cs="Times New Roman"/>
                <w:i/>
                <w:color w:val="auto"/>
                <w:sz w:val="21"/>
                <w:szCs w:val="21"/>
              </w:rPr>
              <w:t>Rhododendron decorum</w:t>
            </w:r>
            <w:r>
              <w:rPr>
                <w:rFonts w:hint="default" w:ascii="Times New Roman" w:hAnsi="Times New Roman" w:eastAsia="宋体" w:cs="Times New Roman"/>
                <w:color w:val="auto"/>
                <w:sz w:val="21"/>
                <w:szCs w:val="21"/>
              </w:rPr>
              <w:t>、多花杭子梢</w:t>
            </w:r>
            <w:r>
              <w:rPr>
                <w:rFonts w:hint="default" w:ascii="Times New Roman" w:hAnsi="Times New Roman" w:eastAsia="宋体" w:cs="Times New Roman"/>
                <w:i/>
                <w:color w:val="auto"/>
                <w:sz w:val="21"/>
                <w:szCs w:val="21"/>
              </w:rPr>
              <w:t>Campylotropis macrocarpa</w:t>
            </w:r>
            <w:r>
              <w:rPr>
                <w:rFonts w:hint="default" w:ascii="Times New Roman" w:hAnsi="Times New Roman" w:eastAsia="宋体" w:cs="Times New Roman"/>
                <w:color w:val="auto"/>
                <w:sz w:val="21"/>
                <w:szCs w:val="21"/>
              </w:rPr>
              <w:t>、珍珠花</w:t>
            </w:r>
            <w:r>
              <w:rPr>
                <w:rFonts w:hint="default" w:ascii="Times New Roman" w:hAnsi="Times New Roman" w:eastAsia="宋体" w:cs="Times New Roman"/>
                <w:i/>
                <w:color w:val="auto"/>
                <w:sz w:val="21"/>
                <w:szCs w:val="21"/>
              </w:rPr>
              <w:t>Lyonia ovalifolia</w:t>
            </w:r>
            <w:r>
              <w:rPr>
                <w:rFonts w:hint="default" w:ascii="Times New Roman" w:hAnsi="Times New Roman" w:eastAsia="宋体" w:cs="Times New Roman"/>
                <w:color w:val="auto"/>
                <w:sz w:val="21"/>
                <w:szCs w:val="21"/>
              </w:rPr>
              <w:t>、水红木</w:t>
            </w:r>
            <w:r>
              <w:rPr>
                <w:rFonts w:hint="default" w:ascii="Times New Roman" w:hAnsi="Times New Roman" w:eastAsia="宋体" w:cs="Times New Roman"/>
                <w:i/>
                <w:color w:val="auto"/>
                <w:sz w:val="21"/>
                <w:szCs w:val="21"/>
              </w:rPr>
              <w:t>Viburnum cylindricum</w:t>
            </w:r>
            <w:r>
              <w:rPr>
                <w:rFonts w:hint="default" w:ascii="Times New Roman" w:hAnsi="Times New Roman" w:eastAsia="宋体" w:cs="Times New Roman"/>
                <w:color w:val="auto"/>
                <w:sz w:val="21"/>
                <w:szCs w:val="21"/>
              </w:rPr>
              <w:t>、爆仗杜鹃</w:t>
            </w:r>
            <w:r>
              <w:rPr>
                <w:rFonts w:hint="default" w:ascii="Times New Roman" w:hAnsi="Times New Roman" w:eastAsia="宋体" w:cs="Times New Roman"/>
                <w:i/>
                <w:color w:val="auto"/>
                <w:sz w:val="21"/>
                <w:szCs w:val="21"/>
              </w:rPr>
              <w:t>Rhododendron spinuliferum</w:t>
            </w:r>
            <w:r>
              <w:rPr>
                <w:rFonts w:hint="default" w:ascii="Times New Roman" w:hAnsi="Times New Roman" w:eastAsia="宋体" w:cs="Times New Roman"/>
                <w:color w:val="auto"/>
                <w:sz w:val="21"/>
                <w:szCs w:val="21"/>
              </w:rPr>
              <w:t>、滇北蔷薇</w:t>
            </w:r>
            <w:r>
              <w:rPr>
                <w:rFonts w:hint="default" w:ascii="Times New Roman" w:hAnsi="Times New Roman" w:eastAsia="宋体" w:cs="Times New Roman"/>
                <w:i/>
                <w:color w:val="auto"/>
                <w:sz w:val="21"/>
                <w:szCs w:val="21"/>
              </w:rPr>
              <w:t>Rosa forrestiana</w:t>
            </w:r>
            <w:r>
              <w:rPr>
                <w:rFonts w:hint="default" w:ascii="Times New Roman" w:hAnsi="Times New Roman" w:eastAsia="宋体" w:cs="Times New Roman"/>
                <w:color w:val="auto"/>
                <w:sz w:val="21"/>
                <w:szCs w:val="21"/>
              </w:rPr>
              <w:t>、马缨花</w:t>
            </w:r>
            <w:r>
              <w:rPr>
                <w:rFonts w:hint="default" w:ascii="Times New Roman" w:hAnsi="Times New Roman" w:eastAsia="宋体" w:cs="Times New Roman"/>
                <w:i/>
                <w:color w:val="auto"/>
                <w:sz w:val="21"/>
                <w:szCs w:val="21"/>
              </w:rPr>
              <w:t>Rhododendron delavayi、</w:t>
            </w:r>
            <w:r>
              <w:rPr>
                <w:rFonts w:hint="default" w:ascii="Times New Roman" w:hAnsi="Times New Roman" w:eastAsia="宋体" w:cs="Times New Roman"/>
                <w:color w:val="auto"/>
                <w:sz w:val="21"/>
                <w:szCs w:val="21"/>
              </w:rPr>
              <w:t>云南兔儿风</w:t>
            </w:r>
            <w:r>
              <w:rPr>
                <w:rFonts w:hint="default" w:ascii="Times New Roman" w:hAnsi="Times New Roman" w:eastAsia="宋体" w:cs="Times New Roman"/>
                <w:i/>
                <w:color w:val="auto"/>
                <w:sz w:val="21"/>
                <w:szCs w:val="21"/>
              </w:rPr>
              <w:t>Ainsliaea yunnanensis</w:t>
            </w:r>
            <w:r>
              <w:rPr>
                <w:rFonts w:hint="default" w:ascii="Times New Roman" w:hAnsi="Times New Roman" w:eastAsia="宋体" w:cs="Times New Roman"/>
                <w:color w:val="auto"/>
                <w:sz w:val="21"/>
                <w:szCs w:val="21"/>
              </w:rPr>
              <w:t>、旱茅</w:t>
            </w:r>
            <w:r>
              <w:rPr>
                <w:rFonts w:hint="default" w:ascii="Times New Roman" w:hAnsi="Times New Roman" w:eastAsia="宋体" w:cs="Times New Roman"/>
                <w:i/>
                <w:color w:val="auto"/>
                <w:sz w:val="21"/>
                <w:szCs w:val="21"/>
              </w:rPr>
              <w:t>Schizachyrium delavayi</w:t>
            </w:r>
            <w:r>
              <w:rPr>
                <w:rFonts w:hint="default" w:ascii="Times New Roman" w:hAnsi="Times New Roman" w:eastAsia="宋体" w:cs="Times New Roman"/>
                <w:color w:val="auto"/>
                <w:sz w:val="21"/>
                <w:szCs w:val="21"/>
              </w:rPr>
              <w:t>、半夏</w:t>
            </w:r>
            <w:r>
              <w:rPr>
                <w:rFonts w:hint="default" w:ascii="Times New Roman" w:hAnsi="Times New Roman" w:eastAsia="宋体" w:cs="Times New Roman"/>
                <w:i/>
                <w:color w:val="auto"/>
                <w:sz w:val="21"/>
                <w:szCs w:val="21"/>
              </w:rPr>
              <w:t>Pinellia ternata</w:t>
            </w:r>
            <w:r>
              <w:rPr>
                <w:rFonts w:hint="default" w:ascii="Times New Roman" w:hAnsi="Times New Roman" w:eastAsia="宋体" w:cs="Times New Roman"/>
                <w:color w:val="auto"/>
                <w:sz w:val="21"/>
                <w:szCs w:val="21"/>
              </w:rPr>
              <w:t>、野青茅</w:t>
            </w:r>
            <w:r>
              <w:rPr>
                <w:rFonts w:hint="default" w:ascii="Times New Roman" w:hAnsi="Times New Roman" w:eastAsia="宋体" w:cs="Times New Roman"/>
                <w:i/>
                <w:color w:val="auto"/>
                <w:sz w:val="21"/>
                <w:szCs w:val="21"/>
              </w:rPr>
              <w:t>Deyeuxia pyramidalis</w:t>
            </w:r>
            <w:r>
              <w:rPr>
                <w:rFonts w:hint="default" w:ascii="Times New Roman" w:hAnsi="Times New Roman" w:eastAsia="宋体" w:cs="Times New Roman"/>
                <w:color w:val="auto"/>
                <w:sz w:val="21"/>
                <w:szCs w:val="21"/>
              </w:rPr>
              <w:t>、野古草</w:t>
            </w:r>
            <w:r>
              <w:rPr>
                <w:rFonts w:hint="default" w:ascii="Times New Roman" w:hAnsi="Times New Roman" w:eastAsia="宋体" w:cs="Times New Roman"/>
                <w:i/>
                <w:color w:val="auto"/>
                <w:sz w:val="21"/>
                <w:szCs w:val="21"/>
              </w:rPr>
              <w:t>Arundinell.</w:t>
            </w:r>
            <w:r>
              <w:rPr>
                <w:rFonts w:hint="default" w:ascii="Times New Roman" w:hAnsi="Times New Roman" w:eastAsia="宋体" w:cs="Times New Roman"/>
                <w:iCs/>
                <w:color w:val="auto"/>
                <w:sz w:val="21"/>
                <w:szCs w:val="21"/>
              </w:rPr>
              <w:t>sp</w:t>
            </w:r>
            <w:r>
              <w:rPr>
                <w:rFonts w:hint="default" w:ascii="Times New Roman" w:hAnsi="Times New Roman" w:eastAsia="宋体" w:cs="Times New Roman"/>
                <w:color w:val="auto"/>
                <w:sz w:val="21"/>
                <w:szCs w:val="21"/>
              </w:rPr>
              <w:t>、三花兔儿风</w:t>
            </w:r>
            <w:r>
              <w:rPr>
                <w:rFonts w:hint="default" w:ascii="Times New Roman" w:hAnsi="Times New Roman" w:eastAsia="宋体" w:cs="Times New Roman"/>
                <w:i/>
                <w:color w:val="auto"/>
                <w:sz w:val="21"/>
                <w:szCs w:val="21"/>
              </w:rPr>
              <w:t>Ainsliaea latifolia</w:t>
            </w:r>
          </w:p>
        </w:tc>
        <w:tc>
          <w:tcPr>
            <w:tcW w:w="896" w:type="pct"/>
            <w:tcBorders>
              <w:tl2br w:val="nil"/>
              <w:tr2bl w:val="nil"/>
            </w:tcBorders>
            <w:shd w:val="clear" w:color="auto" w:fill="auto"/>
            <w:vAlign w:val="center"/>
          </w:tcPr>
          <w:p w14:paraId="7B466745">
            <w:pPr>
              <w:widowControl/>
              <w:adjustRightInd w:val="0"/>
              <w:snapToGrid w:val="0"/>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山斑鸠</w:t>
            </w:r>
            <w:r>
              <w:rPr>
                <w:rFonts w:hint="default" w:ascii="Times New Roman" w:hAnsi="Times New Roman" w:eastAsia="宋体" w:cs="Times New Roman"/>
                <w:i/>
                <w:iCs/>
                <w:color w:val="auto"/>
                <w:sz w:val="21"/>
                <w:szCs w:val="21"/>
              </w:rPr>
              <w:t>Streptopelia orientalis</w:t>
            </w:r>
            <w:r>
              <w:rPr>
                <w:rFonts w:hint="default" w:ascii="Times New Roman" w:hAnsi="Times New Roman" w:eastAsia="宋体" w:cs="Times New Roman"/>
                <w:color w:val="auto"/>
                <w:sz w:val="21"/>
                <w:szCs w:val="21"/>
              </w:rPr>
              <w:t>、小杜鹃</w:t>
            </w:r>
            <w:r>
              <w:rPr>
                <w:rFonts w:hint="default" w:ascii="Times New Roman" w:hAnsi="Times New Roman" w:eastAsia="宋体" w:cs="Times New Roman"/>
                <w:i/>
                <w:iCs/>
                <w:color w:val="auto"/>
                <w:sz w:val="21"/>
                <w:szCs w:val="21"/>
              </w:rPr>
              <w:t>Cuculus poliocephalus</w:t>
            </w:r>
            <w:r>
              <w:rPr>
                <w:rFonts w:hint="default" w:ascii="Times New Roman" w:hAnsi="Times New Roman" w:eastAsia="宋体" w:cs="Times New Roman"/>
                <w:color w:val="auto"/>
                <w:sz w:val="21"/>
                <w:szCs w:val="21"/>
              </w:rPr>
              <w:t>、树鹨</w:t>
            </w:r>
            <w:r>
              <w:rPr>
                <w:rFonts w:hint="default" w:ascii="Times New Roman" w:hAnsi="Times New Roman" w:eastAsia="宋体" w:cs="Times New Roman"/>
                <w:i/>
                <w:iCs/>
                <w:color w:val="auto"/>
                <w:sz w:val="21"/>
                <w:szCs w:val="21"/>
              </w:rPr>
              <w:t>Anthus hodgsoni、</w:t>
            </w:r>
            <w:r>
              <w:rPr>
                <w:rFonts w:hint="default" w:ascii="Times New Roman" w:hAnsi="Times New Roman" w:eastAsia="宋体" w:cs="Times New Roman"/>
                <w:color w:val="auto"/>
                <w:sz w:val="21"/>
                <w:szCs w:val="21"/>
              </w:rPr>
              <w:t>小云雀</w:t>
            </w:r>
            <w:r>
              <w:rPr>
                <w:rFonts w:hint="default" w:ascii="Times New Roman" w:hAnsi="Times New Roman" w:eastAsia="宋体" w:cs="Times New Roman"/>
                <w:i/>
                <w:iCs/>
                <w:color w:val="auto"/>
                <w:sz w:val="21"/>
                <w:szCs w:val="21"/>
              </w:rPr>
              <w:t>Alauda gulgula</w:t>
            </w:r>
            <w:r>
              <w:rPr>
                <w:rFonts w:hint="default" w:ascii="Times New Roman" w:hAnsi="Times New Roman" w:eastAsia="宋体" w:cs="Times New Roman"/>
                <w:color w:val="auto"/>
                <w:sz w:val="21"/>
                <w:szCs w:val="21"/>
              </w:rPr>
              <w:t>、黄臀鹎</w:t>
            </w:r>
            <w:r>
              <w:rPr>
                <w:rFonts w:hint="default" w:ascii="Times New Roman" w:hAnsi="Times New Roman" w:eastAsia="宋体" w:cs="Times New Roman"/>
                <w:i/>
                <w:iCs/>
                <w:color w:val="auto"/>
                <w:sz w:val="21"/>
                <w:szCs w:val="21"/>
              </w:rPr>
              <w:t>Pycnonotus xanthorrhous、</w:t>
            </w:r>
            <w:r>
              <w:rPr>
                <w:rFonts w:hint="default" w:ascii="Times New Roman" w:hAnsi="Times New Roman" w:eastAsia="宋体" w:cs="Times New Roman"/>
                <w:color w:val="auto"/>
                <w:sz w:val="21"/>
                <w:szCs w:val="21"/>
              </w:rPr>
              <w:t>赤腹松鼠</w:t>
            </w:r>
            <w:r>
              <w:rPr>
                <w:rFonts w:hint="default" w:ascii="Times New Roman" w:hAnsi="Times New Roman" w:eastAsia="宋体" w:cs="Times New Roman"/>
                <w:i/>
                <w:color w:val="auto"/>
                <w:sz w:val="21"/>
                <w:szCs w:val="21"/>
              </w:rPr>
              <w:t>Callosciurus erythaeus</w:t>
            </w:r>
          </w:p>
        </w:tc>
        <w:tc>
          <w:tcPr>
            <w:tcW w:w="637" w:type="pct"/>
            <w:tcBorders>
              <w:tl2br w:val="nil"/>
              <w:tr2bl w:val="nil"/>
            </w:tcBorders>
            <w:shd w:val="clear" w:color="auto" w:fill="auto"/>
            <w:vAlign w:val="center"/>
          </w:tcPr>
          <w:p w14:paraId="56F4A99E">
            <w:pPr>
              <w:adjustRightInd w:val="0"/>
              <w:snapToGrid w:val="0"/>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cs="Times New Roman"/>
                <w:color w:val="auto"/>
                <w:szCs w:val="24"/>
              </w:rPr>
              <w:t>47.933</w:t>
            </w:r>
          </w:p>
        </w:tc>
      </w:tr>
    </w:tbl>
    <w:p w14:paraId="6170AFC3">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267" w:name="_Toc11165"/>
      <w:bookmarkStart w:id="268" w:name="_Toc23546"/>
      <w:r>
        <w:rPr>
          <w:rFonts w:hint="default" w:ascii="Times New Roman" w:hAnsi="Times New Roman" w:eastAsia="宋体" w:cs="Times New Roman"/>
          <w:bCs w:val="0"/>
          <w:color w:val="auto"/>
          <w:kern w:val="0"/>
          <w:sz w:val="28"/>
          <w:szCs w:val="28"/>
          <w:lang w:val="zh-CN"/>
        </w:rPr>
        <w:t>2.10公益林的概况</w:t>
      </w:r>
      <w:bookmarkEnd w:id="267"/>
    </w:p>
    <w:p w14:paraId="29B3899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cs="Times New Roman"/>
          <w:color w:val="auto"/>
          <w:sz w:val="24"/>
          <w:szCs w:val="24"/>
          <w:lang w:val="en-US" w:eastAsia="zh-CN"/>
        </w:rPr>
      </w:pPr>
      <w:r>
        <w:rPr>
          <w:rFonts w:hint="default" w:ascii="Times New Roman" w:hAnsi="Times New Roman" w:cs="Times New Roman"/>
          <w:color w:val="auto"/>
          <w:sz w:val="24"/>
          <w:szCs w:val="24"/>
          <w:highlight w:val="none"/>
          <w:lang w:val="en-US" w:eastAsia="zh-CN"/>
        </w:rPr>
        <w:t>根据管理部门意见及林业调查数据结果，</w:t>
      </w:r>
      <w:r>
        <w:rPr>
          <w:rFonts w:ascii="Times New Roman" w:hAnsi="Times New Roman"/>
          <w:color w:val="auto"/>
          <w:sz w:val="24"/>
          <w:szCs w:val="24"/>
        </w:rPr>
        <w:t>项目不涉及占用国家一级公益林和国家二级公益林。项目占用省级公益林</w:t>
      </w:r>
      <w:r>
        <w:rPr>
          <w:rFonts w:hint="eastAsia" w:ascii="Times New Roman" w:hAnsi="Times New Roman"/>
          <w:color w:val="auto"/>
          <w:sz w:val="24"/>
          <w:szCs w:val="24"/>
          <w:lang w:val="en-US" w:eastAsia="zh-CN"/>
        </w:rPr>
        <w:t>0.0607</w:t>
      </w:r>
      <w:r>
        <w:rPr>
          <w:rFonts w:ascii="Times New Roman" w:hAnsi="Times New Roman"/>
          <w:color w:val="auto"/>
          <w:sz w:val="24"/>
          <w:szCs w:val="24"/>
        </w:rPr>
        <w:t>公顷，其中塔基永久占地</w:t>
      </w:r>
      <w:r>
        <w:rPr>
          <w:rFonts w:hint="eastAsia" w:ascii="Times New Roman" w:hAnsi="Times New Roman"/>
          <w:color w:val="auto"/>
          <w:sz w:val="24"/>
          <w:szCs w:val="24"/>
          <w:lang w:val="en-US" w:eastAsia="zh-CN"/>
        </w:rPr>
        <w:t>0.01413</w:t>
      </w:r>
      <w:r>
        <w:rPr>
          <w:rFonts w:ascii="Times New Roman" w:hAnsi="Times New Roman"/>
          <w:color w:val="auto"/>
          <w:sz w:val="24"/>
          <w:szCs w:val="24"/>
        </w:rPr>
        <w:t>公顷，临时占地</w:t>
      </w:r>
      <w:r>
        <w:rPr>
          <w:rFonts w:hint="eastAsia" w:ascii="Times New Roman" w:hAnsi="Times New Roman"/>
          <w:color w:val="auto"/>
          <w:sz w:val="24"/>
          <w:szCs w:val="24"/>
          <w:lang w:val="en-US" w:eastAsia="zh-CN"/>
        </w:rPr>
        <w:t>0.04657</w:t>
      </w:r>
      <w:r>
        <w:rPr>
          <w:rFonts w:ascii="Times New Roman" w:hAnsi="Times New Roman"/>
          <w:color w:val="auto"/>
          <w:sz w:val="24"/>
          <w:szCs w:val="24"/>
        </w:rPr>
        <w:t>公顷。其中塔基N</w:t>
      </w:r>
      <w:r>
        <w:rPr>
          <w:rFonts w:hint="eastAsia" w:ascii="Times New Roman" w:hAnsi="Times New Roman"/>
          <w:color w:val="auto"/>
          <w:sz w:val="24"/>
          <w:szCs w:val="24"/>
          <w:lang w:val="en-US" w:eastAsia="zh-CN"/>
        </w:rPr>
        <w:t>1</w:t>
      </w:r>
      <w:r>
        <w:rPr>
          <w:rFonts w:ascii="Times New Roman" w:hAnsi="Times New Roman"/>
          <w:color w:val="auto"/>
          <w:sz w:val="24"/>
          <w:szCs w:val="24"/>
        </w:rPr>
        <w:t>3、N</w:t>
      </w:r>
      <w:r>
        <w:rPr>
          <w:rFonts w:hint="eastAsia" w:ascii="Times New Roman" w:hAnsi="Times New Roman"/>
          <w:color w:val="auto"/>
          <w:sz w:val="24"/>
          <w:szCs w:val="24"/>
          <w:lang w:val="en-US" w:eastAsia="zh-CN"/>
        </w:rPr>
        <w:t>1</w:t>
      </w:r>
      <w:r>
        <w:rPr>
          <w:rFonts w:ascii="Times New Roman" w:hAnsi="Times New Roman"/>
          <w:color w:val="auto"/>
          <w:sz w:val="24"/>
          <w:szCs w:val="24"/>
        </w:rPr>
        <w:t>4共</w:t>
      </w:r>
      <w:r>
        <w:rPr>
          <w:rFonts w:hint="eastAsia" w:ascii="Times New Roman" w:hAnsi="Times New Roman"/>
          <w:color w:val="auto"/>
          <w:sz w:val="24"/>
          <w:szCs w:val="24"/>
          <w:lang w:val="en-US" w:eastAsia="zh-CN"/>
        </w:rPr>
        <w:t>2</w:t>
      </w:r>
      <w:r>
        <w:rPr>
          <w:rFonts w:ascii="Times New Roman" w:hAnsi="Times New Roman"/>
          <w:color w:val="auto"/>
          <w:sz w:val="24"/>
          <w:szCs w:val="24"/>
        </w:rPr>
        <w:t>个塔基占用省级公益林，面积约为</w:t>
      </w:r>
      <w:r>
        <w:rPr>
          <w:rFonts w:hint="eastAsia" w:ascii="Times New Roman" w:hAnsi="Times New Roman"/>
          <w:color w:val="auto"/>
          <w:sz w:val="24"/>
          <w:szCs w:val="24"/>
          <w:lang w:val="en-US" w:eastAsia="zh-CN"/>
        </w:rPr>
        <w:t>0.01413</w:t>
      </w:r>
      <w:r>
        <w:rPr>
          <w:rFonts w:ascii="Times New Roman" w:hAnsi="Times New Roman"/>
          <w:color w:val="auto"/>
          <w:sz w:val="24"/>
          <w:szCs w:val="24"/>
        </w:rPr>
        <w:t>公顷，主要功能为水土保持。临时占地主要为施工便道、人抬道路等。</w:t>
      </w:r>
      <w:r>
        <w:rPr>
          <w:rFonts w:hint="eastAsia" w:ascii="Times New Roman" w:hAnsi="Times New Roman"/>
          <w:color w:val="auto"/>
          <w:sz w:val="24"/>
          <w:szCs w:val="24"/>
          <w:lang w:val="en-US" w:eastAsia="zh-CN"/>
        </w:rPr>
        <w:t>评价区</w:t>
      </w:r>
      <w:r>
        <w:rPr>
          <w:rFonts w:hint="eastAsia" w:cs="Times New Roman"/>
          <w:color w:val="auto"/>
          <w:sz w:val="24"/>
          <w:szCs w:val="24"/>
          <w:lang w:val="en-US" w:eastAsia="zh-CN"/>
        </w:rPr>
        <w:t>公益林的植被类型为暖温性针叶林，主要为</w:t>
      </w:r>
      <w:r>
        <w:rPr>
          <w:rFonts w:hint="default" w:cs="Times New Roman"/>
          <w:color w:val="auto"/>
          <w:sz w:val="24"/>
          <w:szCs w:val="24"/>
          <w:lang w:val="en-US" w:eastAsia="zh-CN"/>
        </w:rPr>
        <w:t>云南松、黄毛青冈、珍珠花群落</w:t>
      </w:r>
      <w:r>
        <w:rPr>
          <w:rFonts w:hint="eastAsia" w:cs="Times New Roman"/>
          <w:color w:val="auto"/>
          <w:sz w:val="24"/>
          <w:szCs w:val="24"/>
          <w:lang w:val="en-US" w:eastAsia="zh-CN"/>
        </w:rPr>
        <w:t>。</w:t>
      </w:r>
    </w:p>
    <w:p w14:paraId="31CCA5B3">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szCs w:val="24"/>
        </w:rPr>
      </w:pPr>
      <w:r>
        <w:rPr>
          <w:rFonts w:hint="default" w:ascii="Times New Roman" w:hAnsi="Times New Roman" w:cs="Times New Roman"/>
          <w:color w:val="auto"/>
          <w:szCs w:val="24"/>
        </w:rPr>
        <w:t>以上占用的都是评价区范围内常见的植被类型，占用的植物种类也是评级区范围内常见的种类。</w:t>
      </w:r>
    </w:p>
    <w:p w14:paraId="12FDA091">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269" w:name="_Toc4567"/>
      <w:r>
        <w:rPr>
          <w:rFonts w:hint="default" w:ascii="Times New Roman" w:hAnsi="Times New Roman" w:eastAsia="宋体" w:cs="Times New Roman"/>
          <w:bCs w:val="0"/>
          <w:color w:val="auto"/>
          <w:kern w:val="0"/>
          <w:sz w:val="28"/>
          <w:szCs w:val="28"/>
          <w:lang w:val="zh-CN"/>
        </w:rPr>
        <w:t>2.11评价区主要环境问题</w:t>
      </w:r>
      <w:bookmarkEnd w:id="268"/>
      <w:bookmarkEnd w:id="269"/>
    </w:p>
    <w:p w14:paraId="1D0B4A3F">
      <w:pPr>
        <w:ind w:firstLine="480"/>
        <w:rPr>
          <w:rFonts w:hint="default" w:ascii="Times New Roman" w:hAnsi="Times New Roman" w:eastAsia="宋体" w:cs="Times New Roman"/>
          <w:color w:val="auto"/>
          <w:lang w:val="zh-CN"/>
        </w:rPr>
      </w:pPr>
      <w:r>
        <w:rPr>
          <w:rFonts w:hint="default" w:ascii="Times New Roman" w:hAnsi="Times New Roman" w:eastAsia="宋体" w:cs="Times New Roman"/>
          <w:color w:val="auto"/>
          <w:szCs w:val="24"/>
          <w14:ligatures w14:val="standardContextual"/>
        </w:rPr>
        <w:t>评价区存在的主要环境问题为受人为干扰较为严重，无原生植被和地带性植被分布，天然植被均为次生植被，且评价区内水土流失较为严重。评价区内调查到</w:t>
      </w:r>
      <w:r>
        <w:rPr>
          <w:rFonts w:hint="eastAsia" w:ascii="Times New Roman" w:hAnsi="Times New Roman" w:eastAsia="宋体" w:cs="Times New Roman"/>
          <w:color w:val="auto"/>
          <w:szCs w:val="24"/>
          <w:lang w:val="en-US" w:eastAsia="zh-CN"/>
          <w14:ligatures w14:val="standardContextual"/>
        </w:rPr>
        <w:t>5种</w:t>
      </w:r>
      <w:r>
        <w:rPr>
          <w:rFonts w:hint="default" w:ascii="Times New Roman" w:hAnsi="Times New Roman" w:eastAsia="宋体" w:cs="Times New Roman"/>
          <w:color w:val="auto"/>
          <w:szCs w:val="24"/>
          <w14:ligatures w14:val="standardContextual"/>
        </w:rPr>
        <w:t>外来入侵植物，分别为</w:t>
      </w:r>
      <w:r>
        <w:rPr>
          <w:rFonts w:hint="default" w:ascii="Times New Roman" w:hAnsi="Times New Roman" w:eastAsia="宋体" w:cs="Times New Roman"/>
          <w:color w:val="auto"/>
          <w:szCs w:val="24"/>
        </w:rPr>
        <w:t>紫茎泽兰</w:t>
      </w:r>
      <w:r>
        <w:rPr>
          <w:rFonts w:hint="default" w:ascii="Times New Roman" w:hAnsi="Times New Roman" w:eastAsia="宋体" w:cs="Times New Roman"/>
          <w:i/>
          <w:iCs/>
          <w:color w:val="auto"/>
          <w:szCs w:val="24"/>
        </w:rPr>
        <w:t>Ageratina adenophora</w:t>
      </w:r>
      <w:r>
        <w:rPr>
          <w:rFonts w:hint="default" w:ascii="Times New Roman" w:hAnsi="Times New Roman" w:eastAsia="宋体" w:cs="Times New Roman"/>
          <w:color w:val="auto"/>
          <w:szCs w:val="24"/>
        </w:rPr>
        <w:t>、白酒草</w:t>
      </w:r>
      <w:r>
        <w:rPr>
          <w:rFonts w:hint="default" w:ascii="Times New Roman" w:hAnsi="Times New Roman" w:eastAsia="宋体" w:cs="Times New Roman"/>
          <w:i/>
          <w:iCs/>
          <w:color w:val="auto"/>
          <w:szCs w:val="24"/>
        </w:rPr>
        <w:t>Eschenbachia japonica</w:t>
      </w:r>
      <w:r>
        <w:rPr>
          <w:rFonts w:hint="default" w:ascii="Times New Roman" w:hAnsi="Times New Roman" w:eastAsia="宋体" w:cs="Times New Roman"/>
          <w:color w:val="auto"/>
          <w:szCs w:val="24"/>
        </w:rPr>
        <w:t> 、革命菜</w:t>
      </w:r>
      <w:r>
        <w:rPr>
          <w:rFonts w:hint="default" w:ascii="Times New Roman" w:hAnsi="Times New Roman" w:eastAsia="宋体" w:cs="Times New Roman"/>
          <w:i/>
          <w:iCs/>
          <w:color w:val="auto"/>
          <w:szCs w:val="24"/>
        </w:rPr>
        <w:t>Crassocephalum crepidioides</w:t>
      </w:r>
      <w:r>
        <w:rPr>
          <w:rFonts w:hint="default" w:ascii="Times New Roman" w:hAnsi="Times New Roman" w:eastAsia="宋体" w:cs="Times New Roman"/>
          <w:color w:val="auto"/>
          <w:szCs w:val="24"/>
        </w:rPr>
        <w:t>、牛膝菊</w:t>
      </w:r>
      <w:r>
        <w:rPr>
          <w:rFonts w:hint="default" w:ascii="Times New Roman" w:hAnsi="Times New Roman" w:eastAsia="宋体" w:cs="Times New Roman"/>
          <w:i/>
          <w:iCs/>
          <w:color w:val="auto"/>
          <w:szCs w:val="24"/>
        </w:rPr>
        <w:t>Galinsoga parviflora</w:t>
      </w:r>
      <w:r>
        <w:rPr>
          <w:rFonts w:hint="default" w:ascii="Times New Roman" w:hAnsi="Times New Roman" w:eastAsia="宋体" w:cs="Times New Roman"/>
          <w:color w:val="auto"/>
          <w:szCs w:val="24"/>
        </w:rPr>
        <w:t>、牛膝菊、鬼针草</w:t>
      </w:r>
      <w:r>
        <w:rPr>
          <w:rFonts w:hint="default" w:ascii="Times New Roman" w:hAnsi="Times New Roman" w:eastAsia="宋体" w:cs="Times New Roman"/>
          <w:i/>
          <w:iCs/>
          <w:color w:val="auto"/>
          <w:szCs w:val="24"/>
        </w:rPr>
        <w:t>Biden spilosa</w:t>
      </w:r>
      <w:r>
        <w:rPr>
          <w:rFonts w:hint="eastAsia" w:ascii="Times New Roman" w:hAnsi="Times New Roman" w:eastAsia="宋体" w:cs="Times New Roman"/>
          <w:i w:val="0"/>
          <w:iCs w:val="0"/>
          <w:color w:val="auto"/>
          <w:szCs w:val="24"/>
          <w:lang w:val="en-US" w:eastAsia="zh-CN"/>
        </w:rPr>
        <w:t>等</w:t>
      </w:r>
      <w:r>
        <w:rPr>
          <w:rFonts w:hint="default" w:ascii="Times New Roman" w:hAnsi="Times New Roman" w:eastAsia="宋体" w:cs="Times New Roman"/>
          <w:color w:val="auto"/>
          <w:szCs w:val="24"/>
          <w14:ligatures w14:val="standardContextual"/>
        </w:rPr>
        <w:t>。</w:t>
      </w:r>
      <w:bookmarkStart w:id="270" w:name="_Toc9497"/>
      <w:r>
        <w:rPr>
          <w:rFonts w:hint="default" w:ascii="Times New Roman" w:hAnsi="Times New Roman" w:eastAsia="宋体" w:cs="Times New Roman"/>
          <w:color w:val="auto"/>
          <w:lang w:val="zh-CN"/>
        </w:rPr>
        <w:br w:type="page"/>
      </w:r>
    </w:p>
    <w:p w14:paraId="552C083C">
      <w:pPr>
        <w:pStyle w:val="3"/>
        <w:numPr>
          <w:ilvl w:val="0"/>
          <w:numId w:val="0"/>
        </w:numPr>
        <w:adjustRightInd w:val="0"/>
        <w:spacing w:before="0" w:after="0"/>
        <w:jc w:val="left"/>
        <w:textAlignment w:val="baseline"/>
        <w:rPr>
          <w:rFonts w:hint="default" w:ascii="Times New Roman" w:hAnsi="Times New Roman" w:eastAsia="宋体" w:cs="Times New Roman"/>
          <w:snapToGrid/>
          <w:color w:val="auto"/>
          <w:kern w:val="44"/>
          <w:sz w:val="32"/>
          <w:szCs w:val="32"/>
          <w:lang w:val="zh-CN"/>
        </w:rPr>
      </w:pPr>
      <w:bookmarkStart w:id="271" w:name="_Toc29371"/>
      <w:r>
        <w:rPr>
          <w:rFonts w:hint="default" w:ascii="Times New Roman" w:hAnsi="Times New Roman" w:eastAsia="宋体" w:cs="Times New Roman"/>
          <w:snapToGrid/>
          <w:color w:val="auto"/>
          <w:kern w:val="44"/>
          <w:sz w:val="32"/>
          <w:szCs w:val="32"/>
          <w:lang w:val="zh-CN"/>
        </w:rPr>
        <w:t>3 生态环境影响分析与评价</w:t>
      </w:r>
      <w:bookmarkEnd w:id="270"/>
      <w:bookmarkEnd w:id="271"/>
    </w:p>
    <w:p w14:paraId="1544CC3A">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272" w:name="_Toc20647"/>
      <w:bookmarkStart w:id="273" w:name="_Toc25225"/>
      <w:r>
        <w:rPr>
          <w:rFonts w:hint="default" w:ascii="Times New Roman" w:hAnsi="Times New Roman" w:eastAsia="宋体" w:cs="Times New Roman"/>
          <w:bCs w:val="0"/>
          <w:color w:val="auto"/>
          <w:kern w:val="0"/>
          <w:sz w:val="28"/>
          <w:szCs w:val="28"/>
          <w:lang w:val="zh-CN"/>
        </w:rPr>
        <w:t>3.1 对土地利用的影响</w:t>
      </w:r>
      <w:bookmarkEnd w:id="272"/>
      <w:bookmarkEnd w:id="273"/>
    </w:p>
    <w:p w14:paraId="0B5B8C2A">
      <w:pPr>
        <w:overflowPunct w:val="0"/>
        <w:topLinePunct/>
        <w:autoSpaceDE w:val="0"/>
        <w:autoSpaceDN w:val="0"/>
        <w:adjustRightInd w:val="0"/>
        <w:snapToGrid w:val="0"/>
        <w:spacing w:after="0" w:line="440" w:lineRule="exact"/>
        <w:ind w:firstLine="480"/>
        <w:rPr>
          <w:rFonts w:hint="default" w:ascii="Times New Roman" w:hAnsi="Times New Roman" w:cs="Times New Roman"/>
          <w:color w:val="auto"/>
          <w:szCs w:val="24"/>
          <w:lang w:bidi="ar"/>
        </w:rPr>
      </w:pPr>
      <w:r>
        <w:rPr>
          <w:rFonts w:hint="default" w:ascii="Times New Roman" w:hAnsi="Times New Roman" w:cs="Times New Roman"/>
          <w:color w:val="auto"/>
          <w:szCs w:val="24"/>
        </w:rPr>
        <w:t>工程总占地面积为</w:t>
      </w:r>
      <w:r>
        <w:rPr>
          <w:rFonts w:hint="eastAsia" w:ascii="Times New Roman" w:hAnsi="Times New Roman" w:cs="Times New Roman"/>
          <w:color w:val="auto"/>
          <w:szCs w:val="24"/>
          <w:lang w:val="en-US" w:eastAsia="zh-CN"/>
        </w:rPr>
        <w:t>0.60895</w:t>
      </w:r>
      <w:r>
        <w:rPr>
          <w:rFonts w:hint="default" w:ascii="Times New Roman" w:hAnsi="Times New Roman" w:cs="Times New Roman"/>
          <w:color w:val="auto"/>
          <w:szCs w:val="24"/>
        </w:rPr>
        <w:t>hm</w:t>
      </w:r>
      <w:r>
        <w:rPr>
          <w:rFonts w:hint="default" w:ascii="Times New Roman" w:hAnsi="Times New Roman" w:cs="Times New Roman"/>
          <w:color w:val="auto"/>
          <w:szCs w:val="24"/>
          <w:vertAlign w:val="superscript"/>
        </w:rPr>
        <w:t>2</w:t>
      </w:r>
      <w:r>
        <w:rPr>
          <w:rFonts w:hint="default" w:ascii="Times New Roman" w:hAnsi="Times New Roman" w:cs="Times New Roman"/>
          <w:color w:val="auto"/>
          <w:szCs w:val="24"/>
        </w:rPr>
        <w:t>，其中永久占地0.25495hm²，临时占地0.</w:t>
      </w:r>
      <w:r>
        <w:rPr>
          <w:rFonts w:hint="eastAsia" w:ascii="Times New Roman" w:hAnsi="Times New Roman" w:cs="Times New Roman"/>
          <w:color w:val="auto"/>
          <w:szCs w:val="24"/>
          <w:lang w:val="en-US" w:eastAsia="zh-CN"/>
        </w:rPr>
        <w:t>354</w:t>
      </w:r>
      <w:r>
        <w:rPr>
          <w:rFonts w:hint="default" w:ascii="Times New Roman" w:hAnsi="Times New Roman" w:cs="Times New Roman"/>
          <w:color w:val="auto"/>
          <w:szCs w:val="24"/>
        </w:rPr>
        <w:t>hm²，永久占地主要为塔基占地，</w:t>
      </w:r>
      <w:r>
        <w:rPr>
          <w:rFonts w:hint="default" w:ascii="Times New Roman" w:hAnsi="Times New Roman" w:eastAsia="宋体" w:cs="Times New Roman"/>
          <w:color w:val="auto"/>
          <w:szCs w:val="24"/>
        </w:rPr>
        <w:t>工程占用乔木林地面积0.20882hm²，占评价区同类型土地利用面积的0.05%；工程占用旱地面积0.04613hm²，占评价区同类型土地利用面积的0.03%。</w:t>
      </w:r>
      <w:r>
        <w:rPr>
          <w:rFonts w:hint="default" w:ascii="Times New Roman" w:hAnsi="Times New Roman" w:cs="Times New Roman"/>
          <w:color w:val="auto"/>
          <w:szCs w:val="24"/>
          <w:lang w:bidi="ar"/>
        </w:rPr>
        <w:t>工程永久占地及临时占地类型见下表。</w:t>
      </w:r>
    </w:p>
    <w:p w14:paraId="521CD87C">
      <w:pPr>
        <w:adjustRightInd w:val="0"/>
        <w:snapToGrid w:val="0"/>
        <w:spacing w:after="0" w:line="240" w:lineRule="auto"/>
        <w:ind w:firstLine="482"/>
        <w:jc w:val="center"/>
        <w:rPr>
          <w:rFonts w:hint="default" w:ascii="Times New Roman" w:hAnsi="Times New Roman" w:cs="Times New Roman"/>
          <w:b/>
          <w:color w:val="auto"/>
          <w:szCs w:val="24"/>
        </w:rPr>
      </w:pPr>
      <w:r>
        <w:rPr>
          <w:rFonts w:hint="default" w:ascii="Times New Roman" w:hAnsi="Times New Roman" w:cs="Times New Roman"/>
          <w:b/>
          <w:color w:val="auto"/>
          <w:szCs w:val="24"/>
        </w:rPr>
        <w:t>表3.1-1  工程对土地利用影响一览表  单位：hm²</w:t>
      </w:r>
    </w:p>
    <w:tbl>
      <w:tblPr>
        <w:tblStyle w:val="30"/>
        <w:tblW w:w="8426" w:type="dxa"/>
        <w:tblInd w:w="91" w:type="dxa"/>
        <w:tblLayout w:type="fixed"/>
        <w:tblCellMar>
          <w:top w:w="0" w:type="dxa"/>
          <w:left w:w="108" w:type="dxa"/>
          <w:bottom w:w="0" w:type="dxa"/>
          <w:right w:w="108" w:type="dxa"/>
        </w:tblCellMar>
      </w:tblPr>
      <w:tblGrid>
        <w:gridCol w:w="792"/>
        <w:gridCol w:w="1110"/>
        <w:gridCol w:w="1059"/>
        <w:gridCol w:w="723"/>
        <w:gridCol w:w="967"/>
        <w:gridCol w:w="813"/>
        <w:gridCol w:w="794"/>
        <w:gridCol w:w="1228"/>
        <w:gridCol w:w="940"/>
      </w:tblGrid>
      <w:tr w14:paraId="299A9FF9">
        <w:tblPrEx>
          <w:tblCellMar>
            <w:top w:w="0" w:type="dxa"/>
            <w:left w:w="108" w:type="dxa"/>
            <w:bottom w:w="0" w:type="dxa"/>
            <w:right w:w="108" w:type="dxa"/>
          </w:tblCellMar>
        </w:tblPrEx>
        <w:trPr>
          <w:trHeight w:val="0" w:hRule="atLeast"/>
        </w:trPr>
        <w:tc>
          <w:tcPr>
            <w:tcW w:w="7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9F3D9">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一级类</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CADC4">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二级类</w:t>
            </w:r>
          </w:p>
        </w:tc>
        <w:tc>
          <w:tcPr>
            <w:tcW w:w="10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A2FB31">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评价区面积</w:t>
            </w:r>
          </w:p>
        </w:tc>
        <w:tc>
          <w:tcPr>
            <w:tcW w:w="25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8B491D">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占用面积</w:t>
            </w:r>
          </w:p>
        </w:tc>
        <w:tc>
          <w:tcPr>
            <w:tcW w:w="29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80ADDB">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占评价区同类比例（%）</w:t>
            </w:r>
          </w:p>
        </w:tc>
      </w:tr>
      <w:tr w14:paraId="1CEC2969">
        <w:tblPrEx>
          <w:tblCellMar>
            <w:top w:w="0" w:type="dxa"/>
            <w:left w:w="108" w:type="dxa"/>
            <w:bottom w:w="0" w:type="dxa"/>
            <w:right w:w="108" w:type="dxa"/>
          </w:tblCellMar>
        </w:tblPrEx>
        <w:trPr>
          <w:trHeight w:val="312" w:hRule="atLeast"/>
        </w:trPr>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7DF36">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AE698">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p>
        </w:tc>
        <w:tc>
          <w:tcPr>
            <w:tcW w:w="10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D3619">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p>
        </w:tc>
        <w:tc>
          <w:tcPr>
            <w:tcW w:w="7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0157F8">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合计</w:t>
            </w:r>
          </w:p>
        </w:tc>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98745F">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永久</w:t>
            </w:r>
          </w:p>
        </w:tc>
        <w:tc>
          <w:tcPr>
            <w:tcW w:w="8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B551F5">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临时</w:t>
            </w:r>
          </w:p>
        </w:tc>
        <w:tc>
          <w:tcPr>
            <w:tcW w:w="7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15D7A1">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FE1B19">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永久占地</w:t>
            </w:r>
          </w:p>
        </w:tc>
        <w:tc>
          <w:tcPr>
            <w:tcW w:w="9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625F3B">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临时占地</w:t>
            </w:r>
          </w:p>
        </w:tc>
      </w:tr>
      <w:tr w14:paraId="5F6A4978">
        <w:tblPrEx>
          <w:tblCellMar>
            <w:top w:w="0" w:type="dxa"/>
            <w:left w:w="108" w:type="dxa"/>
            <w:bottom w:w="0" w:type="dxa"/>
            <w:right w:w="108" w:type="dxa"/>
          </w:tblCellMar>
        </w:tblPrEx>
        <w:trPr>
          <w:trHeight w:val="312" w:hRule="atLeast"/>
        </w:trPr>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D65DB">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94BB0">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p>
        </w:tc>
        <w:tc>
          <w:tcPr>
            <w:tcW w:w="10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98390">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92958">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3DC86">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p>
        </w:tc>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FEC6E">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DF314">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32C2B">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248A8">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p>
        </w:tc>
      </w:tr>
      <w:tr w14:paraId="5191085F">
        <w:tblPrEx>
          <w:tblCellMar>
            <w:top w:w="0" w:type="dxa"/>
            <w:left w:w="108" w:type="dxa"/>
            <w:bottom w:w="0" w:type="dxa"/>
            <w:right w:w="108" w:type="dxa"/>
          </w:tblCellMar>
        </w:tblPrEx>
        <w:trPr>
          <w:trHeight w:val="0" w:hRule="atLeast"/>
        </w:trPr>
        <w:tc>
          <w:tcPr>
            <w:tcW w:w="7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164C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耕地</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3D42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水田</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E95F0">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3.263 </w:t>
            </w:r>
          </w:p>
        </w:tc>
        <w:tc>
          <w:tcPr>
            <w:tcW w:w="72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AF3C0">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0.06113</w:t>
            </w:r>
          </w:p>
        </w:tc>
        <w:tc>
          <w:tcPr>
            <w:tcW w:w="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5E53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842D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9A26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810F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00C3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r>
      <w:tr w14:paraId="2F4BA62B">
        <w:tblPrEx>
          <w:tblCellMar>
            <w:top w:w="0" w:type="dxa"/>
            <w:left w:w="108" w:type="dxa"/>
            <w:bottom w:w="0" w:type="dxa"/>
            <w:right w:w="108" w:type="dxa"/>
          </w:tblCellMar>
        </w:tblPrEx>
        <w:trPr>
          <w:trHeight w:val="0" w:hRule="atLeast"/>
        </w:trPr>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B0A6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B5F8D">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水浇地</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D4BEF">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0.166 </w:t>
            </w: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6F40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B9E9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F9A43">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DD7E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09169">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7307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r>
      <w:tr w14:paraId="784ABD08">
        <w:tblPrEx>
          <w:tblCellMar>
            <w:top w:w="0" w:type="dxa"/>
            <w:left w:w="108" w:type="dxa"/>
            <w:bottom w:w="0" w:type="dxa"/>
            <w:right w:w="108" w:type="dxa"/>
          </w:tblCellMar>
        </w:tblPrEx>
        <w:trPr>
          <w:trHeight w:val="0" w:hRule="atLeast"/>
        </w:trPr>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27E0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A04E0">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旱地</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9C48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223.38</w:t>
            </w: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5C0B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E28F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0.04613</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7077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0.015</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72C3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0.03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8F43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0.02 </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E4DC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0.01 </w:t>
            </w:r>
          </w:p>
        </w:tc>
      </w:tr>
      <w:tr w14:paraId="66CAC946">
        <w:tblPrEx>
          <w:tblCellMar>
            <w:top w:w="0" w:type="dxa"/>
            <w:left w:w="108" w:type="dxa"/>
            <w:bottom w:w="0" w:type="dxa"/>
            <w:right w:w="108" w:type="dxa"/>
          </w:tblCellMar>
        </w:tblPrEx>
        <w:trPr>
          <w:trHeight w:val="0" w:hRule="atLeast"/>
        </w:trPr>
        <w:tc>
          <w:tcPr>
            <w:tcW w:w="7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2D1C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林地</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641C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乔木林地</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5D5D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427.24</w:t>
            </w:r>
          </w:p>
        </w:tc>
        <w:tc>
          <w:tcPr>
            <w:tcW w:w="72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8960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0.</w:t>
            </w:r>
            <w:r>
              <w:rPr>
                <w:rFonts w:hint="eastAsia" w:ascii="Times New Roman" w:hAnsi="Times New Roman" w:eastAsia="宋体" w:cs="Times New Roman"/>
                <w:color w:val="auto"/>
                <w:sz w:val="21"/>
                <w:szCs w:val="21"/>
                <w:lang w:val="en-US" w:eastAsia="zh-CN"/>
              </w:rPr>
              <w:t>43782</w:t>
            </w:r>
          </w:p>
        </w:tc>
        <w:tc>
          <w:tcPr>
            <w:tcW w:w="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17CD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0.20882</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F115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0.229</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9B45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0.05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73C40">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0.05 </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F3F43">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 xml:space="preserve"> </w:t>
            </w:r>
          </w:p>
        </w:tc>
      </w:tr>
      <w:tr w14:paraId="3ED205EE">
        <w:tblPrEx>
          <w:tblCellMar>
            <w:top w:w="0" w:type="dxa"/>
            <w:left w:w="108" w:type="dxa"/>
            <w:bottom w:w="0" w:type="dxa"/>
            <w:right w:w="108" w:type="dxa"/>
          </w:tblCellMar>
        </w:tblPrEx>
        <w:trPr>
          <w:trHeight w:val="0" w:hRule="atLeast"/>
        </w:trPr>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87DC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D7AE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灌木林地</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1D52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202.331 </w:t>
            </w: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BFB9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F740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3BFF0">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70A10">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A0AA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6EEC0">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r>
      <w:tr w14:paraId="4D08D07C">
        <w:tblPrEx>
          <w:tblCellMar>
            <w:top w:w="0" w:type="dxa"/>
            <w:left w:w="108" w:type="dxa"/>
            <w:bottom w:w="0" w:type="dxa"/>
            <w:right w:w="108" w:type="dxa"/>
          </w:tblCellMar>
        </w:tblPrEx>
        <w:trPr>
          <w:trHeight w:val="0" w:hRule="atLeast"/>
        </w:trPr>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A4E8F">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48849">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其他林地</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D252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4.730 </w:t>
            </w:r>
          </w:p>
        </w:tc>
        <w:tc>
          <w:tcPr>
            <w:tcW w:w="72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7DBD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A365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3F3B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95ED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924A5">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F980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r>
      <w:tr w14:paraId="12ECF970">
        <w:tblPrEx>
          <w:tblCellMar>
            <w:top w:w="0" w:type="dxa"/>
            <w:left w:w="108" w:type="dxa"/>
            <w:bottom w:w="0" w:type="dxa"/>
            <w:right w:w="108" w:type="dxa"/>
          </w:tblCellMar>
        </w:tblPrEx>
        <w:trPr>
          <w:trHeight w:val="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313DD">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草地</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DF7ED">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其他草地</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D157D">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169.206 </w:t>
            </w:r>
          </w:p>
        </w:tc>
        <w:tc>
          <w:tcPr>
            <w:tcW w:w="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E46D0">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0.11</w:t>
            </w:r>
          </w:p>
        </w:tc>
        <w:tc>
          <w:tcPr>
            <w:tcW w:w="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F4A5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3CEF5">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0.11</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7932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411D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DF99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w:t>
            </w:r>
            <w:r>
              <w:rPr>
                <w:rFonts w:hint="eastAsia" w:ascii="Times New Roman" w:hAnsi="Times New Roman" w:eastAsia="宋体" w:cs="Times New Roman"/>
                <w:color w:val="auto"/>
                <w:sz w:val="21"/>
                <w:szCs w:val="21"/>
                <w:lang w:val="en-US" w:eastAsia="zh-CN"/>
              </w:rPr>
              <w:t>65</w:t>
            </w:r>
            <w:r>
              <w:rPr>
                <w:rFonts w:hint="default" w:ascii="Times New Roman" w:hAnsi="Times New Roman" w:eastAsia="宋体" w:cs="Times New Roman"/>
                <w:color w:val="auto"/>
                <w:sz w:val="21"/>
                <w:szCs w:val="21"/>
              </w:rPr>
              <w:t xml:space="preserve"> </w:t>
            </w:r>
          </w:p>
        </w:tc>
      </w:tr>
      <w:tr w14:paraId="754443F3">
        <w:tblPrEx>
          <w:tblCellMar>
            <w:top w:w="0" w:type="dxa"/>
            <w:left w:w="108" w:type="dxa"/>
            <w:bottom w:w="0" w:type="dxa"/>
            <w:right w:w="108" w:type="dxa"/>
          </w:tblCellMar>
        </w:tblPrEx>
        <w:trPr>
          <w:trHeight w:val="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A008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工矿仓储用地</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2EF6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工业用地</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7B46F">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0.133 </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FB23">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C4E5F">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7787D">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6356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C13D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16A3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r>
      <w:tr w14:paraId="0A9C46EF">
        <w:tblPrEx>
          <w:tblCellMar>
            <w:top w:w="0" w:type="dxa"/>
            <w:left w:w="108" w:type="dxa"/>
            <w:bottom w:w="0" w:type="dxa"/>
            <w:right w:w="108" w:type="dxa"/>
          </w:tblCellMar>
        </w:tblPrEx>
        <w:trPr>
          <w:trHeight w:val="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FB32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住宅用地</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9560F">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农村宅基地</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7445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12.279 </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5444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911A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67CBF">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C7FC2">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DFD2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6C765">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r>
      <w:tr w14:paraId="08DF9E48">
        <w:tblPrEx>
          <w:tblCellMar>
            <w:top w:w="0" w:type="dxa"/>
            <w:left w:w="108" w:type="dxa"/>
            <w:bottom w:w="0" w:type="dxa"/>
            <w:right w:w="108" w:type="dxa"/>
          </w:tblCellMar>
        </w:tblPrEx>
        <w:trPr>
          <w:trHeight w:val="0" w:hRule="atLeast"/>
        </w:trPr>
        <w:tc>
          <w:tcPr>
            <w:tcW w:w="190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9FF1D">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09特殊用地</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CCF8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0.217 </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25FA2">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BB1C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FF6A9">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6834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79C2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F529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r>
      <w:tr w14:paraId="3F5284F7">
        <w:tblPrEx>
          <w:tblCellMar>
            <w:top w:w="0" w:type="dxa"/>
            <w:left w:w="108" w:type="dxa"/>
            <w:bottom w:w="0" w:type="dxa"/>
            <w:right w:w="108" w:type="dxa"/>
          </w:tblCellMar>
        </w:tblPrEx>
        <w:trPr>
          <w:trHeight w:val="0" w:hRule="atLeast"/>
        </w:trPr>
        <w:tc>
          <w:tcPr>
            <w:tcW w:w="7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7F193">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交通运输用地</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B377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铁路用地</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BD0B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2.870 </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3837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7CE9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D4693">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97FC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87B7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573A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r>
      <w:tr w14:paraId="6A9E95C0">
        <w:tblPrEx>
          <w:tblCellMar>
            <w:top w:w="0" w:type="dxa"/>
            <w:left w:w="108" w:type="dxa"/>
            <w:bottom w:w="0" w:type="dxa"/>
            <w:right w:w="108" w:type="dxa"/>
          </w:tblCellMar>
        </w:tblPrEx>
        <w:trPr>
          <w:trHeight w:val="0" w:hRule="atLeast"/>
        </w:trPr>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3D38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65C5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公路用地</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1A3A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5.788 </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088B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A1B7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D750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F9FF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82AA3">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869C5">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r>
      <w:tr w14:paraId="2680086F">
        <w:tblPrEx>
          <w:tblCellMar>
            <w:top w:w="0" w:type="dxa"/>
            <w:left w:w="108" w:type="dxa"/>
            <w:bottom w:w="0" w:type="dxa"/>
            <w:right w:w="108" w:type="dxa"/>
          </w:tblCellMar>
        </w:tblPrEx>
        <w:trPr>
          <w:trHeight w:val="0" w:hRule="atLeast"/>
        </w:trPr>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3CD8D">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17C2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城镇村道路</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4CD85">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0.067 </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D29A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2D5CF">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15B9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461B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56EA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2562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r>
      <w:tr w14:paraId="7281F9A8">
        <w:tblPrEx>
          <w:tblCellMar>
            <w:top w:w="0" w:type="dxa"/>
            <w:left w:w="108" w:type="dxa"/>
            <w:bottom w:w="0" w:type="dxa"/>
            <w:right w:w="108" w:type="dxa"/>
          </w:tblCellMar>
        </w:tblPrEx>
        <w:trPr>
          <w:trHeight w:val="0" w:hRule="atLeast"/>
        </w:trPr>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0643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250C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农村道路</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29DB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8.501 </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A50A0">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3D25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9CAC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5B080">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107C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418A2">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r>
      <w:tr w14:paraId="20B7A1A8">
        <w:tblPrEx>
          <w:tblCellMar>
            <w:top w:w="0" w:type="dxa"/>
            <w:left w:w="108" w:type="dxa"/>
            <w:bottom w:w="0" w:type="dxa"/>
            <w:right w:w="108" w:type="dxa"/>
          </w:tblCellMar>
        </w:tblPrEx>
        <w:trPr>
          <w:trHeight w:val="0" w:hRule="atLeast"/>
        </w:trPr>
        <w:tc>
          <w:tcPr>
            <w:tcW w:w="7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3971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水域及水利设施用地</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75CE3">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河流水面</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3581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6.212 </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74C3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395FF">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E446F">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4264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D1E00">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4C649">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r>
      <w:tr w14:paraId="587877CB">
        <w:tblPrEx>
          <w:tblCellMar>
            <w:top w:w="0" w:type="dxa"/>
            <w:left w:w="108" w:type="dxa"/>
            <w:bottom w:w="0" w:type="dxa"/>
            <w:right w:w="108" w:type="dxa"/>
          </w:tblCellMar>
        </w:tblPrEx>
        <w:trPr>
          <w:trHeight w:val="0" w:hRule="atLeast"/>
        </w:trPr>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17A4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CE43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坑塘水面</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CC7F5">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0.133 </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FED1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6E16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1C45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5557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C310F">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2F832">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r>
      <w:tr w14:paraId="5B45130F">
        <w:tblPrEx>
          <w:tblCellMar>
            <w:top w:w="0" w:type="dxa"/>
            <w:left w:w="108" w:type="dxa"/>
            <w:bottom w:w="0" w:type="dxa"/>
            <w:right w:w="108" w:type="dxa"/>
          </w:tblCellMar>
        </w:tblPrEx>
        <w:trPr>
          <w:trHeight w:val="0" w:hRule="atLeast"/>
        </w:trPr>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89A9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F3F4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沟渠</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BC8B5">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0.051 </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FA4E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5903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9D869">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FEC7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07F0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6270F">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r>
      <w:tr w14:paraId="1A6EB217">
        <w:tblPrEx>
          <w:tblCellMar>
            <w:top w:w="0" w:type="dxa"/>
            <w:left w:w="108" w:type="dxa"/>
            <w:bottom w:w="0" w:type="dxa"/>
            <w:right w:w="108" w:type="dxa"/>
          </w:tblCellMar>
        </w:tblPrEx>
        <w:trPr>
          <w:trHeight w:val="0" w:hRule="atLeast"/>
        </w:trPr>
        <w:tc>
          <w:tcPr>
            <w:tcW w:w="7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9118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其他土地</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221D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设施农用地</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8042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1.503 </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3181D">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0FE3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5F44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90F4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BD53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F37D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r>
      <w:tr w14:paraId="79AE661A">
        <w:tblPrEx>
          <w:tblCellMar>
            <w:top w:w="0" w:type="dxa"/>
            <w:left w:w="108" w:type="dxa"/>
            <w:bottom w:w="0" w:type="dxa"/>
            <w:right w:w="108" w:type="dxa"/>
          </w:tblCellMar>
        </w:tblPrEx>
        <w:trPr>
          <w:trHeight w:val="0" w:hRule="atLeast"/>
        </w:trPr>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2D4A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3E7C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裸土地</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F751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0.108 </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CBFB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48635">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D833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F6DE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92FF5">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1A47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r>
      <w:tr w14:paraId="58BF59C6">
        <w:tblPrEx>
          <w:tblCellMar>
            <w:top w:w="0" w:type="dxa"/>
            <w:left w:w="108" w:type="dxa"/>
            <w:bottom w:w="0" w:type="dxa"/>
            <w:right w:w="108" w:type="dxa"/>
          </w:tblCellMar>
        </w:tblPrEx>
        <w:trPr>
          <w:trHeight w:val="0" w:hRule="atLeast"/>
        </w:trPr>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FF89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0B08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裸岩石砾地</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094DD">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0.149 </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BC51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5D9C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084E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6808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EB91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FFB7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r>
      <w:tr w14:paraId="788E7B5B">
        <w:tblPrEx>
          <w:tblCellMar>
            <w:top w:w="0" w:type="dxa"/>
            <w:left w:w="108" w:type="dxa"/>
            <w:bottom w:w="0" w:type="dxa"/>
            <w:right w:w="108" w:type="dxa"/>
          </w:tblCellMar>
        </w:tblPrEx>
        <w:trPr>
          <w:trHeight w:val="0" w:hRule="atLeast"/>
        </w:trPr>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3F4B2">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F1C7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后备耕地</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4E0B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3.857 </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DCF9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2423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29703">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82AE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3A1F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9285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r>
      <w:tr w14:paraId="209333AF">
        <w:tblPrEx>
          <w:tblCellMar>
            <w:top w:w="0" w:type="dxa"/>
            <w:left w:w="108" w:type="dxa"/>
            <w:bottom w:w="0" w:type="dxa"/>
            <w:right w:w="108" w:type="dxa"/>
          </w:tblCellMar>
        </w:tblPrEx>
        <w:trPr>
          <w:trHeight w:val="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F50C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合计</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A28AD">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73489">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1072.183 </w:t>
            </w:r>
          </w:p>
        </w:tc>
        <w:tc>
          <w:tcPr>
            <w:tcW w:w="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754BF">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rPr>
              <w:fldChar w:fldCharType="begin"/>
            </w:r>
            <w:r>
              <w:rPr>
                <w:rFonts w:hint="default" w:ascii="Times New Roman" w:hAnsi="Times New Roman" w:eastAsia="宋体" w:cs="Times New Roman"/>
                <w:color w:val="auto"/>
                <w:sz w:val="21"/>
                <w:szCs w:val="21"/>
                <w:lang w:val="en-US"/>
              </w:rPr>
              <w:instrText xml:space="preserve"> = sum(E3:E7) \* MERGEFORMAT </w:instrText>
            </w:r>
            <w:r>
              <w:rPr>
                <w:rFonts w:hint="default" w:ascii="Times New Roman" w:hAnsi="Times New Roman" w:eastAsia="宋体" w:cs="Times New Roman"/>
                <w:color w:val="auto"/>
                <w:sz w:val="21"/>
                <w:szCs w:val="21"/>
                <w:lang w:val="en-US"/>
              </w:rPr>
              <w:fldChar w:fldCharType="separate"/>
            </w:r>
            <w:r>
              <w:rPr>
                <w:rFonts w:hint="default" w:ascii="Times New Roman" w:hAnsi="Times New Roman" w:eastAsia="宋体" w:cs="Times New Roman"/>
                <w:color w:val="auto"/>
                <w:sz w:val="21"/>
                <w:szCs w:val="21"/>
                <w:lang w:val="en-US"/>
              </w:rPr>
              <w:t>0.60895</w:t>
            </w:r>
            <w:r>
              <w:rPr>
                <w:rFonts w:hint="default" w:ascii="Times New Roman" w:hAnsi="Times New Roman" w:eastAsia="宋体" w:cs="Times New Roman"/>
                <w:color w:val="auto"/>
                <w:sz w:val="21"/>
                <w:szCs w:val="21"/>
                <w:lang w:val="en-US"/>
              </w:rPr>
              <w:fldChar w:fldCharType="end"/>
            </w:r>
          </w:p>
        </w:tc>
        <w:tc>
          <w:tcPr>
            <w:tcW w:w="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AE939">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0.25495</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1EE4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0.354</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EC09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FD799">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EC18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r>
    </w:tbl>
    <w:p w14:paraId="4A3279AB">
      <w:pPr>
        <w:adjustRightInd w:val="0"/>
        <w:snapToGrid w:val="0"/>
        <w:spacing w:after="0" w:line="240" w:lineRule="auto"/>
        <w:ind w:firstLine="482"/>
        <w:jc w:val="center"/>
        <w:rPr>
          <w:rFonts w:hint="default" w:ascii="Times New Roman" w:hAnsi="Times New Roman" w:cs="Times New Roman"/>
          <w:b/>
          <w:color w:val="auto"/>
          <w:szCs w:val="24"/>
        </w:rPr>
      </w:pPr>
    </w:p>
    <w:p w14:paraId="0D727EB3">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74" w:name="_Toc29554"/>
      <w:r>
        <w:rPr>
          <w:rFonts w:hint="default" w:ascii="Times New Roman" w:hAnsi="Times New Roman" w:cs="Times New Roman"/>
          <w:color w:val="auto"/>
          <w:sz w:val="24"/>
          <w:szCs w:val="24"/>
        </w:rPr>
        <w:t>3.1.1工程永久占地影响分析</w:t>
      </w:r>
      <w:bookmarkEnd w:id="274"/>
    </w:p>
    <w:p w14:paraId="7C7349E1">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本工程永久占地面积为0.25495hm</w:t>
      </w:r>
      <w:r>
        <w:rPr>
          <w:rFonts w:hint="default" w:ascii="Times New Roman" w:hAnsi="Times New Roman" w:eastAsia="宋体" w:cs="Times New Roman"/>
          <w:color w:val="auto"/>
          <w:szCs w:val="24"/>
          <w:vertAlign w:val="superscript"/>
        </w:rPr>
        <w:t>2</w:t>
      </w:r>
      <w:r>
        <w:rPr>
          <w:rFonts w:hint="default" w:ascii="Times New Roman" w:hAnsi="Times New Roman" w:eastAsia="宋体" w:cs="Times New Roman"/>
          <w:color w:val="auto"/>
          <w:szCs w:val="24"/>
        </w:rPr>
        <w:t>，主要占地类型包括乔木林地、旱地。</w:t>
      </w:r>
    </w:p>
    <w:p w14:paraId="6DE6270F">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根据上表分析，工程永久占地中，工程占用乔木林地面积0.20882hm²，占评价区同类型土地利用面积的0.05%；工程占用旱地面积0.04613hm²，占评价区同类型土地利用面积的0.03%。所占用的比例均相对较小，对土地利用的影响较小。</w:t>
      </w:r>
    </w:p>
    <w:p w14:paraId="31756110">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75" w:name="_Toc11296"/>
      <w:r>
        <w:rPr>
          <w:rFonts w:hint="default" w:ascii="Times New Roman" w:hAnsi="Times New Roman" w:cs="Times New Roman"/>
          <w:color w:val="auto"/>
          <w:sz w:val="24"/>
          <w:szCs w:val="24"/>
        </w:rPr>
        <w:t>3.1.2工程临时占地影响分析</w:t>
      </w:r>
      <w:bookmarkEnd w:id="275"/>
    </w:p>
    <w:p w14:paraId="7F196AF7">
      <w:pPr>
        <w:adjustRightInd w:val="0"/>
        <w:snapToGrid w:val="0"/>
        <w:spacing w:after="0" w:line="440" w:lineRule="exact"/>
        <w:ind w:firstLine="480"/>
        <w:rPr>
          <w:rFonts w:hint="default" w:ascii="Times New Roman" w:hAnsi="Times New Roman" w:cs="Times New Roman"/>
          <w:snapToGrid w:val="0"/>
          <w:color w:val="auto"/>
        </w:rPr>
      </w:pPr>
      <w:r>
        <w:rPr>
          <w:rFonts w:hint="default" w:ascii="Times New Roman" w:hAnsi="Times New Roman" w:eastAsia="宋体" w:cs="Times New Roman"/>
          <w:color w:val="auto"/>
          <w:szCs w:val="24"/>
        </w:rPr>
        <w:t>工程临时占地包括塔基施工场地区、跨越施工场地区、牵张场区等。临时占地主要涉及乔木林地、旱地、其他草地等，占用面积很小，且项目建成后临时用地使用旱冬瓜、云南松、狗牙根等进行植被恢复，临时占地对土地利用影响很小。</w:t>
      </w:r>
    </w:p>
    <w:p w14:paraId="0D2982DD">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276" w:name="_Toc13340"/>
      <w:bookmarkStart w:id="277" w:name="_Toc10902"/>
      <w:r>
        <w:rPr>
          <w:rFonts w:hint="default" w:ascii="Times New Roman" w:hAnsi="Times New Roman" w:eastAsia="宋体" w:cs="Times New Roman"/>
          <w:bCs w:val="0"/>
          <w:color w:val="auto"/>
          <w:kern w:val="0"/>
          <w:sz w:val="28"/>
          <w:szCs w:val="28"/>
          <w:lang w:val="zh-CN"/>
        </w:rPr>
        <w:t>3.2对植被的影响预测</w:t>
      </w:r>
      <w:bookmarkEnd w:id="276"/>
      <w:bookmarkEnd w:id="277"/>
    </w:p>
    <w:p w14:paraId="0C8E18F4">
      <w:pPr>
        <w:pStyle w:val="5"/>
        <w:numPr>
          <w:ilvl w:val="2"/>
          <w:numId w:val="0"/>
        </w:numPr>
        <w:spacing w:line="360" w:lineRule="auto"/>
        <w:rPr>
          <w:rFonts w:hint="default" w:ascii="Times New Roman" w:hAnsi="Times New Roman" w:cs="Times New Roman"/>
          <w:color w:val="auto"/>
          <w:sz w:val="24"/>
          <w:szCs w:val="24"/>
        </w:rPr>
      </w:pPr>
      <w:bookmarkStart w:id="278" w:name="_Toc21149"/>
      <w:r>
        <w:rPr>
          <w:rFonts w:hint="default" w:ascii="Times New Roman" w:hAnsi="Times New Roman" w:cs="Times New Roman"/>
          <w:color w:val="auto"/>
          <w:sz w:val="24"/>
          <w:szCs w:val="24"/>
        </w:rPr>
        <w:t>3.2.1施工期影响</w:t>
      </w:r>
      <w:bookmarkEnd w:id="278"/>
    </w:p>
    <w:p w14:paraId="425FF2C0">
      <w:pPr>
        <w:pStyle w:val="92"/>
        <w:keepNext w:val="0"/>
        <w:keepLines w:val="0"/>
        <w:pageBreakBefore w:val="0"/>
        <w:widowControl w:val="0"/>
        <w:kinsoku/>
        <w:wordWrap/>
        <w:overflowPunct/>
        <w:topLinePunct w:val="0"/>
        <w:bidi w:val="0"/>
        <w:adjustRightInd w:val="0"/>
        <w:snapToGrid w:val="0"/>
        <w:spacing w:after="0" w:line="440" w:lineRule="exact"/>
        <w:ind w:firstLine="480"/>
        <w:jc w:val="both"/>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工程建设区域造成影响的主要自然植被类型为暖温性针叶林。</w:t>
      </w:r>
    </w:p>
    <w:p w14:paraId="75F08CBC">
      <w:pPr>
        <w:keepNext w:val="0"/>
        <w:keepLines w:val="0"/>
        <w:pageBreakBefore w:val="0"/>
        <w:widowControl w:val="0"/>
        <w:kinsoku/>
        <w:wordWrap/>
        <w:overflowPunct/>
        <w:topLinePunct w:val="0"/>
        <w:bidi w:val="0"/>
        <w:adjustRightInd w:val="0"/>
        <w:snapToGrid w:val="0"/>
        <w:spacing w:after="0" w:line="440" w:lineRule="exact"/>
        <w:ind w:firstLine="480"/>
        <w:textAlignment w:val="auto"/>
        <w:rPr>
          <w:rFonts w:hint="default" w:ascii="Times New Roman" w:hAnsi="Times New Roman" w:cs="Times New Roman"/>
          <w:color w:val="auto"/>
          <w:szCs w:val="24"/>
        </w:rPr>
      </w:pPr>
      <w:r>
        <w:rPr>
          <w:rFonts w:hint="default" w:ascii="Times New Roman" w:hAnsi="Times New Roman" w:cs="Times New Roman"/>
          <w:color w:val="auto"/>
          <w:szCs w:val="24"/>
        </w:rPr>
        <w:t>由于受到人为活动的长期影响，主要是农业生产及生活的影响，评价区目前很多原生植被大量消失或改变为耕地，次生植被及人工植被面积增加；工程总共征地0.25495hm²。工程建设将对植被产生一定的负面影响，包括永久影响和临时影响。</w:t>
      </w:r>
    </w:p>
    <w:p w14:paraId="2853F219">
      <w:pPr>
        <w:spacing w:after="0" w:line="240" w:lineRule="auto"/>
        <w:ind w:firstLine="482"/>
        <w:jc w:val="center"/>
        <w:rPr>
          <w:rFonts w:hint="default" w:ascii="Times New Roman" w:hAnsi="Times New Roman" w:cs="Times New Roman"/>
          <w:b/>
          <w:color w:val="auto"/>
          <w:szCs w:val="24"/>
        </w:rPr>
      </w:pPr>
      <w:r>
        <w:rPr>
          <w:rFonts w:hint="default" w:ascii="Times New Roman" w:hAnsi="Times New Roman" w:cs="Times New Roman"/>
          <w:b/>
          <w:color w:val="auto"/>
          <w:szCs w:val="24"/>
        </w:rPr>
        <w:t>表3.2-1  工程对植被影响一览表  单位：hm²</w:t>
      </w:r>
    </w:p>
    <w:tbl>
      <w:tblPr>
        <w:tblStyle w:val="30"/>
        <w:tblW w:w="8429"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1000"/>
        <w:gridCol w:w="1030"/>
        <w:gridCol w:w="2033"/>
        <w:gridCol w:w="732"/>
        <w:gridCol w:w="1923"/>
      </w:tblGrid>
      <w:tr w14:paraId="20F5A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711" w:type="dxa"/>
            <w:vMerge w:val="restart"/>
            <w:shd w:val="clear" w:color="auto" w:fill="auto"/>
            <w:noWrap/>
            <w:vAlign w:val="center"/>
          </w:tcPr>
          <w:p w14:paraId="377B6ED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植被类型</w:t>
            </w:r>
          </w:p>
        </w:tc>
        <w:tc>
          <w:tcPr>
            <w:tcW w:w="1000" w:type="dxa"/>
            <w:shd w:val="clear" w:color="auto" w:fill="auto"/>
            <w:noWrap/>
            <w:vAlign w:val="center"/>
          </w:tcPr>
          <w:p w14:paraId="15580C1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评价区</w:t>
            </w:r>
          </w:p>
        </w:tc>
        <w:tc>
          <w:tcPr>
            <w:tcW w:w="3063" w:type="dxa"/>
            <w:gridSpan w:val="2"/>
            <w:shd w:val="clear" w:color="auto" w:fill="auto"/>
            <w:noWrap/>
            <w:vAlign w:val="center"/>
          </w:tcPr>
          <w:p w14:paraId="6DD3B97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永久占地</w:t>
            </w:r>
          </w:p>
        </w:tc>
        <w:tc>
          <w:tcPr>
            <w:tcW w:w="2655" w:type="dxa"/>
            <w:gridSpan w:val="2"/>
            <w:shd w:val="clear" w:color="auto" w:fill="auto"/>
            <w:noWrap/>
            <w:vAlign w:val="center"/>
          </w:tcPr>
          <w:p w14:paraId="6E7F33D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临时占地</w:t>
            </w:r>
          </w:p>
        </w:tc>
      </w:tr>
      <w:tr w14:paraId="4A162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711" w:type="dxa"/>
            <w:vMerge w:val="continue"/>
            <w:shd w:val="clear" w:color="auto" w:fill="auto"/>
            <w:noWrap/>
            <w:vAlign w:val="center"/>
          </w:tcPr>
          <w:p w14:paraId="0C336EA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rPr>
            </w:pPr>
          </w:p>
        </w:tc>
        <w:tc>
          <w:tcPr>
            <w:tcW w:w="1000" w:type="dxa"/>
            <w:shd w:val="clear" w:color="auto" w:fill="auto"/>
            <w:noWrap/>
            <w:vAlign w:val="center"/>
          </w:tcPr>
          <w:p w14:paraId="2C2847C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面积hm</w:t>
            </w:r>
            <w:r>
              <w:rPr>
                <w:rFonts w:hint="default" w:ascii="Times New Roman" w:hAnsi="Times New Roman" w:eastAsia="宋体" w:cs="Times New Roman"/>
                <w:b/>
                <w:bCs/>
                <w:color w:val="auto"/>
                <w:sz w:val="21"/>
                <w:szCs w:val="21"/>
                <w:vertAlign w:val="superscript"/>
              </w:rPr>
              <w:t>2</w:t>
            </w:r>
          </w:p>
        </w:tc>
        <w:tc>
          <w:tcPr>
            <w:tcW w:w="1030" w:type="dxa"/>
            <w:shd w:val="clear" w:color="auto" w:fill="auto"/>
            <w:noWrap/>
            <w:vAlign w:val="center"/>
          </w:tcPr>
          <w:p w14:paraId="2056214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面积hm</w:t>
            </w:r>
            <w:r>
              <w:rPr>
                <w:rFonts w:hint="default" w:ascii="Times New Roman" w:hAnsi="Times New Roman" w:eastAsia="宋体" w:cs="Times New Roman"/>
                <w:b/>
                <w:bCs/>
                <w:color w:val="auto"/>
                <w:sz w:val="21"/>
                <w:szCs w:val="21"/>
                <w:vertAlign w:val="superscript"/>
              </w:rPr>
              <w:t>2</w:t>
            </w:r>
          </w:p>
        </w:tc>
        <w:tc>
          <w:tcPr>
            <w:tcW w:w="2033" w:type="dxa"/>
            <w:shd w:val="clear" w:color="auto" w:fill="auto"/>
            <w:noWrap/>
            <w:vAlign w:val="center"/>
          </w:tcPr>
          <w:p w14:paraId="2346F93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占评价区该类型植被的百分比（%）</w:t>
            </w:r>
          </w:p>
        </w:tc>
        <w:tc>
          <w:tcPr>
            <w:tcW w:w="732" w:type="dxa"/>
            <w:shd w:val="clear" w:color="auto" w:fill="auto"/>
            <w:noWrap/>
            <w:vAlign w:val="center"/>
          </w:tcPr>
          <w:p w14:paraId="74D429D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面积hm</w:t>
            </w:r>
            <w:r>
              <w:rPr>
                <w:rFonts w:hint="default" w:ascii="Times New Roman" w:hAnsi="Times New Roman" w:eastAsia="宋体" w:cs="Times New Roman"/>
                <w:b/>
                <w:bCs/>
                <w:color w:val="auto"/>
                <w:sz w:val="21"/>
                <w:szCs w:val="21"/>
                <w:vertAlign w:val="superscript"/>
              </w:rPr>
              <w:t>2</w:t>
            </w:r>
          </w:p>
        </w:tc>
        <w:tc>
          <w:tcPr>
            <w:tcW w:w="1923" w:type="dxa"/>
            <w:shd w:val="clear" w:color="auto" w:fill="auto"/>
            <w:noWrap/>
            <w:vAlign w:val="center"/>
          </w:tcPr>
          <w:p w14:paraId="0A5716E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占评价区该类型植被的百分比（%）</w:t>
            </w:r>
          </w:p>
        </w:tc>
      </w:tr>
      <w:tr w14:paraId="6F464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711" w:type="dxa"/>
            <w:shd w:val="clear" w:color="auto" w:fill="auto"/>
            <w:noWrap/>
            <w:vAlign w:val="center"/>
          </w:tcPr>
          <w:p w14:paraId="4E3F747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暖温性针叶林</w:t>
            </w:r>
          </w:p>
        </w:tc>
        <w:tc>
          <w:tcPr>
            <w:tcW w:w="1000" w:type="dxa"/>
            <w:shd w:val="clear" w:color="auto" w:fill="auto"/>
            <w:noWrap/>
            <w:vAlign w:val="center"/>
          </w:tcPr>
          <w:p w14:paraId="7362ED5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427.240 </w:t>
            </w:r>
          </w:p>
        </w:tc>
        <w:tc>
          <w:tcPr>
            <w:tcW w:w="1030" w:type="dxa"/>
            <w:shd w:val="clear" w:color="auto" w:fill="auto"/>
            <w:noWrap/>
            <w:vAlign w:val="center"/>
          </w:tcPr>
          <w:p w14:paraId="3537F7B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0.20882</w:t>
            </w:r>
          </w:p>
        </w:tc>
        <w:tc>
          <w:tcPr>
            <w:tcW w:w="2033" w:type="dxa"/>
            <w:shd w:val="clear" w:color="auto" w:fill="auto"/>
            <w:noWrap/>
            <w:vAlign w:val="center"/>
          </w:tcPr>
          <w:p w14:paraId="3F275B3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0.05 </w:t>
            </w:r>
          </w:p>
        </w:tc>
        <w:tc>
          <w:tcPr>
            <w:tcW w:w="732" w:type="dxa"/>
            <w:shd w:val="clear" w:color="auto" w:fill="auto"/>
            <w:noWrap/>
            <w:vAlign w:val="center"/>
          </w:tcPr>
          <w:p w14:paraId="63E3DD4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0.229</w:t>
            </w:r>
            <w:r>
              <w:rPr>
                <w:rFonts w:hint="default" w:ascii="Times New Roman" w:hAnsi="Times New Roman" w:eastAsia="宋体" w:cs="Times New Roman"/>
                <w:color w:val="auto"/>
                <w:sz w:val="21"/>
                <w:szCs w:val="21"/>
              </w:rPr>
              <w:t xml:space="preserve"> </w:t>
            </w:r>
          </w:p>
        </w:tc>
        <w:tc>
          <w:tcPr>
            <w:tcW w:w="1923" w:type="dxa"/>
            <w:shd w:val="clear" w:color="auto" w:fill="auto"/>
            <w:noWrap/>
            <w:vAlign w:val="center"/>
          </w:tcPr>
          <w:p w14:paraId="37AC7D0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 xml:space="preserve"> </w:t>
            </w:r>
          </w:p>
        </w:tc>
      </w:tr>
      <w:tr w14:paraId="42053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711" w:type="dxa"/>
            <w:shd w:val="clear" w:color="auto" w:fill="auto"/>
            <w:vAlign w:val="center"/>
          </w:tcPr>
          <w:p w14:paraId="75E5EB6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暖性石灰岩灌丛</w:t>
            </w:r>
          </w:p>
        </w:tc>
        <w:tc>
          <w:tcPr>
            <w:tcW w:w="1000" w:type="dxa"/>
            <w:shd w:val="clear" w:color="auto" w:fill="auto"/>
            <w:noWrap/>
            <w:vAlign w:val="center"/>
          </w:tcPr>
          <w:p w14:paraId="108605B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202.331 </w:t>
            </w:r>
          </w:p>
        </w:tc>
        <w:tc>
          <w:tcPr>
            <w:tcW w:w="1030" w:type="dxa"/>
            <w:shd w:val="clear" w:color="auto" w:fill="auto"/>
            <w:noWrap/>
            <w:vAlign w:val="center"/>
          </w:tcPr>
          <w:p w14:paraId="0096628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2033" w:type="dxa"/>
            <w:shd w:val="clear" w:color="auto" w:fill="auto"/>
            <w:noWrap/>
            <w:vAlign w:val="center"/>
          </w:tcPr>
          <w:p w14:paraId="244F749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732" w:type="dxa"/>
            <w:shd w:val="clear" w:color="auto" w:fill="auto"/>
            <w:noWrap/>
            <w:vAlign w:val="center"/>
          </w:tcPr>
          <w:p w14:paraId="1739B07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0.000 </w:t>
            </w:r>
          </w:p>
        </w:tc>
        <w:tc>
          <w:tcPr>
            <w:tcW w:w="1923" w:type="dxa"/>
            <w:shd w:val="clear" w:color="auto" w:fill="auto"/>
            <w:noWrap/>
            <w:vAlign w:val="center"/>
          </w:tcPr>
          <w:p w14:paraId="1B34574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r>
      <w:tr w14:paraId="66ECB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711" w:type="dxa"/>
            <w:shd w:val="clear" w:color="auto" w:fill="auto"/>
            <w:vAlign w:val="center"/>
          </w:tcPr>
          <w:p w14:paraId="5D72A83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暖温性稀树灌木草丛</w:t>
            </w:r>
          </w:p>
        </w:tc>
        <w:tc>
          <w:tcPr>
            <w:tcW w:w="1000" w:type="dxa"/>
            <w:shd w:val="clear" w:color="auto" w:fill="auto"/>
            <w:noWrap/>
            <w:vAlign w:val="center"/>
          </w:tcPr>
          <w:p w14:paraId="12ABA16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169.206 </w:t>
            </w:r>
          </w:p>
        </w:tc>
        <w:tc>
          <w:tcPr>
            <w:tcW w:w="1030" w:type="dxa"/>
            <w:shd w:val="clear" w:color="auto" w:fill="auto"/>
            <w:noWrap/>
            <w:vAlign w:val="center"/>
          </w:tcPr>
          <w:p w14:paraId="5D5C472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2033" w:type="dxa"/>
            <w:shd w:val="clear" w:color="auto" w:fill="auto"/>
            <w:noWrap/>
            <w:vAlign w:val="center"/>
          </w:tcPr>
          <w:p w14:paraId="3821C53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732" w:type="dxa"/>
            <w:shd w:val="clear" w:color="auto" w:fill="auto"/>
            <w:noWrap/>
            <w:vAlign w:val="center"/>
          </w:tcPr>
          <w:p w14:paraId="029764A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r>
              <w:rPr>
                <w:rFonts w:hint="eastAsia" w:ascii="Times New Roman" w:hAnsi="Times New Roman" w:eastAsia="宋体" w:cs="Times New Roman"/>
                <w:color w:val="auto"/>
                <w:sz w:val="21"/>
                <w:szCs w:val="21"/>
                <w:lang w:val="en-US" w:eastAsia="zh-CN"/>
              </w:rPr>
              <w:t>11</w:t>
            </w:r>
            <w:r>
              <w:rPr>
                <w:rFonts w:hint="default" w:ascii="Times New Roman" w:hAnsi="Times New Roman" w:eastAsia="宋体" w:cs="Times New Roman"/>
                <w:color w:val="auto"/>
                <w:sz w:val="21"/>
                <w:szCs w:val="21"/>
              </w:rPr>
              <w:t xml:space="preserve"> </w:t>
            </w:r>
          </w:p>
        </w:tc>
        <w:tc>
          <w:tcPr>
            <w:tcW w:w="1923" w:type="dxa"/>
            <w:shd w:val="clear" w:color="auto" w:fill="auto"/>
            <w:noWrap/>
            <w:vAlign w:val="center"/>
          </w:tcPr>
          <w:p w14:paraId="04FC87A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0.04 </w:t>
            </w:r>
          </w:p>
        </w:tc>
      </w:tr>
      <w:tr w14:paraId="76F71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711" w:type="dxa"/>
            <w:shd w:val="clear" w:color="auto" w:fill="auto"/>
            <w:vAlign w:val="center"/>
          </w:tcPr>
          <w:p w14:paraId="22D8962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人工林</w:t>
            </w:r>
          </w:p>
        </w:tc>
        <w:tc>
          <w:tcPr>
            <w:tcW w:w="1000" w:type="dxa"/>
            <w:shd w:val="clear" w:color="auto" w:fill="auto"/>
            <w:noWrap/>
            <w:vAlign w:val="center"/>
          </w:tcPr>
          <w:p w14:paraId="6A062AA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4.730 </w:t>
            </w:r>
          </w:p>
        </w:tc>
        <w:tc>
          <w:tcPr>
            <w:tcW w:w="1030" w:type="dxa"/>
            <w:shd w:val="clear" w:color="auto" w:fill="auto"/>
            <w:noWrap/>
            <w:vAlign w:val="center"/>
          </w:tcPr>
          <w:p w14:paraId="099EBDC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2033" w:type="dxa"/>
            <w:shd w:val="clear" w:color="auto" w:fill="auto"/>
            <w:noWrap/>
            <w:vAlign w:val="center"/>
          </w:tcPr>
          <w:p w14:paraId="29E454B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c>
          <w:tcPr>
            <w:tcW w:w="732" w:type="dxa"/>
            <w:shd w:val="clear" w:color="auto" w:fill="auto"/>
            <w:noWrap/>
            <w:vAlign w:val="center"/>
          </w:tcPr>
          <w:p w14:paraId="3792B1E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0.000 </w:t>
            </w:r>
          </w:p>
        </w:tc>
        <w:tc>
          <w:tcPr>
            <w:tcW w:w="1923" w:type="dxa"/>
            <w:shd w:val="clear" w:color="auto" w:fill="auto"/>
            <w:noWrap/>
            <w:vAlign w:val="center"/>
          </w:tcPr>
          <w:p w14:paraId="11BF67A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 </w:t>
            </w:r>
          </w:p>
        </w:tc>
      </w:tr>
      <w:tr w14:paraId="0976C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711" w:type="dxa"/>
            <w:shd w:val="clear" w:color="auto" w:fill="auto"/>
            <w:vAlign w:val="center"/>
          </w:tcPr>
          <w:p w14:paraId="00831D1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耕地</w:t>
            </w:r>
          </w:p>
        </w:tc>
        <w:tc>
          <w:tcPr>
            <w:tcW w:w="1000" w:type="dxa"/>
            <w:shd w:val="clear" w:color="auto" w:fill="auto"/>
            <w:noWrap/>
            <w:vAlign w:val="center"/>
          </w:tcPr>
          <w:p w14:paraId="4100378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226.808 </w:t>
            </w:r>
          </w:p>
        </w:tc>
        <w:tc>
          <w:tcPr>
            <w:tcW w:w="1030" w:type="dxa"/>
            <w:shd w:val="clear" w:color="auto" w:fill="auto"/>
            <w:noWrap/>
            <w:vAlign w:val="center"/>
          </w:tcPr>
          <w:p w14:paraId="405E072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0.04613</w:t>
            </w:r>
          </w:p>
        </w:tc>
        <w:tc>
          <w:tcPr>
            <w:tcW w:w="2033" w:type="dxa"/>
            <w:shd w:val="clear" w:color="auto" w:fill="auto"/>
            <w:noWrap/>
            <w:vAlign w:val="center"/>
          </w:tcPr>
          <w:p w14:paraId="7245972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0.02 </w:t>
            </w:r>
          </w:p>
        </w:tc>
        <w:tc>
          <w:tcPr>
            <w:tcW w:w="732" w:type="dxa"/>
            <w:shd w:val="clear" w:color="auto" w:fill="auto"/>
            <w:noWrap/>
            <w:vAlign w:val="center"/>
          </w:tcPr>
          <w:p w14:paraId="72C44BD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0.015 </w:t>
            </w:r>
          </w:p>
        </w:tc>
        <w:tc>
          <w:tcPr>
            <w:tcW w:w="1923" w:type="dxa"/>
            <w:shd w:val="clear" w:color="auto" w:fill="auto"/>
            <w:noWrap/>
            <w:vAlign w:val="center"/>
          </w:tcPr>
          <w:p w14:paraId="6F9D87F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0.01 </w:t>
            </w:r>
          </w:p>
        </w:tc>
      </w:tr>
      <w:tr w14:paraId="2FF1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711" w:type="dxa"/>
            <w:shd w:val="clear" w:color="auto" w:fill="auto"/>
            <w:vAlign w:val="center"/>
          </w:tcPr>
          <w:p w14:paraId="2BC4461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合计</w:t>
            </w:r>
          </w:p>
        </w:tc>
        <w:tc>
          <w:tcPr>
            <w:tcW w:w="1000" w:type="dxa"/>
            <w:shd w:val="clear" w:color="auto" w:fill="auto"/>
            <w:vAlign w:val="center"/>
          </w:tcPr>
          <w:p w14:paraId="23C0EA4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030" w:type="dxa"/>
            <w:shd w:val="clear" w:color="auto" w:fill="auto"/>
            <w:noWrap/>
            <w:vAlign w:val="center"/>
          </w:tcPr>
          <w:p w14:paraId="3AE828B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0.25495</w:t>
            </w:r>
          </w:p>
        </w:tc>
        <w:tc>
          <w:tcPr>
            <w:tcW w:w="2033" w:type="dxa"/>
            <w:shd w:val="clear" w:color="auto" w:fill="auto"/>
            <w:noWrap/>
            <w:vAlign w:val="center"/>
          </w:tcPr>
          <w:p w14:paraId="776ED18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0.07 </w:t>
            </w:r>
          </w:p>
        </w:tc>
        <w:tc>
          <w:tcPr>
            <w:tcW w:w="732" w:type="dxa"/>
            <w:shd w:val="clear" w:color="auto" w:fill="auto"/>
            <w:noWrap/>
            <w:vAlign w:val="center"/>
          </w:tcPr>
          <w:p w14:paraId="71698BE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0.354</w:t>
            </w:r>
          </w:p>
        </w:tc>
        <w:tc>
          <w:tcPr>
            <w:tcW w:w="1923" w:type="dxa"/>
            <w:shd w:val="clear" w:color="auto" w:fill="auto"/>
            <w:noWrap/>
            <w:vAlign w:val="center"/>
          </w:tcPr>
          <w:p w14:paraId="7928DEA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r>
              <w:rPr>
                <w:rFonts w:hint="eastAsia"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rPr>
              <w:t xml:space="preserve"> </w:t>
            </w:r>
          </w:p>
        </w:tc>
      </w:tr>
    </w:tbl>
    <w:p w14:paraId="76F405DB">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1）永久占地</w:t>
      </w:r>
    </w:p>
    <w:p w14:paraId="0A91A65C">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影响评价区内乔木林地主要为暖温性针叶林，评价区内为次生林且占用面积很小，该植被类型在会泽县分布极广，且项目建设不会造成评价群内该植被类型的大面积减少，因此影响较小。</w:t>
      </w:r>
    </w:p>
    <w:p w14:paraId="10A7DE62">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项目的建设将会对生物群落形态方面的结构造成影响，一方面将改变生物群落的水平结构，同时对局部地段的群落垂直结构（群落恢复后的种类组成和结构变化）造成影响。该建设项目将占用的生物群落面积和范围均较小，仅在极小范围改变了生物群落结构，但不会导致群落结构的简化，总体上看，对整个评价区域生物群落结构造成的影响较小。</w:t>
      </w:r>
    </w:p>
    <w:p w14:paraId="130B099B">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总体来说，本项目的实施对周边的植被影响有限，不会造成评价区区域植被类型的消失和植被的格局发生大的改变。</w:t>
      </w:r>
    </w:p>
    <w:p w14:paraId="297C3509">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2）临时占地</w:t>
      </w:r>
    </w:p>
    <w:p w14:paraId="1D0B56D0">
      <w:pPr>
        <w:keepNext w:val="0"/>
        <w:keepLines w:val="0"/>
        <w:pageBreakBefore w:val="0"/>
        <w:widowControl w:val="0"/>
        <w:kinsoku/>
        <w:wordWrap/>
        <w:overflowPunct/>
        <w:topLinePunct w:val="0"/>
        <w:autoSpaceDE/>
        <w:autoSpaceDN/>
        <w:bidi w:val="0"/>
        <w:adjustRightInd w:val="0"/>
        <w:snapToGrid w:val="0"/>
        <w:spacing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工程临时占地包括塔基施工场地区、跨越施工场地区、牵张场区。临时占地涉及天然植被主要为暖温性针叶林、暖温性稀树灌木草丛、旱地，分别占用0.</w:t>
      </w:r>
      <w:r>
        <w:rPr>
          <w:rFonts w:hint="eastAsia" w:ascii="Times New Roman" w:hAnsi="Times New Roman" w:eastAsia="宋体" w:cs="Times New Roman"/>
          <w:color w:val="auto"/>
          <w:szCs w:val="24"/>
          <w:lang w:val="en-US" w:eastAsia="zh-CN"/>
        </w:rPr>
        <w:t>229</w:t>
      </w:r>
      <w:r>
        <w:rPr>
          <w:rFonts w:hint="default" w:ascii="Times New Roman" w:hAnsi="Times New Roman" w:eastAsia="宋体" w:cs="Times New Roman"/>
          <w:color w:val="auto"/>
          <w:szCs w:val="24"/>
        </w:rPr>
        <w:t>hm²、0.</w:t>
      </w:r>
      <w:r>
        <w:rPr>
          <w:rFonts w:hint="eastAsia" w:ascii="Times New Roman" w:hAnsi="Times New Roman" w:eastAsia="宋体" w:cs="Times New Roman"/>
          <w:color w:val="auto"/>
          <w:szCs w:val="24"/>
          <w:lang w:val="en-US" w:eastAsia="zh-CN"/>
        </w:rPr>
        <w:t>11</w:t>
      </w:r>
      <w:r>
        <w:rPr>
          <w:rFonts w:hint="default" w:ascii="Times New Roman" w:hAnsi="Times New Roman" w:eastAsia="宋体" w:cs="Times New Roman"/>
          <w:color w:val="auto"/>
          <w:szCs w:val="24"/>
        </w:rPr>
        <w:t>hm²、0.015hm²，占用面积很小，影响很小。</w:t>
      </w:r>
    </w:p>
    <w:p w14:paraId="570E3A69">
      <w:pPr>
        <w:keepNext w:val="0"/>
        <w:keepLines w:val="0"/>
        <w:pageBreakBefore w:val="0"/>
        <w:widowControl w:val="0"/>
        <w:kinsoku/>
        <w:wordWrap/>
        <w:overflowPunct/>
        <w:topLinePunct w:val="0"/>
        <w:autoSpaceDE/>
        <w:autoSpaceDN/>
        <w:bidi w:val="0"/>
        <w:adjustRightInd w:val="0"/>
        <w:snapToGrid w:val="0"/>
        <w:spacing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总体来说，工程建设将造成评价区内植被面积的减少，但并不会造成评价区任何一种植被类型的消失。</w:t>
      </w:r>
    </w:p>
    <w:p w14:paraId="57E3A79C">
      <w:pPr>
        <w:pStyle w:val="5"/>
        <w:numPr>
          <w:ilvl w:val="2"/>
          <w:numId w:val="0"/>
        </w:numPr>
        <w:spacing w:line="360" w:lineRule="auto"/>
        <w:rPr>
          <w:rFonts w:hint="default" w:ascii="Times New Roman" w:hAnsi="Times New Roman" w:eastAsia="宋体" w:cs="Times New Roman"/>
          <w:color w:val="auto"/>
          <w:sz w:val="24"/>
          <w:szCs w:val="24"/>
        </w:rPr>
      </w:pPr>
      <w:bookmarkStart w:id="279" w:name="_Toc22910"/>
      <w:r>
        <w:rPr>
          <w:rFonts w:hint="default" w:ascii="Times New Roman" w:hAnsi="Times New Roman" w:eastAsia="宋体" w:cs="Times New Roman"/>
          <w:color w:val="auto"/>
          <w:sz w:val="24"/>
          <w:szCs w:val="24"/>
        </w:rPr>
        <w:t>3.2.2 运行期影响</w:t>
      </w:r>
      <w:bookmarkEnd w:id="279"/>
    </w:p>
    <w:p w14:paraId="53A1E0DD">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项目永久占用的自然植被将永久改变土地利用性质，由林地转变为工矿用地，临时占用的自然植被在竣工后将成为施工迹地，通过自然演替或者人工恢复，可以逐渐恢复成次生植被。施工迹地演替的次生植被类型质量将低于其对应的原生植被的质量。评价区线路竣工后，生态质量将比施工前下降。</w:t>
      </w:r>
    </w:p>
    <w:p w14:paraId="043C6C49">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280" w:name="_Toc4890"/>
      <w:bookmarkStart w:id="281" w:name="_Toc19561"/>
      <w:r>
        <w:rPr>
          <w:rFonts w:hint="default" w:ascii="Times New Roman" w:hAnsi="Times New Roman" w:eastAsia="宋体" w:cs="Times New Roman"/>
          <w:bCs w:val="0"/>
          <w:color w:val="auto"/>
          <w:kern w:val="0"/>
          <w:sz w:val="28"/>
          <w:szCs w:val="28"/>
          <w:lang w:val="zh-CN"/>
        </w:rPr>
        <w:t>3.3对陆生植物的影响</w:t>
      </w:r>
      <w:bookmarkEnd w:id="280"/>
      <w:bookmarkEnd w:id="281"/>
    </w:p>
    <w:p w14:paraId="1D12D283">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82" w:name="_Toc4018"/>
      <w:r>
        <w:rPr>
          <w:rFonts w:hint="default" w:ascii="Times New Roman" w:hAnsi="Times New Roman" w:cs="Times New Roman"/>
          <w:color w:val="auto"/>
          <w:sz w:val="24"/>
          <w:szCs w:val="24"/>
        </w:rPr>
        <w:t>3.3.1施工期影响</w:t>
      </w:r>
      <w:bookmarkEnd w:id="282"/>
    </w:p>
    <w:p w14:paraId="7622A296">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①对植物种类的影响</w:t>
      </w:r>
    </w:p>
    <w:p w14:paraId="29C43AC5">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评价区的地带性植被为半湿润常绿阔叶林，由于人为干扰较严重，区域内原生植被不可见，大部分地段形成了以人为活动为主导的次生性森林植被景观。根据野外考察、室内标本整理鉴定以及相关文献资料查阅，</w:t>
      </w:r>
      <w:r>
        <w:rPr>
          <w:rFonts w:hint="default" w:ascii="Times New Roman" w:hAnsi="Times New Roman" w:eastAsia="宋体" w:cs="Times New Roman"/>
          <w:color w:val="auto"/>
          <w:szCs w:val="24"/>
          <w:lang w:val="zh-CN"/>
        </w:rPr>
        <w:t>评价区共记录有维管植物</w:t>
      </w:r>
      <w:r>
        <w:rPr>
          <w:rFonts w:hint="default" w:ascii="Times New Roman" w:hAnsi="Times New Roman" w:eastAsia="宋体" w:cs="Times New Roman"/>
          <w:color w:val="auto"/>
          <w:lang w:val="zh-CN"/>
        </w:rPr>
        <w:t>475种（包含种下等级），隶属于</w:t>
      </w:r>
      <w:r>
        <w:rPr>
          <w:rFonts w:hint="default" w:ascii="Times New Roman" w:hAnsi="Times New Roman" w:eastAsia="宋体" w:cs="Times New Roman"/>
          <w:color w:val="auto"/>
        </w:rPr>
        <w:t>98</w:t>
      </w:r>
      <w:r>
        <w:rPr>
          <w:rFonts w:hint="default" w:ascii="Times New Roman" w:hAnsi="Times New Roman" w:eastAsia="宋体" w:cs="Times New Roman"/>
          <w:color w:val="auto"/>
          <w:lang w:val="zh-CN"/>
        </w:rPr>
        <w:t>科、</w:t>
      </w:r>
      <w:r>
        <w:rPr>
          <w:rFonts w:hint="default" w:ascii="Times New Roman" w:hAnsi="Times New Roman" w:eastAsia="宋体" w:cs="Times New Roman"/>
          <w:color w:val="auto"/>
        </w:rPr>
        <w:t>327</w:t>
      </w:r>
      <w:r>
        <w:rPr>
          <w:rFonts w:hint="default" w:ascii="Times New Roman" w:hAnsi="Times New Roman" w:eastAsia="宋体" w:cs="Times New Roman"/>
          <w:color w:val="auto"/>
          <w:lang w:val="zh-CN"/>
        </w:rPr>
        <w:t>属。其中蕨类植物有</w:t>
      </w:r>
      <w:r>
        <w:rPr>
          <w:rFonts w:hint="default" w:ascii="Times New Roman" w:hAnsi="Times New Roman" w:eastAsia="宋体" w:cs="Times New Roman"/>
          <w:color w:val="auto"/>
        </w:rPr>
        <w:t>11</w:t>
      </w:r>
      <w:r>
        <w:rPr>
          <w:rFonts w:hint="default" w:ascii="Times New Roman" w:hAnsi="Times New Roman" w:eastAsia="宋体" w:cs="Times New Roman"/>
          <w:color w:val="auto"/>
          <w:lang w:val="zh-CN"/>
        </w:rPr>
        <w:t>科、</w:t>
      </w:r>
      <w:r>
        <w:rPr>
          <w:rFonts w:hint="default" w:ascii="Times New Roman" w:hAnsi="Times New Roman" w:eastAsia="宋体" w:cs="Times New Roman"/>
          <w:color w:val="auto"/>
        </w:rPr>
        <w:t>15</w:t>
      </w:r>
      <w:r>
        <w:rPr>
          <w:rFonts w:hint="default" w:ascii="Times New Roman" w:hAnsi="Times New Roman" w:eastAsia="宋体" w:cs="Times New Roman"/>
          <w:color w:val="auto"/>
          <w:lang w:val="zh-CN"/>
        </w:rPr>
        <w:t>属、</w:t>
      </w:r>
      <w:r>
        <w:rPr>
          <w:rFonts w:hint="default" w:ascii="Times New Roman" w:hAnsi="Times New Roman" w:eastAsia="宋体" w:cs="Times New Roman"/>
          <w:color w:val="auto"/>
        </w:rPr>
        <w:t>20</w:t>
      </w:r>
      <w:r>
        <w:rPr>
          <w:rFonts w:hint="default" w:ascii="Times New Roman" w:hAnsi="Times New Roman" w:eastAsia="宋体" w:cs="Times New Roman"/>
          <w:color w:val="auto"/>
          <w:lang w:val="zh-CN"/>
        </w:rPr>
        <w:t>种；裸子植物有3科、4属、5种；被子植物有84科、308属、450种</w:t>
      </w:r>
      <w:r>
        <w:rPr>
          <w:rFonts w:hint="default" w:ascii="Times New Roman" w:hAnsi="Times New Roman" w:eastAsia="宋体" w:cs="Times New Roman"/>
          <w:color w:val="auto"/>
          <w:szCs w:val="24"/>
          <w:lang w:val="zh-CN"/>
        </w:rPr>
        <w:t>。</w:t>
      </w:r>
    </w:p>
    <w:p w14:paraId="680F6F28">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工程建设主要是工程永久占地将造成植物植株的减少，受影响的植物种类常见的有云南松</w:t>
      </w:r>
      <w:r>
        <w:rPr>
          <w:rFonts w:hint="default" w:ascii="Times New Roman" w:hAnsi="Times New Roman" w:eastAsia="宋体" w:cs="Times New Roman"/>
          <w:i/>
          <w:iCs/>
          <w:color w:val="auto"/>
          <w:szCs w:val="24"/>
        </w:rPr>
        <w:t>Pinus yunnanensis</w:t>
      </w:r>
      <w:r>
        <w:rPr>
          <w:rFonts w:hint="default" w:ascii="Times New Roman" w:hAnsi="Times New Roman" w:eastAsia="宋体" w:cs="Times New Roman"/>
          <w:color w:val="auto"/>
          <w:szCs w:val="24"/>
        </w:rPr>
        <w:t>、盐肤木</w:t>
      </w:r>
      <w:r>
        <w:rPr>
          <w:rFonts w:hint="default" w:ascii="Times New Roman" w:hAnsi="Times New Roman" w:eastAsia="宋体" w:cs="Times New Roman"/>
          <w:i/>
          <w:iCs/>
          <w:color w:val="auto"/>
          <w:szCs w:val="24"/>
        </w:rPr>
        <w:t>Rhus chinensis</w:t>
      </w:r>
      <w:r>
        <w:rPr>
          <w:rFonts w:hint="default" w:ascii="Times New Roman" w:hAnsi="Times New Roman" w:eastAsia="宋体" w:cs="Times New Roman"/>
          <w:color w:val="auto"/>
          <w:szCs w:val="24"/>
        </w:rPr>
        <w:t>、杉木</w:t>
      </w:r>
      <w:r>
        <w:rPr>
          <w:rFonts w:hint="default" w:ascii="Times New Roman" w:hAnsi="Times New Roman" w:eastAsia="宋体" w:cs="Times New Roman"/>
          <w:i/>
          <w:iCs/>
          <w:color w:val="auto"/>
          <w:szCs w:val="24"/>
        </w:rPr>
        <w:t>Cunninghamia lanceolata</w:t>
      </w:r>
      <w:r>
        <w:rPr>
          <w:rFonts w:hint="default" w:ascii="Times New Roman" w:hAnsi="Times New Roman" w:eastAsia="宋体" w:cs="Times New Roman"/>
          <w:i/>
          <w:color w:val="auto"/>
          <w:szCs w:val="24"/>
        </w:rPr>
        <w:t>、</w:t>
      </w:r>
      <w:r>
        <w:rPr>
          <w:rFonts w:hint="default" w:ascii="Times New Roman" w:hAnsi="Times New Roman" w:eastAsia="宋体" w:cs="Times New Roman"/>
          <w:bCs/>
          <w:color w:val="auto"/>
          <w:szCs w:val="24"/>
        </w:rPr>
        <w:t>马桑、华山松</w:t>
      </w:r>
      <w:r>
        <w:rPr>
          <w:rFonts w:hint="default" w:ascii="Times New Roman" w:hAnsi="Times New Roman" w:eastAsia="宋体" w:cs="Times New Roman"/>
          <w:bCs/>
          <w:i/>
          <w:iCs/>
          <w:color w:val="auto"/>
          <w:szCs w:val="24"/>
        </w:rPr>
        <w:t>Pinus armandii</w:t>
      </w:r>
      <w:r>
        <w:rPr>
          <w:rFonts w:hint="default" w:ascii="Times New Roman" w:hAnsi="Times New Roman" w:eastAsia="宋体" w:cs="Times New Roman"/>
          <w:bCs/>
          <w:color w:val="auto"/>
          <w:szCs w:val="24"/>
        </w:rPr>
        <w:t>、</w:t>
      </w:r>
      <w:r>
        <w:rPr>
          <w:rFonts w:hint="default" w:ascii="Times New Roman" w:hAnsi="Times New Roman" w:eastAsia="宋体" w:cs="Times New Roman"/>
          <w:color w:val="auto"/>
          <w:szCs w:val="24"/>
        </w:rPr>
        <w:t>火棘</w:t>
      </w:r>
      <w:r>
        <w:rPr>
          <w:rFonts w:hint="default" w:ascii="Times New Roman" w:hAnsi="Times New Roman" w:eastAsia="宋体" w:cs="Times New Roman"/>
          <w:i/>
          <w:iCs/>
          <w:color w:val="auto"/>
          <w:szCs w:val="24"/>
        </w:rPr>
        <w:t>Pyracantha fortuneana </w:t>
      </w:r>
      <w:r>
        <w:rPr>
          <w:rFonts w:hint="default" w:ascii="Times New Roman" w:hAnsi="Times New Roman" w:eastAsia="宋体" w:cs="Times New Roman"/>
          <w:color w:val="auto"/>
          <w:szCs w:val="24"/>
        </w:rPr>
        <w:t>、小铁仔</w:t>
      </w:r>
      <w:r>
        <w:rPr>
          <w:rFonts w:hint="default" w:ascii="Times New Roman" w:hAnsi="Times New Roman" w:eastAsia="宋体" w:cs="Times New Roman"/>
          <w:i/>
          <w:color w:val="auto"/>
          <w:szCs w:val="24"/>
        </w:rPr>
        <w:t>Myrsine africana</w:t>
      </w:r>
      <w:r>
        <w:rPr>
          <w:rFonts w:hint="default" w:ascii="Times New Roman" w:hAnsi="Times New Roman" w:eastAsia="宋体" w:cs="Times New Roman"/>
          <w:color w:val="auto"/>
          <w:szCs w:val="24"/>
        </w:rPr>
        <w:t>、黑面神</w:t>
      </w:r>
      <w:r>
        <w:rPr>
          <w:rFonts w:hint="default" w:ascii="Times New Roman" w:hAnsi="Times New Roman" w:eastAsia="宋体" w:cs="Times New Roman"/>
          <w:i/>
          <w:iCs/>
          <w:color w:val="auto"/>
          <w:szCs w:val="24"/>
        </w:rPr>
        <w:t>Breynia fruticosa</w:t>
      </w:r>
      <w:r>
        <w:rPr>
          <w:rFonts w:hint="default" w:ascii="Times New Roman" w:hAnsi="Times New Roman" w:eastAsia="宋体" w:cs="Times New Roman"/>
          <w:color w:val="auto"/>
          <w:szCs w:val="24"/>
        </w:rPr>
        <w:t>、马棘</w:t>
      </w:r>
      <w:r>
        <w:rPr>
          <w:rFonts w:hint="default" w:ascii="Times New Roman" w:hAnsi="Times New Roman" w:eastAsia="宋体" w:cs="Times New Roman"/>
          <w:i/>
          <w:iCs/>
          <w:color w:val="auto"/>
          <w:szCs w:val="24"/>
        </w:rPr>
        <w:t>Indigofera bungeana</w:t>
      </w:r>
      <w:r>
        <w:rPr>
          <w:rFonts w:hint="default" w:ascii="Times New Roman" w:hAnsi="Times New Roman" w:eastAsia="宋体" w:cs="Times New Roman"/>
          <w:color w:val="auto"/>
          <w:szCs w:val="24"/>
        </w:rPr>
        <w:t> 、金花小檗</w:t>
      </w:r>
      <w:r>
        <w:rPr>
          <w:rFonts w:hint="default" w:ascii="Times New Roman" w:hAnsi="Times New Roman" w:eastAsia="宋体" w:cs="Times New Roman"/>
          <w:i/>
          <w:iCs/>
          <w:color w:val="auto"/>
          <w:szCs w:val="24"/>
        </w:rPr>
        <w:t>Berberis wilsonae</w:t>
      </w:r>
      <w:r>
        <w:rPr>
          <w:rFonts w:hint="default" w:ascii="Times New Roman" w:hAnsi="Times New Roman" w:eastAsia="宋体" w:cs="Times New Roman"/>
          <w:color w:val="auto"/>
          <w:szCs w:val="24"/>
        </w:rPr>
        <w:t>、</w:t>
      </w:r>
      <w:r>
        <w:rPr>
          <w:rFonts w:hint="default" w:ascii="Times New Roman" w:hAnsi="Times New Roman" w:eastAsia="宋体" w:cs="Times New Roman"/>
          <w:bCs/>
          <w:color w:val="auto"/>
          <w:szCs w:val="24"/>
        </w:rPr>
        <w:t>烟管荚蒾</w:t>
      </w:r>
      <w:r>
        <w:rPr>
          <w:rFonts w:hint="default" w:ascii="Times New Roman" w:hAnsi="Times New Roman" w:eastAsia="宋体" w:cs="Times New Roman"/>
          <w:bCs/>
          <w:i/>
          <w:color w:val="auto"/>
          <w:szCs w:val="24"/>
        </w:rPr>
        <w:t>Viburnum utile </w:t>
      </w:r>
      <w:r>
        <w:rPr>
          <w:rFonts w:hint="default" w:ascii="Times New Roman" w:hAnsi="Times New Roman" w:eastAsia="宋体" w:cs="Times New Roman"/>
          <w:bCs/>
          <w:color w:val="auto"/>
          <w:szCs w:val="24"/>
        </w:rPr>
        <w:t>、毡毛栒子</w:t>
      </w:r>
      <w:r>
        <w:rPr>
          <w:rFonts w:hint="default" w:ascii="Times New Roman" w:hAnsi="Times New Roman" w:eastAsia="宋体" w:cs="Times New Roman"/>
          <w:bCs/>
          <w:i/>
          <w:color w:val="auto"/>
          <w:szCs w:val="24"/>
        </w:rPr>
        <w:t>Cotoneaster pannosus、</w:t>
      </w:r>
      <w:r>
        <w:rPr>
          <w:rFonts w:hint="default" w:ascii="Times New Roman" w:hAnsi="Times New Roman" w:eastAsia="宋体" w:cs="Times New Roman"/>
          <w:color w:val="auto"/>
          <w:szCs w:val="24"/>
        </w:rPr>
        <w:t>黄茅</w:t>
      </w:r>
      <w:r>
        <w:rPr>
          <w:rFonts w:hint="default" w:ascii="Times New Roman" w:hAnsi="Times New Roman" w:eastAsia="宋体" w:cs="Times New Roman"/>
          <w:i/>
          <w:color w:val="auto"/>
          <w:szCs w:val="24"/>
        </w:rPr>
        <w:t>Heteropogon contortus</w:t>
      </w:r>
      <w:r>
        <w:rPr>
          <w:rFonts w:hint="default" w:ascii="Times New Roman" w:hAnsi="Times New Roman" w:eastAsia="宋体" w:cs="Times New Roman"/>
          <w:color w:val="auto"/>
          <w:szCs w:val="24"/>
        </w:rPr>
        <w:t>、旱茅</w:t>
      </w:r>
      <w:r>
        <w:rPr>
          <w:rFonts w:hint="default" w:ascii="Times New Roman" w:hAnsi="Times New Roman" w:eastAsia="宋体" w:cs="Times New Roman"/>
          <w:i/>
          <w:color w:val="auto"/>
          <w:szCs w:val="24"/>
        </w:rPr>
        <w:t>Schizachyrium delavayi</w:t>
      </w:r>
      <w:r>
        <w:rPr>
          <w:rFonts w:hint="default" w:ascii="Times New Roman" w:hAnsi="Times New Roman" w:eastAsia="宋体" w:cs="Times New Roman"/>
          <w:color w:val="auto"/>
          <w:szCs w:val="24"/>
        </w:rPr>
        <w:t>、短柄草</w:t>
      </w:r>
      <w:r>
        <w:rPr>
          <w:rFonts w:hint="default" w:ascii="Times New Roman" w:hAnsi="Times New Roman" w:eastAsia="宋体" w:cs="Times New Roman"/>
          <w:i/>
          <w:color w:val="auto"/>
          <w:szCs w:val="24"/>
        </w:rPr>
        <w:t>Brachypodium sylvaticum</w:t>
      </w:r>
      <w:r>
        <w:rPr>
          <w:rFonts w:hint="default" w:ascii="Times New Roman" w:hAnsi="Times New Roman" w:eastAsia="宋体" w:cs="Times New Roman"/>
          <w:color w:val="auto"/>
          <w:szCs w:val="24"/>
        </w:rPr>
        <w:t>、三花兔儿风</w:t>
      </w:r>
      <w:r>
        <w:rPr>
          <w:rFonts w:hint="default" w:ascii="Times New Roman" w:hAnsi="Times New Roman" w:eastAsia="宋体" w:cs="Times New Roman"/>
          <w:i/>
          <w:color w:val="auto"/>
          <w:szCs w:val="24"/>
        </w:rPr>
        <w:t>Ainsliaea latifolia</w:t>
      </w:r>
      <w:r>
        <w:rPr>
          <w:rFonts w:hint="default" w:ascii="Times New Roman" w:hAnsi="Times New Roman" w:eastAsia="宋体" w:cs="Times New Roman"/>
          <w:color w:val="auto"/>
          <w:szCs w:val="24"/>
        </w:rPr>
        <w:t>、唐松草</w:t>
      </w:r>
      <w:r>
        <w:rPr>
          <w:rFonts w:hint="default" w:ascii="Times New Roman" w:hAnsi="Times New Roman" w:eastAsia="宋体" w:cs="Times New Roman"/>
          <w:i/>
          <w:color w:val="auto"/>
          <w:szCs w:val="24"/>
        </w:rPr>
        <w:t>Thalictrum aquilegiifolium</w:t>
      </w:r>
      <w:r>
        <w:rPr>
          <w:rFonts w:hint="default" w:ascii="Times New Roman" w:hAnsi="Times New Roman" w:eastAsia="宋体" w:cs="Times New Roman"/>
          <w:color w:val="auto"/>
          <w:szCs w:val="24"/>
        </w:rPr>
        <w:t>、蕨</w:t>
      </w:r>
      <w:r>
        <w:rPr>
          <w:rFonts w:hint="default" w:ascii="Times New Roman" w:hAnsi="Times New Roman" w:eastAsia="宋体" w:cs="Times New Roman"/>
          <w:i/>
          <w:color w:val="auto"/>
          <w:szCs w:val="24"/>
        </w:rPr>
        <w:t>Pteridium aquilinum</w:t>
      </w:r>
      <w:r>
        <w:rPr>
          <w:rFonts w:hint="default" w:ascii="Times New Roman" w:hAnsi="Times New Roman" w:eastAsia="宋体" w:cs="Times New Roman"/>
          <w:color w:val="auto"/>
          <w:szCs w:val="24"/>
        </w:rPr>
        <w:t>等当地常见物种。工程永久占地范围内地表植物将永久性消失，工程的建设会造成一部分植物数量的减少，但由于工程占地范围内无珍稀濒危及保护植物分布，且占用的植物在工程区周边大量分布，因此工程建设虽会造成一部分植物数量的减少，但并不会造成任何一种植物的大面积减少和消失。项目建设将造成影响区以上植物物种数量上的减少，但不会对影响区的植物资源和物种多样性产生明显的不良影响。</w:t>
      </w:r>
    </w:p>
    <w:p w14:paraId="33283855">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②对珍稀濒危植物的影响</w:t>
      </w:r>
    </w:p>
    <w:p w14:paraId="2905F6D0">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lang w:val="zh-CN"/>
        </w:rPr>
      </w:pPr>
      <w:r>
        <w:rPr>
          <w:rFonts w:hint="default" w:ascii="Times New Roman" w:hAnsi="Times New Roman" w:eastAsia="宋体" w:cs="Times New Roman"/>
          <w:color w:val="auto"/>
          <w:lang w:val="zh-CN"/>
        </w:rPr>
        <w:t>根据</w:t>
      </w:r>
      <w:r>
        <w:rPr>
          <w:rFonts w:hint="default" w:ascii="Times New Roman" w:hAnsi="Times New Roman" w:eastAsia="宋体" w:cs="Times New Roman"/>
          <w:color w:val="auto"/>
        </w:rPr>
        <w:t>调查</w:t>
      </w:r>
      <w:r>
        <w:rPr>
          <w:rFonts w:hint="default" w:ascii="Times New Roman" w:hAnsi="Times New Roman" w:eastAsia="宋体" w:cs="Times New Roman"/>
          <w:color w:val="auto"/>
          <w:lang w:val="zh-CN"/>
        </w:rPr>
        <w:t>结果，本项目评价区范围内未发现有国家级、云南省级保护野生植物</w:t>
      </w:r>
      <w:r>
        <w:rPr>
          <w:rFonts w:hint="default" w:ascii="Times New Roman" w:hAnsi="Times New Roman" w:eastAsia="宋体" w:cs="Times New Roman"/>
          <w:color w:val="auto"/>
        </w:rPr>
        <w:t>和古树名木分布</w:t>
      </w:r>
      <w:r>
        <w:rPr>
          <w:rFonts w:hint="default" w:ascii="Times New Roman" w:hAnsi="Times New Roman" w:eastAsia="宋体" w:cs="Times New Roman"/>
          <w:color w:val="auto"/>
          <w:lang w:val="zh-CN"/>
        </w:rPr>
        <w:t>，工程建设对野生保护植物</w:t>
      </w:r>
      <w:r>
        <w:rPr>
          <w:rFonts w:hint="default" w:ascii="Times New Roman" w:hAnsi="Times New Roman" w:eastAsia="宋体" w:cs="Times New Roman"/>
          <w:color w:val="auto"/>
        </w:rPr>
        <w:t>和古树名木</w:t>
      </w:r>
      <w:r>
        <w:rPr>
          <w:rFonts w:hint="default" w:ascii="Times New Roman" w:hAnsi="Times New Roman" w:eastAsia="宋体" w:cs="Times New Roman"/>
          <w:color w:val="auto"/>
          <w:lang w:val="zh-CN"/>
        </w:rPr>
        <w:t>无影响。同时，野外调查在评价区范围内未发现云南省极小种群物种，未发现评价区内有区域狭域物种分布、未发现名木古树分布，因此本工程建设对重要物种无直接影响。</w:t>
      </w:r>
    </w:p>
    <w:p w14:paraId="64DA4C8C">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83" w:name="_Toc6570"/>
      <w:r>
        <w:rPr>
          <w:rFonts w:hint="default" w:ascii="Times New Roman" w:hAnsi="Times New Roman" w:cs="Times New Roman"/>
          <w:color w:val="auto"/>
          <w:sz w:val="24"/>
          <w:szCs w:val="24"/>
        </w:rPr>
        <w:t>3.3.2运行期影响</w:t>
      </w:r>
      <w:bookmarkEnd w:id="283"/>
    </w:p>
    <w:p w14:paraId="25B77F89">
      <w:pPr>
        <w:autoSpaceDE w:val="0"/>
        <w:autoSpaceDN w:val="0"/>
        <w:adjustRightInd w:val="0"/>
        <w:snapToGrid w:val="0"/>
        <w:spacing w:after="0" w:line="440" w:lineRule="exact"/>
        <w:ind w:firstLine="480"/>
        <w:rPr>
          <w:rFonts w:hint="default" w:ascii="Times New Roman" w:hAnsi="Times New Roman" w:eastAsia="宋体" w:cs="Times New Roman"/>
          <w:color w:val="auto"/>
          <w:kern w:val="0"/>
          <w:szCs w:val="24"/>
        </w:rPr>
      </w:pPr>
      <w:r>
        <w:rPr>
          <w:rFonts w:hint="default" w:ascii="Times New Roman" w:hAnsi="Times New Roman" w:eastAsia="宋体" w:cs="Times New Roman"/>
          <w:color w:val="auto"/>
          <w:kern w:val="0"/>
          <w:szCs w:val="24"/>
        </w:rPr>
        <w:t>线路运营期对评价区植物资源的影响不大，可能造成的影响来自以下方面：</w:t>
      </w:r>
    </w:p>
    <w:p w14:paraId="0BA47B19">
      <w:pPr>
        <w:autoSpaceDE w:val="0"/>
        <w:autoSpaceDN w:val="0"/>
        <w:adjustRightInd w:val="0"/>
        <w:snapToGrid w:val="0"/>
        <w:spacing w:after="0" w:line="440" w:lineRule="exact"/>
        <w:ind w:firstLine="480"/>
        <w:rPr>
          <w:rFonts w:hint="default" w:ascii="Times New Roman" w:hAnsi="Times New Roman" w:eastAsia="宋体" w:cs="Times New Roman"/>
          <w:color w:val="auto"/>
          <w:kern w:val="0"/>
          <w:szCs w:val="24"/>
        </w:rPr>
      </w:pPr>
      <w:r>
        <w:rPr>
          <w:rFonts w:hint="default" w:ascii="Times New Roman" w:hAnsi="Times New Roman" w:eastAsia="宋体" w:cs="Times New Roman"/>
          <w:color w:val="auto"/>
          <w:kern w:val="0"/>
          <w:szCs w:val="24"/>
        </w:rPr>
        <w:t>线路建成后随着巡护人员的增加，使许多原先行人不能进入的地区变得易于进入。</w:t>
      </w:r>
    </w:p>
    <w:p w14:paraId="401316C5">
      <w:pPr>
        <w:autoSpaceDE w:val="0"/>
        <w:autoSpaceDN w:val="0"/>
        <w:adjustRightInd w:val="0"/>
        <w:snapToGrid w:val="0"/>
        <w:spacing w:after="0" w:line="440" w:lineRule="exact"/>
        <w:ind w:firstLine="480"/>
        <w:rPr>
          <w:rFonts w:hint="default" w:ascii="Times New Roman" w:hAnsi="Times New Roman" w:eastAsia="宋体" w:cs="Times New Roman"/>
          <w:color w:val="auto"/>
          <w:kern w:val="0"/>
          <w:szCs w:val="24"/>
        </w:rPr>
      </w:pPr>
      <w:r>
        <w:rPr>
          <w:rFonts w:hint="default" w:ascii="Times New Roman" w:hAnsi="Times New Roman" w:eastAsia="宋体" w:cs="Times New Roman"/>
          <w:color w:val="auto"/>
          <w:kern w:val="0"/>
          <w:szCs w:val="24"/>
        </w:rPr>
        <w:t>②现场调查表明，评价区列入环保部公布的第一批（2003）和第二批（2010）外来入侵物种名单有</w:t>
      </w:r>
      <w:r>
        <w:rPr>
          <w:rFonts w:hint="default" w:ascii="Times New Roman" w:hAnsi="Times New Roman" w:eastAsia="宋体" w:cs="Times New Roman"/>
          <w:color w:val="auto"/>
          <w:szCs w:val="24"/>
        </w:rPr>
        <w:t>紫茎泽兰</w:t>
      </w:r>
      <w:r>
        <w:rPr>
          <w:rFonts w:hint="default" w:ascii="Times New Roman" w:hAnsi="Times New Roman" w:eastAsia="宋体" w:cs="Times New Roman"/>
          <w:i/>
          <w:iCs/>
          <w:color w:val="auto"/>
          <w:szCs w:val="24"/>
        </w:rPr>
        <w:t>Ageratina adenophora</w:t>
      </w:r>
      <w:r>
        <w:rPr>
          <w:rFonts w:hint="default" w:ascii="Times New Roman" w:hAnsi="Times New Roman" w:eastAsia="宋体" w:cs="Times New Roman"/>
          <w:color w:val="auto"/>
          <w:szCs w:val="24"/>
        </w:rPr>
        <w:t>、白酒草</w:t>
      </w:r>
      <w:r>
        <w:rPr>
          <w:rFonts w:hint="default" w:ascii="Times New Roman" w:hAnsi="Times New Roman" w:eastAsia="宋体" w:cs="Times New Roman"/>
          <w:i/>
          <w:iCs/>
          <w:color w:val="auto"/>
          <w:szCs w:val="24"/>
        </w:rPr>
        <w:t>Eschenbachia japonica</w:t>
      </w:r>
      <w:r>
        <w:rPr>
          <w:rFonts w:hint="default" w:ascii="Times New Roman" w:hAnsi="Times New Roman" w:eastAsia="宋体" w:cs="Times New Roman"/>
          <w:color w:val="auto"/>
          <w:szCs w:val="24"/>
        </w:rPr>
        <w:t> 、革命菜</w:t>
      </w:r>
      <w:r>
        <w:rPr>
          <w:rFonts w:hint="default" w:ascii="Times New Roman" w:hAnsi="Times New Roman" w:eastAsia="宋体" w:cs="Times New Roman"/>
          <w:i/>
          <w:iCs/>
          <w:color w:val="auto"/>
          <w:szCs w:val="24"/>
        </w:rPr>
        <w:t>Crassocephalum crepidioides</w:t>
      </w:r>
      <w:r>
        <w:rPr>
          <w:rFonts w:hint="default" w:ascii="Times New Roman" w:hAnsi="Times New Roman" w:eastAsia="宋体" w:cs="Times New Roman"/>
          <w:color w:val="auto"/>
          <w:szCs w:val="24"/>
        </w:rPr>
        <w:t>、牛膝菊</w:t>
      </w:r>
      <w:r>
        <w:rPr>
          <w:rFonts w:hint="default" w:ascii="Times New Roman" w:hAnsi="Times New Roman" w:eastAsia="宋体" w:cs="Times New Roman"/>
          <w:i/>
          <w:iCs/>
          <w:color w:val="auto"/>
          <w:szCs w:val="24"/>
        </w:rPr>
        <w:t>Galinsoga parviflora</w:t>
      </w:r>
      <w:r>
        <w:rPr>
          <w:rFonts w:hint="default" w:ascii="Times New Roman" w:hAnsi="Times New Roman" w:eastAsia="宋体" w:cs="Times New Roman"/>
          <w:color w:val="auto"/>
          <w:szCs w:val="24"/>
        </w:rPr>
        <w:t>、牛膝菊、鬼针草</w:t>
      </w:r>
      <w:r>
        <w:rPr>
          <w:rFonts w:hint="default" w:ascii="Times New Roman" w:hAnsi="Times New Roman" w:eastAsia="宋体" w:cs="Times New Roman"/>
          <w:i/>
          <w:iCs/>
          <w:color w:val="auto"/>
          <w:szCs w:val="24"/>
        </w:rPr>
        <w:t>Biden spilosa</w:t>
      </w:r>
      <w:r>
        <w:rPr>
          <w:rFonts w:hint="default" w:ascii="Times New Roman" w:hAnsi="Times New Roman" w:eastAsia="宋体" w:cs="Times New Roman"/>
          <w:color w:val="auto"/>
          <w:kern w:val="0"/>
          <w:szCs w:val="24"/>
        </w:rPr>
        <w:t>等5种。在评价区内分布均较多，甚至在部分天然林下，鬼针草和紫茎泽兰呈优势分布。</w:t>
      </w:r>
    </w:p>
    <w:p w14:paraId="375D4F3F">
      <w:pPr>
        <w:autoSpaceDE w:val="0"/>
        <w:autoSpaceDN w:val="0"/>
        <w:adjustRightInd w:val="0"/>
        <w:snapToGrid w:val="0"/>
        <w:spacing w:after="0" w:line="440" w:lineRule="exact"/>
        <w:ind w:firstLine="480"/>
        <w:rPr>
          <w:rFonts w:hint="default" w:ascii="Times New Roman" w:hAnsi="Times New Roman" w:eastAsia="宋体" w:cs="Times New Roman"/>
          <w:color w:val="auto"/>
          <w:kern w:val="0"/>
          <w:szCs w:val="24"/>
        </w:rPr>
      </w:pPr>
      <w:r>
        <w:rPr>
          <w:rFonts w:hint="default" w:ascii="Times New Roman" w:hAnsi="Times New Roman" w:eastAsia="宋体" w:cs="Times New Roman"/>
          <w:color w:val="auto"/>
          <w:kern w:val="0"/>
          <w:szCs w:val="24"/>
        </w:rPr>
        <w:t>项目施工中及建成后的廊道效应可能会引起沿线现有外来物种的分布范围扩大，工程建设形成裸地，若不及时进行采用本地物种绿化，可能会造成局部区域外来物种侵入并逐步形成单一优势植物群落，进而对本地物种造成不利影响。外来物种入侵会降低群落物种多样性，减缓群落正常演替的速度，对群落生态功能的持续增强和发挥产生一定不利影响。</w:t>
      </w:r>
    </w:p>
    <w:p w14:paraId="11B5E8E6">
      <w:pPr>
        <w:autoSpaceDE w:val="0"/>
        <w:autoSpaceDN w:val="0"/>
        <w:adjustRightInd w:val="0"/>
        <w:snapToGrid w:val="0"/>
        <w:spacing w:after="0" w:line="440" w:lineRule="exact"/>
        <w:ind w:firstLine="480"/>
        <w:rPr>
          <w:rFonts w:hint="default" w:ascii="Times New Roman" w:hAnsi="Times New Roman" w:eastAsia="宋体" w:cs="Times New Roman"/>
          <w:color w:val="auto"/>
          <w:kern w:val="0"/>
          <w:szCs w:val="24"/>
        </w:rPr>
      </w:pPr>
      <w:r>
        <w:rPr>
          <w:rFonts w:hint="default" w:ascii="Times New Roman" w:hAnsi="Times New Roman" w:eastAsia="宋体" w:cs="Times New Roman"/>
          <w:color w:val="auto"/>
          <w:kern w:val="0"/>
          <w:szCs w:val="24"/>
        </w:rPr>
        <w:t>应采取针对性措施预防因项目建设引起外来物种明显扩大分布范围，进一步加重生物入侵，特别是经过保护植物集中分布区路段应重点加大预防工作力度。</w:t>
      </w:r>
    </w:p>
    <w:p w14:paraId="0AB47E33">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84" w:name="_Toc18549"/>
      <w:r>
        <w:rPr>
          <w:rFonts w:hint="default" w:ascii="Times New Roman" w:hAnsi="Times New Roman" w:cs="Times New Roman"/>
          <w:color w:val="auto"/>
          <w:sz w:val="24"/>
          <w:szCs w:val="24"/>
        </w:rPr>
        <w:t>3.3.3对外来入侵植物的影响</w:t>
      </w:r>
      <w:bookmarkEnd w:id="284"/>
    </w:p>
    <w:p w14:paraId="495A184F">
      <w:pPr>
        <w:adjustRightInd w:val="0"/>
        <w:snapToGrid w:val="0"/>
        <w:spacing w:after="0" w:line="440" w:lineRule="exact"/>
        <w:ind w:firstLine="480"/>
        <w:rPr>
          <w:rFonts w:hint="default" w:ascii="Times New Roman" w:hAnsi="Times New Roman" w:cs="Times New Roman"/>
          <w:color w:val="auto"/>
          <w:szCs w:val="24"/>
        </w:rPr>
      </w:pPr>
      <w:r>
        <w:rPr>
          <w:rFonts w:hint="default" w:ascii="Times New Roman" w:hAnsi="Times New Roman" w:eastAsia="宋体" w:cs="Times New Roman"/>
          <w:color w:val="auto"/>
          <w:szCs w:val="24"/>
        </w:rPr>
        <w:t>本项目输电线路跨度较大，施工期全线开工，人流、车流量较大，人员出入及材料的运输等传播途径可能带来一些外来物种，工程的施工会形成少量地表裸露的环境，其生境或植物群落的类型和结构会发生轻微变化，在这些生境中会随机带入外来植物，如紫茎泽兰、鬼针草等，使其分布范围有所扩大，外来物种在一定范围内若形成优势群落，将对当地物种产生一定的排斥，使区域内植被类型受到一定的影响。本项目施工周期较短，塔基点状施工造成的开挖裸露面不大，施工期尽量选择当地的旱季，且塔基开挖到浇筑到安装铁塔的持续时间很短，根据项目施工设计，不会超过5个月，不会造成外来入侵植物短期大量增长的情况。在施工中通过采取严格检查进入施工区车辆和材料、及时销毁外来种等措施，可有效控制外来入侵植物影响急剧恶化的状况发生。</w:t>
      </w:r>
    </w:p>
    <w:p w14:paraId="206367DE">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285" w:name="_Toc5869"/>
      <w:bookmarkStart w:id="286" w:name="_Toc15723"/>
      <w:r>
        <w:rPr>
          <w:rFonts w:hint="default" w:ascii="Times New Roman" w:hAnsi="Times New Roman" w:eastAsia="宋体" w:cs="Times New Roman"/>
          <w:bCs w:val="0"/>
          <w:color w:val="auto"/>
          <w:kern w:val="0"/>
          <w:sz w:val="28"/>
          <w:szCs w:val="28"/>
          <w:lang w:val="zh-CN"/>
        </w:rPr>
        <w:t>3.4对生态系统影响</w:t>
      </w:r>
      <w:bookmarkEnd w:id="285"/>
      <w:bookmarkEnd w:id="286"/>
    </w:p>
    <w:p w14:paraId="209468F9">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87" w:name="_Toc25655"/>
      <w:r>
        <w:rPr>
          <w:rFonts w:hint="default" w:ascii="Times New Roman" w:hAnsi="Times New Roman" w:cs="Times New Roman"/>
          <w:color w:val="auto"/>
          <w:sz w:val="24"/>
          <w:szCs w:val="24"/>
        </w:rPr>
        <w:t>3.4.1对植被生产力影响</w:t>
      </w:r>
      <w:bookmarkEnd w:id="287"/>
    </w:p>
    <w:p w14:paraId="788BCA35">
      <w:pPr>
        <w:pStyle w:val="92"/>
        <w:adjustRightInd w:val="0"/>
        <w:snapToGrid w:val="0"/>
        <w:spacing w:after="0" w:line="440" w:lineRule="exact"/>
        <w:ind w:firstLine="480"/>
        <w:jc w:val="both"/>
        <w:rPr>
          <w:rFonts w:hint="default" w:ascii="Times New Roman" w:hAnsi="Times New Roman" w:cs="Times New Roman"/>
          <w:bCs/>
          <w:color w:val="auto"/>
          <w:sz w:val="24"/>
        </w:rPr>
      </w:pPr>
      <w:r>
        <w:rPr>
          <w:rFonts w:hint="default" w:ascii="Times New Roman" w:hAnsi="Times New Roman" w:cs="Times New Roman"/>
          <w:bCs/>
          <w:color w:val="auto"/>
          <w:sz w:val="24"/>
        </w:rPr>
        <w:t>根据占地数据及各植被类型的平均生产力，计算拟建项目永久占地引起的植被生产力损失。</w:t>
      </w:r>
    </w:p>
    <w:p w14:paraId="25D94479">
      <w:pPr>
        <w:adjustRightInd w:val="0"/>
        <w:snapToGrid w:val="0"/>
        <w:spacing w:after="0" w:line="240" w:lineRule="auto"/>
        <w:ind w:firstLine="482"/>
        <w:jc w:val="center"/>
        <w:rPr>
          <w:rFonts w:hint="default" w:ascii="Times New Roman" w:hAnsi="Times New Roman" w:cs="Times New Roman"/>
          <w:b/>
          <w:color w:val="auto"/>
          <w:szCs w:val="24"/>
        </w:rPr>
      </w:pPr>
      <w:r>
        <w:rPr>
          <w:rFonts w:hint="default" w:ascii="Times New Roman" w:hAnsi="Times New Roman" w:cs="Times New Roman"/>
          <w:b/>
          <w:color w:val="auto"/>
          <w:szCs w:val="24"/>
        </w:rPr>
        <w:t>表3.4-1  评价区占用植被类型及生产力损失估算表</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980"/>
        <w:gridCol w:w="1263"/>
        <w:gridCol w:w="1310"/>
        <w:gridCol w:w="1305"/>
        <w:gridCol w:w="1207"/>
      </w:tblGrid>
      <w:tr w14:paraId="661AB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536" w:type="pct"/>
            <w:vMerge w:val="restart"/>
            <w:tcBorders>
              <w:tl2br w:val="nil"/>
              <w:tr2bl w:val="nil"/>
            </w:tcBorders>
            <w:shd w:val="clear" w:color="auto" w:fill="auto"/>
            <w:vAlign w:val="center"/>
          </w:tcPr>
          <w:p w14:paraId="1B249B1E">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生态系统类型</w:t>
            </w:r>
          </w:p>
        </w:tc>
        <w:tc>
          <w:tcPr>
            <w:tcW w:w="1281" w:type="pct"/>
            <w:gridSpan w:val="2"/>
            <w:tcBorders>
              <w:tl2br w:val="nil"/>
              <w:tr2bl w:val="nil"/>
            </w:tcBorders>
            <w:shd w:val="clear" w:color="auto" w:fill="auto"/>
            <w:vAlign w:val="center"/>
          </w:tcPr>
          <w:p w14:paraId="665F9A79">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占用面积（hm</w:t>
            </w:r>
            <w:r>
              <w:rPr>
                <w:rFonts w:hint="default" w:ascii="Times New Roman" w:hAnsi="Times New Roman" w:eastAsia="宋体" w:cs="Times New Roman"/>
                <w:b/>
                <w:bCs/>
                <w:color w:val="auto"/>
                <w:sz w:val="21"/>
                <w:szCs w:val="21"/>
                <w:vertAlign w:val="superscript"/>
              </w:rPr>
              <w:t>2）</w:t>
            </w:r>
          </w:p>
        </w:tc>
        <w:tc>
          <w:tcPr>
            <w:tcW w:w="748" w:type="pct"/>
            <w:vMerge w:val="restart"/>
            <w:tcBorders>
              <w:tl2br w:val="nil"/>
              <w:tr2bl w:val="nil"/>
            </w:tcBorders>
            <w:shd w:val="clear" w:color="auto" w:fill="auto"/>
            <w:vAlign w:val="center"/>
          </w:tcPr>
          <w:p w14:paraId="7CB60638">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平均生产力（t/ a）</w:t>
            </w:r>
          </w:p>
        </w:tc>
        <w:tc>
          <w:tcPr>
            <w:tcW w:w="1434" w:type="pct"/>
            <w:gridSpan w:val="2"/>
            <w:tcBorders>
              <w:tl2br w:val="nil"/>
              <w:tr2bl w:val="nil"/>
            </w:tcBorders>
            <w:shd w:val="clear" w:color="auto" w:fill="auto"/>
            <w:vAlign w:val="center"/>
          </w:tcPr>
          <w:p w14:paraId="6E19929E">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损失生产力（t/a）</w:t>
            </w:r>
          </w:p>
        </w:tc>
      </w:tr>
      <w:tr w14:paraId="39E3B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1536" w:type="pct"/>
            <w:vMerge w:val="continue"/>
            <w:tcBorders>
              <w:tl2br w:val="nil"/>
              <w:tr2bl w:val="nil"/>
            </w:tcBorders>
            <w:shd w:val="clear" w:color="auto" w:fill="auto"/>
            <w:vAlign w:val="center"/>
          </w:tcPr>
          <w:p w14:paraId="29D462C3">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p>
        </w:tc>
        <w:tc>
          <w:tcPr>
            <w:tcW w:w="560" w:type="pct"/>
            <w:tcBorders>
              <w:tl2br w:val="nil"/>
              <w:tr2bl w:val="nil"/>
            </w:tcBorders>
            <w:shd w:val="clear" w:color="auto" w:fill="auto"/>
            <w:vAlign w:val="center"/>
          </w:tcPr>
          <w:p w14:paraId="53DDA868">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永久</w:t>
            </w:r>
          </w:p>
        </w:tc>
        <w:tc>
          <w:tcPr>
            <w:tcW w:w="721" w:type="pct"/>
            <w:tcBorders>
              <w:tl2br w:val="nil"/>
              <w:tr2bl w:val="nil"/>
            </w:tcBorders>
            <w:shd w:val="clear" w:color="auto" w:fill="auto"/>
            <w:vAlign w:val="center"/>
          </w:tcPr>
          <w:p w14:paraId="79928840">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临时</w:t>
            </w:r>
          </w:p>
        </w:tc>
        <w:tc>
          <w:tcPr>
            <w:tcW w:w="748" w:type="pct"/>
            <w:vMerge w:val="continue"/>
            <w:tcBorders>
              <w:tl2br w:val="nil"/>
              <w:tr2bl w:val="nil"/>
            </w:tcBorders>
            <w:shd w:val="clear" w:color="auto" w:fill="auto"/>
            <w:vAlign w:val="center"/>
          </w:tcPr>
          <w:p w14:paraId="058203BA">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p>
        </w:tc>
        <w:tc>
          <w:tcPr>
            <w:tcW w:w="745" w:type="pct"/>
            <w:tcBorders>
              <w:tl2br w:val="nil"/>
              <w:tr2bl w:val="nil"/>
            </w:tcBorders>
            <w:shd w:val="clear" w:color="auto" w:fill="auto"/>
            <w:vAlign w:val="center"/>
          </w:tcPr>
          <w:p w14:paraId="67D5AF70">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永久</w:t>
            </w:r>
          </w:p>
        </w:tc>
        <w:tc>
          <w:tcPr>
            <w:tcW w:w="689" w:type="pct"/>
            <w:tcBorders>
              <w:tl2br w:val="nil"/>
              <w:tr2bl w:val="nil"/>
            </w:tcBorders>
            <w:shd w:val="clear" w:color="auto" w:fill="auto"/>
            <w:vAlign w:val="center"/>
          </w:tcPr>
          <w:p w14:paraId="0BB856B9">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临时</w:t>
            </w:r>
          </w:p>
        </w:tc>
      </w:tr>
      <w:tr w14:paraId="5E62B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536" w:type="pct"/>
            <w:tcBorders>
              <w:tl2br w:val="nil"/>
              <w:tr2bl w:val="nil"/>
            </w:tcBorders>
            <w:shd w:val="clear" w:color="auto" w:fill="auto"/>
            <w:vAlign w:val="center"/>
          </w:tcPr>
          <w:p w14:paraId="6F8D7C6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森林生态系统—针叶林</w:t>
            </w:r>
          </w:p>
        </w:tc>
        <w:tc>
          <w:tcPr>
            <w:tcW w:w="955" w:type="dxa"/>
            <w:tcBorders>
              <w:tl2br w:val="nil"/>
              <w:tr2bl w:val="nil"/>
            </w:tcBorders>
            <w:shd w:val="clear" w:color="auto" w:fill="auto"/>
            <w:vAlign w:val="center"/>
          </w:tcPr>
          <w:p w14:paraId="21EB891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0.20882</w:t>
            </w:r>
          </w:p>
        </w:tc>
        <w:tc>
          <w:tcPr>
            <w:tcW w:w="1229" w:type="dxa"/>
            <w:tcBorders>
              <w:tl2br w:val="nil"/>
              <w:tr2bl w:val="nil"/>
            </w:tcBorders>
            <w:shd w:val="clear" w:color="auto" w:fill="auto"/>
            <w:vAlign w:val="center"/>
          </w:tcPr>
          <w:p w14:paraId="63F60373">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0.229</w:t>
            </w:r>
          </w:p>
        </w:tc>
        <w:tc>
          <w:tcPr>
            <w:tcW w:w="1275" w:type="dxa"/>
            <w:tcBorders>
              <w:tl2br w:val="nil"/>
              <w:tr2bl w:val="nil"/>
            </w:tcBorders>
            <w:shd w:val="clear" w:color="auto" w:fill="auto"/>
            <w:vAlign w:val="center"/>
          </w:tcPr>
          <w:p w14:paraId="6FEF4E6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10.47</w:t>
            </w:r>
          </w:p>
        </w:tc>
        <w:tc>
          <w:tcPr>
            <w:tcW w:w="1270" w:type="dxa"/>
            <w:tcBorders>
              <w:tl2br w:val="nil"/>
              <w:tr2bl w:val="nil"/>
            </w:tcBorders>
            <w:shd w:val="clear" w:color="auto" w:fill="auto"/>
            <w:vAlign w:val="center"/>
          </w:tcPr>
          <w:p w14:paraId="4A9FE0B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2.186</w:t>
            </w:r>
          </w:p>
        </w:tc>
        <w:tc>
          <w:tcPr>
            <w:tcW w:w="1175" w:type="dxa"/>
            <w:tcBorders>
              <w:tl2br w:val="nil"/>
              <w:tr2bl w:val="nil"/>
            </w:tcBorders>
            <w:shd w:val="clear" w:color="auto" w:fill="auto"/>
            <w:vAlign w:val="center"/>
          </w:tcPr>
          <w:p w14:paraId="727DC7B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2.3976</w:t>
            </w:r>
          </w:p>
        </w:tc>
      </w:tr>
      <w:tr w14:paraId="64BC2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536" w:type="pct"/>
            <w:tcBorders>
              <w:tl2br w:val="nil"/>
              <w:tr2bl w:val="nil"/>
            </w:tcBorders>
            <w:shd w:val="clear" w:color="auto" w:fill="auto"/>
            <w:vAlign w:val="center"/>
          </w:tcPr>
          <w:p w14:paraId="0BED2300">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灌丛生态系统—阔叶灌丛</w:t>
            </w:r>
          </w:p>
        </w:tc>
        <w:tc>
          <w:tcPr>
            <w:tcW w:w="955" w:type="dxa"/>
            <w:tcBorders>
              <w:tl2br w:val="nil"/>
              <w:tr2bl w:val="nil"/>
            </w:tcBorders>
            <w:shd w:val="clear" w:color="auto" w:fill="auto"/>
            <w:vAlign w:val="center"/>
          </w:tcPr>
          <w:p w14:paraId="23647A4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1229" w:type="dxa"/>
            <w:tcBorders>
              <w:tl2br w:val="nil"/>
              <w:tr2bl w:val="nil"/>
            </w:tcBorders>
            <w:shd w:val="clear" w:color="auto" w:fill="auto"/>
            <w:vAlign w:val="center"/>
          </w:tcPr>
          <w:p w14:paraId="60B420B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1275" w:type="dxa"/>
            <w:tcBorders>
              <w:tl2br w:val="nil"/>
              <w:tr2bl w:val="nil"/>
            </w:tcBorders>
            <w:shd w:val="clear" w:color="auto" w:fill="auto"/>
            <w:vAlign w:val="center"/>
          </w:tcPr>
          <w:p w14:paraId="79577F9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9.4</w:t>
            </w:r>
          </w:p>
        </w:tc>
        <w:tc>
          <w:tcPr>
            <w:tcW w:w="1270" w:type="dxa"/>
            <w:tcBorders>
              <w:tl2br w:val="nil"/>
              <w:tr2bl w:val="nil"/>
            </w:tcBorders>
            <w:shd w:val="clear" w:color="auto" w:fill="auto"/>
            <w:vAlign w:val="center"/>
          </w:tcPr>
          <w:p w14:paraId="2CC6BAC5">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1175" w:type="dxa"/>
            <w:tcBorders>
              <w:tl2br w:val="nil"/>
              <w:tr2bl w:val="nil"/>
            </w:tcBorders>
            <w:shd w:val="clear" w:color="auto" w:fill="auto"/>
            <w:vAlign w:val="center"/>
          </w:tcPr>
          <w:p w14:paraId="5EF7D53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r>
      <w:tr w14:paraId="185FD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536" w:type="pct"/>
            <w:tcBorders>
              <w:tl2br w:val="nil"/>
              <w:tr2bl w:val="nil"/>
            </w:tcBorders>
            <w:shd w:val="clear" w:color="auto" w:fill="auto"/>
            <w:vAlign w:val="center"/>
          </w:tcPr>
          <w:p w14:paraId="20E758A5">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草丛生态系统—草丛</w:t>
            </w:r>
          </w:p>
        </w:tc>
        <w:tc>
          <w:tcPr>
            <w:tcW w:w="955" w:type="dxa"/>
            <w:tcBorders>
              <w:tl2br w:val="nil"/>
              <w:tr2bl w:val="nil"/>
            </w:tcBorders>
            <w:shd w:val="clear" w:color="auto" w:fill="auto"/>
            <w:vAlign w:val="center"/>
          </w:tcPr>
          <w:p w14:paraId="6640666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1229" w:type="dxa"/>
            <w:tcBorders>
              <w:tl2br w:val="nil"/>
              <w:tr2bl w:val="nil"/>
            </w:tcBorders>
            <w:shd w:val="clear" w:color="auto" w:fill="auto"/>
            <w:vAlign w:val="center"/>
          </w:tcPr>
          <w:p w14:paraId="4FA4E9D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0.11</w:t>
            </w:r>
          </w:p>
        </w:tc>
        <w:tc>
          <w:tcPr>
            <w:tcW w:w="1275" w:type="dxa"/>
            <w:tcBorders>
              <w:tl2br w:val="nil"/>
              <w:tr2bl w:val="nil"/>
            </w:tcBorders>
            <w:shd w:val="clear" w:color="auto" w:fill="auto"/>
            <w:vAlign w:val="center"/>
          </w:tcPr>
          <w:p w14:paraId="04AC8D7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w:t>
            </w:r>
          </w:p>
        </w:tc>
        <w:tc>
          <w:tcPr>
            <w:tcW w:w="1270" w:type="dxa"/>
            <w:tcBorders>
              <w:tl2br w:val="nil"/>
              <w:tr2bl w:val="nil"/>
            </w:tcBorders>
            <w:shd w:val="clear" w:color="auto" w:fill="auto"/>
            <w:vAlign w:val="center"/>
          </w:tcPr>
          <w:p w14:paraId="6ABBE153">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1175" w:type="dxa"/>
            <w:tcBorders>
              <w:tl2br w:val="nil"/>
              <w:tr2bl w:val="nil"/>
            </w:tcBorders>
            <w:shd w:val="clear" w:color="auto" w:fill="auto"/>
            <w:vAlign w:val="center"/>
          </w:tcPr>
          <w:p w14:paraId="44C017D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0.99</w:t>
            </w:r>
          </w:p>
        </w:tc>
      </w:tr>
      <w:tr w14:paraId="4AA97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1536" w:type="pct"/>
            <w:tcBorders>
              <w:tl2br w:val="nil"/>
              <w:tr2bl w:val="nil"/>
            </w:tcBorders>
            <w:shd w:val="clear" w:color="auto" w:fill="auto"/>
            <w:vAlign w:val="center"/>
          </w:tcPr>
          <w:p w14:paraId="2F28A1B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农田生态系统—耕地</w:t>
            </w:r>
          </w:p>
        </w:tc>
        <w:tc>
          <w:tcPr>
            <w:tcW w:w="955" w:type="dxa"/>
            <w:tcBorders>
              <w:tl2br w:val="nil"/>
              <w:tr2bl w:val="nil"/>
            </w:tcBorders>
            <w:shd w:val="clear" w:color="auto" w:fill="auto"/>
            <w:vAlign w:val="center"/>
          </w:tcPr>
          <w:p w14:paraId="44D04C2F">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0.04613</w:t>
            </w:r>
          </w:p>
        </w:tc>
        <w:tc>
          <w:tcPr>
            <w:tcW w:w="1229" w:type="dxa"/>
            <w:tcBorders>
              <w:tl2br w:val="nil"/>
              <w:tr2bl w:val="nil"/>
            </w:tcBorders>
            <w:shd w:val="clear" w:color="auto" w:fill="auto"/>
            <w:vAlign w:val="center"/>
          </w:tcPr>
          <w:p w14:paraId="0607801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0.015</w:t>
            </w:r>
          </w:p>
        </w:tc>
        <w:tc>
          <w:tcPr>
            <w:tcW w:w="1275" w:type="dxa"/>
            <w:tcBorders>
              <w:tl2br w:val="nil"/>
              <w:tr2bl w:val="nil"/>
            </w:tcBorders>
            <w:shd w:val="clear" w:color="auto" w:fill="auto"/>
            <w:vAlign w:val="center"/>
          </w:tcPr>
          <w:p w14:paraId="68C9C41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6.5</w:t>
            </w:r>
          </w:p>
        </w:tc>
        <w:tc>
          <w:tcPr>
            <w:tcW w:w="1270" w:type="dxa"/>
            <w:tcBorders>
              <w:tl2br w:val="nil"/>
              <w:tr2bl w:val="nil"/>
            </w:tcBorders>
            <w:shd w:val="clear" w:color="auto" w:fill="auto"/>
            <w:vAlign w:val="center"/>
          </w:tcPr>
          <w:p w14:paraId="1F74F9C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0.299</w:t>
            </w:r>
          </w:p>
        </w:tc>
        <w:tc>
          <w:tcPr>
            <w:tcW w:w="1175" w:type="dxa"/>
            <w:tcBorders>
              <w:tl2br w:val="nil"/>
              <w:tr2bl w:val="nil"/>
            </w:tcBorders>
            <w:shd w:val="clear" w:color="auto" w:fill="auto"/>
            <w:vAlign w:val="center"/>
          </w:tcPr>
          <w:p w14:paraId="65A01DF0">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0.097</w:t>
            </w:r>
          </w:p>
        </w:tc>
      </w:tr>
    </w:tbl>
    <w:p w14:paraId="61A145AA">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临时用地区在施工结束后可以恢复，因而其生物量损失是暂时的。</w:t>
      </w:r>
    </w:p>
    <w:p w14:paraId="02FA7D67">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由上表可知，</w:t>
      </w:r>
      <w:bookmarkStart w:id="288" w:name="_Hlk233031476"/>
      <w:r>
        <w:rPr>
          <w:rFonts w:hint="default" w:ascii="Times New Roman" w:hAnsi="Times New Roman" w:eastAsia="宋体" w:cs="Times New Roman"/>
          <w:color w:val="auto"/>
          <w:szCs w:val="24"/>
        </w:rPr>
        <w:t>工程占用森林生态系统—针叶林损失生产力2.186</w:t>
      </w:r>
      <w:r>
        <w:rPr>
          <w:rFonts w:hint="default" w:ascii="Times New Roman" w:hAnsi="Times New Roman" w:eastAsia="宋体" w:cs="Times New Roman"/>
          <w:color w:val="auto"/>
          <w:sz w:val="21"/>
          <w:szCs w:val="21"/>
        </w:rPr>
        <w:t>t/a</w:t>
      </w:r>
      <w:r>
        <w:rPr>
          <w:rFonts w:hint="default" w:ascii="Times New Roman" w:hAnsi="Times New Roman" w:eastAsia="宋体" w:cs="Times New Roman"/>
          <w:color w:val="auto"/>
          <w:szCs w:val="24"/>
        </w:rPr>
        <w:t>，</w:t>
      </w:r>
      <w:bookmarkEnd w:id="288"/>
      <w:r>
        <w:rPr>
          <w:rFonts w:hint="default" w:ascii="Times New Roman" w:hAnsi="Times New Roman" w:eastAsia="宋体" w:cs="Times New Roman"/>
          <w:color w:val="auto"/>
          <w:szCs w:val="24"/>
        </w:rPr>
        <w:t>工程占用农田生态系统—耕地损失的生产力为0.299</w:t>
      </w:r>
      <w:r>
        <w:rPr>
          <w:rFonts w:hint="default" w:ascii="Times New Roman" w:hAnsi="Times New Roman" w:eastAsia="宋体" w:cs="Times New Roman"/>
          <w:color w:val="auto"/>
          <w:sz w:val="21"/>
          <w:szCs w:val="21"/>
        </w:rPr>
        <w:t>t/a</w:t>
      </w:r>
      <w:r>
        <w:rPr>
          <w:rFonts w:hint="default" w:ascii="Times New Roman" w:hAnsi="Times New Roman" w:eastAsia="宋体" w:cs="Times New Roman"/>
          <w:color w:val="auto"/>
          <w:szCs w:val="24"/>
        </w:rPr>
        <w:t>，占评价区同类型生态系统生产力比例较小。损失的比例相对较小，对整个生态系统而言属于可以承受的范围。</w:t>
      </w:r>
    </w:p>
    <w:p w14:paraId="5EA98872">
      <w:pPr>
        <w:pStyle w:val="5"/>
        <w:numPr>
          <w:ilvl w:val="2"/>
          <w:numId w:val="0"/>
        </w:numPr>
        <w:spacing w:line="360" w:lineRule="auto"/>
        <w:rPr>
          <w:rFonts w:hint="default" w:ascii="Times New Roman" w:hAnsi="Times New Roman" w:cs="Times New Roman"/>
          <w:color w:val="auto"/>
          <w:sz w:val="24"/>
          <w:szCs w:val="24"/>
        </w:rPr>
      </w:pPr>
      <w:bookmarkStart w:id="289" w:name="_Toc17400"/>
      <w:bookmarkStart w:id="290" w:name="_Toc3696"/>
      <w:r>
        <w:rPr>
          <w:rFonts w:hint="default" w:ascii="Times New Roman" w:hAnsi="Times New Roman" w:cs="Times New Roman"/>
          <w:color w:val="auto"/>
          <w:sz w:val="24"/>
          <w:szCs w:val="24"/>
        </w:rPr>
        <w:t>3.4.2 生态系统生物量失影响</w:t>
      </w:r>
      <w:bookmarkEnd w:id="289"/>
      <w:bookmarkEnd w:id="290"/>
    </w:p>
    <w:p w14:paraId="28E467D1">
      <w:pPr>
        <w:ind w:firstLine="480"/>
        <w:rPr>
          <w:rFonts w:hint="default" w:ascii="Times New Roman" w:hAnsi="Times New Roman" w:eastAsia="宋体" w:cs="Times New Roman"/>
          <w:color w:val="auto"/>
          <w:lang w:val="zh-CN"/>
        </w:rPr>
      </w:pPr>
      <w:r>
        <w:rPr>
          <w:rFonts w:hint="default" w:ascii="Times New Roman" w:hAnsi="Times New Roman" w:eastAsia="宋体" w:cs="Times New Roman"/>
          <w:color w:val="auto"/>
          <w:lang w:val="zh-CN"/>
        </w:rPr>
        <w:t>根据占地数据及各植被类型（不包括农作物）的平均</w:t>
      </w:r>
      <w:r>
        <w:rPr>
          <w:rFonts w:hint="default" w:ascii="Times New Roman" w:hAnsi="Times New Roman" w:eastAsia="宋体" w:cs="Times New Roman"/>
          <w:color w:val="auto"/>
        </w:rPr>
        <w:t>生物量</w:t>
      </w:r>
      <w:r>
        <w:rPr>
          <w:rFonts w:hint="default" w:ascii="Times New Roman" w:hAnsi="Times New Roman" w:eastAsia="宋体" w:cs="Times New Roman"/>
          <w:color w:val="auto"/>
          <w:lang w:val="zh-CN"/>
        </w:rPr>
        <w:t>，计算拟建项目永久占地引起的植被</w:t>
      </w:r>
      <w:r>
        <w:rPr>
          <w:rFonts w:hint="default" w:ascii="Times New Roman" w:hAnsi="Times New Roman" w:eastAsia="宋体" w:cs="Times New Roman"/>
          <w:color w:val="auto"/>
        </w:rPr>
        <w:t>生物量</w:t>
      </w:r>
      <w:r>
        <w:rPr>
          <w:rFonts w:hint="default" w:ascii="Times New Roman" w:hAnsi="Times New Roman" w:eastAsia="宋体" w:cs="Times New Roman"/>
          <w:color w:val="auto"/>
          <w:lang w:val="zh-CN"/>
        </w:rPr>
        <w:t>损失。</w:t>
      </w:r>
    </w:p>
    <w:p w14:paraId="5D6F84B5">
      <w:pPr>
        <w:spacing w:line="240" w:lineRule="auto"/>
        <w:ind w:firstLine="482"/>
        <w:jc w:val="center"/>
        <w:rPr>
          <w:rFonts w:hint="default" w:ascii="Times New Roman" w:hAnsi="Times New Roman" w:cs="Times New Roman"/>
          <w:b/>
          <w:color w:val="auto"/>
          <w:kern w:val="11"/>
          <w:szCs w:val="20"/>
        </w:rPr>
      </w:pPr>
      <w:r>
        <w:rPr>
          <w:rFonts w:hint="default" w:ascii="Times New Roman" w:hAnsi="Times New Roman" w:cs="Times New Roman"/>
          <w:b/>
          <w:color w:val="auto"/>
          <w:kern w:val="11"/>
          <w:szCs w:val="20"/>
        </w:rPr>
        <w:t>表3-4-2  评价区占用植被类型及生物量损失估算表</w:t>
      </w:r>
    </w:p>
    <w:tbl>
      <w:tblPr>
        <w:tblStyle w:val="30"/>
        <w:tblW w:w="8451"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6"/>
        <w:gridCol w:w="950"/>
        <w:gridCol w:w="1250"/>
        <w:gridCol w:w="1263"/>
        <w:gridCol w:w="1275"/>
        <w:gridCol w:w="1187"/>
      </w:tblGrid>
      <w:tr w14:paraId="65557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526" w:type="dxa"/>
            <w:vMerge w:val="restart"/>
            <w:shd w:val="clear" w:color="auto" w:fill="auto"/>
            <w:vAlign w:val="center"/>
          </w:tcPr>
          <w:p w14:paraId="1A42EE0C">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生态系统类型</w:t>
            </w:r>
          </w:p>
        </w:tc>
        <w:tc>
          <w:tcPr>
            <w:tcW w:w="2200" w:type="dxa"/>
            <w:gridSpan w:val="2"/>
            <w:shd w:val="clear" w:color="auto" w:fill="auto"/>
            <w:vAlign w:val="center"/>
          </w:tcPr>
          <w:p w14:paraId="14B2F11E">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占用面积（hm</w:t>
            </w:r>
            <w:r>
              <w:rPr>
                <w:rFonts w:hint="default" w:ascii="Times New Roman" w:hAnsi="Times New Roman" w:eastAsia="宋体" w:cs="Times New Roman"/>
                <w:b/>
                <w:bCs/>
                <w:color w:val="auto"/>
                <w:sz w:val="21"/>
                <w:szCs w:val="21"/>
                <w:vertAlign w:val="superscript"/>
              </w:rPr>
              <w:t>2</w:t>
            </w:r>
            <w:r>
              <w:rPr>
                <w:rFonts w:hint="default" w:ascii="Times New Roman" w:hAnsi="Times New Roman" w:eastAsia="宋体" w:cs="Times New Roman"/>
                <w:b/>
                <w:bCs/>
                <w:color w:val="auto"/>
                <w:sz w:val="21"/>
                <w:szCs w:val="21"/>
              </w:rPr>
              <w:t>）</w:t>
            </w:r>
          </w:p>
        </w:tc>
        <w:tc>
          <w:tcPr>
            <w:tcW w:w="1263" w:type="dxa"/>
            <w:vMerge w:val="restart"/>
            <w:shd w:val="clear" w:color="auto" w:fill="auto"/>
            <w:vAlign w:val="center"/>
          </w:tcPr>
          <w:p w14:paraId="2FD8CC90">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平均生物量（t/hm</w:t>
            </w:r>
            <w:r>
              <w:rPr>
                <w:rFonts w:hint="default" w:ascii="Times New Roman" w:hAnsi="Times New Roman" w:eastAsia="宋体" w:cs="Times New Roman"/>
                <w:b/>
                <w:bCs/>
                <w:color w:val="auto"/>
                <w:sz w:val="21"/>
                <w:szCs w:val="21"/>
                <w:vertAlign w:val="superscript"/>
              </w:rPr>
              <w:t>2</w:t>
            </w:r>
            <w:r>
              <w:rPr>
                <w:rFonts w:hint="default" w:ascii="Times New Roman" w:hAnsi="Times New Roman" w:eastAsia="宋体" w:cs="Times New Roman"/>
                <w:b/>
                <w:bCs/>
                <w:color w:val="auto"/>
                <w:sz w:val="21"/>
                <w:szCs w:val="21"/>
              </w:rPr>
              <w:t>）</w:t>
            </w:r>
          </w:p>
        </w:tc>
        <w:tc>
          <w:tcPr>
            <w:tcW w:w="2462" w:type="dxa"/>
            <w:gridSpan w:val="2"/>
            <w:shd w:val="clear" w:color="auto" w:fill="auto"/>
            <w:vAlign w:val="center"/>
          </w:tcPr>
          <w:p w14:paraId="2B2C80C9">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损失生物量（t）</w:t>
            </w:r>
          </w:p>
        </w:tc>
      </w:tr>
      <w:tr w14:paraId="04D15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526" w:type="dxa"/>
            <w:vMerge w:val="continue"/>
            <w:shd w:val="clear" w:color="auto" w:fill="auto"/>
            <w:vAlign w:val="center"/>
          </w:tcPr>
          <w:p w14:paraId="1B831C2A">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p>
        </w:tc>
        <w:tc>
          <w:tcPr>
            <w:tcW w:w="950" w:type="dxa"/>
            <w:shd w:val="clear" w:color="auto" w:fill="auto"/>
            <w:vAlign w:val="center"/>
          </w:tcPr>
          <w:p w14:paraId="0FDC3D05">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永久</w:t>
            </w:r>
          </w:p>
        </w:tc>
        <w:tc>
          <w:tcPr>
            <w:tcW w:w="1250" w:type="dxa"/>
            <w:shd w:val="clear" w:color="auto" w:fill="auto"/>
            <w:vAlign w:val="center"/>
          </w:tcPr>
          <w:p w14:paraId="0F1DA06B">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临时</w:t>
            </w:r>
          </w:p>
        </w:tc>
        <w:tc>
          <w:tcPr>
            <w:tcW w:w="1263" w:type="dxa"/>
            <w:vMerge w:val="continue"/>
            <w:shd w:val="clear" w:color="auto" w:fill="auto"/>
            <w:vAlign w:val="center"/>
          </w:tcPr>
          <w:p w14:paraId="7E9FD3CD">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p>
        </w:tc>
        <w:tc>
          <w:tcPr>
            <w:tcW w:w="1275" w:type="dxa"/>
            <w:shd w:val="clear" w:color="auto" w:fill="auto"/>
            <w:vAlign w:val="center"/>
          </w:tcPr>
          <w:p w14:paraId="548D62BF">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永久</w:t>
            </w:r>
          </w:p>
        </w:tc>
        <w:tc>
          <w:tcPr>
            <w:tcW w:w="1187" w:type="dxa"/>
            <w:shd w:val="clear" w:color="auto" w:fill="auto"/>
            <w:vAlign w:val="center"/>
          </w:tcPr>
          <w:p w14:paraId="4F121C37">
            <w:pPr>
              <w:adjustRightInd w:val="0"/>
              <w:snapToGrid w:val="0"/>
              <w:spacing w:after="0"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临时</w:t>
            </w:r>
          </w:p>
        </w:tc>
      </w:tr>
      <w:tr w14:paraId="09578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526" w:type="dxa"/>
            <w:shd w:val="clear" w:color="auto" w:fill="auto"/>
            <w:vAlign w:val="center"/>
          </w:tcPr>
          <w:p w14:paraId="6E7F1A4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森林生态系统—针叶林</w:t>
            </w:r>
          </w:p>
        </w:tc>
        <w:tc>
          <w:tcPr>
            <w:tcW w:w="950" w:type="dxa"/>
            <w:shd w:val="clear" w:color="auto" w:fill="auto"/>
            <w:vAlign w:val="center"/>
          </w:tcPr>
          <w:p w14:paraId="1D20841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0.20882</w:t>
            </w:r>
          </w:p>
        </w:tc>
        <w:tc>
          <w:tcPr>
            <w:tcW w:w="1250" w:type="dxa"/>
            <w:shd w:val="clear" w:color="auto" w:fill="auto"/>
            <w:vAlign w:val="center"/>
          </w:tcPr>
          <w:p w14:paraId="03774B55">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0.229</w:t>
            </w:r>
          </w:p>
        </w:tc>
        <w:tc>
          <w:tcPr>
            <w:tcW w:w="1263" w:type="dxa"/>
            <w:shd w:val="clear" w:color="auto" w:fill="auto"/>
            <w:vAlign w:val="center"/>
          </w:tcPr>
          <w:p w14:paraId="1291B67A">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35.113</w:t>
            </w:r>
          </w:p>
        </w:tc>
        <w:tc>
          <w:tcPr>
            <w:tcW w:w="1275" w:type="dxa"/>
            <w:shd w:val="clear" w:color="auto" w:fill="auto"/>
            <w:vAlign w:val="center"/>
          </w:tcPr>
          <w:p w14:paraId="7B121B7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7.332 </w:t>
            </w:r>
          </w:p>
        </w:tc>
        <w:tc>
          <w:tcPr>
            <w:tcW w:w="1187" w:type="dxa"/>
            <w:shd w:val="clear" w:color="auto" w:fill="auto"/>
            <w:vAlign w:val="center"/>
          </w:tcPr>
          <w:p w14:paraId="00B3B5F1">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8.0408</w:t>
            </w:r>
          </w:p>
        </w:tc>
      </w:tr>
      <w:tr w14:paraId="6E300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526" w:type="dxa"/>
            <w:shd w:val="clear" w:color="auto" w:fill="auto"/>
            <w:vAlign w:val="center"/>
          </w:tcPr>
          <w:p w14:paraId="7D62010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灌丛生态系统—阔叶灌丛</w:t>
            </w:r>
          </w:p>
        </w:tc>
        <w:tc>
          <w:tcPr>
            <w:tcW w:w="950" w:type="dxa"/>
            <w:shd w:val="clear" w:color="auto" w:fill="auto"/>
            <w:vAlign w:val="center"/>
          </w:tcPr>
          <w:p w14:paraId="33CEFFDD">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1250" w:type="dxa"/>
            <w:shd w:val="clear" w:color="auto" w:fill="auto"/>
            <w:vAlign w:val="center"/>
          </w:tcPr>
          <w:p w14:paraId="273AA312">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1263" w:type="dxa"/>
            <w:shd w:val="clear" w:color="auto" w:fill="auto"/>
            <w:vAlign w:val="center"/>
          </w:tcPr>
          <w:p w14:paraId="0F8E9E97">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68.559</w:t>
            </w:r>
          </w:p>
        </w:tc>
        <w:tc>
          <w:tcPr>
            <w:tcW w:w="1275" w:type="dxa"/>
            <w:shd w:val="clear" w:color="auto" w:fill="auto"/>
            <w:vAlign w:val="center"/>
          </w:tcPr>
          <w:p w14:paraId="6D66D16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0.000 </w:t>
            </w:r>
          </w:p>
        </w:tc>
        <w:tc>
          <w:tcPr>
            <w:tcW w:w="1187" w:type="dxa"/>
            <w:shd w:val="clear" w:color="auto" w:fill="auto"/>
            <w:vAlign w:val="center"/>
          </w:tcPr>
          <w:p w14:paraId="1C7C78B9">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0.000 </w:t>
            </w:r>
          </w:p>
        </w:tc>
      </w:tr>
      <w:tr w14:paraId="7FF5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526" w:type="dxa"/>
            <w:shd w:val="clear" w:color="auto" w:fill="auto"/>
            <w:vAlign w:val="center"/>
          </w:tcPr>
          <w:p w14:paraId="42A6857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草丛生态系统—草丛</w:t>
            </w:r>
          </w:p>
        </w:tc>
        <w:tc>
          <w:tcPr>
            <w:tcW w:w="950" w:type="dxa"/>
            <w:shd w:val="clear" w:color="auto" w:fill="auto"/>
            <w:vAlign w:val="center"/>
          </w:tcPr>
          <w:p w14:paraId="095A92AE">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p>
        </w:tc>
        <w:tc>
          <w:tcPr>
            <w:tcW w:w="1250" w:type="dxa"/>
            <w:shd w:val="clear" w:color="auto" w:fill="auto"/>
            <w:vAlign w:val="center"/>
          </w:tcPr>
          <w:p w14:paraId="72B9C106">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0.11</w:t>
            </w:r>
          </w:p>
        </w:tc>
        <w:tc>
          <w:tcPr>
            <w:tcW w:w="1263" w:type="dxa"/>
            <w:shd w:val="clear" w:color="auto" w:fill="auto"/>
            <w:vAlign w:val="center"/>
          </w:tcPr>
          <w:p w14:paraId="5B2EFCA3">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52.17</w:t>
            </w:r>
          </w:p>
        </w:tc>
        <w:tc>
          <w:tcPr>
            <w:tcW w:w="1275" w:type="dxa"/>
            <w:shd w:val="clear" w:color="auto" w:fill="auto"/>
            <w:vAlign w:val="center"/>
          </w:tcPr>
          <w:p w14:paraId="349EE3FD">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0.000 </w:t>
            </w:r>
          </w:p>
        </w:tc>
        <w:tc>
          <w:tcPr>
            <w:tcW w:w="1187" w:type="dxa"/>
            <w:shd w:val="clear" w:color="auto" w:fill="auto"/>
            <w:vAlign w:val="center"/>
          </w:tcPr>
          <w:p w14:paraId="4E9D3488">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5.7387</w:t>
            </w:r>
            <w:r>
              <w:rPr>
                <w:rFonts w:hint="default" w:ascii="Times New Roman" w:hAnsi="Times New Roman" w:eastAsia="宋体" w:cs="Times New Roman"/>
                <w:color w:val="auto"/>
                <w:sz w:val="21"/>
                <w:szCs w:val="21"/>
              </w:rPr>
              <w:t xml:space="preserve"> </w:t>
            </w:r>
          </w:p>
        </w:tc>
      </w:tr>
      <w:tr w14:paraId="668D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526" w:type="dxa"/>
            <w:shd w:val="clear" w:color="auto" w:fill="auto"/>
            <w:vAlign w:val="center"/>
          </w:tcPr>
          <w:p w14:paraId="781318B2">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农田生态系统—耕地</w:t>
            </w:r>
          </w:p>
        </w:tc>
        <w:tc>
          <w:tcPr>
            <w:tcW w:w="950" w:type="dxa"/>
            <w:shd w:val="clear" w:color="auto" w:fill="auto"/>
            <w:vAlign w:val="center"/>
          </w:tcPr>
          <w:p w14:paraId="0FA760A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0.04613</w:t>
            </w:r>
          </w:p>
        </w:tc>
        <w:tc>
          <w:tcPr>
            <w:tcW w:w="1250" w:type="dxa"/>
            <w:shd w:val="clear" w:color="auto" w:fill="auto"/>
            <w:vAlign w:val="center"/>
          </w:tcPr>
          <w:p w14:paraId="233471A4">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0.015</w:t>
            </w:r>
          </w:p>
        </w:tc>
        <w:tc>
          <w:tcPr>
            <w:tcW w:w="1263" w:type="dxa"/>
            <w:shd w:val="clear" w:color="auto" w:fill="auto"/>
            <w:vAlign w:val="center"/>
          </w:tcPr>
          <w:p w14:paraId="2DF85B2C">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17.58</w:t>
            </w:r>
          </w:p>
        </w:tc>
        <w:tc>
          <w:tcPr>
            <w:tcW w:w="1275" w:type="dxa"/>
            <w:shd w:val="clear" w:color="auto" w:fill="auto"/>
            <w:vAlign w:val="center"/>
          </w:tcPr>
          <w:p w14:paraId="2BCE8279">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0.811 </w:t>
            </w:r>
          </w:p>
        </w:tc>
        <w:tc>
          <w:tcPr>
            <w:tcW w:w="1187" w:type="dxa"/>
            <w:shd w:val="clear" w:color="auto" w:fill="auto"/>
            <w:vAlign w:val="center"/>
          </w:tcPr>
          <w:p w14:paraId="2C702D7B">
            <w:pPr>
              <w:adjustRightInd w:val="0"/>
              <w:snapToGrid w:val="0"/>
              <w:spacing w:after="0"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0.264 </w:t>
            </w:r>
          </w:p>
        </w:tc>
      </w:tr>
    </w:tbl>
    <w:p w14:paraId="60527C2E">
      <w:pPr>
        <w:ind w:firstLine="480"/>
        <w:rPr>
          <w:rFonts w:hint="default" w:ascii="Times New Roman" w:hAnsi="Times New Roman" w:eastAsia="宋体" w:cs="Times New Roman"/>
          <w:color w:val="auto"/>
          <w:lang w:val="zh-CN"/>
        </w:rPr>
      </w:pPr>
      <w:r>
        <w:rPr>
          <w:rFonts w:hint="default" w:ascii="Times New Roman" w:hAnsi="Times New Roman" w:eastAsia="宋体" w:cs="Times New Roman"/>
          <w:color w:val="auto"/>
          <w:lang w:val="zh-CN"/>
        </w:rPr>
        <w:t>临时用地区在施工结束后可以恢复，因而其生物量损失是暂时的。</w:t>
      </w:r>
    </w:p>
    <w:p w14:paraId="5772E214">
      <w:pPr>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由上表可知，工程占用森林生态系统—针叶林损失生物量7.332</w:t>
      </w:r>
      <w:r>
        <w:rPr>
          <w:rFonts w:hint="default" w:ascii="Times New Roman" w:hAnsi="Times New Roman" w:eastAsia="宋体" w:cs="Times New Roman"/>
          <w:color w:val="auto"/>
          <w:sz w:val="21"/>
          <w:szCs w:val="21"/>
        </w:rPr>
        <w:t>t</w:t>
      </w:r>
      <w:r>
        <w:rPr>
          <w:rFonts w:hint="default" w:ascii="Times New Roman" w:hAnsi="Times New Roman" w:eastAsia="宋体" w:cs="Times New Roman"/>
          <w:color w:val="auto"/>
          <w:szCs w:val="24"/>
        </w:rPr>
        <w:t>，工程占用农田生态系统—耕地损失的生物量为0.811</w:t>
      </w:r>
      <w:r>
        <w:rPr>
          <w:rFonts w:hint="default" w:ascii="Times New Roman" w:hAnsi="Times New Roman" w:eastAsia="宋体" w:cs="Times New Roman"/>
          <w:color w:val="auto"/>
          <w:sz w:val="21"/>
          <w:szCs w:val="21"/>
        </w:rPr>
        <w:t>t</w:t>
      </w:r>
      <w:r>
        <w:rPr>
          <w:rFonts w:hint="default" w:ascii="Times New Roman" w:hAnsi="Times New Roman" w:eastAsia="宋体" w:cs="Times New Roman"/>
          <w:color w:val="auto"/>
          <w:szCs w:val="24"/>
        </w:rPr>
        <w:t>，占评价区同类型生态系统生物量比例较小。损失的比例相对较小，对整个生态系统而言属于可以承受的范围。</w:t>
      </w:r>
    </w:p>
    <w:p w14:paraId="6D57EC49">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91" w:name="_Toc445"/>
      <w:r>
        <w:rPr>
          <w:rFonts w:hint="default" w:ascii="Times New Roman" w:hAnsi="Times New Roman" w:cs="Times New Roman"/>
          <w:color w:val="auto"/>
          <w:sz w:val="24"/>
          <w:szCs w:val="24"/>
        </w:rPr>
        <w:t>3.4.3对植被覆盖度影响</w:t>
      </w:r>
      <w:bookmarkEnd w:id="291"/>
    </w:p>
    <w:p w14:paraId="6110903F">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本次评价基于NDVI对施工期植被覆盖度（FVC）进行了分析，根据计算结果，项目施工期评价区平均植被覆盖度为48.32%，与建设前相比植被覆盖度下降幅度很小，工程建设对植被覆盖度影响很小。各不同覆盖度等级变化情况见下表：</w:t>
      </w:r>
    </w:p>
    <w:p w14:paraId="537AB819">
      <w:pPr>
        <w:adjustRightInd w:val="0"/>
        <w:snapToGrid w:val="0"/>
        <w:spacing w:after="0" w:line="240" w:lineRule="auto"/>
        <w:ind w:firstLine="482"/>
        <w:jc w:val="center"/>
        <w:rPr>
          <w:rFonts w:hint="default" w:ascii="Times New Roman" w:hAnsi="Times New Roman" w:eastAsia="宋体" w:cs="Times New Roman"/>
          <w:b/>
          <w:color w:val="auto"/>
        </w:rPr>
      </w:pPr>
      <w:r>
        <w:rPr>
          <w:rFonts w:hint="default" w:ascii="Times New Roman" w:hAnsi="Times New Roman" w:eastAsia="宋体" w:cs="Times New Roman"/>
          <w:b/>
          <w:color w:val="auto"/>
        </w:rPr>
        <w:t>表3.4-3  评价区FVC统计一览表</w:t>
      </w:r>
    </w:p>
    <w:tbl>
      <w:tblPr>
        <w:tblStyle w:val="30"/>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45"/>
        <w:gridCol w:w="1282"/>
        <w:gridCol w:w="972"/>
        <w:gridCol w:w="1236"/>
        <w:gridCol w:w="1238"/>
        <w:gridCol w:w="1238"/>
        <w:gridCol w:w="1238"/>
      </w:tblGrid>
      <w:tr w14:paraId="2F2FEC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83" w:type="pct"/>
            <w:tcBorders>
              <w:tl2br w:val="nil"/>
              <w:tr2bl w:val="nil"/>
            </w:tcBorders>
            <w:shd w:val="clear" w:color="auto" w:fill="auto"/>
            <w:vAlign w:val="center"/>
          </w:tcPr>
          <w:p w14:paraId="53EB800D">
            <w:pPr>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植被覆盖度等级</w:t>
            </w:r>
          </w:p>
        </w:tc>
        <w:tc>
          <w:tcPr>
            <w:tcW w:w="732" w:type="pct"/>
            <w:tcBorders>
              <w:tl2br w:val="nil"/>
              <w:tr2bl w:val="nil"/>
            </w:tcBorders>
            <w:shd w:val="clear" w:color="auto" w:fill="auto"/>
            <w:vAlign w:val="center"/>
          </w:tcPr>
          <w:p w14:paraId="0C9C60B9">
            <w:pPr>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建设前评价区分布面积（hm²）</w:t>
            </w:r>
          </w:p>
        </w:tc>
        <w:tc>
          <w:tcPr>
            <w:tcW w:w="555" w:type="pct"/>
            <w:tcBorders>
              <w:tl2br w:val="nil"/>
              <w:tr2bl w:val="nil"/>
            </w:tcBorders>
            <w:shd w:val="clear" w:color="auto" w:fill="auto"/>
            <w:vAlign w:val="center"/>
          </w:tcPr>
          <w:p w14:paraId="66373F32">
            <w:pPr>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占评价区面积比例%</w:t>
            </w:r>
          </w:p>
        </w:tc>
        <w:tc>
          <w:tcPr>
            <w:tcW w:w="706" w:type="pct"/>
            <w:tcBorders>
              <w:tl2br w:val="nil"/>
              <w:tr2bl w:val="nil"/>
            </w:tcBorders>
            <w:shd w:val="clear" w:color="auto" w:fill="auto"/>
            <w:vAlign w:val="center"/>
          </w:tcPr>
          <w:p w14:paraId="70803E86">
            <w:pPr>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永久占用面积（hm²）</w:t>
            </w:r>
          </w:p>
        </w:tc>
        <w:tc>
          <w:tcPr>
            <w:tcW w:w="707" w:type="pct"/>
            <w:tcBorders>
              <w:tl2br w:val="nil"/>
              <w:tr2bl w:val="nil"/>
            </w:tcBorders>
            <w:vAlign w:val="center"/>
          </w:tcPr>
          <w:p w14:paraId="02EB80F6">
            <w:pPr>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占用面积占评价区同等级面积比例%</w:t>
            </w:r>
          </w:p>
        </w:tc>
        <w:tc>
          <w:tcPr>
            <w:tcW w:w="707" w:type="pct"/>
            <w:tcBorders>
              <w:tl2br w:val="nil"/>
              <w:tr2bl w:val="nil"/>
            </w:tcBorders>
            <w:shd w:val="clear" w:color="auto" w:fill="auto"/>
            <w:vAlign w:val="center"/>
          </w:tcPr>
          <w:p w14:paraId="1FBF0E99">
            <w:pPr>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建设后评价区分布面积（hm²）</w:t>
            </w:r>
          </w:p>
        </w:tc>
        <w:tc>
          <w:tcPr>
            <w:tcW w:w="707" w:type="pct"/>
            <w:tcBorders>
              <w:tl2br w:val="nil"/>
              <w:tr2bl w:val="nil"/>
            </w:tcBorders>
            <w:vAlign w:val="center"/>
          </w:tcPr>
          <w:p w14:paraId="7F9FC405">
            <w:pPr>
              <w:snapToGrid w:val="0"/>
              <w:spacing w:after="0" w:line="240" w:lineRule="auto"/>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占评价区面积比例%</w:t>
            </w:r>
          </w:p>
        </w:tc>
      </w:tr>
      <w:tr w14:paraId="4B073B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83" w:type="pct"/>
            <w:tcBorders>
              <w:tl2br w:val="nil"/>
              <w:tr2bl w:val="nil"/>
            </w:tcBorders>
            <w:shd w:val="clear" w:color="auto" w:fill="auto"/>
            <w:vAlign w:val="center"/>
          </w:tcPr>
          <w:p w14:paraId="5C9A622E">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≥80（高覆盖度）</w:t>
            </w:r>
          </w:p>
        </w:tc>
        <w:tc>
          <w:tcPr>
            <w:tcW w:w="732" w:type="pct"/>
            <w:tcBorders>
              <w:tl2br w:val="nil"/>
              <w:tr2bl w:val="nil"/>
            </w:tcBorders>
            <w:shd w:val="clear" w:color="auto" w:fill="auto"/>
            <w:vAlign w:val="center"/>
          </w:tcPr>
          <w:p w14:paraId="29B57626">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4.033</w:t>
            </w:r>
          </w:p>
        </w:tc>
        <w:tc>
          <w:tcPr>
            <w:tcW w:w="555" w:type="pct"/>
            <w:tcBorders>
              <w:tl2br w:val="nil"/>
              <w:tr2bl w:val="nil"/>
            </w:tcBorders>
            <w:shd w:val="clear" w:color="auto" w:fill="auto"/>
            <w:vAlign w:val="center"/>
          </w:tcPr>
          <w:p w14:paraId="318257D0">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0.37</w:t>
            </w:r>
          </w:p>
        </w:tc>
        <w:tc>
          <w:tcPr>
            <w:tcW w:w="706" w:type="pct"/>
            <w:tcBorders>
              <w:tl2br w:val="nil"/>
              <w:tr2bl w:val="nil"/>
            </w:tcBorders>
            <w:shd w:val="clear" w:color="auto" w:fill="auto"/>
            <w:vAlign w:val="center"/>
          </w:tcPr>
          <w:p w14:paraId="706F8F64">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w:t>
            </w:r>
          </w:p>
        </w:tc>
        <w:tc>
          <w:tcPr>
            <w:tcW w:w="707" w:type="pct"/>
            <w:tcBorders>
              <w:tl2br w:val="nil"/>
              <w:tr2bl w:val="nil"/>
            </w:tcBorders>
            <w:shd w:val="clear" w:color="auto" w:fill="auto"/>
            <w:vAlign w:val="center"/>
          </w:tcPr>
          <w:p w14:paraId="02DCDE73">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0.00</w:t>
            </w:r>
          </w:p>
        </w:tc>
        <w:tc>
          <w:tcPr>
            <w:tcW w:w="707" w:type="pct"/>
            <w:tcBorders>
              <w:top w:val="nil"/>
              <w:left w:val="nil"/>
              <w:bottom w:val="single" w:color="auto" w:sz="8" w:space="0"/>
              <w:right w:val="single" w:color="auto" w:sz="8" w:space="0"/>
            </w:tcBorders>
            <w:shd w:val="clear" w:color="auto" w:fill="auto"/>
            <w:vAlign w:val="center"/>
          </w:tcPr>
          <w:p w14:paraId="6E4EA3A3">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4.033</w:t>
            </w:r>
          </w:p>
        </w:tc>
        <w:tc>
          <w:tcPr>
            <w:tcW w:w="707" w:type="pct"/>
            <w:tcBorders>
              <w:top w:val="nil"/>
              <w:left w:val="nil"/>
              <w:bottom w:val="single" w:color="auto" w:sz="8" w:space="0"/>
              <w:right w:val="nil"/>
            </w:tcBorders>
            <w:shd w:val="clear" w:color="auto" w:fill="auto"/>
            <w:vAlign w:val="center"/>
          </w:tcPr>
          <w:p w14:paraId="59E89775">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 xml:space="preserve">0.376 </w:t>
            </w:r>
          </w:p>
        </w:tc>
      </w:tr>
      <w:tr w14:paraId="46D0B3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83" w:type="pct"/>
            <w:tcBorders>
              <w:tl2br w:val="nil"/>
              <w:tr2bl w:val="nil"/>
            </w:tcBorders>
            <w:shd w:val="clear" w:color="auto" w:fill="auto"/>
            <w:vAlign w:val="center"/>
          </w:tcPr>
          <w:p w14:paraId="6F956CF7">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60-80（中高覆盖度）</w:t>
            </w:r>
          </w:p>
        </w:tc>
        <w:tc>
          <w:tcPr>
            <w:tcW w:w="732" w:type="pct"/>
            <w:tcBorders>
              <w:tl2br w:val="nil"/>
              <w:tr2bl w:val="nil"/>
            </w:tcBorders>
            <w:shd w:val="clear" w:color="auto" w:fill="auto"/>
            <w:vAlign w:val="center"/>
          </w:tcPr>
          <w:p w14:paraId="52823CEF">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305.794</w:t>
            </w:r>
          </w:p>
        </w:tc>
        <w:tc>
          <w:tcPr>
            <w:tcW w:w="555" w:type="pct"/>
            <w:tcBorders>
              <w:tl2br w:val="nil"/>
              <w:tr2bl w:val="nil"/>
            </w:tcBorders>
            <w:shd w:val="clear" w:color="auto" w:fill="auto"/>
            <w:vAlign w:val="center"/>
          </w:tcPr>
          <w:p w14:paraId="69688ABE">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28.52</w:t>
            </w:r>
          </w:p>
        </w:tc>
        <w:tc>
          <w:tcPr>
            <w:tcW w:w="706" w:type="pct"/>
            <w:tcBorders>
              <w:tl2br w:val="nil"/>
              <w:tr2bl w:val="nil"/>
            </w:tcBorders>
            <w:shd w:val="clear" w:color="auto" w:fill="auto"/>
            <w:vAlign w:val="center"/>
          </w:tcPr>
          <w:p w14:paraId="6A9F86C5">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w:t>
            </w:r>
          </w:p>
        </w:tc>
        <w:tc>
          <w:tcPr>
            <w:tcW w:w="707" w:type="pct"/>
            <w:tcBorders>
              <w:tl2br w:val="nil"/>
              <w:tr2bl w:val="nil"/>
            </w:tcBorders>
            <w:shd w:val="clear" w:color="auto" w:fill="auto"/>
            <w:vAlign w:val="center"/>
          </w:tcPr>
          <w:p w14:paraId="0502150D">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0.00</w:t>
            </w:r>
          </w:p>
        </w:tc>
        <w:tc>
          <w:tcPr>
            <w:tcW w:w="707" w:type="pct"/>
            <w:tcBorders>
              <w:top w:val="nil"/>
              <w:left w:val="nil"/>
              <w:bottom w:val="single" w:color="auto" w:sz="8" w:space="0"/>
              <w:right w:val="single" w:color="auto" w:sz="8" w:space="0"/>
            </w:tcBorders>
            <w:shd w:val="clear" w:color="auto" w:fill="auto"/>
            <w:vAlign w:val="center"/>
          </w:tcPr>
          <w:p w14:paraId="3BEE5343">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305.794</w:t>
            </w:r>
          </w:p>
        </w:tc>
        <w:tc>
          <w:tcPr>
            <w:tcW w:w="707" w:type="pct"/>
            <w:tcBorders>
              <w:top w:val="nil"/>
              <w:left w:val="nil"/>
              <w:bottom w:val="single" w:color="auto" w:sz="8" w:space="0"/>
              <w:right w:val="nil"/>
            </w:tcBorders>
            <w:shd w:val="clear" w:color="auto" w:fill="auto"/>
            <w:vAlign w:val="center"/>
          </w:tcPr>
          <w:p w14:paraId="40FD0C61">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 xml:space="preserve">28.521 </w:t>
            </w:r>
          </w:p>
        </w:tc>
      </w:tr>
      <w:tr w14:paraId="0186E1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83" w:type="pct"/>
            <w:tcBorders>
              <w:tl2br w:val="nil"/>
              <w:tr2bl w:val="nil"/>
            </w:tcBorders>
            <w:shd w:val="clear" w:color="auto" w:fill="auto"/>
            <w:vAlign w:val="center"/>
          </w:tcPr>
          <w:p w14:paraId="4F7BE83E">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40-60（中覆盖度）</w:t>
            </w:r>
          </w:p>
        </w:tc>
        <w:tc>
          <w:tcPr>
            <w:tcW w:w="732" w:type="pct"/>
            <w:tcBorders>
              <w:tl2br w:val="nil"/>
              <w:tr2bl w:val="nil"/>
            </w:tcBorders>
            <w:shd w:val="clear" w:color="auto" w:fill="auto"/>
            <w:vAlign w:val="center"/>
          </w:tcPr>
          <w:p w14:paraId="5F8966BE">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342.198</w:t>
            </w:r>
          </w:p>
        </w:tc>
        <w:tc>
          <w:tcPr>
            <w:tcW w:w="555" w:type="pct"/>
            <w:tcBorders>
              <w:tl2br w:val="nil"/>
              <w:tr2bl w:val="nil"/>
            </w:tcBorders>
            <w:shd w:val="clear" w:color="auto" w:fill="auto"/>
            <w:vAlign w:val="center"/>
          </w:tcPr>
          <w:p w14:paraId="35376728">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31.91</w:t>
            </w:r>
          </w:p>
        </w:tc>
        <w:tc>
          <w:tcPr>
            <w:tcW w:w="706" w:type="pct"/>
            <w:tcBorders>
              <w:tl2br w:val="nil"/>
              <w:tr2bl w:val="nil"/>
            </w:tcBorders>
            <w:shd w:val="clear" w:color="auto" w:fill="auto"/>
            <w:vAlign w:val="center"/>
          </w:tcPr>
          <w:p w14:paraId="297D4518">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0.20882</w:t>
            </w:r>
          </w:p>
        </w:tc>
        <w:tc>
          <w:tcPr>
            <w:tcW w:w="707" w:type="pct"/>
            <w:tcBorders>
              <w:tl2br w:val="nil"/>
              <w:tr2bl w:val="nil"/>
            </w:tcBorders>
            <w:shd w:val="clear" w:color="auto" w:fill="auto"/>
            <w:vAlign w:val="center"/>
          </w:tcPr>
          <w:p w14:paraId="45D08236">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0.06</w:t>
            </w:r>
          </w:p>
        </w:tc>
        <w:tc>
          <w:tcPr>
            <w:tcW w:w="707" w:type="pct"/>
            <w:tcBorders>
              <w:top w:val="nil"/>
              <w:left w:val="nil"/>
              <w:bottom w:val="single" w:color="auto" w:sz="8" w:space="0"/>
              <w:right w:val="single" w:color="auto" w:sz="8" w:space="0"/>
            </w:tcBorders>
            <w:shd w:val="clear" w:color="auto" w:fill="auto"/>
            <w:vAlign w:val="center"/>
          </w:tcPr>
          <w:p w14:paraId="6B2018F2">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341.989</w:t>
            </w:r>
          </w:p>
        </w:tc>
        <w:tc>
          <w:tcPr>
            <w:tcW w:w="707" w:type="pct"/>
            <w:tcBorders>
              <w:top w:val="nil"/>
              <w:left w:val="nil"/>
              <w:bottom w:val="single" w:color="auto" w:sz="8" w:space="0"/>
              <w:right w:val="nil"/>
            </w:tcBorders>
            <w:shd w:val="clear" w:color="auto" w:fill="auto"/>
            <w:vAlign w:val="center"/>
          </w:tcPr>
          <w:p w14:paraId="4969F91E">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 xml:space="preserve">31.897 </w:t>
            </w:r>
          </w:p>
        </w:tc>
      </w:tr>
      <w:tr w14:paraId="3E8D1B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83" w:type="pct"/>
            <w:tcBorders>
              <w:tl2br w:val="nil"/>
              <w:tr2bl w:val="nil"/>
            </w:tcBorders>
            <w:shd w:val="clear" w:color="auto" w:fill="auto"/>
            <w:vAlign w:val="center"/>
          </w:tcPr>
          <w:p w14:paraId="2E91FAAD">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20-40（中低覆盖度）</w:t>
            </w:r>
          </w:p>
        </w:tc>
        <w:tc>
          <w:tcPr>
            <w:tcW w:w="732" w:type="pct"/>
            <w:tcBorders>
              <w:tl2br w:val="nil"/>
              <w:tr2bl w:val="nil"/>
            </w:tcBorders>
            <w:shd w:val="clear" w:color="auto" w:fill="auto"/>
            <w:vAlign w:val="center"/>
          </w:tcPr>
          <w:p w14:paraId="314A79F8">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416.945</w:t>
            </w:r>
          </w:p>
        </w:tc>
        <w:tc>
          <w:tcPr>
            <w:tcW w:w="555" w:type="pct"/>
            <w:tcBorders>
              <w:tl2br w:val="nil"/>
              <w:tr2bl w:val="nil"/>
            </w:tcBorders>
            <w:shd w:val="clear" w:color="auto" w:fill="auto"/>
            <w:vAlign w:val="center"/>
          </w:tcPr>
          <w:p w14:paraId="1135EA23">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38.88</w:t>
            </w:r>
          </w:p>
        </w:tc>
        <w:tc>
          <w:tcPr>
            <w:tcW w:w="706" w:type="pct"/>
            <w:tcBorders>
              <w:tl2br w:val="nil"/>
              <w:tr2bl w:val="nil"/>
            </w:tcBorders>
            <w:shd w:val="clear" w:color="auto" w:fill="auto"/>
            <w:vAlign w:val="center"/>
          </w:tcPr>
          <w:p w14:paraId="5C640409">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0.04613</w:t>
            </w:r>
          </w:p>
        </w:tc>
        <w:tc>
          <w:tcPr>
            <w:tcW w:w="707" w:type="pct"/>
            <w:tcBorders>
              <w:tl2br w:val="nil"/>
              <w:tr2bl w:val="nil"/>
            </w:tcBorders>
            <w:shd w:val="clear" w:color="auto" w:fill="auto"/>
            <w:vAlign w:val="center"/>
          </w:tcPr>
          <w:p w14:paraId="03FBC220">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0.01</w:t>
            </w:r>
          </w:p>
        </w:tc>
        <w:tc>
          <w:tcPr>
            <w:tcW w:w="707" w:type="pct"/>
            <w:tcBorders>
              <w:top w:val="nil"/>
              <w:left w:val="nil"/>
              <w:bottom w:val="single" w:color="auto" w:sz="8" w:space="0"/>
              <w:right w:val="single" w:color="auto" w:sz="8" w:space="0"/>
            </w:tcBorders>
            <w:shd w:val="clear" w:color="auto" w:fill="auto"/>
            <w:vAlign w:val="center"/>
          </w:tcPr>
          <w:p w14:paraId="6C52F02F">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416.899</w:t>
            </w:r>
          </w:p>
        </w:tc>
        <w:tc>
          <w:tcPr>
            <w:tcW w:w="707" w:type="pct"/>
            <w:tcBorders>
              <w:top w:val="nil"/>
              <w:left w:val="nil"/>
              <w:bottom w:val="single" w:color="auto" w:sz="8" w:space="0"/>
              <w:right w:val="nil"/>
            </w:tcBorders>
            <w:shd w:val="clear" w:color="auto" w:fill="auto"/>
            <w:vAlign w:val="center"/>
          </w:tcPr>
          <w:p w14:paraId="44D51B82">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 xml:space="preserve">38.883 </w:t>
            </w:r>
          </w:p>
        </w:tc>
      </w:tr>
      <w:tr w14:paraId="6A108A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83" w:type="pct"/>
            <w:tcBorders>
              <w:tl2br w:val="nil"/>
              <w:tr2bl w:val="nil"/>
            </w:tcBorders>
            <w:shd w:val="clear" w:color="auto" w:fill="auto"/>
            <w:vAlign w:val="center"/>
          </w:tcPr>
          <w:p w14:paraId="466000D9">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0-20（低覆盖度）</w:t>
            </w:r>
          </w:p>
        </w:tc>
        <w:tc>
          <w:tcPr>
            <w:tcW w:w="732" w:type="pct"/>
            <w:tcBorders>
              <w:tl2br w:val="nil"/>
              <w:tr2bl w:val="nil"/>
            </w:tcBorders>
            <w:shd w:val="clear" w:color="auto" w:fill="auto"/>
            <w:vAlign w:val="center"/>
          </w:tcPr>
          <w:p w14:paraId="6C0D6FE7">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3.213</w:t>
            </w:r>
          </w:p>
        </w:tc>
        <w:tc>
          <w:tcPr>
            <w:tcW w:w="555" w:type="pct"/>
            <w:tcBorders>
              <w:tl2br w:val="nil"/>
              <w:tr2bl w:val="nil"/>
            </w:tcBorders>
            <w:shd w:val="clear" w:color="auto" w:fill="auto"/>
            <w:vAlign w:val="center"/>
          </w:tcPr>
          <w:p w14:paraId="5A8AE069">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0.29</w:t>
            </w:r>
          </w:p>
        </w:tc>
        <w:tc>
          <w:tcPr>
            <w:tcW w:w="706" w:type="pct"/>
            <w:tcBorders>
              <w:tl2br w:val="nil"/>
              <w:tr2bl w:val="nil"/>
            </w:tcBorders>
            <w:shd w:val="clear" w:color="auto" w:fill="auto"/>
            <w:vAlign w:val="center"/>
          </w:tcPr>
          <w:p w14:paraId="1CD000C7">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w:t>
            </w:r>
          </w:p>
        </w:tc>
        <w:tc>
          <w:tcPr>
            <w:tcW w:w="707" w:type="pct"/>
            <w:tcBorders>
              <w:tl2br w:val="nil"/>
              <w:tr2bl w:val="nil"/>
            </w:tcBorders>
            <w:shd w:val="clear" w:color="auto" w:fill="auto"/>
            <w:vAlign w:val="center"/>
          </w:tcPr>
          <w:p w14:paraId="72BA8398">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0.00</w:t>
            </w:r>
          </w:p>
        </w:tc>
        <w:tc>
          <w:tcPr>
            <w:tcW w:w="707" w:type="pct"/>
            <w:tcBorders>
              <w:top w:val="nil"/>
              <w:left w:val="nil"/>
              <w:bottom w:val="single" w:color="auto" w:sz="8" w:space="0"/>
              <w:right w:val="single" w:color="auto" w:sz="8" w:space="0"/>
            </w:tcBorders>
            <w:shd w:val="clear" w:color="auto" w:fill="auto"/>
            <w:vAlign w:val="center"/>
          </w:tcPr>
          <w:p w14:paraId="78574BFC">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3.468</w:t>
            </w:r>
          </w:p>
        </w:tc>
        <w:tc>
          <w:tcPr>
            <w:tcW w:w="707" w:type="pct"/>
            <w:tcBorders>
              <w:top w:val="nil"/>
              <w:left w:val="nil"/>
              <w:bottom w:val="single" w:color="auto" w:sz="8" w:space="0"/>
              <w:right w:val="nil"/>
            </w:tcBorders>
            <w:shd w:val="clear" w:color="auto" w:fill="auto"/>
            <w:vAlign w:val="center"/>
          </w:tcPr>
          <w:p w14:paraId="480B06CC">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 xml:space="preserve">0.323 </w:t>
            </w:r>
          </w:p>
        </w:tc>
      </w:tr>
      <w:tr w14:paraId="1B54A2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83" w:type="pct"/>
            <w:tcBorders>
              <w:tl2br w:val="nil"/>
              <w:tr2bl w:val="nil"/>
            </w:tcBorders>
            <w:shd w:val="clear" w:color="auto" w:fill="auto"/>
            <w:vAlign w:val="center"/>
          </w:tcPr>
          <w:p w14:paraId="179EAB98">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合计</w:t>
            </w:r>
          </w:p>
        </w:tc>
        <w:tc>
          <w:tcPr>
            <w:tcW w:w="732" w:type="pct"/>
            <w:tcBorders>
              <w:tl2br w:val="nil"/>
              <w:tr2bl w:val="nil"/>
            </w:tcBorders>
            <w:shd w:val="clear" w:color="auto" w:fill="auto"/>
            <w:vAlign w:val="center"/>
          </w:tcPr>
          <w:p w14:paraId="3D299E31">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1072.183</w:t>
            </w:r>
          </w:p>
        </w:tc>
        <w:tc>
          <w:tcPr>
            <w:tcW w:w="555" w:type="pct"/>
            <w:tcBorders>
              <w:tl2br w:val="nil"/>
              <w:tr2bl w:val="nil"/>
            </w:tcBorders>
            <w:shd w:val="clear" w:color="auto" w:fill="auto"/>
            <w:vAlign w:val="center"/>
          </w:tcPr>
          <w:p w14:paraId="00A68B95">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100</w:t>
            </w:r>
          </w:p>
        </w:tc>
        <w:tc>
          <w:tcPr>
            <w:tcW w:w="706" w:type="pct"/>
            <w:tcBorders>
              <w:tl2br w:val="nil"/>
              <w:tr2bl w:val="nil"/>
            </w:tcBorders>
            <w:shd w:val="clear" w:color="auto" w:fill="auto"/>
            <w:vAlign w:val="center"/>
          </w:tcPr>
          <w:p w14:paraId="10457513">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0.25495</w:t>
            </w:r>
          </w:p>
        </w:tc>
        <w:tc>
          <w:tcPr>
            <w:tcW w:w="707" w:type="pct"/>
            <w:tcBorders>
              <w:tl2br w:val="nil"/>
              <w:tr2bl w:val="nil"/>
            </w:tcBorders>
            <w:shd w:val="clear" w:color="auto" w:fill="auto"/>
            <w:vAlign w:val="center"/>
          </w:tcPr>
          <w:p w14:paraId="53A9183E">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707" w:type="pct"/>
            <w:tcBorders>
              <w:top w:val="nil"/>
              <w:left w:val="nil"/>
              <w:bottom w:val="single" w:color="auto" w:sz="12" w:space="0"/>
              <w:right w:val="single" w:color="auto" w:sz="8" w:space="0"/>
            </w:tcBorders>
            <w:shd w:val="clear" w:color="auto" w:fill="auto"/>
            <w:vAlign w:val="center"/>
          </w:tcPr>
          <w:p w14:paraId="1913ECA9">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1072.183</w:t>
            </w:r>
          </w:p>
        </w:tc>
        <w:tc>
          <w:tcPr>
            <w:tcW w:w="707" w:type="pct"/>
            <w:tcBorders>
              <w:top w:val="nil"/>
              <w:left w:val="nil"/>
              <w:bottom w:val="single" w:color="auto" w:sz="12" w:space="0"/>
              <w:right w:val="nil"/>
            </w:tcBorders>
            <w:shd w:val="clear" w:color="auto" w:fill="auto"/>
            <w:vAlign w:val="center"/>
          </w:tcPr>
          <w:p w14:paraId="2C6AE15E">
            <w:pPr>
              <w:snapToGrid w:val="0"/>
              <w:spacing w:after="0"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等线" w:cs="Times New Roman"/>
                <w:color w:val="auto"/>
                <w:sz w:val="21"/>
                <w:szCs w:val="21"/>
              </w:rPr>
              <w:t>100</w:t>
            </w:r>
          </w:p>
        </w:tc>
      </w:tr>
    </w:tbl>
    <w:p w14:paraId="18D98A77">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根据上表分析，与建设前相比植被覆盖度下降幅度很小，工程建设对植被覆盖度影响很小。</w:t>
      </w:r>
    </w:p>
    <w:p w14:paraId="30C63291">
      <w:pPr>
        <w:pStyle w:val="5"/>
        <w:rPr>
          <w:rFonts w:hint="default" w:ascii="Times New Roman" w:hAnsi="Times New Roman" w:cs="Times New Roman"/>
          <w:color w:val="auto"/>
        </w:rPr>
      </w:pPr>
      <w:r>
        <w:rPr>
          <w:rFonts w:hint="default" w:ascii="Times New Roman" w:hAnsi="Times New Roman" w:cs="Times New Roman"/>
          <w:color w:val="auto"/>
        </w:rPr>
        <w:t>3.4.4对生态系统优势度的影响</w:t>
      </w:r>
    </w:p>
    <w:p w14:paraId="3E8EB599">
      <w:pPr>
        <w:adjustRightInd w:val="0"/>
        <w:snapToGrid w:val="0"/>
        <w:spacing w:after="0" w:line="240" w:lineRule="auto"/>
        <w:ind w:firstLine="482"/>
        <w:jc w:val="center"/>
        <w:rPr>
          <w:rFonts w:hint="default" w:ascii="Times New Roman" w:hAnsi="Times New Roman" w:eastAsia="宋体" w:cs="Times New Roman"/>
          <w:b/>
          <w:color w:val="auto"/>
          <w:szCs w:val="32"/>
        </w:rPr>
      </w:pPr>
      <w:r>
        <w:rPr>
          <w:rFonts w:hint="default" w:ascii="Times New Roman" w:hAnsi="Times New Roman" w:eastAsia="宋体" w:cs="Times New Roman"/>
          <w:b/>
          <w:color w:val="auto"/>
          <w:szCs w:val="32"/>
        </w:rPr>
        <w:t>表</w:t>
      </w:r>
      <w:r>
        <w:rPr>
          <w:rFonts w:hint="eastAsia" w:ascii="Times New Roman" w:hAnsi="Times New Roman" w:eastAsia="宋体" w:cs="Times New Roman"/>
          <w:b/>
          <w:color w:val="auto"/>
          <w:szCs w:val="32"/>
          <w:lang w:val="en-US" w:eastAsia="zh-CN"/>
        </w:rPr>
        <w:t>3.4-4</w:t>
      </w:r>
      <w:r>
        <w:rPr>
          <w:rFonts w:hint="default" w:ascii="Times New Roman" w:hAnsi="Times New Roman" w:eastAsia="宋体" w:cs="Times New Roman"/>
          <w:b/>
          <w:color w:val="auto"/>
          <w:szCs w:val="32"/>
        </w:rPr>
        <w:t xml:space="preserve">  评价区内各类生态系统优势度统计表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27"/>
        <w:gridCol w:w="1822"/>
        <w:gridCol w:w="2052"/>
        <w:gridCol w:w="2052"/>
      </w:tblGrid>
      <w:tr w14:paraId="759A2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5" w:type="pct"/>
            <w:noWrap/>
            <w:vAlign w:val="center"/>
          </w:tcPr>
          <w:p w14:paraId="03D98F05">
            <w:pPr>
              <w:widowControl/>
              <w:adjustRightInd w:val="0"/>
              <w:snapToGrid w:val="0"/>
              <w:spacing w:after="0" w:line="360" w:lineRule="exact"/>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生态系统类型</w:t>
            </w:r>
          </w:p>
        </w:tc>
        <w:tc>
          <w:tcPr>
            <w:tcW w:w="1041" w:type="pct"/>
            <w:noWrap/>
            <w:vAlign w:val="center"/>
          </w:tcPr>
          <w:p w14:paraId="4C505D86">
            <w:pPr>
              <w:widowControl/>
              <w:adjustRightInd w:val="0"/>
              <w:snapToGrid w:val="0"/>
              <w:spacing w:after="0" w:line="360" w:lineRule="exact"/>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建设前优势度Do</w:t>
            </w:r>
          </w:p>
        </w:tc>
        <w:tc>
          <w:tcPr>
            <w:tcW w:w="1172" w:type="pct"/>
            <w:vAlign w:val="center"/>
          </w:tcPr>
          <w:p w14:paraId="4220CC0D">
            <w:pPr>
              <w:widowControl/>
              <w:adjustRightInd w:val="0"/>
              <w:snapToGrid w:val="0"/>
              <w:spacing w:after="0" w:line="360" w:lineRule="exact"/>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建设后优势度Do</w:t>
            </w:r>
          </w:p>
        </w:tc>
        <w:tc>
          <w:tcPr>
            <w:tcW w:w="1172" w:type="pct"/>
            <w:vAlign w:val="center"/>
          </w:tcPr>
          <w:p w14:paraId="7F40D78D">
            <w:pPr>
              <w:widowControl/>
              <w:adjustRightInd w:val="0"/>
              <w:snapToGrid w:val="0"/>
              <w:spacing w:after="0" w:line="360" w:lineRule="exact"/>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变化情况</w:t>
            </w:r>
          </w:p>
        </w:tc>
      </w:tr>
      <w:tr w14:paraId="4F758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5" w:type="pct"/>
            <w:noWrap/>
            <w:vAlign w:val="center"/>
          </w:tcPr>
          <w:p w14:paraId="367D90D5">
            <w:pPr>
              <w:widowControl/>
              <w:adjustRightInd w:val="0"/>
              <w:snapToGrid w:val="0"/>
              <w:spacing w:after="0" w:line="360" w:lineRule="exact"/>
              <w:ind w:firstLine="0" w:firstLineChars="0"/>
              <w:jc w:val="center"/>
              <w:rPr>
                <w:rFonts w:hint="default" w:ascii="Times New Roman" w:hAnsi="Times New Roman" w:eastAsia="宋体" w:cs="Times New Roman"/>
                <w:color w:val="auto"/>
                <w:kern w:val="0"/>
                <w:sz w:val="21"/>
                <w:szCs w:val="21"/>
                <w:highlight w:val="yellow"/>
              </w:rPr>
            </w:pPr>
            <w:r>
              <w:rPr>
                <w:rFonts w:hint="default" w:ascii="Times New Roman" w:hAnsi="Times New Roman" w:cs="Times New Roman"/>
                <w:color w:val="auto"/>
                <w:sz w:val="21"/>
                <w:szCs w:val="21"/>
              </w:rPr>
              <w:t>森林生态系统——针叶林</w:t>
            </w:r>
          </w:p>
        </w:tc>
        <w:tc>
          <w:tcPr>
            <w:tcW w:w="1041" w:type="pct"/>
            <w:shd w:val="clear" w:color="auto" w:fill="auto"/>
            <w:noWrap/>
            <w:vAlign w:val="center"/>
          </w:tcPr>
          <w:p w14:paraId="0A2A0855">
            <w:pPr>
              <w:widowControl/>
              <w:adjustRightInd w:val="0"/>
              <w:snapToGrid w:val="0"/>
              <w:spacing w:after="0" w:line="360" w:lineRule="exact"/>
              <w:ind w:firstLine="0" w:firstLineChars="0"/>
              <w:jc w:val="center"/>
              <w:rPr>
                <w:rFonts w:hint="default" w:ascii="Times New Roman" w:hAnsi="Times New Roman" w:eastAsia="宋体" w:cs="Times New Roman"/>
                <w:color w:val="auto"/>
                <w:kern w:val="0"/>
                <w:sz w:val="21"/>
                <w:szCs w:val="21"/>
                <w:highlight w:val="yellow"/>
              </w:rPr>
            </w:pPr>
            <w:r>
              <w:rPr>
                <w:rFonts w:hint="default" w:ascii="Times New Roman" w:hAnsi="Times New Roman" w:eastAsia="等线" w:cs="Times New Roman"/>
                <w:color w:val="auto"/>
                <w:sz w:val="21"/>
                <w:szCs w:val="21"/>
              </w:rPr>
              <w:t xml:space="preserve">27.707 </w:t>
            </w:r>
          </w:p>
        </w:tc>
        <w:tc>
          <w:tcPr>
            <w:tcW w:w="1172" w:type="pct"/>
            <w:shd w:val="clear" w:color="auto" w:fill="auto"/>
            <w:vAlign w:val="center"/>
          </w:tcPr>
          <w:p w14:paraId="098E6D43">
            <w:pPr>
              <w:widowControl/>
              <w:adjustRightInd w:val="0"/>
              <w:snapToGrid w:val="0"/>
              <w:spacing w:after="0" w:line="360" w:lineRule="exact"/>
              <w:ind w:firstLine="0" w:firstLineChars="0"/>
              <w:jc w:val="center"/>
              <w:rPr>
                <w:rFonts w:hint="default" w:ascii="Times New Roman" w:hAnsi="Times New Roman" w:eastAsia="宋体" w:cs="Times New Roman"/>
                <w:color w:val="auto"/>
                <w:sz w:val="21"/>
                <w:szCs w:val="21"/>
                <w:highlight w:val="yellow"/>
              </w:rPr>
            </w:pPr>
            <w:r>
              <w:rPr>
                <w:rFonts w:hint="default" w:ascii="Times New Roman" w:hAnsi="Times New Roman" w:eastAsia="等线" w:cs="Times New Roman"/>
                <w:color w:val="auto"/>
                <w:sz w:val="21"/>
                <w:szCs w:val="21"/>
              </w:rPr>
              <w:t xml:space="preserve">27.999 </w:t>
            </w:r>
          </w:p>
        </w:tc>
        <w:tc>
          <w:tcPr>
            <w:tcW w:w="1172" w:type="pct"/>
            <w:shd w:val="clear" w:color="auto" w:fill="auto"/>
            <w:vAlign w:val="bottom"/>
          </w:tcPr>
          <w:p w14:paraId="380268A6">
            <w:pPr>
              <w:widowControl/>
              <w:adjustRightInd w:val="0"/>
              <w:snapToGrid w:val="0"/>
              <w:spacing w:after="0" w:line="360" w:lineRule="exact"/>
              <w:ind w:firstLine="0" w:firstLineChars="0"/>
              <w:jc w:val="center"/>
              <w:rPr>
                <w:rFonts w:hint="default" w:ascii="Times New Roman" w:hAnsi="Times New Roman" w:eastAsia="宋体" w:cs="Times New Roman"/>
                <w:color w:val="auto"/>
                <w:sz w:val="21"/>
                <w:szCs w:val="21"/>
                <w:highlight w:val="yellow"/>
              </w:rPr>
            </w:pPr>
            <w:r>
              <w:rPr>
                <w:rFonts w:hint="default" w:ascii="Times New Roman" w:hAnsi="Times New Roman" w:eastAsia="等线" w:cs="Times New Roman"/>
                <w:color w:val="auto"/>
                <w:sz w:val="22"/>
              </w:rPr>
              <w:t xml:space="preserve">0.292 </w:t>
            </w:r>
          </w:p>
        </w:tc>
      </w:tr>
      <w:tr w14:paraId="1E76F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5" w:type="pct"/>
            <w:vAlign w:val="center"/>
          </w:tcPr>
          <w:p w14:paraId="6A2875F2">
            <w:pPr>
              <w:widowControl/>
              <w:adjustRightInd w:val="0"/>
              <w:snapToGrid w:val="0"/>
              <w:spacing w:after="0" w:line="360" w:lineRule="exact"/>
              <w:ind w:firstLine="0" w:firstLineChars="0"/>
              <w:jc w:val="center"/>
              <w:rPr>
                <w:rFonts w:hint="default" w:ascii="Times New Roman" w:hAnsi="Times New Roman" w:eastAsia="宋体" w:cs="Times New Roman"/>
                <w:color w:val="auto"/>
                <w:kern w:val="0"/>
                <w:sz w:val="21"/>
                <w:szCs w:val="21"/>
                <w:highlight w:val="yellow"/>
              </w:rPr>
            </w:pPr>
            <w:r>
              <w:rPr>
                <w:rFonts w:hint="default" w:ascii="Times New Roman" w:hAnsi="Times New Roman" w:cs="Times New Roman"/>
                <w:color w:val="auto"/>
                <w:sz w:val="21"/>
                <w:szCs w:val="21"/>
              </w:rPr>
              <w:t>灌丛生态系统—阔叶灌丛</w:t>
            </w:r>
          </w:p>
        </w:tc>
        <w:tc>
          <w:tcPr>
            <w:tcW w:w="1041" w:type="pct"/>
            <w:shd w:val="clear" w:color="auto" w:fill="auto"/>
            <w:noWrap/>
            <w:vAlign w:val="center"/>
          </w:tcPr>
          <w:p w14:paraId="2D41C5F1">
            <w:pPr>
              <w:widowControl/>
              <w:adjustRightInd w:val="0"/>
              <w:snapToGrid w:val="0"/>
              <w:spacing w:after="0" w:line="360" w:lineRule="exact"/>
              <w:ind w:firstLine="0" w:firstLineChars="0"/>
              <w:jc w:val="center"/>
              <w:rPr>
                <w:rFonts w:hint="default" w:ascii="Times New Roman" w:hAnsi="Times New Roman" w:eastAsia="宋体" w:cs="Times New Roman"/>
                <w:color w:val="auto"/>
                <w:kern w:val="0"/>
                <w:sz w:val="21"/>
                <w:szCs w:val="21"/>
                <w:highlight w:val="yellow"/>
              </w:rPr>
            </w:pPr>
            <w:r>
              <w:rPr>
                <w:rFonts w:hint="default" w:ascii="Times New Roman" w:hAnsi="Times New Roman" w:eastAsia="等线" w:cs="Times New Roman"/>
                <w:color w:val="auto"/>
                <w:sz w:val="21"/>
                <w:szCs w:val="21"/>
              </w:rPr>
              <w:t xml:space="preserve">16.875 </w:t>
            </w:r>
          </w:p>
        </w:tc>
        <w:tc>
          <w:tcPr>
            <w:tcW w:w="1172" w:type="pct"/>
            <w:shd w:val="clear" w:color="auto" w:fill="auto"/>
            <w:vAlign w:val="center"/>
          </w:tcPr>
          <w:p w14:paraId="4F538026">
            <w:pPr>
              <w:widowControl/>
              <w:adjustRightInd w:val="0"/>
              <w:snapToGrid w:val="0"/>
              <w:spacing w:after="0" w:line="360" w:lineRule="exact"/>
              <w:ind w:firstLine="0" w:firstLineChars="0"/>
              <w:jc w:val="center"/>
              <w:rPr>
                <w:rFonts w:hint="default" w:ascii="Times New Roman" w:hAnsi="Times New Roman" w:eastAsia="宋体" w:cs="Times New Roman"/>
                <w:color w:val="auto"/>
                <w:sz w:val="21"/>
                <w:szCs w:val="21"/>
                <w:highlight w:val="yellow"/>
              </w:rPr>
            </w:pPr>
            <w:r>
              <w:rPr>
                <w:rFonts w:hint="default" w:ascii="Times New Roman" w:hAnsi="Times New Roman" w:eastAsia="等线" w:cs="Times New Roman"/>
                <w:color w:val="auto"/>
                <w:sz w:val="21"/>
                <w:szCs w:val="21"/>
              </w:rPr>
              <w:t xml:space="preserve">16.875 </w:t>
            </w:r>
          </w:p>
        </w:tc>
        <w:tc>
          <w:tcPr>
            <w:tcW w:w="1172" w:type="pct"/>
            <w:shd w:val="clear" w:color="auto" w:fill="auto"/>
            <w:vAlign w:val="bottom"/>
          </w:tcPr>
          <w:p w14:paraId="5168043A">
            <w:pPr>
              <w:widowControl/>
              <w:adjustRightInd w:val="0"/>
              <w:snapToGrid w:val="0"/>
              <w:spacing w:after="0" w:line="360" w:lineRule="exact"/>
              <w:ind w:firstLine="0" w:firstLineChars="0"/>
              <w:jc w:val="center"/>
              <w:rPr>
                <w:rFonts w:hint="default" w:ascii="Times New Roman" w:hAnsi="Times New Roman" w:eastAsia="宋体" w:cs="Times New Roman"/>
                <w:color w:val="auto"/>
                <w:sz w:val="21"/>
                <w:szCs w:val="21"/>
                <w:highlight w:val="yellow"/>
              </w:rPr>
            </w:pPr>
            <w:r>
              <w:rPr>
                <w:rFonts w:hint="default" w:ascii="Times New Roman" w:hAnsi="Times New Roman" w:eastAsia="等线" w:cs="Times New Roman"/>
                <w:color w:val="auto"/>
                <w:sz w:val="22"/>
              </w:rPr>
              <w:t xml:space="preserve">0.000 </w:t>
            </w:r>
          </w:p>
        </w:tc>
      </w:tr>
      <w:tr w14:paraId="1824E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5" w:type="pct"/>
            <w:vAlign w:val="center"/>
          </w:tcPr>
          <w:p w14:paraId="54FE8F3F">
            <w:pPr>
              <w:widowControl/>
              <w:adjustRightInd w:val="0"/>
              <w:snapToGrid w:val="0"/>
              <w:spacing w:after="0" w:line="360" w:lineRule="exact"/>
              <w:ind w:firstLine="0" w:firstLineChars="0"/>
              <w:jc w:val="center"/>
              <w:rPr>
                <w:rFonts w:hint="default" w:ascii="Times New Roman" w:hAnsi="Times New Roman" w:eastAsia="宋体" w:cs="Times New Roman"/>
                <w:color w:val="auto"/>
                <w:kern w:val="0"/>
                <w:sz w:val="21"/>
                <w:szCs w:val="21"/>
                <w:highlight w:val="yellow"/>
              </w:rPr>
            </w:pPr>
            <w:r>
              <w:rPr>
                <w:rFonts w:hint="default" w:ascii="Times New Roman" w:hAnsi="Times New Roman" w:cs="Times New Roman"/>
                <w:color w:val="auto"/>
                <w:sz w:val="21"/>
                <w:szCs w:val="21"/>
              </w:rPr>
              <w:t>草丛生态系统——稀疏草丛</w:t>
            </w:r>
          </w:p>
        </w:tc>
        <w:tc>
          <w:tcPr>
            <w:tcW w:w="1041" w:type="pct"/>
            <w:shd w:val="clear" w:color="auto" w:fill="auto"/>
            <w:noWrap/>
            <w:vAlign w:val="center"/>
          </w:tcPr>
          <w:p w14:paraId="44CA59C0">
            <w:pPr>
              <w:widowControl/>
              <w:adjustRightInd w:val="0"/>
              <w:snapToGrid w:val="0"/>
              <w:spacing w:after="0" w:line="360" w:lineRule="exact"/>
              <w:ind w:firstLine="0" w:firstLineChars="0"/>
              <w:jc w:val="center"/>
              <w:rPr>
                <w:rFonts w:hint="default" w:ascii="Times New Roman" w:hAnsi="Times New Roman" w:eastAsia="宋体" w:cs="Times New Roman"/>
                <w:color w:val="auto"/>
                <w:kern w:val="0"/>
                <w:sz w:val="21"/>
                <w:szCs w:val="21"/>
                <w:highlight w:val="yellow"/>
              </w:rPr>
            </w:pPr>
            <w:r>
              <w:rPr>
                <w:rFonts w:hint="default" w:ascii="Times New Roman" w:hAnsi="Times New Roman" w:eastAsia="等线" w:cs="Times New Roman"/>
                <w:color w:val="auto"/>
                <w:sz w:val="21"/>
                <w:szCs w:val="21"/>
              </w:rPr>
              <w:t xml:space="preserve">14.326 </w:t>
            </w:r>
          </w:p>
        </w:tc>
        <w:tc>
          <w:tcPr>
            <w:tcW w:w="1172" w:type="pct"/>
            <w:shd w:val="clear" w:color="auto" w:fill="auto"/>
            <w:vAlign w:val="center"/>
          </w:tcPr>
          <w:p w14:paraId="21E1E9E0">
            <w:pPr>
              <w:widowControl/>
              <w:adjustRightInd w:val="0"/>
              <w:snapToGrid w:val="0"/>
              <w:spacing w:after="0" w:line="360" w:lineRule="exact"/>
              <w:ind w:firstLine="0" w:firstLineChars="0"/>
              <w:jc w:val="center"/>
              <w:rPr>
                <w:rFonts w:hint="default" w:ascii="Times New Roman" w:hAnsi="Times New Roman" w:eastAsia="宋体" w:cs="Times New Roman"/>
                <w:color w:val="auto"/>
                <w:sz w:val="21"/>
                <w:szCs w:val="21"/>
                <w:highlight w:val="yellow"/>
              </w:rPr>
            </w:pPr>
            <w:r>
              <w:rPr>
                <w:rFonts w:hint="default" w:ascii="Times New Roman" w:hAnsi="Times New Roman" w:eastAsia="等线" w:cs="Times New Roman"/>
                <w:color w:val="auto"/>
                <w:sz w:val="21"/>
                <w:szCs w:val="21"/>
              </w:rPr>
              <w:t xml:space="preserve">14.547 </w:t>
            </w:r>
          </w:p>
        </w:tc>
        <w:tc>
          <w:tcPr>
            <w:tcW w:w="1172" w:type="pct"/>
            <w:shd w:val="clear" w:color="auto" w:fill="auto"/>
            <w:vAlign w:val="bottom"/>
          </w:tcPr>
          <w:p w14:paraId="72D60905">
            <w:pPr>
              <w:widowControl/>
              <w:adjustRightInd w:val="0"/>
              <w:snapToGrid w:val="0"/>
              <w:spacing w:after="0" w:line="360" w:lineRule="exact"/>
              <w:ind w:firstLine="0" w:firstLineChars="0"/>
              <w:jc w:val="center"/>
              <w:rPr>
                <w:rFonts w:hint="default" w:ascii="Times New Roman" w:hAnsi="Times New Roman" w:eastAsia="宋体" w:cs="Times New Roman"/>
                <w:color w:val="auto"/>
                <w:sz w:val="21"/>
                <w:szCs w:val="21"/>
                <w:highlight w:val="yellow"/>
              </w:rPr>
            </w:pPr>
            <w:r>
              <w:rPr>
                <w:rFonts w:hint="default" w:ascii="Times New Roman" w:hAnsi="Times New Roman" w:eastAsia="等线" w:cs="Times New Roman"/>
                <w:color w:val="auto"/>
                <w:sz w:val="22"/>
              </w:rPr>
              <w:t xml:space="preserve">0.221 </w:t>
            </w:r>
          </w:p>
        </w:tc>
      </w:tr>
      <w:tr w14:paraId="75F3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5" w:type="pct"/>
            <w:vAlign w:val="center"/>
          </w:tcPr>
          <w:p w14:paraId="5B812DB4">
            <w:pPr>
              <w:widowControl/>
              <w:adjustRightInd w:val="0"/>
              <w:snapToGrid w:val="0"/>
              <w:spacing w:after="0" w:line="360" w:lineRule="exact"/>
              <w:ind w:firstLine="0" w:firstLineChars="0"/>
              <w:jc w:val="center"/>
              <w:rPr>
                <w:rFonts w:hint="default" w:ascii="Times New Roman" w:hAnsi="Times New Roman" w:eastAsia="宋体" w:cs="Times New Roman"/>
                <w:color w:val="auto"/>
                <w:kern w:val="0"/>
                <w:sz w:val="21"/>
                <w:szCs w:val="21"/>
                <w:highlight w:val="yellow"/>
              </w:rPr>
            </w:pPr>
            <w:r>
              <w:rPr>
                <w:rFonts w:hint="default" w:ascii="Times New Roman" w:hAnsi="Times New Roman" w:cs="Times New Roman"/>
                <w:color w:val="auto"/>
                <w:sz w:val="21"/>
                <w:szCs w:val="21"/>
              </w:rPr>
              <w:t>农田生态系统—耕地</w:t>
            </w:r>
          </w:p>
        </w:tc>
        <w:tc>
          <w:tcPr>
            <w:tcW w:w="1041" w:type="pct"/>
            <w:shd w:val="clear" w:color="auto" w:fill="auto"/>
            <w:noWrap/>
            <w:vAlign w:val="center"/>
          </w:tcPr>
          <w:p w14:paraId="05C330F4">
            <w:pPr>
              <w:widowControl/>
              <w:adjustRightInd w:val="0"/>
              <w:snapToGrid w:val="0"/>
              <w:spacing w:after="0" w:line="360" w:lineRule="exact"/>
              <w:ind w:firstLine="0" w:firstLineChars="0"/>
              <w:jc w:val="center"/>
              <w:rPr>
                <w:rFonts w:hint="default" w:ascii="Times New Roman" w:hAnsi="Times New Roman" w:eastAsia="宋体" w:cs="Times New Roman"/>
                <w:color w:val="auto"/>
                <w:kern w:val="0"/>
                <w:sz w:val="21"/>
                <w:szCs w:val="21"/>
                <w:highlight w:val="yellow"/>
              </w:rPr>
            </w:pPr>
            <w:r>
              <w:rPr>
                <w:rFonts w:hint="default" w:ascii="Times New Roman" w:hAnsi="Times New Roman" w:eastAsia="等线" w:cs="Times New Roman"/>
                <w:color w:val="auto"/>
                <w:sz w:val="21"/>
                <w:szCs w:val="21"/>
              </w:rPr>
              <w:t xml:space="preserve">28.780 </w:t>
            </w:r>
          </w:p>
        </w:tc>
        <w:tc>
          <w:tcPr>
            <w:tcW w:w="1172" w:type="pct"/>
            <w:shd w:val="clear" w:color="auto" w:fill="auto"/>
            <w:vAlign w:val="center"/>
          </w:tcPr>
          <w:p w14:paraId="2C39BCF6">
            <w:pPr>
              <w:widowControl/>
              <w:adjustRightInd w:val="0"/>
              <w:snapToGrid w:val="0"/>
              <w:spacing w:after="0" w:line="360" w:lineRule="exact"/>
              <w:ind w:firstLine="0" w:firstLineChars="0"/>
              <w:jc w:val="center"/>
              <w:rPr>
                <w:rFonts w:hint="default" w:ascii="Times New Roman" w:hAnsi="Times New Roman" w:eastAsia="宋体" w:cs="Times New Roman"/>
                <w:color w:val="auto"/>
                <w:sz w:val="21"/>
                <w:szCs w:val="21"/>
                <w:highlight w:val="yellow"/>
              </w:rPr>
            </w:pPr>
            <w:r>
              <w:rPr>
                <w:rFonts w:hint="default" w:ascii="Times New Roman" w:hAnsi="Times New Roman" w:eastAsia="等线" w:cs="Times New Roman"/>
                <w:color w:val="auto"/>
                <w:sz w:val="21"/>
                <w:szCs w:val="21"/>
              </w:rPr>
              <w:t xml:space="preserve">29.220 </w:t>
            </w:r>
          </w:p>
        </w:tc>
        <w:tc>
          <w:tcPr>
            <w:tcW w:w="1172" w:type="pct"/>
            <w:shd w:val="clear" w:color="auto" w:fill="auto"/>
            <w:vAlign w:val="bottom"/>
          </w:tcPr>
          <w:p w14:paraId="3E12E54F">
            <w:pPr>
              <w:widowControl/>
              <w:adjustRightInd w:val="0"/>
              <w:snapToGrid w:val="0"/>
              <w:spacing w:after="0" w:line="360" w:lineRule="exact"/>
              <w:ind w:firstLine="0" w:firstLineChars="0"/>
              <w:jc w:val="center"/>
              <w:rPr>
                <w:rFonts w:hint="default" w:ascii="Times New Roman" w:hAnsi="Times New Roman" w:eastAsia="宋体" w:cs="Times New Roman"/>
                <w:color w:val="auto"/>
                <w:sz w:val="21"/>
                <w:szCs w:val="21"/>
                <w:highlight w:val="yellow"/>
              </w:rPr>
            </w:pPr>
            <w:r>
              <w:rPr>
                <w:rFonts w:hint="default" w:ascii="Times New Roman" w:hAnsi="Times New Roman" w:eastAsia="等线" w:cs="Times New Roman"/>
                <w:color w:val="auto"/>
                <w:sz w:val="22"/>
              </w:rPr>
              <w:t xml:space="preserve">0.441 </w:t>
            </w:r>
          </w:p>
        </w:tc>
      </w:tr>
      <w:tr w14:paraId="4613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5" w:type="pct"/>
            <w:vAlign w:val="center"/>
          </w:tcPr>
          <w:p w14:paraId="29EC281D">
            <w:pPr>
              <w:widowControl/>
              <w:adjustRightInd w:val="0"/>
              <w:snapToGrid w:val="0"/>
              <w:spacing w:after="0" w:line="360" w:lineRule="exact"/>
              <w:ind w:firstLine="0" w:firstLineChars="0"/>
              <w:jc w:val="center"/>
              <w:rPr>
                <w:rFonts w:hint="default" w:ascii="Times New Roman" w:hAnsi="Times New Roman" w:eastAsia="宋体" w:cs="Times New Roman"/>
                <w:color w:val="auto"/>
                <w:kern w:val="0"/>
                <w:sz w:val="21"/>
                <w:szCs w:val="21"/>
              </w:rPr>
            </w:pPr>
            <w:bookmarkStart w:id="292" w:name="RANGE!A27"/>
            <w:r>
              <w:rPr>
                <w:rFonts w:hint="default" w:ascii="Times New Roman" w:hAnsi="Times New Roman" w:cs="Times New Roman"/>
                <w:color w:val="auto"/>
                <w:sz w:val="21"/>
                <w:szCs w:val="21"/>
              </w:rPr>
              <w:t>城镇生态系统——居住地</w:t>
            </w:r>
            <w:bookmarkEnd w:id="292"/>
          </w:p>
        </w:tc>
        <w:tc>
          <w:tcPr>
            <w:tcW w:w="1041" w:type="pct"/>
            <w:shd w:val="clear" w:color="auto" w:fill="auto"/>
            <w:noWrap/>
            <w:vAlign w:val="center"/>
          </w:tcPr>
          <w:p w14:paraId="63CBB2E1">
            <w:pPr>
              <w:widowControl/>
              <w:adjustRightInd w:val="0"/>
              <w:snapToGrid w:val="0"/>
              <w:spacing w:after="0"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等线" w:cs="Times New Roman"/>
                <w:color w:val="auto"/>
                <w:sz w:val="21"/>
                <w:szCs w:val="21"/>
              </w:rPr>
              <w:t xml:space="preserve">4.335 </w:t>
            </w:r>
          </w:p>
        </w:tc>
        <w:tc>
          <w:tcPr>
            <w:tcW w:w="1172" w:type="pct"/>
            <w:shd w:val="clear" w:color="auto" w:fill="auto"/>
            <w:vAlign w:val="center"/>
          </w:tcPr>
          <w:p w14:paraId="189A537B">
            <w:pPr>
              <w:widowControl/>
              <w:adjustRightInd w:val="0"/>
              <w:snapToGrid w:val="0"/>
              <w:spacing w:after="0"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等线" w:cs="Times New Roman"/>
                <w:color w:val="auto"/>
                <w:sz w:val="21"/>
                <w:szCs w:val="21"/>
              </w:rPr>
              <w:t xml:space="preserve">4.335 </w:t>
            </w:r>
          </w:p>
        </w:tc>
        <w:tc>
          <w:tcPr>
            <w:tcW w:w="1172" w:type="pct"/>
            <w:shd w:val="clear" w:color="auto" w:fill="auto"/>
            <w:vAlign w:val="bottom"/>
          </w:tcPr>
          <w:p w14:paraId="7381652E">
            <w:pPr>
              <w:widowControl/>
              <w:adjustRightInd w:val="0"/>
              <w:snapToGrid w:val="0"/>
              <w:spacing w:after="0"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等线" w:cs="Times New Roman"/>
                <w:color w:val="auto"/>
                <w:sz w:val="22"/>
              </w:rPr>
              <w:t xml:space="preserve">0.000 </w:t>
            </w:r>
          </w:p>
        </w:tc>
      </w:tr>
      <w:tr w14:paraId="5A0F0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5" w:type="pct"/>
            <w:vAlign w:val="center"/>
          </w:tcPr>
          <w:p w14:paraId="76CFF62C">
            <w:pPr>
              <w:widowControl/>
              <w:adjustRightInd w:val="0"/>
              <w:snapToGrid w:val="0"/>
              <w:spacing w:after="0"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sz w:val="21"/>
                <w:szCs w:val="21"/>
              </w:rPr>
              <w:t>城镇生态系统——工矿交通</w:t>
            </w:r>
          </w:p>
        </w:tc>
        <w:tc>
          <w:tcPr>
            <w:tcW w:w="1041" w:type="pct"/>
            <w:shd w:val="clear" w:color="auto" w:fill="auto"/>
            <w:noWrap/>
            <w:vAlign w:val="center"/>
          </w:tcPr>
          <w:p w14:paraId="2323DD3D">
            <w:pPr>
              <w:widowControl/>
              <w:adjustRightInd w:val="0"/>
              <w:snapToGrid w:val="0"/>
              <w:spacing w:after="0"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等线" w:cs="Times New Roman"/>
                <w:color w:val="auto"/>
                <w:sz w:val="21"/>
                <w:szCs w:val="21"/>
              </w:rPr>
              <w:t xml:space="preserve">5.725 </w:t>
            </w:r>
          </w:p>
        </w:tc>
        <w:tc>
          <w:tcPr>
            <w:tcW w:w="1172" w:type="pct"/>
            <w:shd w:val="clear" w:color="auto" w:fill="auto"/>
            <w:vAlign w:val="center"/>
          </w:tcPr>
          <w:p w14:paraId="31EB2C53">
            <w:pPr>
              <w:widowControl/>
              <w:adjustRightInd w:val="0"/>
              <w:snapToGrid w:val="0"/>
              <w:spacing w:after="0"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等线" w:cs="Times New Roman"/>
                <w:color w:val="auto"/>
                <w:sz w:val="21"/>
                <w:szCs w:val="21"/>
              </w:rPr>
              <w:t xml:space="preserve">5.761 </w:t>
            </w:r>
          </w:p>
        </w:tc>
        <w:tc>
          <w:tcPr>
            <w:tcW w:w="1172" w:type="pct"/>
            <w:shd w:val="clear" w:color="auto" w:fill="auto"/>
            <w:vAlign w:val="bottom"/>
          </w:tcPr>
          <w:p w14:paraId="26104AB7">
            <w:pPr>
              <w:widowControl/>
              <w:adjustRightInd w:val="0"/>
              <w:snapToGrid w:val="0"/>
              <w:spacing w:after="0" w:line="36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等线" w:cs="Times New Roman"/>
                <w:color w:val="auto"/>
                <w:sz w:val="22"/>
              </w:rPr>
              <w:t xml:space="preserve">0.036 </w:t>
            </w:r>
          </w:p>
        </w:tc>
      </w:tr>
      <w:tr w14:paraId="2484E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5" w:type="pct"/>
            <w:vAlign w:val="center"/>
          </w:tcPr>
          <w:p w14:paraId="732E3E41">
            <w:pPr>
              <w:widowControl/>
              <w:adjustRightInd w:val="0"/>
              <w:snapToGrid w:val="0"/>
              <w:spacing w:after="0"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sz w:val="21"/>
                <w:szCs w:val="21"/>
              </w:rPr>
              <w:t>湿地生态系统——河流</w:t>
            </w:r>
          </w:p>
        </w:tc>
        <w:tc>
          <w:tcPr>
            <w:tcW w:w="1041" w:type="pct"/>
            <w:shd w:val="clear" w:color="auto" w:fill="auto"/>
            <w:noWrap/>
            <w:vAlign w:val="center"/>
          </w:tcPr>
          <w:p w14:paraId="501745FD">
            <w:pPr>
              <w:widowControl/>
              <w:adjustRightInd w:val="0"/>
              <w:snapToGrid w:val="0"/>
              <w:spacing w:after="0" w:line="360" w:lineRule="exact"/>
              <w:ind w:firstLine="0" w:firstLineChars="0"/>
              <w:jc w:val="center"/>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 xml:space="preserve">1.319 </w:t>
            </w:r>
          </w:p>
        </w:tc>
        <w:tc>
          <w:tcPr>
            <w:tcW w:w="1172" w:type="pct"/>
            <w:shd w:val="clear" w:color="auto" w:fill="auto"/>
            <w:vAlign w:val="center"/>
          </w:tcPr>
          <w:p w14:paraId="27E4D6D9">
            <w:pPr>
              <w:widowControl/>
              <w:adjustRightInd w:val="0"/>
              <w:snapToGrid w:val="0"/>
              <w:spacing w:after="0" w:line="360" w:lineRule="exact"/>
              <w:ind w:firstLine="0" w:firstLineChars="0"/>
              <w:jc w:val="center"/>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 xml:space="preserve">1.355 </w:t>
            </w:r>
          </w:p>
        </w:tc>
        <w:tc>
          <w:tcPr>
            <w:tcW w:w="1172" w:type="pct"/>
            <w:shd w:val="clear" w:color="auto" w:fill="auto"/>
            <w:vAlign w:val="bottom"/>
          </w:tcPr>
          <w:p w14:paraId="111317CE">
            <w:pPr>
              <w:widowControl/>
              <w:adjustRightInd w:val="0"/>
              <w:snapToGrid w:val="0"/>
              <w:spacing w:after="0" w:line="360" w:lineRule="exact"/>
              <w:ind w:firstLine="0" w:firstLineChars="0"/>
              <w:jc w:val="center"/>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2"/>
              </w:rPr>
              <w:t xml:space="preserve">0.036 </w:t>
            </w:r>
          </w:p>
        </w:tc>
      </w:tr>
      <w:tr w14:paraId="309BB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5" w:type="pct"/>
            <w:vAlign w:val="center"/>
          </w:tcPr>
          <w:p w14:paraId="5D7F2B74">
            <w:pPr>
              <w:widowControl/>
              <w:adjustRightInd w:val="0"/>
              <w:snapToGrid w:val="0"/>
              <w:spacing w:after="0"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sz w:val="21"/>
                <w:szCs w:val="21"/>
              </w:rPr>
              <w:t>湿地生态系统——湖泊</w:t>
            </w:r>
          </w:p>
        </w:tc>
        <w:tc>
          <w:tcPr>
            <w:tcW w:w="1041" w:type="pct"/>
            <w:shd w:val="clear" w:color="auto" w:fill="auto"/>
            <w:noWrap/>
            <w:vAlign w:val="center"/>
          </w:tcPr>
          <w:p w14:paraId="72B2DBBA">
            <w:pPr>
              <w:widowControl/>
              <w:adjustRightInd w:val="0"/>
              <w:snapToGrid w:val="0"/>
              <w:spacing w:after="0" w:line="360" w:lineRule="exact"/>
              <w:ind w:firstLine="0" w:firstLineChars="0"/>
              <w:jc w:val="center"/>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 xml:space="preserve">0.054 </w:t>
            </w:r>
          </w:p>
        </w:tc>
        <w:tc>
          <w:tcPr>
            <w:tcW w:w="1172" w:type="pct"/>
            <w:shd w:val="clear" w:color="auto" w:fill="auto"/>
            <w:vAlign w:val="center"/>
          </w:tcPr>
          <w:p w14:paraId="52A45F90">
            <w:pPr>
              <w:widowControl/>
              <w:adjustRightInd w:val="0"/>
              <w:snapToGrid w:val="0"/>
              <w:spacing w:after="0" w:line="360" w:lineRule="exact"/>
              <w:ind w:firstLine="0" w:firstLineChars="0"/>
              <w:jc w:val="center"/>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 xml:space="preserve">0.053 </w:t>
            </w:r>
          </w:p>
        </w:tc>
        <w:tc>
          <w:tcPr>
            <w:tcW w:w="1172" w:type="pct"/>
            <w:shd w:val="clear" w:color="auto" w:fill="auto"/>
            <w:vAlign w:val="bottom"/>
          </w:tcPr>
          <w:p w14:paraId="06F2EDDC">
            <w:pPr>
              <w:widowControl/>
              <w:adjustRightInd w:val="0"/>
              <w:snapToGrid w:val="0"/>
              <w:spacing w:after="0" w:line="360" w:lineRule="exact"/>
              <w:ind w:firstLine="0" w:firstLineChars="0"/>
              <w:jc w:val="center"/>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2"/>
              </w:rPr>
              <w:t xml:space="preserve">-0.001 </w:t>
            </w:r>
          </w:p>
        </w:tc>
      </w:tr>
      <w:tr w14:paraId="267C8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5" w:type="pct"/>
            <w:vAlign w:val="center"/>
          </w:tcPr>
          <w:p w14:paraId="6D24C38D">
            <w:pPr>
              <w:widowControl/>
              <w:adjustRightInd w:val="0"/>
              <w:snapToGrid w:val="0"/>
              <w:spacing w:after="0" w:line="36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sz w:val="21"/>
                <w:szCs w:val="21"/>
              </w:rPr>
              <w:t>其他—裸地</w:t>
            </w:r>
          </w:p>
        </w:tc>
        <w:tc>
          <w:tcPr>
            <w:tcW w:w="1041" w:type="pct"/>
            <w:shd w:val="clear" w:color="auto" w:fill="auto"/>
            <w:noWrap/>
            <w:vAlign w:val="center"/>
          </w:tcPr>
          <w:p w14:paraId="366EF3B5">
            <w:pPr>
              <w:widowControl/>
              <w:adjustRightInd w:val="0"/>
              <w:snapToGrid w:val="0"/>
              <w:spacing w:after="0" w:line="360" w:lineRule="exact"/>
              <w:ind w:firstLine="0" w:firstLineChars="0"/>
              <w:jc w:val="center"/>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 xml:space="preserve">1.076 </w:t>
            </w:r>
          </w:p>
        </w:tc>
        <w:tc>
          <w:tcPr>
            <w:tcW w:w="1172" w:type="pct"/>
            <w:shd w:val="clear" w:color="auto" w:fill="auto"/>
            <w:vAlign w:val="center"/>
          </w:tcPr>
          <w:p w14:paraId="5988276A">
            <w:pPr>
              <w:widowControl/>
              <w:adjustRightInd w:val="0"/>
              <w:snapToGrid w:val="0"/>
              <w:spacing w:after="0" w:line="360" w:lineRule="exact"/>
              <w:ind w:firstLine="0" w:firstLineChars="0"/>
              <w:jc w:val="center"/>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 xml:space="preserve">1.076 </w:t>
            </w:r>
          </w:p>
        </w:tc>
        <w:tc>
          <w:tcPr>
            <w:tcW w:w="1172" w:type="pct"/>
            <w:shd w:val="clear" w:color="auto" w:fill="auto"/>
            <w:vAlign w:val="bottom"/>
          </w:tcPr>
          <w:p w14:paraId="575D0458">
            <w:pPr>
              <w:widowControl/>
              <w:adjustRightInd w:val="0"/>
              <w:snapToGrid w:val="0"/>
              <w:spacing w:after="0" w:line="360" w:lineRule="exact"/>
              <w:ind w:firstLine="0" w:firstLineChars="0"/>
              <w:jc w:val="center"/>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2"/>
              </w:rPr>
              <w:t xml:space="preserve">0.000 </w:t>
            </w:r>
          </w:p>
        </w:tc>
      </w:tr>
    </w:tbl>
    <w:p w14:paraId="0E1E166B">
      <w:pPr>
        <w:adjustRightInd w:val="0"/>
        <w:snapToGrid w:val="0"/>
        <w:spacing w:after="0" w:line="440" w:lineRule="exact"/>
        <w:ind w:firstLine="480"/>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根据预测分析结果，评价区各生态系统类型优势度变化均不大。</w:t>
      </w:r>
    </w:p>
    <w:p w14:paraId="6CA1C47B">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293" w:name="_Toc5438"/>
      <w:bookmarkStart w:id="294" w:name="_Toc19094"/>
      <w:r>
        <w:rPr>
          <w:rFonts w:hint="default" w:ascii="Times New Roman" w:hAnsi="Times New Roman" w:eastAsia="宋体" w:cs="Times New Roman"/>
          <w:bCs w:val="0"/>
          <w:color w:val="auto"/>
          <w:kern w:val="0"/>
          <w:sz w:val="28"/>
          <w:szCs w:val="28"/>
          <w:lang w:val="zh-CN"/>
        </w:rPr>
        <w:t>3.5 对陆生脊椎动物的影响</w:t>
      </w:r>
      <w:bookmarkEnd w:id="293"/>
      <w:bookmarkEnd w:id="294"/>
    </w:p>
    <w:p w14:paraId="14FB86F1">
      <w:pPr>
        <w:adjustRightInd w:val="0"/>
        <w:snapToGrid w:val="0"/>
        <w:spacing w:after="0" w:line="440" w:lineRule="exact"/>
        <w:ind w:firstLine="480"/>
        <w:rPr>
          <w:rFonts w:hint="default" w:ascii="Times New Roman" w:hAnsi="Times New Roman" w:cs="Times New Roman"/>
          <w:snapToGrid w:val="0"/>
          <w:color w:val="auto"/>
          <w:lang w:val="zh-CN"/>
        </w:rPr>
      </w:pPr>
      <w:r>
        <w:rPr>
          <w:rFonts w:hint="default" w:ascii="Times New Roman" w:hAnsi="Times New Roman" w:cs="Times New Roman"/>
          <w:snapToGrid w:val="0"/>
          <w:color w:val="auto"/>
          <w:lang w:val="zh-CN"/>
        </w:rPr>
        <w:t>项目建设对陆生脊椎动物的影响主要表现在对动物栖息环境的影响和对动物本身的影响两个方面。</w:t>
      </w:r>
    </w:p>
    <w:p w14:paraId="10748087">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295" w:name="_Toc17976"/>
      <w:r>
        <w:rPr>
          <w:rFonts w:hint="default" w:ascii="Times New Roman" w:hAnsi="Times New Roman" w:cs="Times New Roman"/>
          <w:color w:val="auto"/>
          <w:sz w:val="24"/>
          <w:szCs w:val="24"/>
        </w:rPr>
        <w:t>3.5.1 施工期影响</w:t>
      </w:r>
      <w:bookmarkEnd w:id="295"/>
    </w:p>
    <w:p w14:paraId="60737EA0">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工程施工期对动物的影响主要表现在工程建设、运输及污染物排放等人类活动频率加剧带来的不利影响，重点影响区域主要为工程扰动区（永久和临时占地区）及周围300m范围区域。项目评价范围内受影响的动物主要是小型兽类和鸟类。</w:t>
      </w:r>
    </w:p>
    <w:p w14:paraId="49CDBA2F">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（1）对两栖爬行类动物的影响</w:t>
      </w:r>
    </w:p>
    <w:p w14:paraId="746C72CA">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本工程线路沿线的两栖爬行动物主要栖息于农田、溪流及附近的林木、灌丛、杂草中，受工程影响的主要是栖息于上述环境中的常见物种。</w:t>
      </w:r>
    </w:p>
    <w:p w14:paraId="7F7CA7CA">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工程施工对两栖爬行类动物的影响包括对其栖息地生境的干扰和破坏，施工机械噪声对动物的驱赶；这些影响将使大部分动物迁移他处，远离施工区范围；小部分动物由于栖息地的散失而可能从项目区消失。总体来说，施工期间虽会使项目占地区及施工影响区两栖爬行动物的种类和数量有所减少，但对整个项目区两栖爬行动物的种群数量的影响十分有限。一方面这些动物将迁徙他处；另一方面随着项目建设的完成，生境的恢复，两栖爬行动物的种群数量将很快得以恢复。</w:t>
      </w:r>
    </w:p>
    <w:p w14:paraId="6C3DECB0">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（2）对鸟类动物的影响</w:t>
      </w:r>
    </w:p>
    <w:p w14:paraId="1EAE02F7">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bCs/>
          <w:color w:val="auto"/>
          <w:szCs w:val="24"/>
          <w:lang w:val="zh-CN"/>
        </w:rPr>
      </w:pPr>
      <w:r>
        <w:rPr>
          <w:rFonts w:hint="default" w:ascii="Times New Roman" w:hAnsi="Times New Roman" w:eastAsia="宋体" w:cs="Times New Roman"/>
          <w:bCs/>
          <w:color w:val="auto"/>
          <w:szCs w:val="24"/>
          <w:lang w:val="zh-CN"/>
        </w:rPr>
        <w:t>施工期间对鸟类的影响主要表现为：人为活动的增加以及施工便道的开挖和噪声、施工机械</w:t>
      </w:r>
      <w:r>
        <w:rPr>
          <w:rFonts w:hint="default" w:ascii="Times New Roman" w:hAnsi="Times New Roman" w:eastAsia="宋体" w:cs="Times New Roman"/>
          <w:bCs/>
          <w:color w:val="auto"/>
          <w:szCs w:val="24"/>
        </w:rPr>
        <w:t>噪声</w:t>
      </w:r>
      <w:r>
        <w:rPr>
          <w:rFonts w:hint="default" w:ascii="Times New Roman" w:hAnsi="Times New Roman" w:eastAsia="宋体" w:cs="Times New Roman"/>
          <w:bCs/>
          <w:color w:val="auto"/>
          <w:szCs w:val="24"/>
          <w:lang w:val="zh-CN"/>
        </w:rPr>
        <w:t>等均会惊吓、干扰某些鸟类，尤其对一些林栖鸟类会产生干扰。但鸟类能凭借自身的飞翔能力离开施工影响区域，寻找适宜的栖息地。只要施工过程没有影响到鸟类集中的栖息或繁殖地，就不会影响工程沿线鸟类种群及其长期生存繁衍的环境。施工活动对于伴人活动的一些鸟类，诸如黄臀鹎、麻雀数量可能会有所增加；而对于其他鸟类可能会产生干扰，导致种类和数量明显减少，但不会导致其消失。</w:t>
      </w:r>
    </w:p>
    <w:p w14:paraId="14B48E48">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bCs/>
          <w:color w:val="auto"/>
          <w:szCs w:val="24"/>
          <w:lang w:val="zh-CN"/>
        </w:rPr>
      </w:pPr>
      <w:r>
        <w:rPr>
          <w:rFonts w:hint="default" w:ascii="Times New Roman" w:hAnsi="Times New Roman" w:eastAsia="宋体" w:cs="Times New Roman"/>
          <w:bCs/>
          <w:color w:val="auto"/>
          <w:szCs w:val="24"/>
          <w:lang w:val="zh-CN"/>
        </w:rPr>
        <w:t>总体来看，评价区施工区没有鸟类集中的栖息或繁殖地，更没有重点保护野生鸟类的固定繁殖地；而施工期由于人为活动、施工噪声等会惊吓干扰的鸟类会暂时避绕到影响区外觅食，但由于大部分鸟类活动能力与范围较广，受影响施工影响十分有限。</w:t>
      </w:r>
    </w:p>
    <w:p w14:paraId="6DC31DBF">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（3）对哺乳类动物的影响</w:t>
      </w:r>
    </w:p>
    <w:p w14:paraId="71590E10">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塔基的设置，基本不占据动物的栖息地，占用植被有限且非区域原生植被，大大降低了对该区哺乳动物的影响；评价区内的灌草丛可能是一些小型兽类活动较多的地方，工程临时占地与永久占地，会压缩该区动物的活动空间，降低种群数量与出现频率。</w:t>
      </w:r>
    </w:p>
    <w:p w14:paraId="007D6863">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施工期间对兽类的影响主要表现为：对动物觅食地所在生态环境的破坏，包括对施工区林地植被的破坏和林木的砍伐、爆破所产生的噪声，弃渣场作业、各种施工人员以及施工机械的干扰等，使评价区及其周边环境发生改变，受影响的主要是适生于灌丛、草丛等的小型兽类，将迁移至附近受干扰小的区域，在施工区附近区域上述兽类栖息适宜度降低，种类和数量将相应减少，而伴随人类生活的一些啮齿目、食虫目动物（如小家鼠等），其种群数量会有所增加，与之相适应，主要以鼠类为食的黄鼬等种群数量将会有所增加。工程建成后，随着植被的逐渐恢复，生态环境的好转，人为干扰减少，许多外迁的兽类会陆续回到原来的栖息地。</w:t>
      </w:r>
    </w:p>
    <w:p w14:paraId="661A5915">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（4）对重要野生保护动物的影响</w:t>
      </w:r>
    </w:p>
    <w:p w14:paraId="18161638">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本项目评价区记录的陆栖脊椎动物中，有国家二级保护动物5种。评价范围内会有上述重要物种活动，是因为其活动范围较大，它们在云南大部分地区均有分布，现场调查过程中没有发现其栖息地，根据访问调查及相关资料，评价区有该物种活动，但评价区不属于其主要栖息地。</w:t>
      </w:r>
    </w:p>
    <w:p w14:paraId="225F2D0D">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在上述保护物种中，普通鵟、红隼、松雀鹰均为高空猛禽，这些猛禽只是偶尔会到评价区的空中飞翔、觅食，均未发现它们在评价区范围内筑巢繁殖，也未发现适宜它们繁殖的生境。工程建设会一定程度上压缩这些物种的生境，但这种影响十分有限，且其活动能力较强，受影响时会自行避让和选择新的生境，工程建设对其不良影响很小。</w:t>
      </w:r>
      <w:bookmarkStart w:id="296" w:name="_Toc28674"/>
      <w:r>
        <w:rPr>
          <w:rFonts w:hint="default" w:ascii="Times New Roman" w:hAnsi="Times New Roman" w:eastAsia="宋体" w:cs="Times New Roman"/>
          <w:bCs/>
          <w:color w:val="auto"/>
          <w:szCs w:val="24"/>
        </w:rPr>
        <w:t>且根据分析，工程建设范围均不涉及保护动物重要生境。</w:t>
      </w:r>
    </w:p>
    <w:p w14:paraId="385002DF">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红隼主要分布于评价区东部林地，评价区为红隼的觅食区域，工程施工对其影响主要是施工占用其觅食生境，但由于施工占地面积很小，涉及其生境的线路均不布设基塔，仅线路穿越，对红隼的影响较小。</w:t>
      </w:r>
    </w:p>
    <w:p w14:paraId="708AF2DC">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普通鵟主要分布于评价区西侧区域山坡边缘，评价区为普通鵟的觅食区域，工程施工对其影响主要是施工占用其觅食生境，但由于施工占地面积很小，涉及其生境的线路均不布设基塔，仅线路穿越，对普通鵟的影响较小。</w:t>
      </w:r>
    </w:p>
    <w:p w14:paraId="1D93D790">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画眉为小型鸣禽，主要分布在评价区靠近村庄的灌草丛，工程占用的林地不涉及其适宜生境，但施工噪声会对其造成趋避影响，施工期间其在评价区内数量将下降。</w:t>
      </w:r>
    </w:p>
    <w:p w14:paraId="4BC169AE">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豹猫在评价区内较为罕见，工程对其影响主要为噪声影响，将造成其在施工期评价范围内数量的下降。</w:t>
      </w:r>
    </w:p>
    <w:p w14:paraId="56002528">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另外，工程施工建设期间，将有大量施工人员进驻，可能会因施工人员的非法捕猎，对项目区野生动物资源造成破坏，特别是国家重点保护野生动物。需采取严格的施工人员管理措施，严禁非法捕杀野生动物，加强施工过程中生态环境监督管理，发现受伤野生动物个体或幼崽需及时向地方野生动物保护主管部门报告。在采取措施后，工程施工人员活动对野生动物的不利影响，总体上是可控的。</w:t>
      </w:r>
    </w:p>
    <w:p w14:paraId="5E9E4D6A">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综上所述，工程建设对这些重要物种会有一定的不良影响，但这种不良影响有限，既不会造成这些动物当地种群数量显著下降，更不会因工程建设而导致这些动物在当地濒危或灭绝，总体影响很小。</w:t>
      </w:r>
    </w:p>
    <w:bookmarkEnd w:id="296"/>
    <w:p w14:paraId="1D605BDD">
      <w:pPr>
        <w:pStyle w:val="5"/>
        <w:numPr>
          <w:ilvl w:val="2"/>
          <w:numId w:val="0"/>
        </w:numPr>
        <w:adjustRightInd w:val="0"/>
        <w:snapToGrid w:val="0"/>
        <w:spacing w:line="440" w:lineRule="exact"/>
        <w:rPr>
          <w:rFonts w:hint="default" w:ascii="Times New Roman" w:hAnsi="Times New Roman" w:cs="Times New Roman"/>
          <w:color w:val="auto"/>
          <w:sz w:val="24"/>
          <w:szCs w:val="24"/>
          <w:lang w:val="zh-CN"/>
        </w:rPr>
      </w:pPr>
      <w:bookmarkStart w:id="297" w:name="_Toc24958"/>
      <w:r>
        <w:rPr>
          <w:rFonts w:hint="default" w:ascii="Times New Roman" w:hAnsi="Times New Roman" w:cs="Times New Roman"/>
          <w:color w:val="auto"/>
          <w:sz w:val="24"/>
          <w:szCs w:val="24"/>
          <w:lang w:val="zh-CN"/>
        </w:rPr>
        <w:t>3.5.2 运营期影响</w:t>
      </w:r>
      <w:bookmarkEnd w:id="297"/>
    </w:p>
    <w:p w14:paraId="14B0EE1A">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本项目线路定期维护和检查的人员会对线路及周边区域的动物造成惊扰，但这种干扰强度很低，时间很短，对动物活动影响极为有限。从区域类似环境条件下已运行的线路来看，线路运行时未出现工频电场、工频磁场和噪声对走廊附近的野生动物的生活习性、行为表现及生育率等产生明显影响的情况。本项目线路杆塔分散分布，塔基占地不会明显减少兽类的生境面积，线路杆塔档距大，不会阻断兽类活动通道，对兽类种群交流影响小。评价区域内的野生鸟类活动范围大、行动敏捷，且飞行高度一般高于线路架设高度，在飞行时碰撞杆塔的概率不大；从区域内已投运的线路运行情况来看，线路建成后并未对鸟类的飞行和生活习性造成影响。运营期对保护鸟类的影响主要是在不良气候条件下，飞行碰撞输电线的风险，但项目评价区保护鸟类均为猛禽、雉鸡类和鹧鸪类，猛禽飞行高度较高，而雉鸡类和鹧鸪类飞行高度一般不高，发生碰撞的可能性较小，影响不大。</w:t>
      </w:r>
    </w:p>
    <w:p w14:paraId="604F6F13">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298" w:name="_Toc30817"/>
      <w:bookmarkStart w:id="299" w:name="_Toc10784"/>
      <w:r>
        <w:rPr>
          <w:rFonts w:hint="default" w:ascii="Times New Roman" w:hAnsi="Times New Roman" w:eastAsia="宋体" w:cs="Times New Roman"/>
          <w:bCs w:val="0"/>
          <w:color w:val="auto"/>
          <w:kern w:val="0"/>
          <w:sz w:val="28"/>
          <w:szCs w:val="28"/>
          <w:lang w:val="zh-CN"/>
        </w:rPr>
        <w:t>3.6项目对农业生态的影响分析</w:t>
      </w:r>
      <w:bookmarkEnd w:id="298"/>
      <w:bookmarkEnd w:id="299"/>
    </w:p>
    <w:p w14:paraId="62650896">
      <w:pPr>
        <w:pStyle w:val="92"/>
        <w:keepNext w:val="0"/>
        <w:keepLines w:val="0"/>
        <w:pageBreakBefore w:val="0"/>
        <w:widowControl w:val="0"/>
        <w:kinsoku/>
        <w:wordWrap/>
        <w:overflowPunct/>
        <w:topLinePunct w:val="0"/>
        <w:autoSpaceDE w:val="0"/>
        <w:autoSpaceDN w:val="0"/>
        <w:bidi w:val="0"/>
        <w:adjustRightInd w:val="0"/>
        <w:snapToGrid w:val="0"/>
        <w:spacing w:after="0" w:line="440" w:lineRule="exact"/>
        <w:ind w:firstLine="480"/>
        <w:jc w:val="both"/>
        <w:textAlignment w:val="auto"/>
        <w:rPr>
          <w:rFonts w:hint="default" w:ascii="Times New Roman" w:hAnsi="Times New Roman" w:cs="Times New Roman"/>
          <w:bCs/>
          <w:color w:val="auto"/>
          <w:sz w:val="24"/>
          <w:szCs w:val="24"/>
        </w:rPr>
      </w:pPr>
      <w:r>
        <w:rPr>
          <w:rFonts w:hint="default" w:ascii="Times New Roman" w:hAnsi="Times New Roman" w:cs="Times New Roman"/>
          <w:bCs/>
          <w:color w:val="auto"/>
          <w:sz w:val="24"/>
        </w:rPr>
        <w:t>项目建设对农业生态最主要的影响主要表现在塔基占地及牵引场等临时占地对农业生态的破坏。</w:t>
      </w:r>
      <w:r>
        <w:rPr>
          <w:rFonts w:hint="default" w:ascii="Times New Roman" w:hAnsi="Times New Roman" w:cs="Times New Roman"/>
          <w:bCs/>
          <w:color w:val="auto"/>
          <w:sz w:val="24"/>
          <w:szCs w:val="24"/>
        </w:rPr>
        <w:t>塔基</w:t>
      </w:r>
      <w:r>
        <w:rPr>
          <w:rFonts w:hint="default" w:ascii="Times New Roman" w:hAnsi="Times New Roman" w:cs="Times New Roman"/>
          <w:bCs/>
          <w:color w:val="auto"/>
          <w:sz w:val="24"/>
        </w:rPr>
        <w:t>多半建立在山顶高海拔区域。</w:t>
      </w:r>
    </w:p>
    <w:p w14:paraId="590756C8">
      <w:pPr>
        <w:pStyle w:val="92"/>
        <w:keepNext w:val="0"/>
        <w:keepLines w:val="0"/>
        <w:pageBreakBefore w:val="0"/>
        <w:widowControl w:val="0"/>
        <w:kinsoku/>
        <w:wordWrap/>
        <w:overflowPunct/>
        <w:topLinePunct w:val="0"/>
        <w:autoSpaceDE w:val="0"/>
        <w:autoSpaceDN w:val="0"/>
        <w:bidi w:val="0"/>
        <w:adjustRightInd w:val="0"/>
        <w:snapToGrid w:val="0"/>
        <w:spacing w:after="0" w:line="440" w:lineRule="exact"/>
        <w:ind w:firstLine="480"/>
        <w:jc w:val="both"/>
        <w:textAlignment w:val="auto"/>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经现场调查，周边主要分布耕地等，已按照土地管理部门要求办理相关手续，做好土地补偿和保护工作。</w:t>
      </w:r>
    </w:p>
    <w:p w14:paraId="09990CE7">
      <w:pPr>
        <w:pStyle w:val="92"/>
        <w:keepNext w:val="0"/>
        <w:keepLines w:val="0"/>
        <w:pageBreakBefore w:val="0"/>
        <w:widowControl w:val="0"/>
        <w:kinsoku/>
        <w:wordWrap/>
        <w:overflowPunct/>
        <w:topLinePunct w:val="0"/>
        <w:autoSpaceDE w:val="0"/>
        <w:autoSpaceDN w:val="0"/>
        <w:bidi w:val="0"/>
        <w:adjustRightInd w:val="0"/>
        <w:snapToGrid w:val="0"/>
        <w:spacing w:after="0" w:line="440" w:lineRule="exact"/>
        <w:ind w:firstLine="480"/>
        <w:jc w:val="both"/>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szCs w:val="24"/>
        </w:rPr>
        <w:t>另外，</w:t>
      </w:r>
      <w:r>
        <w:rPr>
          <w:rFonts w:hint="default" w:ascii="Times New Roman" w:hAnsi="Times New Roman" w:cs="Times New Roman"/>
          <w:color w:val="auto"/>
          <w:sz w:val="24"/>
        </w:rPr>
        <w:t>施工期间设置</w:t>
      </w:r>
      <w:r>
        <w:rPr>
          <w:rFonts w:hint="default" w:ascii="Times New Roman" w:hAnsi="Times New Roman" w:cs="Times New Roman"/>
          <w:color w:val="auto"/>
          <w:sz w:val="24"/>
          <w:szCs w:val="24"/>
        </w:rPr>
        <w:t>牵张场3处，</w:t>
      </w:r>
      <w:r>
        <w:rPr>
          <w:rFonts w:hint="default" w:ascii="Times New Roman" w:hAnsi="Times New Roman" w:cs="Times New Roman"/>
          <w:bCs/>
          <w:color w:val="auto"/>
          <w:sz w:val="24"/>
          <w:szCs w:val="24"/>
        </w:rPr>
        <w:t>分别设置于塔基N1、N17、N30处，每处牵张场占地约200m</w:t>
      </w:r>
      <w:r>
        <w:rPr>
          <w:rFonts w:hint="default" w:ascii="Times New Roman" w:hAnsi="Times New Roman" w:cs="Times New Roman"/>
          <w:bCs/>
          <w:color w:val="auto"/>
          <w:sz w:val="24"/>
          <w:szCs w:val="24"/>
          <w:vertAlign w:val="superscript"/>
        </w:rPr>
        <w:t>2</w:t>
      </w:r>
      <w:r>
        <w:rPr>
          <w:rFonts w:hint="default" w:ascii="Times New Roman" w:hAnsi="Times New Roman" w:cs="Times New Roman"/>
          <w:bCs/>
          <w:color w:val="auto"/>
          <w:sz w:val="24"/>
          <w:szCs w:val="24"/>
        </w:rPr>
        <w:t>，总占地面积为0.06hm</w:t>
      </w:r>
      <w:r>
        <w:rPr>
          <w:rFonts w:hint="default" w:ascii="Times New Roman" w:hAnsi="Times New Roman" w:cs="Times New Roman"/>
          <w:bCs/>
          <w:color w:val="auto"/>
          <w:sz w:val="24"/>
          <w:szCs w:val="24"/>
          <w:vertAlign w:val="superscript"/>
        </w:rPr>
        <w:t>2</w:t>
      </w:r>
      <w:r>
        <w:rPr>
          <w:rFonts w:hint="default" w:ascii="Times New Roman" w:hAnsi="Times New Roman" w:cs="Times New Roman"/>
          <w:bCs/>
          <w:color w:val="auto"/>
          <w:sz w:val="24"/>
          <w:szCs w:val="24"/>
        </w:rPr>
        <w:t>。项目不涉及占用永久基本农田，施工便道不涉及占用农田及耕地，按照土地管理部</w:t>
      </w:r>
      <w:r>
        <w:rPr>
          <w:rFonts w:hint="default" w:ascii="Times New Roman" w:hAnsi="Times New Roman" w:cs="Times New Roman"/>
          <w:bCs/>
          <w:color w:val="auto"/>
          <w:sz w:val="24"/>
        </w:rPr>
        <w:t>门要求办理相关手续，完成临时用地的复垦恢复工作，总体来说输变电的建设对农业生态影响较小。</w:t>
      </w:r>
    </w:p>
    <w:p w14:paraId="4F90B004">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300" w:name="_Toc608"/>
      <w:bookmarkStart w:id="301" w:name="_Toc16099"/>
      <w:r>
        <w:rPr>
          <w:rFonts w:hint="default" w:ascii="Times New Roman" w:hAnsi="Times New Roman" w:eastAsia="宋体" w:cs="Times New Roman"/>
          <w:bCs w:val="0"/>
          <w:color w:val="auto"/>
          <w:kern w:val="0"/>
          <w:sz w:val="28"/>
          <w:szCs w:val="28"/>
          <w:lang w:val="zh-CN"/>
        </w:rPr>
        <w:t>3.7对</w:t>
      </w:r>
      <w:r>
        <w:rPr>
          <w:rFonts w:hint="eastAsia" w:ascii="Times New Roman" w:hAnsi="Times New Roman" w:eastAsia="宋体" w:cs="Times New Roman"/>
          <w:bCs w:val="0"/>
          <w:color w:val="auto"/>
          <w:kern w:val="0"/>
          <w:sz w:val="28"/>
          <w:szCs w:val="28"/>
          <w:lang w:val="en-US" w:eastAsia="zh-CN"/>
        </w:rPr>
        <w:t>水生生态</w:t>
      </w:r>
      <w:r>
        <w:rPr>
          <w:rFonts w:hint="default" w:ascii="Times New Roman" w:hAnsi="Times New Roman" w:eastAsia="宋体" w:cs="Times New Roman"/>
          <w:bCs w:val="0"/>
          <w:color w:val="auto"/>
          <w:kern w:val="0"/>
          <w:sz w:val="28"/>
          <w:szCs w:val="28"/>
          <w:lang w:val="zh-CN"/>
        </w:rPr>
        <w:t>的影响分析</w:t>
      </w:r>
      <w:bookmarkEnd w:id="300"/>
      <w:bookmarkEnd w:id="301"/>
    </w:p>
    <w:p w14:paraId="7CBD68D5">
      <w:pPr>
        <w:adjustRightInd w:val="0"/>
        <w:snapToGrid w:val="0"/>
        <w:spacing w:after="0"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本项目无涉水工程，也不涉及桥涵等施工，工程建设不会对鱼类等水生生物造成直接影响。</w:t>
      </w:r>
      <w:r>
        <w:rPr>
          <w:rFonts w:hint="default" w:ascii="Times New Roman" w:hAnsi="Times New Roman" w:cs="Times New Roman"/>
          <w:color w:val="auto"/>
        </w:rPr>
        <w:t>根据现场踏勘调查，施工废水直接回用于场内施工过程、场地洒水降尘等施工环节，不外排。线路塔基N5～N6、N10-N11、N29--N30、N36-N37之间跨越河流</w:t>
      </w:r>
      <w:r>
        <w:rPr>
          <w:rFonts w:hint="default" w:ascii="Times New Roman" w:hAnsi="Times New Roman" w:cs="Times New Roman"/>
          <w:color w:val="auto"/>
          <w:szCs w:val="24"/>
        </w:rPr>
        <w:t>，为保护沿线水体水质，在河道沿线不设施工营地，文明施工，不乱捕捞，强化施工队伍管理，施工废水需经沉淀池处理后回用，严禁随意排放。项目施工对鱼类等水生生物的影响不大。</w:t>
      </w:r>
    </w:p>
    <w:p w14:paraId="096BBC5A">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302" w:name="_Toc6881"/>
      <w:bookmarkStart w:id="303" w:name="_Toc8473"/>
      <w:r>
        <w:rPr>
          <w:rFonts w:hint="default" w:ascii="Times New Roman" w:hAnsi="Times New Roman" w:eastAsia="宋体" w:cs="Times New Roman"/>
          <w:bCs w:val="0"/>
          <w:color w:val="auto"/>
          <w:kern w:val="0"/>
          <w:sz w:val="28"/>
          <w:szCs w:val="28"/>
          <w:lang w:val="zh-CN"/>
        </w:rPr>
        <w:t>3.8 景观生态结构、质量和稳定性变化影响预测</w:t>
      </w:r>
      <w:bookmarkEnd w:id="302"/>
      <w:bookmarkEnd w:id="303"/>
    </w:p>
    <w:p w14:paraId="05257DAC">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rPr>
        <w:t>一</w:t>
      </w:r>
      <w:r>
        <w:rPr>
          <w:rFonts w:hint="default" w:ascii="Times New Roman" w:hAnsi="Times New Roman" w:cs="Times New Roman"/>
          <w:color w:val="auto"/>
        </w:rPr>
        <w:t>）对评价区斑块类型面积的影响</w:t>
      </w:r>
    </w:p>
    <w:p w14:paraId="0A52F313">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项目涉及占用景观类型为暖温性针叶林景观、暖温性稀树灌木草丛景观、耕地景观，这些景观并不属于特有景观和特有生态系统类型。</w:t>
      </w:r>
    </w:p>
    <w:p w14:paraId="2B43CD3C">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项目建成后评价区总面积为1072.183hm</w:t>
      </w:r>
      <w:r>
        <w:rPr>
          <w:rFonts w:hint="default" w:ascii="Times New Roman" w:hAnsi="Times New Roman" w:eastAsia="宋体" w:cs="Times New Roman"/>
          <w:color w:val="auto"/>
          <w:szCs w:val="24"/>
          <w:vertAlign w:val="superscript"/>
        </w:rPr>
        <w:t>2</w:t>
      </w:r>
      <w:r>
        <w:rPr>
          <w:rFonts w:hint="default" w:ascii="Times New Roman" w:hAnsi="Times New Roman" w:eastAsia="宋体" w:cs="Times New Roman"/>
          <w:color w:val="auto"/>
          <w:szCs w:val="24"/>
        </w:rPr>
        <w:t>，仍然以暖温性针叶林景观所占比重最大，面积为426.892hm</w:t>
      </w:r>
      <w:r>
        <w:rPr>
          <w:rFonts w:hint="default" w:ascii="Times New Roman" w:hAnsi="Times New Roman" w:eastAsia="宋体" w:cs="Times New Roman"/>
          <w:color w:val="auto"/>
          <w:szCs w:val="24"/>
          <w:vertAlign w:val="superscript"/>
        </w:rPr>
        <w:t>2</w:t>
      </w:r>
      <w:r>
        <w:rPr>
          <w:rFonts w:hint="default" w:ascii="Times New Roman" w:hAnsi="Times New Roman" w:eastAsia="宋体" w:cs="Times New Roman"/>
          <w:color w:val="auto"/>
          <w:szCs w:val="24"/>
        </w:rPr>
        <w:t>，占评价区总面积的39.815%；其次为耕地景观。</w:t>
      </w:r>
    </w:p>
    <w:p w14:paraId="63254C83">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项目建成后，暖温性针叶林景观与耕地景观成为景观的地域背景，与建设前维持不变。</w:t>
      </w:r>
    </w:p>
    <w:p w14:paraId="28F53600">
      <w:pPr>
        <w:spacing w:after="0" w:line="240" w:lineRule="auto"/>
        <w:ind w:firstLine="0" w:firstLineChars="0"/>
        <w:jc w:val="center"/>
        <w:rPr>
          <w:rFonts w:hint="default" w:ascii="Times New Roman" w:hAnsi="Times New Roman" w:cs="Times New Roman"/>
          <w:b/>
          <w:bCs/>
          <w:color w:val="auto"/>
          <w:szCs w:val="30"/>
        </w:rPr>
      </w:pPr>
      <w:r>
        <w:rPr>
          <w:rFonts w:hint="default" w:ascii="Times New Roman" w:hAnsi="Times New Roman" w:cs="Times New Roman"/>
          <w:b/>
          <w:bCs/>
          <w:color w:val="auto"/>
          <w:szCs w:val="30"/>
        </w:rPr>
        <w:t>表3.8-1  评价区建成后斑块类型面积（CA）</w:t>
      </w:r>
    </w:p>
    <w:tbl>
      <w:tblPr>
        <w:tblStyle w:val="30"/>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2836"/>
        <w:gridCol w:w="927"/>
        <w:gridCol w:w="1304"/>
        <w:gridCol w:w="1365"/>
        <w:gridCol w:w="2323"/>
      </w:tblGrid>
      <w:tr w14:paraId="4C03F1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619" w:type="pct"/>
            <w:tcBorders>
              <w:tl2br w:val="nil"/>
              <w:tr2bl w:val="nil"/>
            </w:tcBorders>
            <w:shd w:val="clear" w:color="auto" w:fill="auto"/>
            <w:noWrap/>
            <w:vAlign w:val="center"/>
          </w:tcPr>
          <w:p w14:paraId="622573DE">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景观类型</w:t>
            </w:r>
          </w:p>
        </w:tc>
        <w:tc>
          <w:tcPr>
            <w:tcW w:w="529" w:type="pct"/>
            <w:tcBorders>
              <w:tl2br w:val="nil"/>
              <w:tr2bl w:val="nil"/>
            </w:tcBorders>
            <w:shd w:val="clear" w:color="auto" w:fill="auto"/>
            <w:noWrap/>
            <w:vAlign w:val="center"/>
          </w:tcPr>
          <w:p w14:paraId="51DAEBA1">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缀块数</w:t>
            </w:r>
          </w:p>
        </w:tc>
        <w:tc>
          <w:tcPr>
            <w:tcW w:w="744" w:type="pct"/>
            <w:tcBorders>
              <w:tl2br w:val="nil"/>
              <w:tr2bl w:val="nil"/>
            </w:tcBorders>
            <w:shd w:val="clear" w:color="auto" w:fill="auto"/>
            <w:noWrap/>
            <w:vAlign w:val="center"/>
          </w:tcPr>
          <w:p w14:paraId="568E737A">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缀块（%）</w:t>
            </w:r>
          </w:p>
        </w:tc>
        <w:tc>
          <w:tcPr>
            <w:tcW w:w="779" w:type="pct"/>
            <w:tcBorders>
              <w:tl2br w:val="nil"/>
              <w:tr2bl w:val="nil"/>
            </w:tcBorders>
            <w:shd w:val="clear" w:color="auto" w:fill="auto"/>
            <w:vAlign w:val="center"/>
          </w:tcPr>
          <w:p w14:paraId="31F0F00E">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面积（hm</w:t>
            </w:r>
            <w:r>
              <w:rPr>
                <w:rFonts w:hint="default" w:ascii="Times New Roman" w:hAnsi="Times New Roman" w:cs="Times New Roman"/>
                <w:b/>
                <w:bCs/>
                <w:color w:val="auto"/>
                <w:sz w:val="21"/>
                <w:szCs w:val="21"/>
                <w:vertAlign w:val="superscript"/>
              </w:rPr>
              <w:t>2</w:t>
            </w:r>
            <w:r>
              <w:rPr>
                <w:rFonts w:hint="default" w:ascii="Times New Roman" w:hAnsi="Times New Roman" w:cs="Times New Roman"/>
                <w:b/>
                <w:bCs/>
                <w:color w:val="auto"/>
                <w:sz w:val="21"/>
                <w:szCs w:val="21"/>
              </w:rPr>
              <w:t>）</w:t>
            </w:r>
          </w:p>
        </w:tc>
        <w:tc>
          <w:tcPr>
            <w:tcW w:w="1326" w:type="pct"/>
            <w:tcBorders>
              <w:tl2br w:val="nil"/>
              <w:tr2bl w:val="nil"/>
            </w:tcBorders>
            <w:shd w:val="clear" w:color="auto" w:fill="auto"/>
            <w:noWrap/>
            <w:vAlign w:val="center"/>
          </w:tcPr>
          <w:p w14:paraId="03360FAC">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面积占评价区同类型景观面积比例（%）</w:t>
            </w:r>
          </w:p>
        </w:tc>
      </w:tr>
      <w:tr w14:paraId="55CDDA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619" w:type="pct"/>
            <w:tcBorders>
              <w:tl2br w:val="nil"/>
              <w:tr2bl w:val="nil"/>
            </w:tcBorders>
            <w:shd w:val="clear" w:color="auto" w:fill="auto"/>
            <w:noWrap/>
            <w:vAlign w:val="center"/>
          </w:tcPr>
          <w:p w14:paraId="4E41A40F">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暖温性针叶林景观</w:t>
            </w:r>
          </w:p>
        </w:tc>
        <w:tc>
          <w:tcPr>
            <w:tcW w:w="529" w:type="pct"/>
            <w:tcBorders>
              <w:tl2br w:val="nil"/>
              <w:tr2bl w:val="nil"/>
            </w:tcBorders>
            <w:shd w:val="clear" w:color="auto" w:fill="auto"/>
            <w:noWrap/>
            <w:vAlign w:val="center"/>
          </w:tcPr>
          <w:p w14:paraId="473FA51F">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98</w:t>
            </w:r>
          </w:p>
        </w:tc>
        <w:tc>
          <w:tcPr>
            <w:tcW w:w="744" w:type="pct"/>
            <w:tcBorders>
              <w:tl2br w:val="nil"/>
              <w:tr2bl w:val="nil"/>
            </w:tcBorders>
            <w:shd w:val="clear" w:color="auto" w:fill="auto"/>
            <w:noWrap/>
            <w:vAlign w:val="center"/>
          </w:tcPr>
          <w:p w14:paraId="6FAE6FA6">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 xml:space="preserve">13.940 </w:t>
            </w:r>
          </w:p>
        </w:tc>
        <w:tc>
          <w:tcPr>
            <w:tcW w:w="779" w:type="pct"/>
            <w:tcBorders>
              <w:tl2br w:val="nil"/>
              <w:tr2bl w:val="nil"/>
            </w:tcBorders>
            <w:shd w:val="clear" w:color="auto" w:fill="auto"/>
            <w:noWrap/>
            <w:vAlign w:val="center"/>
          </w:tcPr>
          <w:p w14:paraId="11FE27E5">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426.892</w:t>
            </w:r>
          </w:p>
        </w:tc>
        <w:tc>
          <w:tcPr>
            <w:tcW w:w="1326" w:type="pct"/>
            <w:tcBorders>
              <w:tl2br w:val="nil"/>
              <w:tr2bl w:val="nil"/>
            </w:tcBorders>
            <w:shd w:val="clear" w:color="auto" w:fill="auto"/>
            <w:noWrap/>
            <w:vAlign w:val="center"/>
          </w:tcPr>
          <w:p w14:paraId="5E4D47F1">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 xml:space="preserve">39.815 </w:t>
            </w:r>
          </w:p>
        </w:tc>
      </w:tr>
      <w:tr w14:paraId="0E9820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619" w:type="pct"/>
            <w:tcBorders>
              <w:tl2br w:val="nil"/>
              <w:tr2bl w:val="nil"/>
            </w:tcBorders>
            <w:shd w:val="clear" w:color="auto" w:fill="auto"/>
            <w:vAlign w:val="center"/>
          </w:tcPr>
          <w:p w14:paraId="55533DB6">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暖性石灰岩灌丛景观</w:t>
            </w:r>
          </w:p>
        </w:tc>
        <w:tc>
          <w:tcPr>
            <w:tcW w:w="529" w:type="pct"/>
            <w:tcBorders>
              <w:tl2br w:val="nil"/>
              <w:tr2bl w:val="nil"/>
            </w:tcBorders>
            <w:shd w:val="clear" w:color="auto" w:fill="auto"/>
            <w:noWrap/>
            <w:vAlign w:val="center"/>
          </w:tcPr>
          <w:p w14:paraId="757343A2">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95</w:t>
            </w:r>
          </w:p>
        </w:tc>
        <w:tc>
          <w:tcPr>
            <w:tcW w:w="744" w:type="pct"/>
            <w:tcBorders>
              <w:tl2br w:val="nil"/>
              <w:tr2bl w:val="nil"/>
            </w:tcBorders>
            <w:shd w:val="clear" w:color="auto" w:fill="auto"/>
            <w:noWrap/>
            <w:vAlign w:val="center"/>
          </w:tcPr>
          <w:p w14:paraId="61F699DB">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 xml:space="preserve">13.514 </w:t>
            </w:r>
          </w:p>
        </w:tc>
        <w:tc>
          <w:tcPr>
            <w:tcW w:w="779" w:type="pct"/>
            <w:tcBorders>
              <w:tl2br w:val="nil"/>
              <w:tr2bl w:val="nil"/>
            </w:tcBorders>
            <w:shd w:val="clear" w:color="auto" w:fill="auto"/>
            <w:noWrap/>
            <w:vAlign w:val="center"/>
          </w:tcPr>
          <w:p w14:paraId="4C795813">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202.331</w:t>
            </w:r>
          </w:p>
        </w:tc>
        <w:tc>
          <w:tcPr>
            <w:tcW w:w="1326" w:type="pct"/>
            <w:tcBorders>
              <w:tl2br w:val="nil"/>
              <w:tr2bl w:val="nil"/>
            </w:tcBorders>
            <w:shd w:val="clear" w:color="auto" w:fill="auto"/>
            <w:noWrap/>
            <w:vAlign w:val="center"/>
          </w:tcPr>
          <w:p w14:paraId="6634B1DC">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 xml:space="preserve">18.871 </w:t>
            </w:r>
          </w:p>
        </w:tc>
      </w:tr>
      <w:tr w14:paraId="28104C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619" w:type="pct"/>
            <w:tcBorders>
              <w:tl2br w:val="nil"/>
              <w:tr2bl w:val="nil"/>
            </w:tcBorders>
            <w:shd w:val="clear" w:color="auto" w:fill="auto"/>
            <w:vAlign w:val="center"/>
          </w:tcPr>
          <w:p w14:paraId="7D202DAA">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暖温性稀树灌木草丛景观</w:t>
            </w:r>
          </w:p>
        </w:tc>
        <w:tc>
          <w:tcPr>
            <w:tcW w:w="529" w:type="pct"/>
            <w:tcBorders>
              <w:tl2br w:val="nil"/>
              <w:tr2bl w:val="nil"/>
            </w:tcBorders>
            <w:shd w:val="clear" w:color="auto" w:fill="auto"/>
            <w:noWrap/>
            <w:vAlign w:val="center"/>
          </w:tcPr>
          <w:p w14:paraId="5684C493">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79</w:t>
            </w:r>
          </w:p>
        </w:tc>
        <w:tc>
          <w:tcPr>
            <w:tcW w:w="744" w:type="pct"/>
            <w:tcBorders>
              <w:tl2br w:val="nil"/>
              <w:tr2bl w:val="nil"/>
            </w:tcBorders>
            <w:shd w:val="clear" w:color="auto" w:fill="auto"/>
            <w:noWrap/>
            <w:vAlign w:val="center"/>
          </w:tcPr>
          <w:p w14:paraId="3E7611F2">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 xml:space="preserve">11.238 </w:t>
            </w:r>
          </w:p>
        </w:tc>
        <w:tc>
          <w:tcPr>
            <w:tcW w:w="779" w:type="pct"/>
            <w:tcBorders>
              <w:tl2br w:val="nil"/>
              <w:tr2bl w:val="nil"/>
            </w:tcBorders>
            <w:shd w:val="clear" w:color="auto" w:fill="auto"/>
            <w:noWrap/>
            <w:vAlign w:val="center"/>
          </w:tcPr>
          <w:p w14:paraId="529B42E3">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169.136</w:t>
            </w:r>
          </w:p>
        </w:tc>
        <w:tc>
          <w:tcPr>
            <w:tcW w:w="1326" w:type="pct"/>
            <w:tcBorders>
              <w:tl2br w:val="nil"/>
              <w:tr2bl w:val="nil"/>
            </w:tcBorders>
            <w:shd w:val="clear" w:color="auto" w:fill="auto"/>
            <w:noWrap/>
            <w:vAlign w:val="center"/>
          </w:tcPr>
          <w:p w14:paraId="2961CD5E">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 xml:space="preserve">15.775 </w:t>
            </w:r>
          </w:p>
        </w:tc>
      </w:tr>
      <w:tr w14:paraId="46C66D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619" w:type="pct"/>
            <w:tcBorders>
              <w:tl2br w:val="nil"/>
              <w:tr2bl w:val="nil"/>
            </w:tcBorders>
            <w:shd w:val="clear" w:color="auto" w:fill="auto"/>
            <w:vAlign w:val="center"/>
          </w:tcPr>
          <w:p w14:paraId="14629415">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人工林景观</w:t>
            </w:r>
          </w:p>
        </w:tc>
        <w:tc>
          <w:tcPr>
            <w:tcW w:w="529" w:type="pct"/>
            <w:tcBorders>
              <w:tl2br w:val="nil"/>
              <w:tr2bl w:val="nil"/>
            </w:tcBorders>
            <w:shd w:val="clear" w:color="auto" w:fill="auto"/>
            <w:noWrap/>
            <w:vAlign w:val="center"/>
          </w:tcPr>
          <w:p w14:paraId="24D7A786">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6</w:t>
            </w:r>
          </w:p>
        </w:tc>
        <w:tc>
          <w:tcPr>
            <w:tcW w:w="744" w:type="pct"/>
            <w:tcBorders>
              <w:tl2br w:val="nil"/>
              <w:tr2bl w:val="nil"/>
            </w:tcBorders>
            <w:shd w:val="clear" w:color="auto" w:fill="auto"/>
            <w:noWrap/>
            <w:vAlign w:val="center"/>
          </w:tcPr>
          <w:p w14:paraId="00427482">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 xml:space="preserve">0.853 </w:t>
            </w:r>
          </w:p>
        </w:tc>
        <w:tc>
          <w:tcPr>
            <w:tcW w:w="779" w:type="pct"/>
            <w:tcBorders>
              <w:tl2br w:val="nil"/>
              <w:tr2bl w:val="nil"/>
            </w:tcBorders>
            <w:shd w:val="clear" w:color="auto" w:fill="auto"/>
            <w:noWrap/>
            <w:vAlign w:val="center"/>
          </w:tcPr>
          <w:p w14:paraId="107C54E1">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4.73</w:t>
            </w:r>
          </w:p>
        </w:tc>
        <w:tc>
          <w:tcPr>
            <w:tcW w:w="1326" w:type="pct"/>
            <w:tcBorders>
              <w:tl2br w:val="nil"/>
              <w:tr2bl w:val="nil"/>
            </w:tcBorders>
            <w:shd w:val="clear" w:color="auto" w:fill="auto"/>
            <w:noWrap/>
            <w:vAlign w:val="center"/>
          </w:tcPr>
          <w:p w14:paraId="0CD0F151">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 xml:space="preserve">0.441 </w:t>
            </w:r>
          </w:p>
        </w:tc>
      </w:tr>
      <w:tr w14:paraId="738FD3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619" w:type="pct"/>
            <w:tcBorders>
              <w:tl2br w:val="nil"/>
              <w:tr2bl w:val="nil"/>
            </w:tcBorders>
            <w:shd w:val="clear" w:color="auto" w:fill="auto"/>
            <w:vAlign w:val="center"/>
          </w:tcPr>
          <w:p w14:paraId="455FBE33">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耕地景观</w:t>
            </w:r>
          </w:p>
        </w:tc>
        <w:tc>
          <w:tcPr>
            <w:tcW w:w="529" w:type="pct"/>
            <w:tcBorders>
              <w:tl2br w:val="nil"/>
              <w:tr2bl w:val="nil"/>
            </w:tcBorders>
            <w:shd w:val="clear" w:color="auto" w:fill="auto"/>
            <w:noWrap/>
            <w:vAlign w:val="center"/>
          </w:tcPr>
          <w:p w14:paraId="051075E9">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249</w:t>
            </w:r>
          </w:p>
        </w:tc>
        <w:tc>
          <w:tcPr>
            <w:tcW w:w="744" w:type="pct"/>
            <w:tcBorders>
              <w:tl2br w:val="nil"/>
              <w:tr2bl w:val="nil"/>
            </w:tcBorders>
            <w:shd w:val="clear" w:color="auto" w:fill="auto"/>
            <w:noWrap/>
            <w:vAlign w:val="center"/>
          </w:tcPr>
          <w:p w14:paraId="638814C7">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 xml:space="preserve">35.420 </w:t>
            </w:r>
          </w:p>
        </w:tc>
        <w:tc>
          <w:tcPr>
            <w:tcW w:w="779" w:type="pct"/>
            <w:tcBorders>
              <w:tl2br w:val="nil"/>
              <w:tr2bl w:val="nil"/>
            </w:tcBorders>
            <w:shd w:val="clear" w:color="auto" w:fill="auto"/>
            <w:noWrap/>
            <w:vAlign w:val="center"/>
          </w:tcPr>
          <w:p w14:paraId="76920BC7">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226.747</w:t>
            </w:r>
          </w:p>
        </w:tc>
        <w:tc>
          <w:tcPr>
            <w:tcW w:w="1326" w:type="pct"/>
            <w:tcBorders>
              <w:tl2br w:val="nil"/>
              <w:tr2bl w:val="nil"/>
            </w:tcBorders>
            <w:shd w:val="clear" w:color="auto" w:fill="auto"/>
            <w:noWrap/>
            <w:vAlign w:val="center"/>
          </w:tcPr>
          <w:p w14:paraId="5BDACA4D">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 xml:space="preserve">21.148 </w:t>
            </w:r>
          </w:p>
        </w:tc>
      </w:tr>
      <w:tr w14:paraId="65CB74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619" w:type="pct"/>
            <w:tcBorders>
              <w:tl2br w:val="nil"/>
              <w:tr2bl w:val="nil"/>
            </w:tcBorders>
            <w:shd w:val="clear" w:color="auto" w:fill="auto"/>
            <w:vAlign w:val="center"/>
          </w:tcPr>
          <w:p w14:paraId="6FA9F6F4">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城镇区域景观</w:t>
            </w:r>
          </w:p>
        </w:tc>
        <w:tc>
          <w:tcPr>
            <w:tcW w:w="529" w:type="pct"/>
            <w:tcBorders>
              <w:tl2br w:val="nil"/>
              <w:tr2bl w:val="nil"/>
            </w:tcBorders>
            <w:shd w:val="clear" w:color="auto" w:fill="auto"/>
            <w:noWrap/>
            <w:vAlign w:val="center"/>
          </w:tcPr>
          <w:p w14:paraId="6673E1A7">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68</w:t>
            </w:r>
          </w:p>
        </w:tc>
        <w:tc>
          <w:tcPr>
            <w:tcW w:w="744" w:type="pct"/>
            <w:tcBorders>
              <w:tl2br w:val="nil"/>
              <w:tr2bl w:val="nil"/>
            </w:tcBorders>
            <w:shd w:val="clear" w:color="auto" w:fill="auto"/>
            <w:noWrap/>
            <w:vAlign w:val="center"/>
          </w:tcPr>
          <w:p w14:paraId="06A4BCFB">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 xml:space="preserve">9.673 </w:t>
            </w:r>
          </w:p>
        </w:tc>
        <w:tc>
          <w:tcPr>
            <w:tcW w:w="779" w:type="pct"/>
            <w:tcBorders>
              <w:tl2br w:val="nil"/>
              <w:tr2bl w:val="nil"/>
            </w:tcBorders>
            <w:shd w:val="clear" w:color="auto" w:fill="auto"/>
            <w:noWrap/>
            <w:vAlign w:val="center"/>
          </w:tcPr>
          <w:p w14:paraId="78F29F94">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12.279</w:t>
            </w:r>
          </w:p>
        </w:tc>
        <w:tc>
          <w:tcPr>
            <w:tcW w:w="1326" w:type="pct"/>
            <w:tcBorders>
              <w:tl2br w:val="nil"/>
              <w:tr2bl w:val="nil"/>
            </w:tcBorders>
            <w:shd w:val="clear" w:color="auto" w:fill="auto"/>
            <w:noWrap/>
            <w:vAlign w:val="center"/>
          </w:tcPr>
          <w:p w14:paraId="0EE0EC07">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 xml:space="preserve">1.145 </w:t>
            </w:r>
          </w:p>
        </w:tc>
      </w:tr>
      <w:tr w14:paraId="51CD84E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619" w:type="pct"/>
            <w:tcBorders>
              <w:tl2br w:val="nil"/>
              <w:tr2bl w:val="nil"/>
            </w:tcBorders>
            <w:shd w:val="clear" w:color="auto" w:fill="auto"/>
            <w:vAlign w:val="center"/>
          </w:tcPr>
          <w:p w14:paraId="493C6AAE">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工矿企业景观</w:t>
            </w:r>
          </w:p>
        </w:tc>
        <w:tc>
          <w:tcPr>
            <w:tcW w:w="529" w:type="pct"/>
            <w:tcBorders>
              <w:tl2br w:val="nil"/>
              <w:tr2bl w:val="nil"/>
            </w:tcBorders>
            <w:shd w:val="clear" w:color="auto" w:fill="auto"/>
            <w:noWrap/>
            <w:vAlign w:val="center"/>
          </w:tcPr>
          <w:p w14:paraId="2DD56CF4">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3</w:t>
            </w:r>
          </w:p>
        </w:tc>
        <w:tc>
          <w:tcPr>
            <w:tcW w:w="744" w:type="pct"/>
            <w:tcBorders>
              <w:tl2br w:val="nil"/>
              <w:tr2bl w:val="nil"/>
            </w:tcBorders>
            <w:shd w:val="clear" w:color="auto" w:fill="auto"/>
            <w:noWrap/>
            <w:vAlign w:val="center"/>
          </w:tcPr>
          <w:p w14:paraId="6FC19B03">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 xml:space="preserve">0.427 </w:t>
            </w:r>
          </w:p>
        </w:tc>
        <w:tc>
          <w:tcPr>
            <w:tcW w:w="779" w:type="pct"/>
            <w:tcBorders>
              <w:tl2br w:val="nil"/>
              <w:tr2bl w:val="nil"/>
            </w:tcBorders>
            <w:shd w:val="clear" w:color="auto" w:fill="auto"/>
            <w:noWrap/>
            <w:vAlign w:val="center"/>
          </w:tcPr>
          <w:p w14:paraId="7164C224">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0.829</w:t>
            </w:r>
          </w:p>
        </w:tc>
        <w:tc>
          <w:tcPr>
            <w:tcW w:w="1326" w:type="pct"/>
            <w:tcBorders>
              <w:tl2br w:val="nil"/>
              <w:tr2bl w:val="nil"/>
            </w:tcBorders>
            <w:shd w:val="clear" w:color="auto" w:fill="auto"/>
            <w:noWrap/>
            <w:vAlign w:val="center"/>
          </w:tcPr>
          <w:p w14:paraId="4178C940">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 xml:space="preserve">0.077 </w:t>
            </w:r>
          </w:p>
        </w:tc>
      </w:tr>
      <w:tr w14:paraId="78D5DF1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619" w:type="pct"/>
            <w:tcBorders>
              <w:tl2br w:val="nil"/>
              <w:tr2bl w:val="nil"/>
            </w:tcBorders>
            <w:shd w:val="clear" w:color="auto" w:fill="auto"/>
            <w:vAlign w:val="center"/>
          </w:tcPr>
          <w:p w14:paraId="5471486B">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交通景观</w:t>
            </w:r>
          </w:p>
        </w:tc>
        <w:tc>
          <w:tcPr>
            <w:tcW w:w="529" w:type="pct"/>
            <w:tcBorders>
              <w:tl2br w:val="nil"/>
              <w:tr2bl w:val="nil"/>
            </w:tcBorders>
            <w:shd w:val="clear" w:color="auto" w:fill="auto"/>
            <w:noWrap/>
            <w:vAlign w:val="center"/>
          </w:tcPr>
          <w:p w14:paraId="18F42649">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58</w:t>
            </w:r>
          </w:p>
        </w:tc>
        <w:tc>
          <w:tcPr>
            <w:tcW w:w="744" w:type="pct"/>
            <w:tcBorders>
              <w:tl2br w:val="nil"/>
              <w:tr2bl w:val="nil"/>
            </w:tcBorders>
            <w:shd w:val="clear" w:color="auto" w:fill="auto"/>
            <w:noWrap/>
            <w:vAlign w:val="center"/>
          </w:tcPr>
          <w:p w14:paraId="696D8A32">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 xml:space="preserve">8.250 </w:t>
            </w:r>
          </w:p>
        </w:tc>
        <w:tc>
          <w:tcPr>
            <w:tcW w:w="779" w:type="pct"/>
            <w:tcBorders>
              <w:tl2br w:val="nil"/>
              <w:tr2bl w:val="nil"/>
            </w:tcBorders>
            <w:shd w:val="clear" w:color="auto" w:fill="auto"/>
            <w:noWrap/>
            <w:vAlign w:val="center"/>
          </w:tcPr>
          <w:p w14:paraId="2A5B8B8A">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17.226</w:t>
            </w:r>
          </w:p>
        </w:tc>
        <w:tc>
          <w:tcPr>
            <w:tcW w:w="1326" w:type="pct"/>
            <w:tcBorders>
              <w:tl2br w:val="nil"/>
              <w:tr2bl w:val="nil"/>
            </w:tcBorders>
            <w:shd w:val="clear" w:color="auto" w:fill="auto"/>
            <w:noWrap/>
            <w:vAlign w:val="center"/>
          </w:tcPr>
          <w:p w14:paraId="1504EBC7">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 xml:space="preserve">1.607 </w:t>
            </w:r>
          </w:p>
        </w:tc>
      </w:tr>
      <w:tr w14:paraId="1C0812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619" w:type="pct"/>
            <w:tcBorders>
              <w:tl2br w:val="nil"/>
              <w:tr2bl w:val="nil"/>
            </w:tcBorders>
            <w:shd w:val="clear" w:color="auto" w:fill="auto"/>
            <w:vAlign w:val="center"/>
          </w:tcPr>
          <w:p w14:paraId="3FDBB511">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水域景观</w:t>
            </w:r>
          </w:p>
        </w:tc>
        <w:tc>
          <w:tcPr>
            <w:tcW w:w="529" w:type="pct"/>
            <w:tcBorders>
              <w:tl2br w:val="nil"/>
              <w:tr2bl w:val="nil"/>
            </w:tcBorders>
            <w:shd w:val="clear" w:color="auto" w:fill="auto"/>
            <w:noWrap/>
            <w:vAlign w:val="center"/>
          </w:tcPr>
          <w:p w14:paraId="6ABE2D02">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30</w:t>
            </w:r>
          </w:p>
        </w:tc>
        <w:tc>
          <w:tcPr>
            <w:tcW w:w="744" w:type="pct"/>
            <w:tcBorders>
              <w:tl2br w:val="nil"/>
              <w:tr2bl w:val="nil"/>
            </w:tcBorders>
            <w:shd w:val="clear" w:color="auto" w:fill="auto"/>
            <w:noWrap/>
            <w:vAlign w:val="center"/>
          </w:tcPr>
          <w:p w14:paraId="1CD18BC8">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 xml:space="preserve">4.267 </w:t>
            </w:r>
          </w:p>
        </w:tc>
        <w:tc>
          <w:tcPr>
            <w:tcW w:w="779" w:type="pct"/>
            <w:tcBorders>
              <w:tl2br w:val="nil"/>
              <w:tr2bl w:val="nil"/>
            </w:tcBorders>
            <w:shd w:val="clear" w:color="auto" w:fill="auto"/>
            <w:noWrap/>
            <w:vAlign w:val="center"/>
          </w:tcPr>
          <w:p w14:paraId="2DEC3A45">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6.396</w:t>
            </w:r>
          </w:p>
        </w:tc>
        <w:tc>
          <w:tcPr>
            <w:tcW w:w="1326" w:type="pct"/>
            <w:tcBorders>
              <w:tl2br w:val="nil"/>
              <w:tr2bl w:val="nil"/>
            </w:tcBorders>
            <w:shd w:val="clear" w:color="auto" w:fill="auto"/>
            <w:noWrap/>
            <w:vAlign w:val="center"/>
          </w:tcPr>
          <w:p w14:paraId="5A842EE6">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 xml:space="preserve">0.597 </w:t>
            </w:r>
          </w:p>
        </w:tc>
      </w:tr>
      <w:tr w14:paraId="6D6238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619" w:type="pct"/>
            <w:tcBorders>
              <w:tl2br w:val="nil"/>
              <w:tr2bl w:val="nil"/>
            </w:tcBorders>
            <w:shd w:val="clear" w:color="auto" w:fill="auto"/>
            <w:vAlign w:val="center"/>
          </w:tcPr>
          <w:p w14:paraId="7CB9EC38">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裸地景观</w:t>
            </w:r>
          </w:p>
        </w:tc>
        <w:tc>
          <w:tcPr>
            <w:tcW w:w="529" w:type="pct"/>
            <w:tcBorders>
              <w:tl2br w:val="nil"/>
              <w:tr2bl w:val="nil"/>
            </w:tcBorders>
            <w:shd w:val="clear" w:color="auto" w:fill="auto"/>
            <w:noWrap/>
            <w:vAlign w:val="center"/>
          </w:tcPr>
          <w:p w14:paraId="03A823FF">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17</w:t>
            </w:r>
          </w:p>
        </w:tc>
        <w:tc>
          <w:tcPr>
            <w:tcW w:w="744" w:type="pct"/>
            <w:tcBorders>
              <w:tl2br w:val="nil"/>
              <w:tr2bl w:val="nil"/>
            </w:tcBorders>
            <w:shd w:val="clear" w:color="auto" w:fill="auto"/>
            <w:noWrap/>
            <w:vAlign w:val="center"/>
          </w:tcPr>
          <w:p w14:paraId="6479A6A8">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 xml:space="preserve">2.418 </w:t>
            </w:r>
          </w:p>
        </w:tc>
        <w:tc>
          <w:tcPr>
            <w:tcW w:w="779" w:type="pct"/>
            <w:tcBorders>
              <w:tl2br w:val="nil"/>
              <w:tr2bl w:val="nil"/>
            </w:tcBorders>
            <w:shd w:val="clear" w:color="auto" w:fill="auto"/>
            <w:noWrap/>
            <w:vAlign w:val="center"/>
          </w:tcPr>
          <w:p w14:paraId="29FB5DA3">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5.617</w:t>
            </w:r>
          </w:p>
        </w:tc>
        <w:tc>
          <w:tcPr>
            <w:tcW w:w="1326" w:type="pct"/>
            <w:tcBorders>
              <w:tl2br w:val="nil"/>
              <w:tr2bl w:val="nil"/>
            </w:tcBorders>
            <w:shd w:val="clear" w:color="auto" w:fill="auto"/>
            <w:noWrap/>
            <w:vAlign w:val="center"/>
          </w:tcPr>
          <w:p w14:paraId="2B44118E">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 xml:space="preserve">0.524 </w:t>
            </w:r>
          </w:p>
        </w:tc>
      </w:tr>
      <w:tr w14:paraId="1559B6D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619" w:type="pct"/>
            <w:tcBorders>
              <w:tl2br w:val="nil"/>
              <w:tr2bl w:val="nil"/>
            </w:tcBorders>
            <w:shd w:val="clear" w:color="auto" w:fill="auto"/>
            <w:vAlign w:val="center"/>
          </w:tcPr>
          <w:p w14:paraId="6C11C3AD">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合计</w:t>
            </w:r>
          </w:p>
        </w:tc>
        <w:tc>
          <w:tcPr>
            <w:tcW w:w="529" w:type="pct"/>
            <w:tcBorders>
              <w:tl2br w:val="nil"/>
              <w:tr2bl w:val="nil"/>
            </w:tcBorders>
            <w:shd w:val="clear" w:color="auto" w:fill="auto"/>
            <w:noWrap/>
            <w:vAlign w:val="center"/>
          </w:tcPr>
          <w:p w14:paraId="008CC002">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703</w:t>
            </w:r>
          </w:p>
        </w:tc>
        <w:tc>
          <w:tcPr>
            <w:tcW w:w="744" w:type="pct"/>
            <w:tcBorders>
              <w:tl2br w:val="nil"/>
              <w:tr2bl w:val="nil"/>
            </w:tcBorders>
            <w:shd w:val="clear" w:color="auto" w:fill="auto"/>
            <w:noWrap/>
            <w:vAlign w:val="center"/>
          </w:tcPr>
          <w:p w14:paraId="32AEBF74">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100</w:t>
            </w:r>
          </w:p>
        </w:tc>
        <w:tc>
          <w:tcPr>
            <w:tcW w:w="779" w:type="pct"/>
            <w:tcBorders>
              <w:tl2br w:val="nil"/>
              <w:tr2bl w:val="nil"/>
            </w:tcBorders>
            <w:shd w:val="clear" w:color="auto" w:fill="auto"/>
            <w:noWrap/>
            <w:vAlign w:val="center"/>
          </w:tcPr>
          <w:p w14:paraId="74F39DDB">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1072.183</w:t>
            </w:r>
          </w:p>
        </w:tc>
        <w:tc>
          <w:tcPr>
            <w:tcW w:w="1326" w:type="pct"/>
            <w:tcBorders>
              <w:tl2br w:val="nil"/>
              <w:tr2bl w:val="nil"/>
            </w:tcBorders>
            <w:shd w:val="clear" w:color="auto" w:fill="auto"/>
            <w:noWrap/>
            <w:vAlign w:val="center"/>
          </w:tcPr>
          <w:p w14:paraId="40FBC24C">
            <w:pPr>
              <w:pStyle w:val="15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1"/>
                <w:szCs w:val="21"/>
              </w:rPr>
            </w:pPr>
            <w:r>
              <w:rPr>
                <w:rFonts w:hint="default" w:ascii="Times New Roman" w:hAnsi="Times New Roman" w:eastAsia="等线" w:cs="Times New Roman"/>
                <w:color w:val="auto"/>
                <w:sz w:val="21"/>
                <w:szCs w:val="21"/>
              </w:rPr>
              <w:t>100</w:t>
            </w:r>
          </w:p>
        </w:tc>
      </w:tr>
    </w:tbl>
    <w:p w14:paraId="2DC8897C">
      <w:pPr>
        <w:pStyle w:val="158"/>
        <w:adjustRightInd w:val="0"/>
        <w:spacing w:line="240" w:lineRule="auto"/>
        <w:rPr>
          <w:rFonts w:hint="default" w:ascii="Times New Roman" w:hAnsi="Times New Roman" w:cs="Times New Roman"/>
          <w:color w:val="auto"/>
          <w:sz w:val="21"/>
          <w:szCs w:val="21"/>
        </w:rPr>
      </w:pPr>
    </w:p>
    <w:p w14:paraId="014F2E0C">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rPr>
        <w:t>二</w:t>
      </w:r>
      <w:r>
        <w:rPr>
          <w:rFonts w:hint="default" w:ascii="Times New Roman" w:hAnsi="Times New Roman" w:cs="Times New Roman"/>
          <w:color w:val="auto"/>
        </w:rPr>
        <w:t>）对景观多样性的影响</w:t>
      </w:r>
    </w:p>
    <w:p w14:paraId="55A62739">
      <w:pPr>
        <w:spacing w:line="240" w:lineRule="auto"/>
        <w:ind w:firstLine="482"/>
        <w:jc w:val="center"/>
        <w:rPr>
          <w:rFonts w:hint="default" w:ascii="Times New Roman" w:hAnsi="Times New Roman" w:cs="Times New Roman"/>
          <w:b/>
          <w:color w:val="auto"/>
        </w:rPr>
      </w:pPr>
      <w:r>
        <w:rPr>
          <w:rFonts w:hint="default" w:ascii="Times New Roman" w:hAnsi="Times New Roman" w:cs="Times New Roman"/>
          <w:b/>
          <w:color w:val="auto"/>
        </w:rPr>
        <w:t>表3.8-2  对评价区多样性指数的影响</w:t>
      </w:r>
    </w:p>
    <w:tbl>
      <w:tblPr>
        <w:tblStyle w:val="30"/>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531"/>
        <w:gridCol w:w="1786"/>
        <w:gridCol w:w="1588"/>
        <w:gridCol w:w="1845"/>
      </w:tblGrid>
      <w:tr w14:paraId="77EFEC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017" w:type="pct"/>
            <w:tcBorders>
              <w:tl2br w:val="nil"/>
              <w:tr2bl w:val="nil"/>
            </w:tcBorders>
            <w:vAlign w:val="center"/>
          </w:tcPr>
          <w:p w14:paraId="623B9DA2">
            <w:pPr>
              <w:pStyle w:val="158"/>
              <w:rPr>
                <w:rFonts w:hint="default" w:ascii="Times New Roman" w:hAnsi="Times New Roman" w:cs="Times New Roman" w:eastAsiaTheme="minorEastAsia"/>
                <w:color w:val="auto"/>
                <w:sz w:val="21"/>
                <w:szCs w:val="21"/>
              </w:rPr>
            </w:pPr>
          </w:p>
        </w:tc>
        <w:tc>
          <w:tcPr>
            <w:tcW w:w="1020" w:type="pct"/>
            <w:tcBorders>
              <w:tl2br w:val="nil"/>
              <w:tr2bl w:val="nil"/>
            </w:tcBorders>
            <w:vAlign w:val="center"/>
          </w:tcPr>
          <w:p w14:paraId="241B32AF">
            <w:pPr>
              <w:pStyle w:val="158"/>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开发前</w:t>
            </w:r>
          </w:p>
        </w:tc>
        <w:tc>
          <w:tcPr>
            <w:tcW w:w="907" w:type="pct"/>
            <w:tcBorders>
              <w:tl2br w:val="nil"/>
              <w:tr2bl w:val="nil"/>
            </w:tcBorders>
            <w:vAlign w:val="center"/>
          </w:tcPr>
          <w:p w14:paraId="42742D74">
            <w:pPr>
              <w:pStyle w:val="158"/>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开发后</w:t>
            </w:r>
          </w:p>
        </w:tc>
        <w:tc>
          <w:tcPr>
            <w:tcW w:w="1054" w:type="pct"/>
            <w:tcBorders>
              <w:tl2br w:val="nil"/>
              <w:tr2bl w:val="nil"/>
            </w:tcBorders>
            <w:vAlign w:val="center"/>
          </w:tcPr>
          <w:p w14:paraId="7E0098B9">
            <w:pPr>
              <w:pStyle w:val="158"/>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备注</w:t>
            </w:r>
          </w:p>
        </w:tc>
      </w:tr>
      <w:tr w14:paraId="6AB41C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017" w:type="pct"/>
            <w:tcBorders>
              <w:tl2br w:val="nil"/>
              <w:tr2bl w:val="nil"/>
            </w:tcBorders>
            <w:vAlign w:val="center"/>
          </w:tcPr>
          <w:p w14:paraId="4A4C837B">
            <w:pPr>
              <w:pStyle w:val="158"/>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Shannon-Weaver多样性指数</w:t>
            </w:r>
          </w:p>
        </w:tc>
        <w:tc>
          <w:tcPr>
            <w:tcW w:w="1020" w:type="pct"/>
            <w:tcBorders>
              <w:tl2br w:val="nil"/>
              <w:tr2bl w:val="nil"/>
            </w:tcBorders>
            <w:vAlign w:val="center"/>
          </w:tcPr>
          <w:p w14:paraId="745CE6B6">
            <w:pPr>
              <w:pStyle w:val="158"/>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1.5348</w:t>
            </w:r>
          </w:p>
        </w:tc>
        <w:tc>
          <w:tcPr>
            <w:tcW w:w="907" w:type="pct"/>
            <w:tcBorders>
              <w:tl2br w:val="nil"/>
              <w:tr2bl w:val="nil"/>
            </w:tcBorders>
            <w:vAlign w:val="center"/>
          </w:tcPr>
          <w:p w14:paraId="2B0BDCF0">
            <w:pPr>
              <w:pStyle w:val="158"/>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1.7447</w:t>
            </w:r>
          </w:p>
        </w:tc>
        <w:tc>
          <w:tcPr>
            <w:tcW w:w="1054" w:type="pct"/>
            <w:tcBorders>
              <w:tl2br w:val="nil"/>
              <w:tr2bl w:val="nil"/>
            </w:tcBorders>
            <w:vAlign w:val="center"/>
          </w:tcPr>
          <w:p w14:paraId="0127B0BE">
            <w:pPr>
              <w:pStyle w:val="158"/>
              <w:rPr>
                <w:rFonts w:hint="default" w:ascii="Times New Roman" w:hAnsi="Times New Roman" w:cs="Times New Roman" w:eastAsiaTheme="minorEastAsia"/>
                <w:color w:val="auto"/>
                <w:sz w:val="21"/>
                <w:szCs w:val="21"/>
              </w:rPr>
            </w:pPr>
          </w:p>
        </w:tc>
      </w:tr>
      <w:tr w14:paraId="7A3E03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017" w:type="pct"/>
            <w:tcBorders>
              <w:tl2br w:val="nil"/>
              <w:tr2bl w:val="nil"/>
            </w:tcBorders>
            <w:vAlign w:val="center"/>
          </w:tcPr>
          <w:p w14:paraId="1AB34C4E">
            <w:pPr>
              <w:pStyle w:val="158"/>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香农均匀度指数</w:t>
            </w:r>
          </w:p>
        </w:tc>
        <w:tc>
          <w:tcPr>
            <w:tcW w:w="1020" w:type="pct"/>
            <w:tcBorders>
              <w:tl2br w:val="nil"/>
              <w:tr2bl w:val="nil"/>
            </w:tcBorders>
            <w:vAlign w:val="center"/>
          </w:tcPr>
          <w:p w14:paraId="6B830EF2">
            <w:pPr>
              <w:pStyle w:val="158"/>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0.6666</w:t>
            </w:r>
          </w:p>
        </w:tc>
        <w:tc>
          <w:tcPr>
            <w:tcW w:w="907" w:type="pct"/>
            <w:tcBorders>
              <w:tl2br w:val="nil"/>
              <w:tr2bl w:val="nil"/>
            </w:tcBorders>
            <w:vAlign w:val="center"/>
          </w:tcPr>
          <w:p w14:paraId="1DE1461D">
            <w:pPr>
              <w:pStyle w:val="158"/>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0.7276</w:t>
            </w:r>
          </w:p>
        </w:tc>
        <w:tc>
          <w:tcPr>
            <w:tcW w:w="1054" w:type="pct"/>
            <w:tcBorders>
              <w:tl2br w:val="nil"/>
              <w:tr2bl w:val="nil"/>
            </w:tcBorders>
            <w:vAlign w:val="center"/>
          </w:tcPr>
          <w:p w14:paraId="664B8519">
            <w:pPr>
              <w:pStyle w:val="158"/>
              <w:rPr>
                <w:rFonts w:hint="default" w:ascii="Times New Roman" w:hAnsi="Times New Roman" w:cs="Times New Roman" w:eastAsiaTheme="minorEastAsia"/>
                <w:color w:val="auto"/>
                <w:sz w:val="21"/>
                <w:szCs w:val="21"/>
              </w:rPr>
            </w:pPr>
          </w:p>
        </w:tc>
      </w:tr>
      <w:tr w14:paraId="6F2EC9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017" w:type="pct"/>
            <w:tcBorders>
              <w:tl2br w:val="nil"/>
              <w:tr2bl w:val="nil"/>
            </w:tcBorders>
            <w:vAlign w:val="center"/>
          </w:tcPr>
          <w:p w14:paraId="381DC80C">
            <w:pPr>
              <w:pStyle w:val="158"/>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Simpson多样性指数</w:t>
            </w:r>
          </w:p>
        </w:tc>
        <w:tc>
          <w:tcPr>
            <w:tcW w:w="1020" w:type="pct"/>
            <w:tcBorders>
              <w:tl2br w:val="nil"/>
              <w:tr2bl w:val="nil"/>
            </w:tcBorders>
            <w:vAlign w:val="center"/>
          </w:tcPr>
          <w:p w14:paraId="699053BE">
            <w:pPr>
              <w:pStyle w:val="158"/>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0.7554</w:t>
            </w:r>
          </w:p>
        </w:tc>
        <w:tc>
          <w:tcPr>
            <w:tcW w:w="907" w:type="pct"/>
            <w:tcBorders>
              <w:tl2br w:val="nil"/>
              <w:tr2bl w:val="nil"/>
            </w:tcBorders>
            <w:vAlign w:val="center"/>
          </w:tcPr>
          <w:p w14:paraId="60E982A1">
            <w:pPr>
              <w:pStyle w:val="158"/>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0.8013</w:t>
            </w:r>
          </w:p>
        </w:tc>
        <w:tc>
          <w:tcPr>
            <w:tcW w:w="1054" w:type="pct"/>
            <w:tcBorders>
              <w:tl2br w:val="nil"/>
              <w:tr2bl w:val="nil"/>
            </w:tcBorders>
            <w:vAlign w:val="center"/>
          </w:tcPr>
          <w:p w14:paraId="794535D3">
            <w:pPr>
              <w:pStyle w:val="158"/>
              <w:rPr>
                <w:rFonts w:hint="default" w:ascii="Times New Roman" w:hAnsi="Times New Roman" w:cs="Times New Roman" w:eastAsiaTheme="minorEastAsia"/>
                <w:color w:val="auto"/>
                <w:sz w:val="21"/>
                <w:szCs w:val="21"/>
              </w:rPr>
            </w:pPr>
          </w:p>
        </w:tc>
      </w:tr>
      <w:tr w14:paraId="7A30D0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017" w:type="pct"/>
            <w:tcBorders>
              <w:tl2br w:val="nil"/>
              <w:tr2bl w:val="nil"/>
            </w:tcBorders>
            <w:vAlign w:val="center"/>
          </w:tcPr>
          <w:p w14:paraId="70F8ECCA">
            <w:pPr>
              <w:pStyle w:val="158"/>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优势度指数</w:t>
            </w:r>
          </w:p>
        </w:tc>
        <w:tc>
          <w:tcPr>
            <w:tcW w:w="1020" w:type="pct"/>
            <w:tcBorders>
              <w:tl2br w:val="nil"/>
              <w:tr2bl w:val="nil"/>
            </w:tcBorders>
            <w:vAlign w:val="center"/>
          </w:tcPr>
          <w:p w14:paraId="18A0E51D">
            <w:pPr>
              <w:pStyle w:val="158"/>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0.7678</w:t>
            </w:r>
          </w:p>
        </w:tc>
        <w:tc>
          <w:tcPr>
            <w:tcW w:w="907" w:type="pct"/>
            <w:tcBorders>
              <w:tl2br w:val="nil"/>
              <w:tr2bl w:val="nil"/>
            </w:tcBorders>
            <w:vAlign w:val="center"/>
          </w:tcPr>
          <w:p w14:paraId="6F825A61">
            <w:pPr>
              <w:pStyle w:val="158"/>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0.9410</w:t>
            </w:r>
          </w:p>
        </w:tc>
        <w:tc>
          <w:tcPr>
            <w:tcW w:w="1054" w:type="pct"/>
            <w:tcBorders>
              <w:tl2br w:val="nil"/>
              <w:tr2bl w:val="nil"/>
            </w:tcBorders>
            <w:vAlign w:val="center"/>
          </w:tcPr>
          <w:p w14:paraId="76D23B10">
            <w:pPr>
              <w:pStyle w:val="158"/>
              <w:rPr>
                <w:rFonts w:hint="default" w:ascii="Times New Roman" w:hAnsi="Times New Roman" w:cs="Times New Roman" w:eastAsiaTheme="minorEastAsia"/>
                <w:color w:val="auto"/>
                <w:sz w:val="21"/>
                <w:szCs w:val="21"/>
              </w:rPr>
            </w:pPr>
          </w:p>
        </w:tc>
      </w:tr>
    </w:tbl>
    <w:p w14:paraId="3DBC53F6">
      <w:pPr>
        <w:keepNext w:val="0"/>
        <w:keepLines w:val="0"/>
        <w:pageBreakBefore w:val="0"/>
        <w:widowControl/>
        <w:kinsoku/>
        <w:wordWrap/>
        <w:overflowPunct/>
        <w:topLinePunct w:val="0"/>
        <w:autoSpaceDE/>
        <w:autoSpaceDN/>
        <w:bidi w:val="0"/>
        <w:adjustRightInd w:val="0"/>
        <w:snapToGrid w:val="0"/>
        <w:spacing w:after="0" w:line="440" w:lineRule="exact"/>
        <w:ind w:firstLine="480"/>
        <w:jc w:val="left"/>
        <w:textAlignment w:val="auto"/>
        <w:rPr>
          <w:rFonts w:hint="default" w:ascii="Times New Roman" w:hAnsi="Times New Roman" w:cs="Times New Roman"/>
          <w:color w:val="auto"/>
          <w:szCs w:val="24"/>
        </w:rPr>
      </w:pPr>
      <w:r>
        <w:rPr>
          <w:rFonts w:hint="default" w:ascii="Times New Roman" w:hAnsi="Times New Roman" w:eastAsia="宋体" w:cs="Times New Roman"/>
          <w:color w:val="auto"/>
          <w:kern w:val="0"/>
          <w:szCs w:val="24"/>
          <w:lang w:bidi="ar"/>
        </w:rPr>
        <w:t>从指数变化特征来看，多样性指数与均匀度指数同步提升，说明项目建设后评价区域景观类型分布的均匀性有所改善、景观多样程度略有提升，同时优势度指数上升，表明区域景观优势类型的主导性有所增强。工程施工及建设过程对原有景观格局造成一定扰动，加剧了评价区景观边缘化、孤岛化现象，一定程度上提升了景观破碎化程度。但整体而言，各项多样性指数开发前后数值差异较小，波动幅度有限，未对区域景观生态格局造成颠覆性改变。综合判定，本项目建设对评价区景观生态结构与景观多样性的整体影响较小，处于可接受范围。</w:t>
      </w:r>
    </w:p>
    <w:p w14:paraId="7CEDCF84">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rPr>
        <w:t>三</w:t>
      </w:r>
      <w:r>
        <w:rPr>
          <w:rFonts w:hint="default" w:ascii="Times New Roman" w:hAnsi="Times New Roman" w:cs="Times New Roman"/>
          <w:color w:val="auto"/>
        </w:rPr>
        <w:t>）对景观空间特征的影响</w:t>
      </w:r>
    </w:p>
    <w:p w14:paraId="4A3F0246">
      <w:pPr>
        <w:spacing w:line="240" w:lineRule="auto"/>
        <w:ind w:firstLine="482"/>
        <w:jc w:val="center"/>
        <w:rPr>
          <w:rFonts w:hint="default" w:ascii="Times New Roman" w:hAnsi="Times New Roman" w:cs="Times New Roman"/>
          <w:b/>
          <w:color w:val="auto"/>
        </w:rPr>
      </w:pPr>
      <w:r>
        <w:rPr>
          <w:rFonts w:hint="default" w:ascii="Times New Roman" w:hAnsi="Times New Roman" w:cs="Times New Roman"/>
          <w:b/>
          <w:color w:val="auto"/>
        </w:rPr>
        <w:t>表3.8-3  对评价区景观空间特征指数的影响</w:t>
      </w:r>
    </w:p>
    <w:tbl>
      <w:tblPr>
        <w:tblStyle w:val="30"/>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531"/>
        <w:gridCol w:w="1786"/>
        <w:gridCol w:w="1588"/>
        <w:gridCol w:w="1845"/>
      </w:tblGrid>
      <w:tr w14:paraId="7F0D2F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017" w:type="pct"/>
            <w:tcBorders>
              <w:tl2br w:val="nil"/>
              <w:tr2bl w:val="nil"/>
            </w:tcBorders>
            <w:vAlign w:val="center"/>
          </w:tcPr>
          <w:p w14:paraId="6E471311">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p>
        </w:tc>
        <w:tc>
          <w:tcPr>
            <w:tcW w:w="1020" w:type="pct"/>
            <w:tcBorders>
              <w:tl2br w:val="nil"/>
              <w:tr2bl w:val="nil"/>
            </w:tcBorders>
            <w:vAlign w:val="center"/>
          </w:tcPr>
          <w:p w14:paraId="37B352A3">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开发前</w:t>
            </w:r>
          </w:p>
        </w:tc>
        <w:tc>
          <w:tcPr>
            <w:tcW w:w="907" w:type="pct"/>
            <w:tcBorders>
              <w:tl2br w:val="nil"/>
              <w:tr2bl w:val="nil"/>
            </w:tcBorders>
            <w:vAlign w:val="center"/>
          </w:tcPr>
          <w:p w14:paraId="7575FA93">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开发后</w:t>
            </w:r>
          </w:p>
        </w:tc>
        <w:tc>
          <w:tcPr>
            <w:tcW w:w="1054" w:type="pct"/>
            <w:tcBorders>
              <w:tl2br w:val="nil"/>
              <w:tr2bl w:val="nil"/>
            </w:tcBorders>
            <w:vAlign w:val="center"/>
          </w:tcPr>
          <w:p w14:paraId="4A1ABE8E">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备注</w:t>
            </w:r>
          </w:p>
        </w:tc>
      </w:tr>
      <w:tr w14:paraId="51E966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017" w:type="pct"/>
            <w:tcBorders>
              <w:tl2br w:val="nil"/>
              <w:tr2bl w:val="nil"/>
            </w:tcBorders>
            <w:vAlign w:val="center"/>
          </w:tcPr>
          <w:p w14:paraId="37F043C9">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蔓延度</w:t>
            </w:r>
          </w:p>
        </w:tc>
        <w:tc>
          <w:tcPr>
            <w:tcW w:w="1020" w:type="pct"/>
            <w:tcBorders>
              <w:tl2br w:val="nil"/>
              <w:tr2bl w:val="nil"/>
            </w:tcBorders>
            <w:vAlign w:val="center"/>
          </w:tcPr>
          <w:p w14:paraId="17654E5D">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56.3603</w:t>
            </w:r>
          </w:p>
        </w:tc>
        <w:tc>
          <w:tcPr>
            <w:tcW w:w="907" w:type="pct"/>
            <w:tcBorders>
              <w:tl2br w:val="nil"/>
              <w:tr2bl w:val="nil"/>
            </w:tcBorders>
            <w:vAlign w:val="center"/>
          </w:tcPr>
          <w:p w14:paraId="247BFF2F">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53.0786</w:t>
            </w:r>
          </w:p>
        </w:tc>
        <w:tc>
          <w:tcPr>
            <w:tcW w:w="1054" w:type="pct"/>
            <w:tcBorders>
              <w:tl2br w:val="nil"/>
              <w:tr2bl w:val="nil"/>
            </w:tcBorders>
            <w:vAlign w:val="center"/>
          </w:tcPr>
          <w:p w14:paraId="43F966CC">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p>
        </w:tc>
      </w:tr>
      <w:tr w14:paraId="23D022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017" w:type="pct"/>
            <w:tcBorders>
              <w:tl2br w:val="nil"/>
              <w:tr2bl w:val="nil"/>
            </w:tcBorders>
            <w:vAlign w:val="center"/>
          </w:tcPr>
          <w:p w14:paraId="021B31EE">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聚集度</w:t>
            </w:r>
          </w:p>
        </w:tc>
        <w:tc>
          <w:tcPr>
            <w:tcW w:w="1020" w:type="pct"/>
            <w:tcBorders>
              <w:tl2br w:val="nil"/>
              <w:tr2bl w:val="nil"/>
            </w:tcBorders>
            <w:vAlign w:val="center"/>
          </w:tcPr>
          <w:p w14:paraId="6857398C">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89.3889</w:t>
            </w:r>
          </w:p>
        </w:tc>
        <w:tc>
          <w:tcPr>
            <w:tcW w:w="907" w:type="pct"/>
            <w:tcBorders>
              <w:tl2br w:val="nil"/>
              <w:tr2bl w:val="nil"/>
            </w:tcBorders>
            <w:vAlign w:val="center"/>
          </w:tcPr>
          <w:p w14:paraId="754791A4">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89.1264</w:t>
            </w:r>
          </w:p>
        </w:tc>
        <w:tc>
          <w:tcPr>
            <w:tcW w:w="1054" w:type="pct"/>
            <w:tcBorders>
              <w:tl2br w:val="nil"/>
              <w:tr2bl w:val="nil"/>
            </w:tcBorders>
            <w:vAlign w:val="center"/>
          </w:tcPr>
          <w:p w14:paraId="55AB32FE">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p>
        </w:tc>
      </w:tr>
      <w:tr w14:paraId="0B057A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017" w:type="pct"/>
            <w:tcBorders>
              <w:tl2br w:val="nil"/>
              <w:tr2bl w:val="nil"/>
            </w:tcBorders>
            <w:vAlign w:val="center"/>
          </w:tcPr>
          <w:p w14:paraId="02BCD5E6">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连通度</w:t>
            </w:r>
          </w:p>
        </w:tc>
        <w:tc>
          <w:tcPr>
            <w:tcW w:w="1020" w:type="pct"/>
            <w:tcBorders>
              <w:tl2br w:val="nil"/>
              <w:tr2bl w:val="nil"/>
            </w:tcBorders>
            <w:vAlign w:val="center"/>
          </w:tcPr>
          <w:p w14:paraId="21668417">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97.862</w:t>
            </w:r>
          </w:p>
        </w:tc>
        <w:tc>
          <w:tcPr>
            <w:tcW w:w="907" w:type="pct"/>
            <w:tcBorders>
              <w:tl2br w:val="nil"/>
              <w:tr2bl w:val="nil"/>
            </w:tcBorders>
            <w:vAlign w:val="center"/>
          </w:tcPr>
          <w:p w14:paraId="74E62E49">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97.6642</w:t>
            </w:r>
          </w:p>
        </w:tc>
        <w:tc>
          <w:tcPr>
            <w:tcW w:w="1054" w:type="pct"/>
            <w:tcBorders>
              <w:tl2br w:val="nil"/>
              <w:tr2bl w:val="nil"/>
            </w:tcBorders>
            <w:vAlign w:val="center"/>
          </w:tcPr>
          <w:p w14:paraId="3D8AA5C0">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p>
        </w:tc>
      </w:tr>
      <w:tr w14:paraId="1EF5CE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2017" w:type="pct"/>
            <w:tcBorders>
              <w:tl2br w:val="nil"/>
              <w:tr2bl w:val="nil"/>
            </w:tcBorders>
            <w:vAlign w:val="center"/>
          </w:tcPr>
          <w:p w14:paraId="6C41684A">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分割度</w:t>
            </w:r>
          </w:p>
        </w:tc>
        <w:tc>
          <w:tcPr>
            <w:tcW w:w="1020" w:type="pct"/>
            <w:tcBorders>
              <w:tl2br w:val="nil"/>
              <w:tr2bl w:val="nil"/>
            </w:tcBorders>
            <w:vAlign w:val="center"/>
          </w:tcPr>
          <w:p w14:paraId="244AC65C">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0.9519</w:t>
            </w:r>
          </w:p>
        </w:tc>
        <w:tc>
          <w:tcPr>
            <w:tcW w:w="907" w:type="pct"/>
            <w:tcBorders>
              <w:tl2br w:val="nil"/>
              <w:tr2bl w:val="nil"/>
            </w:tcBorders>
            <w:vAlign w:val="center"/>
          </w:tcPr>
          <w:p w14:paraId="63A88B6A">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0.9590</w:t>
            </w:r>
          </w:p>
        </w:tc>
        <w:tc>
          <w:tcPr>
            <w:tcW w:w="1054" w:type="pct"/>
            <w:tcBorders>
              <w:tl2br w:val="nil"/>
              <w:tr2bl w:val="nil"/>
            </w:tcBorders>
            <w:vAlign w:val="center"/>
          </w:tcPr>
          <w:p w14:paraId="53F95319">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p>
        </w:tc>
      </w:tr>
      <w:tr w14:paraId="095114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017" w:type="pct"/>
            <w:tcBorders>
              <w:tl2br w:val="nil"/>
              <w:tr2bl w:val="nil"/>
            </w:tcBorders>
            <w:vAlign w:val="center"/>
          </w:tcPr>
          <w:p w14:paraId="56ECFA18">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破碎度</w:t>
            </w:r>
          </w:p>
        </w:tc>
        <w:tc>
          <w:tcPr>
            <w:tcW w:w="1020" w:type="pct"/>
            <w:tcBorders>
              <w:tl2br w:val="nil"/>
              <w:tr2bl w:val="nil"/>
            </w:tcBorders>
            <w:vAlign w:val="center"/>
          </w:tcPr>
          <w:p w14:paraId="5C433C9D">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20.806</w:t>
            </w:r>
          </w:p>
        </w:tc>
        <w:tc>
          <w:tcPr>
            <w:tcW w:w="907" w:type="pct"/>
            <w:tcBorders>
              <w:tl2br w:val="nil"/>
              <w:tr2bl w:val="nil"/>
            </w:tcBorders>
            <w:vAlign w:val="center"/>
          </w:tcPr>
          <w:p w14:paraId="1A794155">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24.3919</w:t>
            </w:r>
          </w:p>
        </w:tc>
        <w:tc>
          <w:tcPr>
            <w:tcW w:w="1054" w:type="pct"/>
            <w:tcBorders>
              <w:tl2br w:val="nil"/>
              <w:tr2bl w:val="nil"/>
            </w:tcBorders>
            <w:vAlign w:val="center"/>
          </w:tcPr>
          <w:p w14:paraId="38CC1BBE">
            <w:pPr>
              <w:pStyle w:val="158"/>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color w:val="auto"/>
                <w:sz w:val="21"/>
                <w:szCs w:val="21"/>
              </w:rPr>
            </w:pPr>
          </w:p>
        </w:tc>
      </w:tr>
    </w:tbl>
    <w:p w14:paraId="069BA356">
      <w:pPr>
        <w:widowControl/>
        <w:ind w:firstLine="480"/>
        <w:jc w:val="left"/>
        <w:rPr>
          <w:rFonts w:hint="default" w:ascii="Times New Roman" w:hAnsi="Times New Roman" w:cs="Times New Roman"/>
          <w:color w:val="auto"/>
          <w:szCs w:val="24"/>
        </w:rPr>
      </w:pPr>
      <w:r>
        <w:rPr>
          <w:rFonts w:hint="default" w:ascii="Times New Roman" w:hAnsi="Times New Roman" w:eastAsia="宋体" w:cs="Times New Roman"/>
          <w:color w:val="auto"/>
          <w:kern w:val="0"/>
          <w:szCs w:val="24"/>
          <w:lang w:bidi="ar"/>
        </w:rPr>
        <w:t>从格局变化规律分析，项目建设占用了部分原有景观用地，对区域连续的景观格局形成切割与分隔作用，直接导致景观分割度、破碎度小幅升高，景观完整性与连通性略有降低，景观空间集聚程度、蔓延延展能力轻微减弱。但由于本项目占地面积规模较小，工程扰动范围有限，对区域景观空间格局的切割、破碎化干扰程度较低，开发前后各项景观空间特征指数差值均较小，无显著突变情况。总体来看，项目建设对评价区景观空间结构、连通性及整体格局的影响轻微，未破坏区域景观空间体系的稳定性。</w:t>
      </w:r>
      <w:r>
        <w:rPr>
          <w:rFonts w:hint="default" w:ascii="Times New Roman" w:hAnsi="Times New Roman" w:eastAsia="宋体" w:cs="Times New Roman"/>
          <w:color w:val="auto"/>
          <w:szCs w:val="24"/>
        </w:rPr>
        <w:t>且</w:t>
      </w:r>
      <w:r>
        <w:rPr>
          <w:rFonts w:hint="default" w:ascii="Times New Roman" w:hAnsi="Times New Roman" w:cs="Times New Roman"/>
          <w:color w:val="auto"/>
          <w:szCs w:val="24"/>
        </w:rPr>
        <w:t>项目占地面积较小，对景观分割有限，开发前后各空间特征指数变化不大。</w:t>
      </w:r>
    </w:p>
    <w:p w14:paraId="0A8B7832">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rPr>
        <w:t>四</w:t>
      </w:r>
      <w:r>
        <w:rPr>
          <w:rFonts w:hint="default" w:ascii="Times New Roman" w:hAnsi="Times New Roman" w:cs="Times New Roman"/>
          <w:color w:val="auto"/>
        </w:rPr>
        <w:t>）对景观优势度的影响</w:t>
      </w:r>
    </w:p>
    <w:p w14:paraId="238EC632">
      <w:pPr>
        <w:spacing w:line="240" w:lineRule="auto"/>
        <w:ind w:firstLine="482"/>
        <w:jc w:val="center"/>
        <w:rPr>
          <w:rFonts w:hint="default" w:ascii="Times New Roman" w:hAnsi="Times New Roman" w:cs="Times New Roman"/>
          <w:b/>
          <w:color w:val="auto"/>
        </w:rPr>
      </w:pPr>
      <w:r>
        <w:rPr>
          <w:rFonts w:hint="default" w:ascii="Times New Roman" w:hAnsi="Times New Roman" w:cs="Times New Roman"/>
          <w:b/>
          <w:color w:val="auto"/>
        </w:rPr>
        <w:t>表3.8-</w:t>
      </w:r>
      <w:r>
        <w:rPr>
          <w:rFonts w:hint="eastAsia" w:ascii="Times New Roman" w:hAnsi="Times New Roman" w:cs="Times New Roman"/>
          <w:b/>
          <w:color w:val="auto"/>
          <w:lang w:val="en-US" w:eastAsia="zh-CN"/>
        </w:rPr>
        <w:t>4</w:t>
      </w:r>
      <w:r>
        <w:rPr>
          <w:rFonts w:hint="default" w:ascii="Times New Roman" w:hAnsi="Times New Roman" w:cs="Times New Roman"/>
          <w:b/>
          <w:color w:val="auto"/>
        </w:rPr>
        <w:t xml:space="preserve">  对评价区景观优势度的影响</w:t>
      </w:r>
    </w:p>
    <w:tbl>
      <w:tblPr>
        <w:tblStyle w:val="30"/>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638"/>
        <w:gridCol w:w="2210"/>
        <w:gridCol w:w="2331"/>
        <w:gridCol w:w="1571"/>
      </w:tblGrid>
      <w:tr w14:paraId="031293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07" w:type="pct"/>
            <w:tcBorders>
              <w:tl2br w:val="nil"/>
              <w:tr2bl w:val="nil"/>
            </w:tcBorders>
            <w:vAlign w:val="center"/>
          </w:tcPr>
          <w:p w14:paraId="6063BF27">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Cs w:val="20"/>
              </w:rPr>
            </w:pPr>
            <w:r>
              <w:rPr>
                <w:rFonts w:hint="default" w:ascii="Times New Roman" w:hAnsi="Times New Roman" w:eastAsia="宋体" w:cs="Times New Roman"/>
                <w:b/>
                <w:bCs/>
                <w:color w:val="auto"/>
                <w:kern w:val="0"/>
                <w:szCs w:val="20"/>
              </w:rPr>
              <w:t>景观类型</w:t>
            </w:r>
          </w:p>
        </w:tc>
        <w:tc>
          <w:tcPr>
            <w:tcW w:w="1262" w:type="pct"/>
            <w:tcBorders>
              <w:tl2br w:val="nil"/>
              <w:tr2bl w:val="nil"/>
            </w:tcBorders>
            <w:vAlign w:val="center"/>
          </w:tcPr>
          <w:p w14:paraId="6DA93812">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Cs w:val="20"/>
              </w:rPr>
            </w:pPr>
            <w:r>
              <w:rPr>
                <w:rFonts w:hint="default" w:ascii="Times New Roman" w:hAnsi="Times New Roman" w:eastAsia="宋体" w:cs="Times New Roman"/>
                <w:b/>
                <w:bCs/>
                <w:color w:val="auto"/>
                <w:kern w:val="0"/>
                <w:szCs w:val="20"/>
              </w:rPr>
              <w:t>开发前优势度（Do）</w:t>
            </w:r>
          </w:p>
        </w:tc>
        <w:tc>
          <w:tcPr>
            <w:tcW w:w="1331" w:type="pct"/>
            <w:tcBorders>
              <w:tl2br w:val="nil"/>
              <w:tr2bl w:val="nil"/>
            </w:tcBorders>
            <w:vAlign w:val="center"/>
          </w:tcPr>
          <w:p w14:paraId="0FD902E1">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Cs w:val="20"/>
              </w:rPr>
            </w:pPr>
            <w:r>
              <w:rPr>
                <w:rFonts w:hint="default" w:ascii="Times New Roman" w:hAnsi="Times New Roman" w:eastAsia="宋体" w:cs="Times New Roman"/>
                <w:b/>
                <w:bCs/>
                <w:color w:val="auto"/>
                <w:kern w:val="0"/>
                <w:szCs w:val="20"/>
              </w:rPr>
              <w:t>开发后优势度（Do）</w:t>
            </w:r>
          </w:p>
        </w:tc>
        <w:tc>
          <w:tcPr>
            <w:tcW w:w="897" w:type="pct"/>
            <w:tcBorders>
              <w:tl2br w:val="nil"/>
              <w:tr2bl w:val="nil"/>
            </w:tcBorders>
            <w:vAlign w:val="center"/>
          </w:tcPr>
          <w:p w14:paraId="13501A6D">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Cs w:val="20"/>
              </w:rPr>
            </w:pPr>
            <w:r>
              <w:rPr>
                <w:rFonts w:hint="default" w:ascii="Times New Roman" w:hAnsi="Times New Roman" w:eastAsia="宋体" w:cs="Times New Roman"/>
                <w:b/>
                <w:bCs/>
                <w:color w:val="auto"/>
                <w:kern w:val="0"/>
                <w:szCs w:val="20"/>
              </w:rPr>
              <w:t>变化（+/-）b-a</w:t>
            </w:r>
          </w:p>
        </w:tc>
      </w:tr>
      <w:tr w14:paraId="4781AA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07" w:type="pct"/>
            <w:tcBorders>
              <w:tl2br w:val="nil"/>
              <w:tr2bl w:val="nil"/>
            </w:tcBorders>
            <w:shd w:val="clear" w:color="auto" w:fill="auto"/>
            <w:vAlign w:val="center"/>
          </w:tcPr>
          <w:p w14:paraId="7AA8CFCC">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Cs w:val="20"/>
              </w:rPr>
            </w:pPr>
            <w:r>
              <w:rPr>
                <w:rFonts w:hint="default" w:ascii="Times New Roman" w:hAnsi="Times New Roman" w:eastAsia="宋体" w:cs="Times New Roman"/>
                <w:color w:val="auto"/>
                <w:sz w:val="21"/>
                <w:szCs w:val="21"/>
              </w:rPr>
              <w:t>暖温性针叶林景观</w:t>
            </w:r>
          </w:p>
        </w:tc>
        <w:tc>
          <w:tcPr>
            <w:tcW w:w="1262" w:type="pct"/>
            <w:tcBorders>
              <w:tl2br w:val="nil"/>
              <w:tr2bl w:val="nil"/>
            </w:tcBorders>
            <w:shd w:val="clear" w:color="auto" w:fill="auto"/>
            <w:vAlign w:val="center"/>
          </w:tcPr>
          <w:p w14:paraId="3938D07B">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Cs w:val="21"/>
              </w:rPr>
            </w:pPr>
            <w:r>
              <w:rPr>
                <w:rFonts w:hint="default" w:ascii="Times New Roman" w:hAnsi="Times New Roman" w:eastAsia="等线" w:cs="Times New Roman"/>
                <w:color w:val="auto"/>
                <w:sz w:val="21"/>
                <w:szCs w:val="21"/>
              </w:rPr>
              <w:t xml:space="preserve">28.664 </w:t>
            </w:r>
          </w:p>
        </w:tc>
        <w:tc>
          <w:tcPr>
            <w:tcW w:w="1331" w:type="pct"/>
            <w:tcBorders>
              <w:tl2br w:val="nil"/>
              <w:tr2bl w:val="nil"/>
            </w:tcBorders>
            <w:shd w:val="clear" w:color="auto" w:fill="auto"/>
            <w:vAlign w:val="center"/>
          </w:tcPr>
          <w:p w14:paraId="53A2C38B">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Cs w:val="21"/>
              </w:rPr>
            </w:pPr>
            <w:r>
              <w:rPr>
                <w:rFonts w:hint="default" w:ascii="Times New Roman" w:hAnsi="Times New Roman" w:eastAsia="等线" w:cs="Times New Roman"/>
                <w:color w:val="auto"/>
                <w:sz w:val="21"/>
                <w:szCs w:val="21"/>
              </w:rPr>
              <w:t xml:space="preserve">28.629 </w:t>
            </w:r>
          </w:p>
        </w:tc>
        <w:tc>
          <w:tcPr>
            <w:tcW w:w="897" w:type="pct"/>
            <w:tcBorders>
              <w:tl2br w:val="nil"/>
              <w:tr2bl w:val="nil"/>
            </w:tcBorders>
            <w:shd w:val="clear" w:color="auto" w:fill="auto"/>
            <w:vAlign w:val="center"/>
          </w:tcPr>
          <w:p w14:paraId="26348291">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Cs w:val="21"/>
              </w:rPr>
            </w:pPr>
            <w:r>
              <w:rPr>
                <w:rFonts w:hint="default" w:ascii="Times New Roman" w:hAnsi="Times New Roman" w:eastAsia="等线" w:cs="Times New Roman"/>
                <w:color w:val="auto"/>
              </w:rPr>
              <w:t>-0.035</w:t>
            </w:r>
          </w:p>
        </w:tc>
      </w:tr>
      <w:tr w14:paraId="16F827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07" w:type="pct"/>
            <w:tcBorders>
              <w:tl2br w:val="nil"/>
              <w:tr2bl w:val="nil"/>
            </w:tcBorders>
            <w:shd w:val="clear" w:color="auto" w:fill="auto"/>
            <w:vAlign w:val="center"/>
          </w:tcPr>
          <w:p w14:paraId="547E6D71">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Cs w:val="20"/>
              </w:rPr>
            </w:pPr>
            <w:r>
              <w:rPr>
                <w:rFonts w:hint="default" w:ascii="Times New Roman" w:hAnsi="Times New Roman" w:eastAsia="宋体" w:cs="Times New Roman"/>
                <w:color w:val="auto"/>
                <w:sz w:val="21"/>
                <w:szCs w:val="21"/>
              </w:rPr>
              <w:t>暖性石灰岩灌丛景观</w:t>
            </w:r>
          </w:p>
        </w:tc>
        <w:tc>
          <w:tcPr>
            <w:tcW w:w="1262" w:type="pct"/>
            <w:tcBorders>
              <w:tl2br w:val="nil"/>
              <w:tr2bl w:val="nil"/>
            </w:tcBorders>
            <w:shd w:val="clear" w:color="auto" w:fill="auto"/>
            <w:vAlign w:val="center"/>
          </w:tcPr>
          <w:p w14:paraId="11396EC8">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Cs w:val="21"/>
              </w:rPr>
            </w:pPr>
            <w:r>
              <w:rPr>
                <w:rFonts w:hint="default" w:ascii="Times New Roman" w:hAnsi="Times New Roman" w:eastAsia="等线" w:cs="Times New Roman"/>
                <w:color w:val="auto"/>
                <w:sz w:val="21"/>
                <w:szCs w:val="21"/>
              </w:rPr>
              <w:t xml:space="preserve">18.044 </w:t>
            </w:r>
          </w:p>
        </w:tc>
        <w:tc>
          <w:tcPr>
            <w:tcW w:w="1331" w:type="pct"/>
            <w:tcBorders>
              <w:tl2br w:val="nil"/>
              <w:tr2bl w:val="nil"/>
            </w:tcBorders>
            <w:shd w:val="clear" w:color="auto" w:fill="auto"/>
            <w:vAlign w:val="center"/>
          </w:tcPr>
          <w:p w14:paraId="635BA341">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Cs w:val="21"/>
              </w:rPr>
            </w:pPr>
            <w:r>
              <w:rPr>
                <w:rFonts w:hint="default" w:ascii="Times New Roman" w:hAnsi="Times New Roman" w:eastAsia="等线" w:cs="Times New Roman"/>
                <w:color w:val="auto"/>
                <w:sz w:val="21"/>
                <w:szCs w:val="21"/>
              </w:rPr>
              <w:t xml:space="preserve">17.940 </w:t>
            </w:r>
          </w:p>
        </w:tc>
        <w:tc>
          <w:tcPr>
            <w:tcW w:w="897" w:type="pct"/>
            <w:tcBorders>
              <w:tl2br w:val="nil"/>
              <w:tr2bl w:val="nil"/>
            </w:tcBorders>
            <w:shd w:val="clear" w:color="auto" w:fill="auto"/>
            <w:vAlign w:val="center"/>
          </w:tcPr>
          <w:p w14:paraId="4D92E215">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Cs w:val="21"/>
              </w:rPr>
            </w:pPr>
            <w:r>
              <w:rPr>
                <w:rFonts w:hint="default" w:ascii="Times New Roman" w:hAnsi="Times New Roman" w:eastAsia="等线" w:cs="Times New Roman"/>
                <w:color w:val="auto"/>
              </w:rPr>
              <w:t>-0.104</w:t>
            </w:r>
          </w:p>
        </w:tc>
      </w:tr>
      <w:tr w14:paraId="30681A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07" w:type="pct"/>
            <w:tcBorders>
              <w:tl2br w:val="nil"/>
              <w:tr2bl w:val="nil"/>
            </w:tcBorders>
            <w:shd w:val="clear" w:color="auto" w:fill="auto"/>
            <w:vAlign w:val="center"/>
          </w:tcPr>
          <w:p w14:paraId="4920A94E">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Cs w:val="20"/>
              </w:rPr>
            </w:pPr>
            <w:r>
              <w:rPr>
                <w:rFonts w:hint="default" w:ascii="Times New Roman" w:hAnsi="Times New Roman" w:eastAsia="宋体" w:cs="Times New Roman"/>
                <w:color w:val="auto"/>
                <w:sz w:val="21"/>
                <w:szCs w:val="21"/>
              </w:rPr>
              <w:t>暖温性稀树灌木草丛景观</w:t>
            </w:r>
          </w:p>
        </w:tc>
        <w:tc>
          <w:tcPr>
            <w:tcW w:w="1262" w:type="pct"/>
            <w:tcBorders>
              <w:tl2br w:val="nil"/>
              <w:tr2bl w:val="nil"/>
            </w:tcBorders>
            <w:shd w:val="clear" w:color="auto" w:fill="auto"/>
            <w:vAlign w:val="center"/>
          </w:tcPr>
          <w:p w14:paraId="050BF8FF">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Cs w:val="21"/>
              </w:rPr>
            </w:pPr>
            <w:r>
              <w:rPr>
                <w:rFonts w:hint="default" w:ascii="Times New Roman" w:hAnsi="Times New Roman" w:eastAsia="等线" w:cs="Times New Roman"/>
                <w:color w:val="auto"/>
                <w:sz w:val="21"/>
                <w:szCs w:val="21"/>
              </w:rPr>
              <w:t xml:space="preserve">15.518 </w:t>
            </w:r>
          </w:p>
        </w:tc>
        <w:tc>
          <w:tcPr>
            <w:tcW w:w="1331" w:type="pct"/>
            <w:tcBorders>
              <w:tl2br w:val="nil"/>
              <w:tr2bl w:val="nil"/>
            </w:tcBorders>
            <w:shd w:val="clear" w:color="auto" w:fill="auto"/>
            <w:vAlign w:val="center"/>
          </w:tcPr>
          <w:p w14:paraId="375BF214">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Cs w:val="21"/>
              </w:rPr>
            </w:pPr>
            <w:r>
              <w:rPr>
                <w:rFonts w:hint="default" w:ascii="Times New Roman" w:hAnsi="Times New Roman" w:eastAsia="等线" w:cs="Times New Roman"/>
                <w:color w:val="auto"/>
                <w:sz w:val="21"/>
                <w:szCs w:val="21"/>
              </w:rPr>
              <w:t xml:space="preserve">15.652 </w:t>
            </w:r>
          </w:p>
        </w:tc>
        <w:tc>
          <w:tcPr>
            <w:tcW w:w="897" w:type="pct"/>
            <w:tcBorders>
              <w:tl2br w:val="nil"/>
              <w:tr2bl w:val="nil"/>
            </w:tcBorders>
            <w:shd w:val="clear" w:color="auto" w:fill="auto"/>
            <w:vAlign w:val="center"/>
          </w:tcPr>
          <w:p w14:paraId="5D62BFE2">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Cs w:val="21"/>
              </w:rPr>
            </w:pPr>
            <w:r>
              <w:rPr>
                <w:rFonts w:hint="default" w:ascii="Times New Roman" w:hAnsi="Times New Roman" w:eastAsia="等线" w:cs="Times New Roman"/>
                <w:color w:val="auto"/>
              </w:rPr>
              <w:t>0.134</w:t>
            </w:r>
          </w:p>
        </w:tc>
      </w:tr>
      <w:tr w14:paraId="3D88BF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07" w:type="pct"/>
            <w:tcBorders>
              <w:tl2br w:val="nil"/>
              <w:tr2bl w:val="nil"/>
            </w:tcBorders>
            <w:shd w:val="clear" w:color="auto" w:fill="auto"/>
            <w:vAlign w:val="center"/>
          </w:tcPr>
          <w:p w14:paraId="24BBE2C7">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Cs w:val="20"/>
              </w:rPr>
            </w:pPr>
            <w:r>
              <w:rPr>
                <w:rFonts w:hint="default" w:ascii="Times New Roman" w:hAnsi="Times New Roman" w:eastAsia="宋体" w:cs="Times New Roman"/>
                <w:color w:val="auto"/>
                <w:sz w:val="21"/>
                <w:szCs w:val="21"/>
              </w:rPr>
              <w:t>人工林景观</w:t>
            </w:r>
          </w:p>
        </w:tc>
        <w:tc>
          <w:tcPr>
            <w:tcW w:w="1262" w:type="pct"/>
            <w:tcBorders>
              <w:tl2br w:val="nil"/>
              <w:tr2bl w:val="nil"/>
            </w:tcBorders>
            <w:shd w:val="clear" w:color="auto" w:fill="auto"/>
            <w:vAlign w:val="center"/>
          </w:tcPr>
          <w:p w14:paraId="56F7AA68">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Cs w:val="21"/>
              </w:rPr>
            </w:pPr>
            <w:r>
              <w:rPr>
                <w:rFonts w:hint="default" w:ascii="Times New Roman" w:hAnsi="Times New Roman" w:eastAsia="等线" w:cs="Times New Roman"/>
                <w:color w:val="auto"/>
                <w:sz w:val="21"/>
                <w:szCs w:val="21"/>
              </w:rPr>
              <w:t xml:space="preserve">2.319 </w:t>
            </w:r>
          </w:p>
        </w:tc>
        <w:tc>
          <w:tcPr>
            <w:tcW w:w="1331" w:type="pct"/>
            <w:tcBorders>
              <w:tl2br w:val="nil"/>
              <w:tr2bl w:val="nil"/>
            </w:tcBorders>
            <w:shd w:val="clear" w:color="auto" w:fill="auto"/>
            <w:vAlign w:val="center"/>
          </w:tcPr>
          <w:p w14:paraId="765147DF">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Cs w:val="21"/>
              </w:rPr>
            </w:pPr>
            <w:r>
              <w:rPr>
                <w:rFonts w:hint="default" w:ascii="Times New Roman" w:hAnsi="Times New Roman" w:eastAsia="等线" w:cs="Times New Roman"/>
                <w:color w:val="auto"/>
                <w:sz w:val="21"/>
                <w:szCs w:val="21"/>
              </w:rPr>
              <w:t xml:space="preserve">2.312 </w:t>
            </w:r>
          </w:p>
        </w:tc>
        <w:tc>
          <w:tcPr>
            <w:tcW w:w="897" w:type="pct"/>
            <w:tcBorders>
              <w:tl2br w:val="nil"/>
              <w:tr2bl w:val="nil"/>
            </w:tcBorders>
            <w:shd w:val="clear" w:color="auto" w:fill="auto"/>
            <w:vAlign w:val="center"/>
          </w:tcPr>
          <w:p w14:paraId="273F2C07">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Cs w:val="21"/>
              </w:rPr>
            </w:pPr>
            <w:r>
              <w:rPr>
                <w:rFonts w:hint="default" w:ascii="Times New Roman" w:hAnsi="Times New Roman" w:eastAsia="等线" w:cs="Times New Roman"/>
                <w:color w:val="auto"/>
              </w:rPr>
              <w:t>-0.007</w:t>
            </w:r>
          </w:p>
        </w:tc>
      </w:tr>
      <w:tr w14:paraId="40FF31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07" w:type="pct"/>
            <w:tcBorders>
              <w:tl2br w:val="nil"/>
              <w:tr2bl w:val="nil"/>
            </w:tcBorders>
            <w:shd w:val="clear" w:color="auto" w:fill="auto"/>
            <w:vAlign w:val="center"/>
          </w:tcPr>
          <w:p w14:paraId="422057CC">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Cs w:val="20"/>
              </w:rPr>
            </w:pPr>
            <w:r>
              <w:rPr>
                <w:rFonts w:hint="default" w:ascii="Times New Roman" w:hAnsi="Times New Roman" w:eastAsia="宋体" w:cs="Times New Roman"/>
                <w:color w:val="auto"/>
                <w:sz w:val="21"/>
                <w:szCs w:val="21"/>
              </w:rPr>
              <w:t>耕地景观</w:t>
            </w:r>
          </w:p>
        </w:tc>
        <w:tc>
          <w:tcPr>
            <w:tcW w:w="1262" w:type="pct"/>
            <w:tcBorders>
              <w:tl2br w:val="nil"/>
              <w:tr2bl w:val="nil"/>
            </w:tcBorders>
            <w:shd w:val="clear" w:color="auto" w:fill="auto"/>
            <w:vAlign w:val="center"/>
          </w:tcPr>
          <w:p w14:paraId="6DD510FC">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Cs w:val="21"/>
              </w:rPr>
            </w:pPr>
            <w:r>
              <w:rPr>
                <w:rFonts w:hint="default" w:ascii="Times New Roman" w:hAnsi="Times New Roman" w:eastAsia="等线" w:cs="Times New Roman"/>
                <w:color w:val="auto"/>
                <w:sz w:val="21"/>
                <w:szCs w:val="21"/>
              </w:rPr>
              <w:t xml:space="preserve">27.212 </w:t>
            </w:r>
          </w:p>
        </w:tc>
        <w:tc>
          <w:tcPr>
            <w:tcW w:w="1331" w:type="pct"/>
            <w:tcBorders>
              <w:tl2br w:val="nil"/>
              <w:tr2bl w:val="nil"/>
            </w:tcBorders>
            <w:shd w:val="clear" w:color="auto" w:fill="auto"/>
            <w:vAlign w:val="center"/>
          </w:tcPr>
          <w:p w14:paraId="21F9989F">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Cs w:val="21"/>
              </w:rPr>
            </w:pPr>
            <w:r>
              <w:rPr>
                <w:rFonts w:hint="default" w:ascii="Times New Roman" w:hAnsi="Times New Roman" w:eastAsia="等线" w:cs="Times New Roman"/>
                <w:color w:val="auto"/>
                <w:sz w:val="21"/>
                <w:szCs w:val="21"/>
              </w:rPr>
              <w:t xml:space="preserve">27.379 </w:t>
            </w:r>
          </w:p>
        </w:tc>
        <w:tc>
          <w:tcPr>
            <w:tcW w:w="897" w:type="pct"/>
            <w:tcBorders>
              <w:tl2br w:val="nil"/>
              <w:tr2bl w:val="nil"/>
            </w:tcBorders>
            <w:shd w:val="clear" w:color="auto" w:fill="auto"/>
            <w:vAlign w:val="center"/>
          </w:tcPr>
          <w:p w14:paraId="7F60D603">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Cs w:val="21"/>
              </w:rPr>
            </w:pPr>
            <w:r>
              <w:rPr>
                <w:rFonts w:hint="default" w:ascii="Times New Roman" w:hAnsi="Times New Roman" w:eastAsia="等线" w:cs="Times New Roman"/>
                <w:color w:val="auto"/>
              </w:rPr>
              <w:t>0.167</w:t>
            </w:r>
          </w:p>
        </w:tc>
      </w:tr>
      <w:tr w14:paraId="643E22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07" w:type="pct"/>
            <w:tcBorders>
              <w:tl2br w:val="nil"/>
              <w:tr2bl w:val="nil"/>
            </w:tcBorders>
            <w:shd w:val="clear" w:color="auto" w:fill="auto"/>
            <w:vAlign w:val="center"/>
          </w:tcPr>
          <w:p w14:paraId="191B7BAF">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Cs w:val="20"/>
              </w:rPr>
            </w:pPr>
            <w:r>
              <w:rPr>
                <w:rFonts w:hint="default" w:ascii="Times New Roman" w:hAnsi="Times New Roman" w:eastAsia="宋体" w:cs="Times New Roman"/>
                <w:color w:val="auto"/>
                <w:sz w:val="21"/>
                <w:szCs w:val="21"/>
              </w:rPr>
              <w:t>城镇区域景观</w:t>
            </w:r>
          </w:p>
        </w:tc>
        <w:tc>
          <w:tcPr>
            <w:tcW w:w="1262" w:type="pct"/>
            <w:tcBorders>
              <w:tl2br w:val="nil"/>
              <w:tr2bl w:val="nil"/>
            </w:tcBorders>
            <w:shd w:val="clear" w:color="auto" w:fill="auto"/>
            <w:vAlign w:val="center"/>
          </w:tcPr>
          <w:p w14:paraId="4E649D2C">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Cs w:val="21"/>
              </w:rPr>
            </w:pPr>
            <w:r>
              <w:rPr>
                <w:rFonts w:hint="default" w:ascii="Times New Roman" w:hAnsi="Times New Roman" w:eastAsia="等线" w:cs="Times New Roman"/>
                <w:color w:val="auto"/>
                <w:sz w:val="21"/>
                <w:szCs w:val="21"/>
              </w:rPr>
              <w:t xml:space="preserve">3.494 </w:t>
            </w:r>
          </w:p>
        </w:tc>
        <w:tc>
          <w:tcPr>
            <w:tcW w:w="1331" w:type="pct"/>
            <w:tcBorders>
              <w:tl2br w:val="nil"/>
              <w:tr2bl w:val="nil"/>
            </w:tcBorders>
            <w:shd w:val="clear" w:color="auto" w:fill="auto"/>
            <w:vAlign w:val="center"/>
          </w:tcPr>
          <w:p w14:paraId="04EE8E75">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Cs w:val="21"/>
              </w:rPr>
            </w:pPr>
            <w:r>
              <w:rPr>
                <w:rFonts w:hint="default" w:ascii="Times New Roman" w:hAnsi="Times New Roman" w:eastAsia="等线" w:cs="Times New Roman"/>
                <w:color w:val="auto"/>
                <w:sz w:val="21"/>
                <w:szCs w:val="21"/>
              </w:rPr>
              <w:t xml:space="preserve">3.419 </w:t>
            </w:r>
          </w:p>
        </w:tc>
        <w:tc>
          <w:tcPr>
            <w:tcW w:w="897" w:type="pct"/>
            <w:tcBorders>
              <w:tl2br w:val="nil"/>
              <w:tr2bl w:val="nil"/>
            </w:tcBorders>
            <w:shd w:val="clear" w:color="auto" w:fill="auto"/>
            <w:vAlign w:val="center"/>
          </w:tcPr>
          <w:p w14:paraId="4EDBE071">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Cs w:val="21"/>
              </w:rPr>
            </w:pPr>
            <w:r>
              <w:rPr>
                <w:rFonts w:hint="default" w:ascii="Times New Roman" w:hAnsi="Times New Roman" w:eastAsia="等线" w:cs="Times New Roman"/>
                <w:color w:val="auto"/>
              </w:rPr>
              <w:t>-0.075</w:t>
            </w:r>
          </w:p>
        </w:tc>
      </w:tr>
      <w:tr w14:paraId="5FF257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07" w:type="pct"/>
            <w:tcBorders>
              <w:tl2br w:val="nil"/>
              <w:tr2bl w:val="nil"/>
            </w:tcBorders>
            <w:shd w:val="clear" w:color="auto" w:fill="auto"/>
            <w:vAlign w:val="center"/>
          </w:tcPr>
          <w:p w14:paraId="3ECD8ED9">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Cs w:val="20"/>
              </w:rPr>
            </w:pPr>
            <w:r>
              <w:rPr>
                <w:rFonts w:hint="default" w:ascii="Times New Roman" w:hAnsi="Times New Roman" w:eastAsia="宋体" w:cs="Times New Roman"/>
                <w:color w:val="auto"/>
                <w:sz w:val="21"/>
                <w:szCs w:val="21"/>
              </w:rPr>
              <w:t>工矿企业景观</w:t>
            </w:r>
          </w:p>
        </w:tc>
        <w:tc>
          <w:tcPr>
            <w:tcW w:w="1262" w:type="pct"/>
            <w:tcBorders>
              <w:tl2br w:val="nil"/>
              <w:tr2bl w:val="nil"/>
            </w:tcBorders>
            <w:shd w:val="clear" w:color="auto" w:fill="auto"/>
            <w:vAlign w:val="center"/>
          </w:tcPr>
          <w:p w14:paraId="6EEDE4A2">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Cs w:val="21"/>
              </w:rPr>
            </w:pPr>
            <w:r>
              <w:rPr>
                <w:rFonts w:hint="default" w:ascii="Times New Roman" w:hAnsi="Times New Roman" w:eastAsia="等线" w:cs="Times New Roman"/>
                <w:color w:val="auto"/>
                <w:sz w:val="21"/>
                <w:szCs w:val="21"/>
              </w:rPr>
              <w:t xml:space="preserve">0.340 </w:t>
            </w:r>
          </w:p>
        </w:tc>
        <w:tc>
          <w:tcPr>
            <w:tcW w:w="1331" w:type="pct"/>
            <w:tcBorders>
              <w:tl2br w:val="nil"/>
              <w:tr2bl w:val="nil"/>
            </w:tcBorders>
            <w:shd w:val="clear" w:color="auto" w:fill="auto"/>
            <w:vAlign w:val="center"/>
          </w:tcPr>
          <w:p w14:paraId="376917D5">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Cs w:val="21"/>
              </w:rPr>
            </w:pPr>
            <w:r>
              <w:rPr>
                <w:rFonts w:hint="default" w:ascii="Times New Roman" w:hAnsi="Times New Roman" w:eastAsia="等线" w:cs="Times New Roman"/>
                <w:color w:val="auto"/>
                <w:sz w:val="21"/>
                <w:szCs w:val="21"/>
              </w:rPr>
              <w:t xml:space="preserve">0.374 </w:t>
            </w:r>
          </w:p>
        </w:tc>
        <w:tc>
          <w:tcPr>
            <w:tcW w:w="897" w:type="pct"/>
            <w:tcBorders>
              <w:tl2br w:val="nil"/>
              <w:tr2bl w:val="nil"/>
            </w:tcBorders>
            <w:shd w:val="clear" w:color="auto" w:fill="auto"/>
            <w:vAlign w:val="center"/>
          </w:tcPr>
          <w:p w14:paraId="55C41F51">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Cs w:val="21"/>
              </w:rPr>
            </w:pPr>
            <w:r>
              <w:rPr>
                <w:rFonts w:hint="default" w:ascii="Times New Roman" w:hAnsi="Times New Roman" w:eastAsia="等线" w:cs="Times New Roman"/>
                <w:color w:val="auto"/>
              </w:rPr>
              <w:t>0.034</w:t>
            </w:r>
          </w:p>
        </w:tc>
      </w:tr>
      <w:tr w14:paraId="34EF32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07" w:type="pct"/>
            <w:tcBorders>
              <w:tl2br w:val="nil"/>
              <w:tr2bl w:val="nil"/>
            </w:tcBorders>
            <w:shd w:val="clear" w:color="auto" w:fill="auto"/>
            <w:vAlign w:val="center"/>
          </w:tcPr>
          <w:p w14:paraId="17DACE20">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交通景观</w:t>
            </w:r>
          </w:p>
        </w:tc>
        <w:tc>
          <w:tcPr>
            <w:tcW w:w="1262" w:type="pct"/>
            <w:tcBorders>
              <w:tl2br w:val="nil"/>
              <w:tr2bl w:val="nil"/>
            </w:tcBorders>
            <w:shd w:val="clear" w:color="auto" w:fill="auto"/>
            <w:vAlign w:val="center"/>
          </w:tcPr>
          <w:p w14:paraId="402271CC">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 xml:space="preserve">6.876 </w:t>
            </w:r>
          </w:p>
        </w:tc>
        <w:tc>
          <w:tcPr>
            <w:tcW w:w="1331" w:type="pct"/>
            <w:tcBorders>
              <w:tl2br w:val="nil"/>
              <w:tr2bl w:val="nil"/>
            </w:tcBorders>
            <w:shd w:val="clear" w:color="auto" w:fill="auto"/>
            <w:vAlign w:val="center"/>
          </w:tcPr>
          <w:p w14:paraId="04748697">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 xml:space="preserve">6.813 </w:t>
            </w:r>
          </w:p>
        </w:tc>
        <w:tc>
          <w:tcPr>
            <w:tcW w:w="897" w:type="pct"/>
            <w:tcBorders>
              <w:tl2br w:val="nil"/>
              <w:tr2bl w:val="nil"/>
            </w:tcBorders>
            <w:shd w:val="clear" w:color="auto" w:fill="auto"/>
            <w:vAlign w:val="center"/>
          </w:tcPr>
          <w:p w14:paraId="055BFC6A">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Cs w:val="20"/>
              </w:rPr>
            </w:pPr>
            <w:r>
              <w:rPr>
                <w:rFonts w:hint="default" w:ascii="Times New Roman" w:hAnsi="Times New Roman" w:eastAsia="等线" w:cs="Times New Roman"/>
                <w:color w:val="auto"/>
              </w:rPr>
              <w:t>-0.063</w:t>
            </w:r>
          </w:p>
        </w:tc>
      </w:tr>
      <w:tr w14:paraId="5E04A5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07" w:type="pct"/>
            <w:tcBorders>
              <w:tl2br w:val="nil"/>
              <w:tr2bl w:val="nil"/>
            </w:tcBorders>
            <w:shd w:val="clear" w:color="auto" w:fill="auto"/>
            <w:vAlign w:val="center"/>
          </w:tcPr>
          <w:p w14:paraId="753A4652">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水域景观</w:t>
            </w:r>
          </w:p>
        </w:tc>
        <w:tc>
          <w:tcPr>
            <w:tcW w:w="1262" w:type="pct"/>
            <w:tcBorders>
              <w:tl2br w:val="nil"/>
              <w:tr2bl w:val="nil"/>
            </w:tcBorders>
            <w:shd w:val="clear" w:color="auto" w:fill="auto"/>
            <w:vAlign w:val="center"/>
          </w:tcPr>
          <w:p w14:paraId="57A8C0D5">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 xml:space="preserve">2.655 </w:t>
            </w:r>
          </w:p>
        </w:tc>
        <w:tc>
          <w:tcPr>
            <w:tcW w:w="1331" w:type="pct"/>
            <w:tcBorders>
              <w:tl2br w:val="nil"/>
              <w:tr2bl w:val="nil"/>
            </w:tcBorders>
            <w:shd w:val="clear" w:color="auto" w:fill="auto"/>
            <w:vAlign w:val="center"/>
          </w:tcPr>
          <w:p w14:paraId="7FFA8DC2">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 xml:space="preserve">2.622 </w:t>
            </w:r>
          </w:p>
        </w:tc>
        <w:tc>
          <w:tcPr>
            <w:tcW w:w="897" w:type="pct"/>
            <w:tcBorders>
              <w:tl2br w:val="nil"/>
              <w:tr2bl w:val="nil"/>
            </w:tcBorders>
            <w:shd w:val="clear" w:color="auto" w:fill="auto"/>
            <w:vAlign w:val="center"/>
          </w:tcPr>
          <w:p w14:paraId="4A1D3846">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Cs w:val="20"/>
              </w:rPr>
            </w:pPr>
            <w:r>
              <w:rPr>
                <w:rFonts w:hint="default" w:ascii="Times New Roman" w:hAnsi="Times New Roman" w:eastAsia="等线" w:cs="Times New Roman"/>
                <w:color w:val="auto"/>
              </w:rPr>
              <w:t>-0.033</w:t>
            </w:r>
          </w:p>
        </w:tc>
      </w:tr>
      <w:tr w14:paraId="111E99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07" w:type="pct"/>
            <w:tcBorders>
              <w:tl2br w:val="nil"/>
              <w:tr2bl w:val="nil"/>
            </w:tcBorders>
            <w:shd w:val="clear" w:color="auto" w:fill="auto"/>
            <w:vAlign w:val="center"/>
          </w:tcPr>
          <w:p w14:paraId="4706CF5D">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裸地景观</w:t>
            </w:r>
          </w:p>
        </w:tc>
        <w:tc>
          <w:tcPr>
            <w:tcW w:w="1262" w:type="pct"/>
            <w:tcBorders>
              <w:tl2br w:val="nil"/>
              <w:tr2bl w:val="nil"/>
            </w:tcBorders>
            <w:shd w:val="clear" w:color="auto" w:fill="auto"/>
            <w:vAlign w:val="center"/>
          </w:tcPr>
          <w:p w14:paraId="6B4E0E01">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 xml:space="preserve">1.027 </w:t>
            </w:r>
          </w:p>
        </w:tc>
        <w:tc>
          <w:tcPr>
            <w:tcW w:w="1331" w:type="pct"/>
            <w:tcBorders>
              <w:tl2br w:val="nil"/>
              <w:tr2bl w:val="nil"/>
            </w:tcBorders>
            <w:shd w:val="clear" w:color="auto" w:fill="auto"/>
            <w:vAlign w:val="center"/>
          </w:tcPr>
          <w:p w14:paraId="2C7C39CB">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 w:val="21"/>
                <w:szCs w:val="21"/>
              </w:rPr>
            </w:pPr>
            <w:r>
              <w:rPr>
                <w:rFonts w:hint="default" w:ascii="Times New Roman" w:hAnsi="Times New Roman" w:eastAsia="等线" w:cs="Times New Roman"/>
                <w:color w:val="auto"/>
                <w:sz w:val="21"/>
                <w:szCs w:val="21"/>
              </w:rPr>
              <w:t xml:space="preserve">1.009 </w:t>
            </w:r>
          </w:p>
        </w:tc>
        <w:tc>
          <w:tcPr>
            <w:tcW w:w="897" w:type="pct"/>
            <w:tcBorders>
              <w:tl2br w:val="nil"/>
              <w:tr2bl w:val="nil"/>
            </w:tcBorders>
            <w:shd w:val="clear" w:color="auto" w:fill="auto"/>
            <w:vAlign w:val="center"/>
          </w:tcPr>
          <w:p w14:paraId="34C1FD49">
            <w:pPr>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等线" w:cs="Times New Roman"/>
                <w:color w:val="auto"/>
                <w:szCs w:val="20"/>
              </w:rPr>
            </w:pPr>
            <w:r>
              <w:rPr>
                <w:rFonts w:hint="default" w:ascii="Times New Roman" w:hAnsi="Times New Roman" w:eastAsia="等线" w:cs="Times New Roman"/>
                <w:color w:val="auto"/>
              </w:rPr>
              <w:t>-0.018</w:t>
            </w:r>
          </w:p>
        </w:tc>
      </w:tr>
    </w:tbl>
    <w:p w14:paraId="46567823">
      <w:pPr>
        <w:adjustRightInd w:val="0"/>
        <w:snapToGrid w:val="0"/>
        <w:spacing w:after="0" w:line="440" w:lineRule="exact"/>
        <w:ind w:firstLine="480"/>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由上表可知，工程建成后，自然植被中仍然以针叶林景观优势度最高，且变幅较小。</w:t>
      </w:r>
    </w:p>
    <w:p w14:paraId="71CC59D6">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304" w:name="_Toc18943"/>
      <w:bookmarkStart w:id="305" w:name="_Toc8454"/>
      <w:r>
        <w:rPr>
          <w:rFonts w:hint="default" w:ascii="Times New Roman" w:hAnsi="Times New Roman" w:eastAsia="宋体" w:cs="Times New Roman"/>
          <w:bCs w:val="0"/>
          <w:color w:val="auto"/>
          <w:kern w:val="0"/>
          <w:sz w:val="28"/>
          <w:szCs w:val="28"/>
          <w:lang w:val="zh-CN"/>
        </w:rPr>
        <w:t>3.9 生物多样性影响分析</w:t>
      </w:r>
      <w:bookmarkEnd w:id="304"/>
      <w:bookmarkEnd w:id="305"/>
    </w:p>
    <w:p w14:paraId="479F544A">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（1）生态系统多样性影响</w:t>
      </w:r>
    </w:p>
    <w:p w14:paraId="467163F0">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工程建设前评价区内共分布9种生态系统类型，较为多样。工程建设后，评价区内生态系统类型数量保持不变，影响较小。</w:t>
      </w:r>
    </w:p>
    <w:p w14:paraId="0713CBDA">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（2）物种丰富度影响</w:t>
      </w:r>
    </w:p>
    <w:p w14:paraId="1D801F9F">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本项目建设不会造成任何一种物种的消失，评价等级仍然为丰富，物种较为丰富，因此工程建设对物种丰富度影响较小。</w:t>
      </w:r>
    </w:p>
    <w:p w14:paraId="5749DDCB">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（3）生物群落多样性影响</w:t>
      </w:r>
    </w:p>
    <w:p w14:paraId="47CE9614">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评价区内生态系统天然植物群落分布有3个群落，主要有云南松、盐肤木、毛蕨菜群落、云南松、苦刺花、穗序野古草群落及马桑、火棘、茅叶荩草群落，本项目建设不会造成任何一种生物群落的消失，对生物群落多样性影响较小。</w:t>
      </w:r>
    </w:p>
    <w:p w14:paraId="5B60553B">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（4）对遗传多样性影响</w:t>
      </w:r>
    </w:p>
    <w:p w14:paraId="19B29BB7">
      <w:pPr>
        <w:pStyle w:val="7"/>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cs="Times New Roman"/>
          <w:color w:val="auto"/>
          <w:sz w:val="24"/>
          <w:szCs w:val="24"/>
          <w:lang w:val="en-US"/>
        </w:rPr>
      </w:pPr>
      <w:r>
        <w:rPr>
          <w:rFonts w:hint="default" w:ascii="Times New Roman" w:hAnsi="Times New Roman" w:cs="Times New Roman"/>
          <w:color w:val="auto"/>
          <w:sz w:val="24"/>
          <w:szCs w:val="24"/>
        </w:rPr>
        <w:t>本项目占地范围内清除的主要植物资源为当地常见种、广布种</w:t>
      </w:r>
      <w:r>
        <w:rPr>
          <w:rFonts w:hint="default" w:ascii="Times New Roman" w:hAnsi="Times New Roman" w:cs="Times New Roman"/>
          <w:color w:val="auto"/>
          <w:sz w:val="24"/>
          <w:szCs w:val="24"/>
          <w:lang w:val="en-US"/>
        </w:rPr>
        <w:t>，如</w:t>
      </w:r>
      <w:r>
        <w:rPr>
          <w:rFonts w:hint="default" w:ascii="Times New Roman" w:hAnsi="Times New Roman" w:cs="Times New Roman"/>
          <w:color w:val="auto"/>
          <w:sz w:val="24"/>
          <w:szCs w:val="24"/>
        </w:rPr>
        <w:t>云南松</w:t>
      </w:r>
      <w:r>
        <w:rPr>
          <w:rFonts w:hint="default" w:ascii="Times New Roman" w:hAnsi="Times New Roman" w:cs="Times New Roman"/>
          <w:i/>
          <w:iCs/>
          <w:color w:val="auto"/>
          <w:sz w:val="24"/>
          <w:szCs w:val="24"/>
          <w:lang w:val="en-US"/>
        </w:rPr>
        <w:t>Pinus yunnanensis</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val="en-US"/>
        </w:rPr>
        <w:t>盐肤木</w:t>
      </w:r>
      <w:r>
        <w:rPr>
          <w:rFonts w:hint="default" w:ascii="Times New Roman" w:hAnsi="Times New Roman" w:cs="Times New Roman"/>
          <w:i/>
          <w:iCs/>
          <w:color w:val="auto"/>
          <w:sz w:val="24"/>
          <w:szCs w:val="24"/>
          <w:lang w:val="en-US"/>
        </w:rPr>
        <w:t>Rhus chinensis</w:t>
      </w:r>
      <w:r>
        <w:rPr>
          <w:rFonts w:hint="default" w:ascii="Times New Roman" w:hAnsi="Times New Roman" w:cs="Times New Roman"/>
          <w:color w:val="auto"/>
          <w:sz w:val="24"/>
          <w:szCs w:val="24"/>
          <w:lang w:val="en-US"/>
        </w:rPr>
        <w:t>、</w:t>
      </w:r>
      <w:r>
        <w:rPr>
          <w:rFonts w:hint="default" w:ascii="Times New Roman" w:hAnsi="Times New Roman" w:cs="Times New Roman"/>
          <w:color w:val="auto"/>
          <w:sz w:val="24"/>
          <w:szCs w:val="24"/>
        </w:rPr>
        <w:t>杉木</w:t>
      </w:r>
      <w:r>
        <w:rPr>
          <w:rFonts w:hint="default" w:ascii="Times New Roman" w:hAnsi="Times New Roman" w:cs="Times New Roman"/>
          <w:i/>
          <w:iCs/>
          <w:color w:val="auto"/>
          <w:sz w:val="24"/>
          <w:szCs w:val="24"/>
          <w:lang w:val="en-US"/>
        </w:rPr>
        <w:t>Cunninghamia lanceolata</w:t>
      </w:r>
      <w:r>
        <w:rPr>
          <w:rFonts w:hint="default" w:ascii="Times New Roman" w:hAnsi="Times New Roman" w:cs="Times New Roman"/>
          <w:i/>
          <w:color w:val="auto"/>
          <w:sz w:val="24"/>
          <w:szCs w:val="24"/>
        </w:rPr>
        <w:t>、</w:t>
      </w:r>
      <w:r>
        <w:rPr>
          <w:rFonts w:hint="default" w:ascii="Times New Roman" w:hAnsi="Times New Roman" w:cs="Times New Roman"/>
          <w:bCs/>
          <w:color w:val="auto"/>
          <w:sz w:val="24"/>
          <w:szCs w:val="24"/>
        </w:rPr>
        <w:t>马桑、</w:t>
      </w:r>
      <w:r>
        <w:rPr>
          <w:rFonts w:hint="default" w:ascii="Times New Roman" w:hAnsi="Times New Roman" w:cs="Times New Roman"/>
          <w:bCs/>
          <w:color w:val="auto"/>
          <w:sz w:val="24"/>
          <w:szCs w:val="24"/>
          <w:lang w:val="en-US"/>
        </w:rPr>
        <w:t>华山松</w:t>
      </w:r>
      <w:r>
        <w:rPr>
          <w:rFonts w:hint="default" w:ascii="Times New Roman" w:hAnsi="Times New Roman" w:cs="Times New Roman"/>
          <w:bCs/>
          <w:i/>
          <w:iCs/>
          <w:color w:val="auto"/>
          <w:sz w:val="24"/>
          <w:szCs w:val="24"/>
          <w:lang w:val="en-US"/>
        </w:rPr>
        <w:t>Pinus armandii</w:t>
      </w:r>
      <w:r>
        <w:rPr>
          <w:rFonts w:hint="default" w:ascii="Times New Roman" w:hAnsi="Times New Roman" w:cs="Times New Roman"/>
          <w:bCs/>
          <w:color w:val="auto"/>
          <w:sz w:val="24"/>
          <w:szCs w:val="24"/>
          <w:lang w:val="en-US"/>
        </w:rPr>
        <w:t>、</w:t>
      </w:r>
      <w:r>
        <w:rPr>
          <w:rFonts w:hint="default" w:ascii="Times New Roman" w:hAnsi="Times New Roman" w:cs="Times New Roman"/>
          <w:color w:val="auto"/>
          <w:sz w:val="24"/>
          <w:szCs w:val="24"/>
        </w:rPr>
        <w:t>火棘</w:t>
      </w:r>
      <w:r>
        <w:rPr>
          <w:rFonts w:hint="default" w:ascii="Times New Roman" w:hAnsi="Times New Roman" w:cs="Times New Roman"/>
          <w:i/>
          <w:iCs/>
          <w:color w:val="auto"/>
          <w:sz w:val="24"/>
          <w:szCs w:val="24"/>
          <w:lang w:val="en-US"/>
        </w:rPr>
        <w:t>Pyracantha fortuneana </w:t>
      </w:r>
      <w:r>
        <w:rPr>
          <w:rFonts w:hint="default" w:ascii="Times New Roman" w:hAnsi="Times New Roman" w:cs="Times New Roman"/>
          <w:color w:val="auto"/>
          <w:sz w:val="24"/>
          <w:szCs w:val="24"/>
        </w:rPr>
        <w:t>、小铁仔</w:t>
      </w:r>
      <w:r>
        <w:rPr>
          <w:rFonts w:hint="default" w:ascii="Times New Roman" w:hAnsi="Times New Roman" w:cs="Times New Roman"/>
          <w:i/>
          <w:color w:val="auto"/>
          <w:sz w:val="24"/>
          <w:szCs w:val="24"/>
          <w:lang w:val="en-US"/>
        </w:rPr>
        <w:t>Myrsine africana</w:t>
      </w:r>
      <w:r>
        <w:rPr>
          <w:rFonts w:hint="default" w:ascii="Times New Roman" w:hAnsi="Times New Roman" w:cs="Times New Roman"/>
          <w:color w:val="auto"/>
          <w:sz w:val="24"/>
          <w:szCs w:val="24"/>
        </w:rPr>
        <w:t>、黑面神</w:t>
      </w:r>
      <w:r>
        <w:rPr>
          <w:rFonts w:hint="default" w:ascii="Times New Roman" w:hAnsi="Times New Roman" w:cs="Times New Roman"/>
          <w:i/>
          <w:iCs/>
          <w:color w:val="auto"/>
          <w:sz w:val="24"/>
          <w:szCs w:val="24"/>
          <w:lang w:val="en-US"/>
        </w:rPr>
        <w:t>Breynia fruticosa</w:t>
      </w:r>
      <w:r>
        <w:rPr>
          <w:rFonts w:hint="default" w:ascii="Times New Roman" w:hAnsi="Times New Roman" w:cs="Times New Roman"/>
          <w:color w:val="auto"/>
          <w:sz w:val="24"/>
          <w:szCs w:val="24"/>
        </w:rPr>
        <w:t>、马棘</w:t>
      </w:r>
      <w:r>
        <w:rPr>
          <w:rFonts w:hint="default" w:ascii="Times New Roman" w:hAnsi="Times New Roman" w:cs="Times New Roman"/>
          <w:i/>
          <w:iCs/>
          <w:color w:val="auto"/>
          <w:sz w:val="24"/>
          <w:szCs w:val="24"/>
          <w:lang w:val="en-US"/>
        </w:rPr>
        <w:t>Indigofera bungeana</w:t>
      </w:r>
      <w:r>
        <w:rPr>
          <w:rFonts w:hint="default" w:ascii="Times New Roman" w:hAnsi="Times New Roman" w:cs="Times New Roman"/>
          <w:color w:val="auto"/>
          <w:sz w:val="24"/>
          <w:szCs w:val="24"/>
          <w:lang w:val="en-US"/>
        </w:rPr>
        <w:t> </w:t>
      </w:r>
      <w:r>
        <w:rPr>
          <w:rFonts w:hint="default" w:ascii="Times New Roman" w:hAnsi="Times New Roman" w:cs="Times New Roman"/>
          <w:color w:val="auto"/>
          <w:sz w:val="24"/>
          <w:szCs w:val="24"/>
        </w:rPr>
        <w:t>、金花小檗</w:t>
      </w:r>
      <w:r>
        <w:rPr>
          <w:rFonts w:hint="default" w:ascii="Times New Roman" w:hAnsi="Times New Roman" w:cs="Times New Roman"/>
          <w:i/>
          <w:iCs/>
          <w:color w:val="auto"/>
          <w:sz w:val="24"/>
          <w:szCs w:val="24"/>
          <w:lang w:val="en-US"/>
        </w:rPr>
        <w:t>Berberis wilsonae</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烟管荚蒾</w:t>
      </w:r>
      <w:r>
        <w:rPr>
          <w:rFonts w:hint="default" w:ascii="Times New Roman" w:hAnsi="Times New Roman" w:cs="Times New Roman"/>
          <w:bCs/>
          <w:i/>
          <w:color w:val="auto"/>
          <w:sz w:val="24"/>
          <w:szCs w:val="24"/>
          <w:lang w:val="en-US"/>
        </w:rPr>
        <w:t>Viburnum utile </w:t>
      </w:r>
      <w:r>
        <w:rPr>
          <w:rFonts w:hint="default" w:ascii="Times New Roman" w:hAnsi="Times New Roman" w:cs="Times New Roman"/>
          <w:bCs/>
          <w:color w:val="auto"/>
          <w:sz w:val="24"/>
          <w:szCs w:val="24"/>
        </w:rPr>
        <w:t>、毡毛栒子</w:t>
      </w:r>
      <w:r>
        <w:rPr>
          <w:rFonts w:hint="default" w:ascii="Times New Roman" w:hAnsi="Times New Roman" w:cs="Times New Roman"/>
          <w:bCs/>
          <w:i/>
          <w:color w:val="auto"/>
          <w:sz w:val="24"/>
          <w:szCs w:val="24"/>
          <w:lang w:val="en-US"/>
        </w:rPr>
        <w:t>Cotoneaster pannosus</w:t>
      </w:r>
      <w:r>
        <w:rPr>
          <w:rFonts w:hint="default" w:ascii="Times New Roman" w:hAnsi="Times New Roman" w:cs="Times New Roman"/>
          <w:bCs/>
          <w:i/>
          <w:color w:val="auto"/>
          <w:sz w:val="24"/>
          <w:szCs w:val="24"/>
        </w:rPr>
        <w:t>、</w:t>
      </w:r>
      <w:r>
        <w:rPr>
          <w:rFonts w:hint="default" w:ascii="Times New Roman" w:hAnsi="Times New Roman" w:cs="Times New Roman"/>
          <w:color w:val="auto"/>
          <w:sz w:val="24"/>
          <w:szCs w:val="24"/>
        </w:rPr>
        <w:t>黄茅</w:t>
      </w:r>
      <w:r>
        <w:rPr>
          <w:rFonts w:hint="default" w:ascii="Times New Roman" w:hAnsi="Times New Roman" w:cs="Times New Roman"/>
          <w:i/>
          <w:color w:val="auto"/>
          <w:sz w:val="24"/>
          <w:szCs w:val="24"/>
          <w:lang w:val="en-US"/>
        </w:rPr>
        <w:t>Heteropogon contortus</w:t>
      </w:r>
      <w:r>
        <w:rPr>
          <w:rFonts w:hint="default" w:ascii="Times New Roman" w:hAnsi="Times New Roman" w:cs="Times New Roman"/>
          <w:color w:val="auto"/>
          <w:sz w:val="24"/>
          <w:szCs w:val="24"/>
        </w:rPr>
        <w:t>、旱茅</w:t>
      </w:r>
      <w:r>
        <w:rPr>
          <w:rFonts w:hint="default" w:ascii="Times New Roman" w:hAnsi="Times New Roman" w:cs="Times New Roman"/>
          <w:i/>
          <w:color w:val="auto"/>
          <w:sz w:val="24"/>
          <w:szCs w:val="24"/>
          <w:lang w:val="en-US"/>
        </w:rPr>
        <w:t>Schizachyrium delavayi</w:t>
      </w:r>
      <w:r>
        <w:rPr>
          <w:rFonts w:hint="default" w:ascii="Times New Roman" w:hAnsi="Times New Roman" w:cs="Times New Roman"/>
          <w:color w:val="auto"/>
          <w:sz w:val="24"/>
          <w:szCs w:val="24"/>
        </w:rPr>
        <w:t>、短柄草</w:t>
      </w:r>
      <w:r>
        <w:rPr>
          <w:rFonts w:hint="default" w:ascii="Times New Roman" w:hAnsi="Times New Roman" w:cs="Times New Roman"/>
          <w:i/>
          <w:color w:val="auto"/>
          <w:sz w:val="24"/>
          <w:szCs w:val="24"/>
          <w:lang w:val="en-US"/>
        </w:rPr>
        <w:t>Brachypodium sylvaticum</w:t>
      </w:r>
      <w:r>
        <w:rPr>
          <w:rFonts w:hint="default" w:ascii="Times New Roman" w:hAnsi="Times New Roman" w:cs="Times New Roman"/>
          <w:color w:val="auto"/>
          <w:sz w:val="24"/>
          <w:szCs w:val="24"/>
        </w:rPr>
        <w:t>、三花兔儿风</w:t>
      </w:r>
      <w:r>
        <w:rPr>
          <w:rFonts w:hint="default" w:ascii="Times New Roman" w:hAnsi="Times New Roman" w:cs="Times New Roman"/>
          <w:i/>
          <w:color w:val="auto"/>
          <w:sz w:val="24"/>
          <w:szCs w:val="24"/>
          <w:lang w:val="en-US"/>
        </w:rPr>
        <w:t>Ainsliaea latifolia</w:t>
      </w:r>
      <w:r>
        <w:rPr>
          <w:rFonts w:hint="default" w:ascii="Times New Roman" w:hAnsi="Times New Roman" w:cs="Times New Roman"/>
          <w:color w:val="auto"/>
          <w:sz w:val="24"/>
          <w:szCs w:val="24"/>
        </w:rPr>
        <w:t>、唐松草</w:t>
      </w:r>
      <w:r>
        <w:rPr>
          <w:rFonts w:hint="default" w:ascii="Times New Roman" w:hAnsi="Times New Roman" w:cs="Times New Roman"/>
          <w:i/>
          <w:color w:val="auto"/>
          <w:sz w:val="24"/>
          <w:szCs w:val="24"/>
          <w:lang w:val="en-US"/>
        </w:rPr>
        <w:t>Thalictrum aquilegiifolium</w:t>
      </w:r>
      <w:r>
        <w:rPr>
          <w:rFonts w:hint="default" w:ascii="Times New Roman" w:hAnsi="Times New Roman" w:cs="Times New Roman"/>
          <w:color w:val="auto"/>
          <w:sz w:val="24"/>
          <w:szCs w:val="24"/>
        </w:rPr>
        <w:t>、蕨</w:t>
      </w:r>
      <w:r>
        <w:rPr>
          <w:rFonts w:hint="default" w:ascii="Times New Roman" w:hAnsi="Times New Roman" w:cs="Times New Roman"/>
          <w:i/>
          <w:color w:val="auto"/>
          <w:sz w:val="24"/>
          <w:szCs w:val="24"/>
          <w:lang w:val="en-US"/>
        </w:rPr>
        <w:t>Pteridium aquilinum</w:t>
      </w:r>
      <w:r>
        <w:rPr>
          <w:rFonts w:hint="default" w:ascii="Times New Roman" w:hAnsi="Times New Roman" w:cs="Times New Roman"/>
          <w:color w:val="auto"/>
          <w:sz w:val="24"/>
          <w:szCs w:val="24"/>
        </w:rPr>
        <w:t>等</w:t>
      </w:r>
      <w:r>
        <w:rPr>
          <w:rFonts w:hint="default" w:ascii="Times New Roman" w:hAnsi="Times New Roman" w:cs="Times New Roman"/>
          <w:color w:val="auto"/>
          <w:sz w:val="24"/>
          <w:szCs w:val="24"/>
          <w:lang w:val="en-US"/>
        </w:rPr>
        <w:t>，</w:t>
      </w:r>
      <w:r>
        <w:rPr>
          <w:rFonts w:hint="default" w:ascii="Times New Roman" w:hAnsi="Times New Roman" w:cs="Times New Roman"/>
          <w:color w:val="auto"/>
          <w:sz w:val="24"/>
          <w:szCs w:val="24"/>
        </w:rPr>
        <w:t>且由于项目占地面积相对较小</w:t>
      </w:r>
      <w:r>
        <w:rPr>
          <w:rFonts w:hint="default" w:ascii="Times New Roman" w:hAnsi="Times New Roman" w:cs="Times New Roman"/>
          <w:color w:val="auto"/>
          <w:sz w:val="24"/>
          <w:szCs w:val="24"/>
          <w:lang w:val="en-US"/>
        </w:rPr>
        <w:t>，</w:t>
      </w:r>
      <w:r>
        <w:rPr>
          <w:rFonts w:hint="default" w:ascii="Times New Roman" w:hAnsi="Times New Roman" w:cs="Times New Roman"/>
          <w:color w:val="auto"/>
          <w:sz w:val="24"/>
          <w:szCs w:val="24"/>
        </w:rPr>
        <w:t>占用的植物资源量小</w:t>
      </w:r>
      <w:r>
        <w:rPr>
          <w:rFonts w:hint="default" w:ascii="Times New Roman" w:hAnsi="Times New Roman" w:cs="Times New Roman"/>
          <w:color w:val="auto"/>
          <w:sz w:val="24"/>
          <w:szCs w:val="24"/>
          <w:lang w:val="en-US"/>
        </w:rPr>
        <w:t>，</w:t>
      </w:r>
      <w:r>
        <w:rPr>
          <w:rFonts w:hint="default" w:ascii="Times New Roman" w:hAnsi="Times New Roman" w:cs="Times New Roman"/>
          <w:color w:val="auto"/>
          <w:sz w:val="24"/>
          <w:szCs w:val="24"/>
        </w:rPr>
        <w:t>工程加强管理的情况下对区域内动物的影响也很小</w:t>
      </w:r>
      <w:r>
        <w:rPr>
          <w:rFonts w:hint="default" w:ascii="Times New Roman" w:hAnsi="Times New Roman" w:cs="Times New Roman"/>
          <w:color w:val="auto"/>
          <w:sz w:val="24"/>
          <w:szCs w:val="24"/>
          <w:lang w:val="en-US"/>
        </w:rPr>
        <w:t>，</w:t>
      </w:r>
      <w:r>
        <w:rPr>
          <w:rFonts w:hint="default" w:ascii="Times New Roman" w:hAnsi="Times New Roman" w:cs="Times New Roman"/>
          <w:color w:val="auto"/>
          <w:sz w:val="24"/>
          <w:szCs w:val="24"/>
        </w:rPr>
        <w:t>因此工程建设不会造成评价区内各物种有效种群大小的大量下降</w:t>
      </w:r>
      <w:r>
        <w:rPr>
          <w:rFonts w:hint="default" w:ascii="Times New Roman" w:hAnsi="Times New Roman" w:cs="Times New Roman"/>
          <w:color w:val="auto"/>
          <w:sz w:val="24"/>
          <w:szCs w:val="24"/>
          <w:lang w:val="en-US"/>
        </w:rPr>
        <w:t>，</w:t>
      </w:r>
      <w:r>
        <w:rPr>
          <w:rFonts w:hint="default" w:ascii="Times New Roman" w:hAnsi="Times New Roman" w:cs="Times New Roman"/>
          <w:color w:val="auto"/>
          <w:sz w:val="24"/>
          <w:szCs w:val="24"/>
        </w:rPr>
        <w:t>也不会影响种群性别比例</w:t>
      </w:r>
      <w:r>
        <w:rPr>
          <w:rFonts w:hint="default" w:ascii="Times New Roman" w:hAnsi="Times New Roman" w:cs="Times New Roman"/>
          <w:color w:val="auto"/>
          <w:sz w:val="24"/>
          <w:szCs w:val="24"/>
          <w:lang w:val="en-US"/>
        </w:rPr>
        <w:t>，</w:t>
      </w:r>
      <w:r>
        <w:rPr>
          <w:rFonts w:hint="default" w:ascii="Times New Roman" w:hAnsi="Times New Roman" w:cs="Times New Roman"/>
          <w:color w:val="auto"/>
          <w:sz w:val="24"/>
          <w:szCs w:val="24"/>
        </w:rPr>
        <w:t>线路电压等级较低</w:t>
      </w:r>
      <w:r>
        <w:rPr>
          <w:rFonts w:hint="default" w:ascii="Times New Roman" w:hAnsi="Times New Roman" w:cs="Times New Roman"/>
          <w:color w:val="auto"/>
          <w:sz w:val="24"/>
          <w:szCs w:val="24"/>
          <w:lang w:val="en-US"/>
        </w:rPr>
        <w:t>，</w:t>
      </w:r>
      <w:r>
        <w:rPr>
          <w:rFonts w:hint="default" w:ascii="Times New Roman" w:hAnsi="Times New Roman" w:cs="Times New Roman"/>
          <w:color w:val="auto"/>
          <w:sz w:val="24"/>
          <w:szCs w:val="24"/>
        </w:rPr>
        <w:t>且采用架空的布设形式</w:t>
      </w:r>
      <w:r>
        <w:rPr>
          <w:rFonts w:hint="default" w:ascii="Times New Roman" w:hAnsi="Times New Roman" w:cs="Times New Roman"/>
          <w:color w:val="auto"/>
          <w:sz w:val="24"/>
          <w:szCs w:val="24"/>
          <w:lang w:val="en-US"/>
        </w:rPr>
        <w:t>，</w:t>
      </w:r>
      <w:r>
        <w:rPr>
          <w:rFonts w:hint="default" w:ascii="Times New Roman" w:hAnsi="Times New Roman" w:cs="Times New Roman"/>
          <w:color w:val="auto"/>
          <w:sz w:val="24"/>
          <w:szCs w:val="24"/>
        </w:rPr>
        <w:t>对生境分割有限</w:t>
      </w:r>
      <w:r>
        <w:rPr>
          <w:rFonts w:hint="default" w:ascii="Times New Roman" w:hAnsi="Times New Roman" w:cs="Times New Roman"/>
          <w:color w:val="auto"/>
          <w:sz w:val="24"/>
          <w:szCs w:val="24"/>
          <w:lang w:val="en-US"/>
        </w:rPr>
        <w:t>，</w:t>
      </w:r>
      <w:r>
        <w:rPr>
          <w:rFonts w:hint="default" w:ascii="Times New Roman" w:hAnsi="Times New Roman" w:cs="Times New Roman"/>
          <w:color w:val="auto"/>
          <w:sz w:val="24"/>
          <w:szCs w:val="24"/>
        </w:rPr>
        <w:t>电磁辐射影响也较小</w:t>
      </w:r>
      <w:r>
        <w:rPr>
          <w:rFonts w:hint="default" w:ascii="Times New Roman" w:hAnsi="Times New Roman" w:cs="Times New Roman"/>
          <w:color w:val="auto"/>
          <w:sz w:val="24"/>
          <w:szCs w:val="24"/>
          <w:lang w:val="en-US"/>
        </w:rPr>
        <w:t>，</w:t>
      </w:r>
      <w:r>
        <w:rPr>
          <w:rFonts w:hint="default" w:ascii="Times New Roman" w:hAnsi="Times New Roman" w:cs="Times New Roman"/>
          <w:color w:val="auto"/>
          <w:sz w:val="24"/>
          <w:szCs w:val="24"/>
        </w:rPr>
        <w:t>因此工程建设不会对种群遗传产生明显不利因素。</w:t>
      </w:r>
    </w:p>
    <w:p w14:paraId="740C88CE">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306" w:name="_Toc20107"/>
      <w:bookmarkStart w:id="307" w:name="_Toc17768"/>
      <w:r>
        <w:rPr>
          <w:rFonts w:hint="default" w:ascii="Times New Roman" w:hAnsi="Times New Roman" w:eastAsia="宋体" w:cs="Times New Roman"/>
          <w:bCs w:val="0"/>
          <w:color w:val="auto"/>
          <w:kern w:val="0"/>
          <w:sz w:val="28"/>
          <w:szCs w:val="28"/>
          <w:lang w:val="zh-CN"/>
        </w:rPr>
        <w:t>3.10项目对当地生态系统的影响</w:t>
      </w:r>
      <w:bookmarkEnd w:id="306"/>
      <w:bookmarkEnd w:id="307"/>
    </w:p>
    <w:p w14:paraId="1FE93210">
      <w:pPr>
        <w:pStyle w:val="7"/>
        <w:adjustRightInd w:val="0"/>
        <w:snapToGrid w:val="0"/>
        <w:spacing w:line="440" w:lineRule="exact"/>
        <w:ind w:firstLine="480" w:firstLineChars="200"/>
        <w:rPr>
          <w:rFonts w:hint="default" w:ascii="Times New Roman" w:hAnsi="Times New Roman" w:cs="Times New Roman" w:eastAsiaTheme="minorEastAsia"/>
          <w:color w:val="auto"/>
          <w:sz w:val="24"/>
          <w:szCs w:val="24"/>
          <w:lang w:val="en-US"/>
        </w:rPr>
      </w:pPr>
      <w:r>
        <w:rPr>
          <w:rFonts w:hint="default" w:ascii="Times New Roman" w:hAnsi="Times New Roman" w:cs="Times New Roman" w:eastAsiaTheme="minorEastAsia"/>
          <w:color w:val="auto"/>
          <w:sz w:val="24"/>
          <w:szCs w:val="24"/>
          <w:lang w:val="en-US"/>
        </w:rPr>
        <w:t>根据现场踏勘，项目所在地为森林生态系统、农田生态系统占据主导。项目占地面积较小，对生态系统面积的影响较小。但项目为输电线路，将不可避免地对穿越区域的生态系统进行分割，分割后对生态系统的稳定性、连通性将产生不利影响。</w:t>
      </w:r>
    </w:p>
    <w:p w14:paraId="50324097">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308" w:name="_Toc25664"/>
      <w:bookmarkStart w:id="309" w:name="_Toc22496"/>
      <w:r>
        <w:rPr>
          <w:rFonts w:hint="default" w:ascii="Times New Roman" w:hAnsi="Times New Roman" w:eastAsia="宋体" w:cs="Times New Roman"/>
          <w:bCs w:val="0"/>
          <w:color w:val="auto"/>
          <w:kern w:val="0"/>
          <w:sz w:val="28"/>
          <w:szCs w:val="28"/>
          <w:lang w:val="zh-CN"/>
        </w:rPr>
        <w:t>3.11 项目对评价区内生态保护红线的影响分析</w:t>
      </w:r>
      <w:bookmarkEnd w:id="308"/>
      <w:bookmarkEnd w:id="309"/>
    </w:p>
    <w:p w14:paraId="32E4C436">
      <w:pPr>
        <w:ind w:firstLine="480"/>
        <w:rPr>
          <w:rFonts w:hint="eastAsia" w:ascii="Times New Roman" w:hAnsi="Times New Roman" w:eastAsia="宋体" w:cs="Times New Roman"/>
          <w:color w:val="auto"/>
          <w:szCs w:val="24"/>
          <w:lang w:eastAsia="zh-CN"/>
        </w:rPr>
      </w:pPr>
      <w:r>
        <w:rPr>
          <w:rFonts w:hint="default" w:ascii="Times New Roman" w:hAnsi="Times New Roman" w:cs="Times New Roman"/>
          <w:color w:val="auto"/>
          <w:szCs w:val="24"/>
        </w:rPr>
        <w:t>评价区总面积1073.183hm</w:t>
      </w:r>
      <w:r>
        <w:rPr>
          <w:rFonts w:hint="default" w:ascii="Times New Roman" w:hAnsi="Times New Roman" w:cs="Times New Roman"/>
          <w:color w:val="auto"/>
          <w:szCs w:val="24"/>
          <w:vertAlign w:val="superscript"/>
        </w:rPr>
        <w:t>2</w:t>
      </w:r>
      <w:r>
        <w:rPr>
          <w:rFonts w:hint="default" w:ascii="Times New Roman" w:hAnsi="Times New Roman" w:cs="Times New Roman"/>
          <w:color w:val="auto"/>
          <w:szCs w:val="24"/>
        </w:rPr>
        <w:t>，评价区分布有会泽县生态保护红线面积47.933hm</w:t>
      </w:r>
      <w:r>
        <w:rPr>
          <w:rFonts w:hint="default" w:ascii="Times New Roman" w:hAnsi="Times New Roman" w:cs="Times New Roman"/>
          <w:color w:val="auto"/>
          <w:szCs w:val="24"/>
          <w:vertAlign w:val="superscript"/>
        </w:rPr>
        <w:t>2</w:t>
      </w:r>
      <w:r>
        <w:rPr>
          <w:rFonts w:hint="default" w:ascii="Times New Roman" w:hAnsi="Times New Roman" w:cs="Times New Roman"/>
          <w:color w:val="auto"/>
          <w:szCs w:val="24"/>
        </w:rPr>
        <w:t>，占评价区总面积的4.467%，工程占地范围不涉及占用生态保护红线，</w:t>
      </w:r>
      <w:r>
        <w:rPr>
          <w:rFonts w:hint="default" w:ascii="Times New Roman" w:hAnsi="Times New Roman" w:eastAsia="宋体" w:cs="Times New Roman"/>
          <w:bCs/>
          <w:color w:val="auto"/>
        </w:rPr>
        <w:t>输电线路塔基N7-N8之间约89.2米跨越金沙江下游—小江流域水土流失控制生态保护红线，</w:t>
      </w:r>
      <w:r>
        <w:rPr>
          <w:rFonts w:hint="default" w:ascii="Times New Roman" w:hAnsi="Times New Roman" w:eastAsia="宋体" w:cs="Times New Roman"/>
          <w:bCs/>
          <w:color w:val="auto"/>
          <w:lang w:val="en-US" w:eastAsia="zh-CN"/>
        </w:rPr>
        <w:t>不在生态保护红线内立塔，距离塔基N7为6m，距离塔基N8为8m。</w:t>
      </w:r>
      <w:r>
        <w:rPr>
          <w:rFonts w:hint="default" w:ascii="Times New Roman" w:hAnsi="Times New Roman" w:cs="Times New Roman"/>
          <w:color w:val="auto"/>
          <w:szCs w:val="24"/>
        </w:rPr>
        <w:t>评价区内分布的生态保护红线内主要植被类型为暖温性针叶林</w:t>
      </w:r>
      <w:r>
        <w:rPr>
          <w:rFonts w:hint="eastAsia" w:ascii="Times New Roman" w:hAnsi="Times New Roman" w:cs="Times New Roman"/>
          <w:color w:val="auto"/>
          <w:szCs w:val="24"/>
          <w:lang w:eastAsia="zh-CN"/>
        </w:rPr>
        <w:t>，</w:t>
      </w:r>
      <w:r>
        <w:rPr>
          <w:rFonts w:hint="default" w:ascii="Times New Roman" w:hAnsi="Times New Roman" w:eastAsia="宋体" w:cs="Times New Roman"/>
          <w:bCs/>
          <w:color w:val="auto"/>
        </w:rPr>
        <w:t>主要功能为水土保持</w:t>
      </w:r>
      <w:r>
        <w:rPr>
          <w:rFonts w:hint="eastAsia" w:ascii="Times New Roman" w:hAnsi="Times New Roman" w:eastAsia="宋体" w:cs="Times New Roman"/>
          <w:bCs/>
          <w:color w:val="auto"/>
          <w:lang w:eastAsia="zh-CN"/>
        </w:rPr>
        <w:t>。</w:t>
      </w:r>
    </w:p>
    <w:tbl>
      <w:tblPr>
        <w:tblStyle w:val="30"/>
        <w:tblW w:w="8434" w:type="dxa"/>
        <w:jc w:val="center"/>
        <w:tblLayout w:type="fixed"/>
        <w:tblCellMar>
          <w:top w:w="0" w:type="dxa"/>
          <w:left w:w="108" w:type="dxa"/>
          <w:bottom w:w="0" w:type="dxa"/>
          <w:right w:w="108" w:type="dxa"/>
        </w:tblCellMar>
      </w:tblPr>
      <w:tblGrid>
        <w:gridCol w:w="8434"/>
      </w:tblGrid>
      <w:tr w14:paraId="0945BF4C">
        <w:tblPrEx>
          <w:tblCellMar>
            <w:top w:w="0" w:type="dxa"/>
            <w:left w:w="108" w:type="dxa"/>
            <w:bottom w:w="0" w:type="dxa"/>
            <w:right w:w="108" w:type="dxa"/>
          </w:tblCellMar>
        </w:tblPrEx>
        <w:trPr>
          <w:jc w:val="center"/>
        </w:trPr>
        <w:tc>
          <w:tcPr>
            <w:tcW w:w="8434" w:type="dxa"/>
            <w:noWrap w:val="0"/>
            <w:vAlign w:val="center"/>
          </w:tcPr>
          <w:p w14:paraId="7B4485B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bookmarkStart w:id="310" w:name="_Toc522"/>
            <w:r>
              <w:rPr>
                <w:color w:val="auto"/>
                <w:sz w:val="21"/>
              </w:rPr>
              <mc:AlternateContent>
                <mc:Choice Requires="wps">
                  <w:drawing>
                    <wp:anchor distT="0" distB="0" distL="114300" distR="114300" simplePos="0" relativeHeight="251699200" behindDoc="0" locked="0" layoutInCell="1" allowOverlap="1">
                      <wp:simplePos x="0" y="0"/>
                      <wp:positionH relativeFrom="column">
                        <wp:posOffset>2162810</wp:posOffset>
                      </wp:positionH>
                      <wp:positionV relativeFrom="paragraph">
                        <wp:posOffset>2845435</wp:posOffset>
                      </wp:positionV>
                      <wp:extent cx="423545" cy="269875"/>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423545" cy="2698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44DB15">
                                  <w:pPr>
                                    <w:keepNext w:val="0"/>
                                    <w:keepLines w:val="0"/>
                                    <w:pageBreakBefore w:val="0"/>
                                    <w:widowControl w:val="0"/>
                                    <w:kinsoku/>
                                    <w:wordWrap/>
                                    <w:overflowPunct/>
                                    <w:topLinePunct w:val="0"/>
                                    <w:bidi w:val="0"/>
                                    <w:adjustRightInd w:val="0"/>
                                    <w:snapToGrid w:val="0"/>
                                    <w:spacing w:after="0" w:line="240" w:lineRule="auto"/>
                                    <w:ind w:left="0" w:leftChars="0" w:firstLine="0" w:firstLineChars="0"/>
                                    <w:textAlignment w:val="auto"/>
                                    <w:rPr>
                                      <w:rFonts w:hint="default" w:ascii="Times New Roman" w:hAnsi="Times New Roman" w:cs="Times New Roman" w:eastAsiaTheme="minorEastAsia"/>
                                      <w:sz w:val="18"/>
                                      <w:szCs w:val="16"/>
                                      <w:highlight w:val="yellow"/>
                                      <w:lang w:val="en-US" w:eastAsia="zh-CN"/>
                                    </w:rPr>
                                  </w:pPr>
                                  <w:r>
                                    <w:rPr>
                                      <w:rFonts w:hint="eastAsia" w:ascii="Times New Roman" w:hAnsi="Times New Roman" w:cs="Times New Roman"/>
                                      <w:sz w:val="18"/>
                                      <w:szCs w:val="16"/>
                                      <w:highlight w:val="yellow"/>
                                      <w:lang w:val="en-US" w:eastAsia="zh-CN"/>
                                    </w:rPr>
                                    <w:t>7</w:t>
                                  </w:r>
                                  <w:r>
                                    <w:rPr>
                                      <w:rFonts w:hint="default" w:ascii="Times New Roman" w:hAnsi="Times New Roman" w:cs="Times New Roman"/>
                                      <w:sz w:val="18"/>
                                      <w:szCs w:val="16"/>
                                      <w:highlight w:val="yellow"/>
                                      <w:lang w:val="en-US" w:eastAsia="zh-CN"/>
                                    </w:rPr>
                                    <w:t>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0.3pt;margin-top:224.05pt;height:21.25pt;width:33.35pt;z-index:251699200;mso-width-relative:page;mso-height-relative:page;" filled="f" stroked="f" coordsize="21600,21600" o:gfxdata="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LdbreNsAAAALAQAADwAAAAAAAAABACAAAAAiAAAA&#10;ZHJzL2Rvd25yZXYueG1sUEsBAhQAFAAAAAgAh07iQHPbE6U9AgAAZwQAAA4AAAAAAAAAAQAgAAAA&#10;KgEAAGRycy9lMm9Eb2MueG1sUEsFBgAAAAAGAAYAWQEAANkFAAAAAA==&#10;">
                      <v:fill on="f" focussize="0,0"/>
                      <v:stroke on="f" weight="0.5pt"/>
                      <v:imagedata o:title=""/>
                      <o:lock v:ext="edit" aspectratio="f"/>
                      <v:textbox>
                        <w:txbxContent>
                          <w:p w14:paraId="4B44DB15">
                            <w:pPr>
                              <w:keepNext w:val="0"/>
                              <w:keepLines w:val="0"/>
                              <w:pageBreakBefore w:val="0"/>
                              <w:widowControl w:val="0"/>
                              <w:kinsoku/>
                              <w:wordWrap/>
                              <w:overflowPunct/>
                              <w:topLinePunct w:val="0"/>
                              <w:bidi w:val="0"/>
                              <w:adjustRightInd w:val="0"/>
                              <w:snapToGrid w:val="0"/>
                              <w:spacing w:after="0" w:line="240" w:lineRule="auto"/>
                              <w:ind w:left="0" w:leftChars="0" w:firstLine="0" w:firstLineChars="0"/>
                              <w:textAlignment w:val="auto"/>
                              <w:rPr>
                                <w:rFonts w:hint="default" w:ascii="Times New Roman" w:hAnsi="Times New Roman" w:cs="Times New Roman" w:eastAsiaTheme="minorEastAsia"/>
                                <w:sz w:val="18"/>
                                <w:szCs w:val="16"/>
                                <w:highlight w:val="yellow"/>
                                <w:lang w:val="en-US" w:eastAsia="zh-CN"/>
                              </w:rPr>
                            </w:pPr>
                            <w:r>
                              <w:rPr>
                                <w:rFonts w:hint="eastAsia" w:ascii="Times New Roman" w:hAnsi="Times New Roman" w:cs="Times New Roman"/>
                                <w:sz w:val="18"/>
                                <w:szCs w:val="16"/>
                                <w:highlight w:val="yellow"/>
                                <w:lang w:val="en-US" w:eastAsia="zh-CN"/>
                              </w:rPr>
                              <w:t>7</w:t>
                            </w:r>
                            <w:r>
                              <w:rPr>
                                <w:rFonts w:hint="default" w:ascii="Times New Roman" w:hAnsi="Times New Roman" w:cs="Times New Roman"/>
                                <w:sz w:val="18"/>
                                <w:szCs w:val="16"/>
                                <w:highlight w:val="yellow"/>
                                <w:lang w:val="en-US" w:eastAsia="zh-CN"/>
                              </w:rPr>
                              <w:t>m</w:t>
                            </w:r>
                          </w:p>
                        </w:txbxContent>
                      </v:textbox>
                    </v:shape>
                  </w:pict>
                </mc:Fallback>
              </mc:AlternateContent>
            </w:r>
            <w:r>
              <w:rPr>
                <w:color w:val="auto"/>
                <w:sz w:val="21"/>
              </w:rPr>
              <mc:AlternateContent>
                <mc:Choice Requires="wps">
                  <w:drawing>
                    <wp:anchor distT="0" distB="0" distL="114300" distR="114300" simplePos="0" relativeHeight="251698176" behindDoc="0" locked="0" layoutInCell="1" allowOverlap="1">
                      <wp:simplePos x="0" y="0"/>
                      <wp:positionH relativeFrom="column">
                        <wp:posOffset>3458845</wp:posOffset>
                      </wp:positionH>
                      <wp:positionV relativeFrom="paragraph">
                        <wp:posOffset>2120265</wp:posOffset>
                      </wp:positionV>
                      <wp:extent cx="423545" cy="269875"/>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423545" cy="2698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2CE609">
                                  <w:pPr>
                                    <w:keepNext w:val="0"/>
                                    <w:keepLines w:val="0"/>
                                    <w:pageBreakBefore w:val="0"/>
                                    <w:widowControl w:val="0"/>
                                    <w:kinsoku/>
                                    <w:wordWrap/>
                                    <w:overflowPunct/>
                                    <w:topLinePunct w:val="0"/>
                                    <w:bidi w:val="0"/>
                                    <w:adjustRightInd w:val="0"/>
                                    <w:snapToGrid w:val="0"/>
                                    <w:spacing w:after="0" w:line="240" w:lineRule="auto"/>
                                    <w:ind w:left="0" w:leftChars="0" w:firstLine="0" w:firstLineChars="0"/>
                                    <w:textAlignment w:val="auto"/>
                                    <w:rPr>
                                      <w:rFonts w:hint="default" w:ascii="Times New Roman" w:hAnsi="Times New Roman" w:cs="Times New Roman" w:eastAsiaTheme="minorEastAsia"/>
                                      <w:sz w:val="18"/>
                                      <w:szCs w:val="16"/>
                                      <w:highlight w:val="yellow"/>
                                      <w:lang w:val="en-US" w:eastAsia="zh-CN"/>
                                    </w:rPr>
                                  </w:pPr>
                                  <w:r>
                                    <w:rPr>
                                      <w:rFonts w:hint="default" w:ascii="Times New Roman" w:hAnsi="Times New Roman" w:cs="Times New Roman"/>
                                      <w:sz w:val="18"/>
                                      <w:szCs w:val="16"/>
                                      <w:highlight w:val="yellow"/>
                                      <w:lang w:val="en-US" w:eastAsia="zh-CN"/>
                                    </w:rPr>
                                    <w:t>8m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2.35pt;margin-top:166.95pt;height:21.25pt;width:33.35pt;z-index:251698176;mso-width-relative:page;mso-height-relative:page;" filled="f" stroked="f" coordsize="21600,21600" o:gfxdata="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8aAf8N0AAAALAQAADwAAAAAAAAABACAAAAAi&#10;AAAAZHJzL2Rvd25yZXYueG1sUEsBAhQAFAAAAAgAh07iQCmk0E0+AgAAZwQAAA4AAAAAAAAAAQAg&#10;AAAALAEAAGRycy9lMm9Eb2MueG1sUEsFBgAAAAAGAAYAWQEAANwFAAAAAA==&#10;">
                      <v:fill on="f" focussize="0,0"/>
                      <v:stroke on="f" weight="0.5pt"/>
                      <v:imagedata o:title=""/>
                      <o:lock v:ext="edit" aspectratio="f"/>
                      <v:textbox>
                        <w:txbxContent>
                          <w:p w14:paraId="3E2CE609">
                            <w:pPr>
                              <w:keepNext w:val="0"/>
                              <w:keepLines w:val="0"/>
                              <w:pageBreakBefore w:val="0"/>
                              <w:widowControl w:val="0"/>
                              <w:kinsoku/>
                              <w:wordWrap/>
                              <w:overflowPunct/>
                              <w:topLinePunct w:val="0"/>
                              <w:bidi w:val="0"/>
                              <w:adjustRightInd w:val="0"/>
                              <w:snapToGrid w:val="0"/>
                              <w:spacing w:after="0" w:line="240" w:lineRule="auto"/>
                              <w:ind w:left="0" w:leftChars="0" w:firstLine="0" w:firstLineChars="0"/>
                              <w:textAlignment w:val="auto"/>
                              <w:rPr>
                                <w:rFonts w:hint="default" w:ascii="Times New Roman" w:hAnsi="Times New Roman" w:cs="Times New Roman" w:eastAsiaTheme="minorEastAsia"/>
                                <w:sz w:val="18"/>
                                <w:szCs w:val="16"/>
                                <w:highlight w:val="yellow"/>
                                <w:lang w:val="en-US" w:eastAsia="zh-CN"/>
                              </w:rPr>
                            </w:pPr>
                            <w:r>
                              <w:rPr>
                                <w:rFonts w:hint="default" w:ascii="Times New Roman" w:hAnsi="Times New Roman" w:cs="Times New Roman"/>
                                <w:sz w:val="18"/>
                                <w:szCs w:val="16"/>
                                <w:highlight w:val="yellow"/>
                                <w:lang w:val="en-US" w:eastAsia="zh-CN"/>
                              </w:rPr>
                              <w:t>8m</w:t>
                            </w:r>
                          </w:p>
                        </w:txbxContent>
                      </v:textbox>
                    </v:shape>
                  </w:pict>
                </mc:Fallback>
              </mc:AlternateContent>
            </w:r>
            <w:r>
              <w:rPr>
                <w:color w:val="auto"/>
                <w:sz w:val="21"/>
              </w:rPr>
              <mc:AlternateContent>
                <mc:Choice Requires="wps">
                  <w:drawing>
                    <wp:anchor distT="0" distB="0" distL="114300" distR="114300" simplePos="0" relativeHeight="251697152" behindDoc="0" locked="0" layoutInCell="1" allowOverlap="1">
                      <wp:simplePos x="0" y="0"/>
                      <wp:positionH relativeFrom="column">
                        <wp:posOffset>3409950</wp:posOffset>
                      </wp:positionH>
                      <wp:positionV relativeFrom="paragraph">
                        <wp:posOffset>2047875</wp:posOffset>
                      </wp:positionV>
                      <wp:extent cx="118110" cy="62230"/>
                      <wp:effectExtent l="0" t="6985" r="15240" b="6985"/>
                      <wp:wrapNone/>
                      <wp:docPr id="86" name="直接箭头连接符 86"/>
                      <wp:cNvGraphicFramePr/>
                      <a:graphic xmlns:a="http://schemas.openxmlformats.org/drawingml/2006/main">
                        <a:graphicData uri="http://schemas.microsoft.com/office/word/2010/wordprocessingShape">
                          <wps:wsp>
                            <wps:cNvCnPr/>
                            <wps:spPr>
                              <a:xfrm flipV="1">
                                <a:off x="0" y="0"/>
                                <a:ext cx="118110" cy="62230"/>
                              </a:xfrm>
                              <a:prstGeom prst="straightConnector1">
                                <a:avLst/>
                              </a:prstGeom>
                              <a:ln>
                                <a:headEnd type="triangle" w="med" len="med"/>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68.5pt;margin-top:161.25pt;height:4.9pt;width:9.3pt;z-index:251697152;mso-width-relative:page;mso-height-relative:page;" filled="f" stroked="t" coordsize="21600,21600" o:gfxdata="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B21dKPYAAAACwEA&#10;AA8AAAAAAAAAAQAgAAAAIgAAAGRycy9kb3ducmV2LnhtbFBLAQIUABQAAAAIAIdO4kCJvAK/GgIA&#10;ABoEAAAOAAAAAAAAAAEAIAAAACcBAABkcnMvZTJvRG9jLnhtbFBLBQYAAAAABgAGAFkBAACzBQAA&#10;AAA=&#10;">
                      <v:fill on="f" focussize="0,0"/>
                      <v:stroke weight="2pt" color="#4F81BD [3204]" joinstyle="round" startarrow="block" endarrow="block"/>
                      <v:imagedata o:title=""/>
                      <o:lock v:ext="edit" aspectratio="f"/>
                    </v:shape>
                  </w:pict>
                </mc:Fallback>
              </mc:AlternateContent>
            </w:r>
            <w:r>
              <w:rPr>
                <w:color w:val="auto"/>
                <w:sz w:val="21"/>
              </w:rPr>
              <mc:AlternateContent>
                <mc:Choice Requires="wps">
                  <w:drawing>
                    <wp:anchor distT="0" distB="0" distL="114300" distR="114300" simplePos="0" relativeHeight="251695104" behindDoc="0" locked="0" layoutInCell="1" allowOverlap="1">
                      <wp:simplePos x="0" y="0"/>
                      <wp:positionH relativeFrom="column">
                        <wp:posOffset>2219325</wp:posOffset>
                      </wp:positionH>
                      <wp:positionV relativeFrom="paragraph">
                        <wp:posOffset>2762885</wp:posOffset>
                      </wp:positionV>
                      <wp:extent cx="118110" cy="62230"/>
                      <wp:effectExtent l="0" t="6985" r="15240" b="6985"/>
                      <wp:wrapNone/>
                      <wp:docPr id="87" name="直接箭头连接符 87"/>
                      <wp:cNvGraphicFramePr/>
                      <a:graphic xmlns:a="http://schemas.openxmlformats.org/drawingml/2006/main">
                        <a:graphicData uri="http://schemas.microsoft.com/office/word/2010/wordprocessingShape">
                          <wps:wsp>
                            <wps:cNvCnPr/>
                            <wps:spPr>
                              <a:xfrm flipV="1">
                                <a:off x="3367405" y="5869305"/>
                                <a:ext cx="118110" cy="62230"/>
                              </a:xfrm>
                              <a:prstGeom prst="straightConnector1">
                                <a:avLst/>
                              </a:prstGeom>
                              <a:ln>
                                <a:headEnd type="triangle" w="med" len="med"/>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74.75pt;margin-top:217.55pt;height:4.9pt;width:9.3pt;z-index:251695104;mso-width-relative:page;mso-height-relative:page;" filled="f" stroked="t" coordsize="21600,21600" o:gfxdata="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5PN6SdgAAAALAQAADwAAAAAAAAABACAAAAAiAAAAZHJzL2Rvd25yZXYueG1sUEsBAhQAFAAA&#10;AAgAh07iQPIiChIoAgAAJgQAAA4AAAAAAAAAAQAgAAAAJwEAAGRycy9lMm9Eb2MueG1sUEsFBgAA&#10;AAAGAAYAWQEAAMEFAAAAAA==&#10;">
                      <v:fill on="f" focussize="0,0"/>
                      <v:stroke weight="2pt" color="#4F81BD [3204]" joinstyle="round" startarrow="block" endarrow="block"/>
                      <v:imagedata o:title=""/>
                      <o:lock v:ext="edit" aspectratio="f"/>
                    </v:shape>
                  </w:pict>
                </mc:Fallback>
              </mc:AlternateContent>
            </w:r>
            <w:r>
              <w:rPr>
                <w:color w:val="auto"/>
                <w:sz w:val="21"/>
              </w:rPr>
              <mc:AlternateContent>
                <mc:Choice Requires="wps">
                  <w:drawing>
                    <wp:anchor distT="0" distB="0" distL="114300" distR="114300" simplePos="0" relativeHeight="251696128" behindDoc="0" locked="0" layoutInCell="1" allowOverlap="1">
                      <wp:simplePos x="0" y="0"/>
                      <wp:positionH relativeFrom="column">
                        <wp:posOffset>2787650</wp:posOffset>
                      </wp:positionH>
                      <wp:positionV relativeFrom="paragraph">
                        <wp:posOffset>2463800</wp:posOffset>
                      </wp:positionV>
                      <wp:extent cx="709930" cy="354965"/>
                      <wp:effectExtent l="0" t="0" r="0" b="0"/>
                      <wp:wrapNone/>
                      <wp:docPr id="88" name="文本框 88"/>
                      <wp:cNvGraphicFramePr/>
                      <a:graphic xmlns:a="http://schemas.openxmlformats.org/drawingml/2006/main">
                        <a:graphicData uri="http://schemas.microsoft.com/office/word/2010/wordprocessingShape">
                          <wps:wsp>
                            <wps:cNvSpPr txBox="1"/>
                            <wps:spPr>
                              <a:xfrm>
                                <a:off x="5166360" y="5987415"/>
                                <a:ext cx="709930" cy="3549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296E1F">
                                  <w:pPr>
                                    <w:ind w:left="0" w:leftChars="0" w:firstLine="0" w:firstLineChars="0"/>
                                    <w:rPr>
                                      <w:rFonts w:hint="default" w:ascii="Times New Roman" w:hAnsi="Times New Roman" w:cs="Times New Roman" w:eastAsiaTheme="minorEastAsia"/>
                                      <w:highlight w:val="yellow"/>
                                      <w:lang w:val="en-US" w:eastAsia="zh-CN"/>
                                    </w:rPr>
                                  </w:pPr>
                                  <w:r>
                                    <w:rPr>
                                      <w:rFonts w:hint="default" w:ascii="Times New Roman" w:hAnsi="Times New Roman" w:cs="Times New Roman"/>
                                      <w:highlight w:val="yellow"/>
                                      <w:lang w:val="en-US" w:eastAsia="zh-CN"/>
                                    </w:rPr>
                                    <w:t>89.2m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9.5pt;margin-top:194pt;height:27.95pt;width:55.9pt;z-index:251696128;mso-width-relative:page;mso-height-relative:page;" filled="f" stroked="f" coordsize="21600,21600" o:gfxdata="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cPbRl2gAAAAsBAAAPAAAAAAAA&#10;AAEAIAAAACIAAABkcnMvZG93bnJldi54bWxQSwECFAAUAAAACACHTuJApV3K7EkCAABzBAAADgAA&#10;AAAAAAABACAAAAApAQAAZHJzL2Uyb0RvYy54bWxQSwUGAAAAAAYABgBZAQAA5AUAAAAA&#10;">
                      <v:fill on="f" focussize="0,0"/>
                      <v:stroke on="f" weight="0.5pt"/>
                      <v:imagedata o:title=""/>
                      <o:lock v:ext="edit" aspectratio="f"/>
                      <v:textbox>
                        <w:txbxContent>
                          <w:p w14:paraId="61296E1F">
                            <w:pPr>
                              <w:ind w:left="0" w:leftChars="0" w:firstLine="0" w:firstLineChars="0"/>
                              <w:rPr>
                                <w:rFonts w:hint="default" w:ascii="Times New Roman" w:hAnsi="Times New Roman" w:cs="Times New Roman" w:eastAsiaTheme="minorEastAsia"/>
                                <w:highlight w:val="yellow"/>
                                <w:lang w:val="en-US" w:eastAsia="zh-CN"/>
                              </w:rPr>
                            </w:pPr>
                            <w:r>
                              <w:rPr>
                                <w:rFonts w:hint="default" w:ascii="Times New Roman" w:hAnsi="Times New Roman" w:cs="Times New Roman"/>
                                <w:highlight w:val="yellow"/>
                                <w:lang w:val="en-US" w:eastAsia="zh-CN"/>
                              </w:rPr>
                              <w:t>89.2m</w:t>
                            </w:r>
                          </w:p>
                        </w:txbxContent>
                      </v:textbox>
                    </v:shape>
                  </w:pict>
                </mc:Fallback>
              </mc:AlternateContent>
            </w:r>
            <w:r>
              <w:rPr>
                <w:color w:val="auto"/>
                <w:sz w:val="21"/>
              </w:rPr>
              <mc:AlternateContent>
                <mc:Choice Requires="wps">
                  <w:drawing>
                    <wp:anchor distT="0" distB="0" distL="114300" distR="114300" simplePos="0" relativeHeight="251694080" behindDoc="0" locked="0" layoutInCell="1" allowOverlap="1">
                      <wp:simplePos x="0" y="0"/>
                      <wp:positionH relativeFrom="column">
                        <wp:posOffset>532130</wp:posOffset>
                      </wp:positionH>
                      <wp:positionV relativeFrom="paragraph">
                        <wp:posOffset>1115695</wp:posOffset>
                      </wp:positionV>
                      <wp:extent cx="3298825" cy="318135"/>
                      <wp:effectExtent l="0" t="0" r="0" b="0"/>
                      <wp:wrapNone/>
                      <wp:docPr id="89" name="文本框 89"/>
                      <wp:cNvGraphicFramePr/>
                      <a:graphic xmlns:a="http://schemas.openxmlformats.org/drawingml/2006/main">
                        <a:graphicData uri="http://schemas.microsoft.com/office/word/2010/wordprocessingShape">
                          <wps:wsp>
                            <wps:cNvSpPr txBox="1"/>
                            <wps:spPr>
                              <a:xfrm>
                                <a:off x="2496185" y="4556125"/>
                                <a:ext cx="3298825" cy="318135"/>
                              </a:xfrm>
                              <a:prstGeom prst="rect">
                                <a:avLst/>
                              </a:prstGeom>
                              <a:noFill/>
                              <a:ln w="6350">
                                <a:noFill/>
                              </a:ln>
                              <a:effectLst/>
                            </wps:spPr>
                            <wps:txbx>
                              <w:txbxContent>
                                <w:p w14:paraId="3396CF69">
                                  <w:pPr>
                                    <w:keepNext w:val="0"/>
                                    <w:keepLines w:val="0"/>
                                    <w:pageBreakBefore w:val="0"/>
                                    <w:widowControl w:val="0"/>
                                    <w:kinsoku/>
                                    <w:wordWrap/>
                                    <w:overflowPunct/>
                                    <w:topLinePunct w:val="0"/>
                                    <w:bidi w:val="0"/>
                                    <w:adjustRightInd w:val="0"/>
                                    <w:snapToGrid w:val="0"/>
                                    <w:jc w:val="left"/>
                                    <w:textAlignment w:val="auto"/>
                                    <w:rPr>
                                      <w:color w:val="FF0000"/>
                                      <w:highlight w:val="yellow"/>
                                    </w:rPr>
                                  </w:pPr>
                                  <w:r>
                                    <w:rPr>
                                      <w:rFonts w:hint="default" w:ascii="Times New Roman" w:hAnsi="Times New Roman" w:eastAsia="宋体" w:cs="Times New Roman"/>
                                      <w:color w:val="FF0000"/>
                                      <w:spacing w:val="-1"/>
                                      <w:sz w:val="21"/>
                                      <w:szCs w:val="21"/>
                                      <w:highlight w:val="yellow"/>
                                      <w:lang w:val="en-US" w:eastAsia="zh-CN"/>
                                    </w:rPr>
                                    <w:t>金沙江下游—小江流域水土流失控制生态保护红线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9pt;margin-top:87.85pt;height:25.05pt;width:259.75pt;z-index:251694080;mso-width-relative:page;mso-height-relative:page;" filled="f" stroked="f" coordsize="21600,21600" o:gfxdata="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UhXZe2wAAAAoB&#10;AAAPAAAAAAAAAAEAIAAAACIAAABkcnMvZG93bnJldi54bWxQSwECFAAUAAAACACHTuJAkMcZ21EC&#10;AACCBAAADgAAAAAAAAABACAAAAAqAQAAZHJzL2Uyb0RvYy54bWxQSwUGAAAAAAYABgBZAQAA7QUA&#10;AAAA&#10;">
                      <v:fill on="f" focussize="0,0"/>
                      <v:stroke on="f" weight="0.5pt"/>
                      <v:imagedata o:title=""/>
                      <o:lock v:ext="edit" aspectratio="f"/>
                      <v:textbox>
                        <w:txbxContent>
                          <w:p w14:paraId="3396CF69">
                            <w:pPr>
                              <w:keepNext w:val="0"/>
                              <w:keepLines w:val="0"/>
                              <w:pageBreakBefore w:val="0"/>
                              <w:widowControl w:val="0"/>
                              <w:kinsoku/>
                              <w:wordWrap/>
                              <w:overflowPunct/>
                              <w:topLinePunct w:val="0"/>
                              <w:bidi w:val="0"/>
                              <w:adjustRightInd w:val="0"/>
                              <w:snapToGrid w:val="0"/>
                              <w:jc w:val="left"/>
                              <w:textAlignment w:val="auto"/>
                              <w:rPr>
                                <w:color w:val="FF0000"/>
                                <w:highlight w:val="yellow"/>
                              </w:rPr>
                            </w:pPr>
                            <w:r>
                              <w:rPr>
                                <w:rFonts w:hint="default" w:ascii="Times New Roman" w:hAnsi="Times New Roman" w:eastAsia="宋体" w:cs="Times New Roman"/>
                                <w:color w:val="FF0000"/>
                                <w:spacing w:val="-1"/>
                                <w:sz w:val="21"/>
                                <w:szCs w:val="21"/>
                                <w:highlight w:val="yellow"/>
                                <w:lang w:val="en-US" w:eastAsia="zh-CN"/>
                              </w:rPr>
                              <w:t>金沙江下游—小江流域水土流失控制生态保护红线</w:t>
                            </w:r>
                          </w:p>
                        </w:txbxContent>
                      </v:textbox>
                    </v:shape>
                  </w:pict>
                </mc:Fallback>
              </mc:AlternateContent>
            </w:r>
            <w:r>
              <w:rPr>
                <w:rFonts w:hint="eastAsia" w:eastAsia="宋体"/>
                <w:color w:val="auto"/>
                <w:lang w:eastAsia="zh-CN"/>
              </w:rPr>
              <w:drawing>
                <wp:inline distT="0" distB="0" distL="114300" distR="114300">
                  <wp:extent cx="5211445" cy="4436110"/>
                  <wp:effectExtent l="0" t="0" r="8255" b="2540"/>
                  <wp:docPr id="90" name="图片 1" descr="87bd6f90-ffff-4576-a641-101b4cc0ac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 descr="87bd6f90-ffff-4576-a641-101b4cc0ac75"/>
                          <pic:cNvPicPr>
                            <a:picLocks noChangeAspect="1"/>
                          </pic:cNvPicPr>
                        </pic:nvPicPr>
                        <pic:blipFill>
                          <a:blip r:embed="rId98"/>
                          <a:stretch>
                            <a:fillRect/>
                          </a:stretch>
                        </pic:blipFill>
                        <pic:spPr>
                          <a:xfrm>
                            <a:off x="0" y="0"/>
                            <a:ext cx="5211445" cy="4436110"/>
                          </a:xfrm>
                          <a:prstGeom prst="rect">
                            <a:avLst/>
                          </a:prstGeom>
                          <a:noFill/>
                          <a:ln>
                            <a:noFill/>
                          </a:ln>
                        </pic:spPr>
                      </pic:pic>
                    </a:graphicData>
                  </a:graphic>
                </wp:inline>
              </w:drawing>
            </w:r>
            <w:r>
              <w:rPr>
                <w:rFonts w:hint="eastAsia" w:eastAsia="宋体"/>
                <w:color w:val="auto"/>
                <w:lang w:eastAsia="zh-CN"/>
              </w:rPr>
              <w:drawing>
                <wp:anchor distT="0" distB="0" distL="114300" distR="114300" simplePos="0" relativeHeight="251695104" behindDoc="0" locked="0" layoutInCell="1" allowOverlap="1">
                  <wp:simplePos x="0" y="0"/>
                  <wp:positionH relativeFrom="column">
                    <wp:posOffset>4632960</wp:posOffset>
                  </wp:positionH>
                  <wp:positionV relativeFrom="paragraph">
                    <wp:posOffset>33020</wp:posOffset>
                  </wp:positionV>
                  <wp:extent cx="619760" cy="592455"/>
                  <wp:effectExtent l="0" t="0" r="8890" b="17145"/>
                  <wp:wrapNone/>
                  <wp:docPr id="91" name="图片 2" descr="风玫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2" descr="风玫瑰"/>
                          <pic:cNvPicPr>
                            <a:picLocks noChangeAspect="1"/>
                          </pic:cNvPicPr>
                        </pic:nvPicPr>
                        <pic:blipFill>
                          <a:blip r:embed="rId34"/>
                          <a:stretch>
                            <a:fillRect/>
                          </a:stretch>
                        </pic:blipFill>
                        <pic:spPr>
                          <a:xfrm>
                            <a:off x="0" y="0"/>
                            <a:ext cx="619760" cy="592455"/>
                          </a:xfrm>
                          <a:prstGeom prst="rect">
                            <a:avLst/>
                          </a:prstGeom>
                          <a:noFill/>
                          <a:ln>
                            <a:noFill/>
                          </a:ln>
                        </pic:spPr>
                      </pic:pic>
                    </a:graphicData>
                  </a:graphic>
                </wp:anchor>
              </w:drawing>
            </w:r>
          </w:p>
        </w:tc>
      </w:tr>
      <w:bookmarkEnd w:id="310"/>
    </w:tbl>
    <w:p w14:paraId="4ED386E2">
      <w:pPr>
        <w:pStyle w:val="73"/>
        <w:snapToGrid w:val="0"/>
        <w:spacing w:line="240" w:lineRule="auto"/>
        <w:ind w:firstLine="482" w:firstLineChars="200"/>
        <w:jc w:val="center"/>
        <w:outlineLvl w:val="9"/>
        <w:rPr>
          <w:rFonts w:hint="default" w:ascii="Times New Roman" w:hAnsi="Times New Roman" w:eastAsia="宋体" w:cs="Times New Roman"/>
          <w:b/>
          <w:color w:val="auto"/>
          <w:sz w:val="24"/>
          <w:lang w:val="en-US" w:eastAsia="zh-CN"/>
        </w:rPr>
      </w:pPr>
      <w:r>
        <w:rPr>
          <w:rFonts w:hint="eastAsia" w:ascii="Times New Roman" w:hAnsi="Times New Roman" w:eastAsia="宋体" w:cs="Times New Roman"/>
          <w:b/>
          <w:color w:val="auto"/>
          <w:sz w:val="24"/>
          <w:lang w:val="en-US" w:eastAsia="zh-CN"/>
        </w:rPr>
        <w:t>图3.11-1  项目与跨越生态保护红线位置关系图</w:t>
      </w:r>
    </w:p>
    <w:p w14:paraId="0D481FEA">
      <w:pPr>
        <w:ind w:firstLine="480"/>
        <w:rPr>
          <w:rFonts w:hint="default" w:ascii="Times New Roman" w:hAnsi="Times New Roman" w:eastAsia="宋体" w:cs="Times New Roman"/>
          <w:snapToGrid w:val="0"/>
          <w:color w:val="auto"/>
          <w:kern w:val="0"/>
          <w:szCs w:val="24"/>
        </w:rPr>
      </w:pPr>
      <w:r>
        <w:rPr>
          <w:rFonts w:hint="default" w:ascii="Times New Roman" w:hAnsi="Times New Roman" w:eastAsia="宋体" w:cs="Times New Roman"/>
          <w:snapToGrid w:val="0"/>
          <w:color w:val="auto"/>
          <w:kern w:val="0"/>
          <w:szCs w:val="24"/>
        </w:rPr>
        <w:t>项目线路跨越生态保护红线区域内的</w:t>
      </w:r>
      <w:r>
        <w:rPr>
          <w:rFonts w:hint="default" w:ascii="Times New Roman" w:hAnsi="Times New Roman" w:eastAsia="宋体" w:cs="Times New Roman"/>
          <w:color w:val="auto"/>
          <w:kern w:val="0"/>
          <w:szCs w:val="24"/>
        </w:rPr>
        <w:t>植物</w:t>
      </w:r>
      <w:r>
        <w:rPr>
          <w:rFonts w:hint="default" w:ascii="Times New Roman" w:hAnsi="Times New Roman" w:eastAsia="宋体" w:cs="Times New Roman"/>
          <w:color w:val="auto"/>
          <w:szCs w:val="24"/>
        </w:rPr>
        <w:t>种类</w:t>
      </w:r>
      <w:r>
        <w:rPr>
          <w:rFonts w:hint="default" w:ascii="Times New Roman" w:hAnsi="Times New Roman" w:eastAsia="宋体" w:cs="Times New Roman"/>
          <w:color w:val="auto"/>
          <w:kern w:val="0"/>
          <w:szCs w:val="24"/>
        </w:rPr>
        <w:t>以次生生境常见种和广布种为主，主要为</w:t>
      </w:r>
      <w:r>
        <w:rPr>
          <w:rFonts w:hint="default" w:ascii="Times New Roman" w:hAnsi="Times New Roman" w:eastAsia="宋体" w:cs="Times New Roman"/>
          <w:color w:val="auto"/>
          <w:szCs w:val="24"/>
        </w:rPr>
        <w:t>云南松</w:t>
      </w:r>
      <w:r>
        <w:rPr>
          <w:rFonts w:hint="default" w:ascii="Times New Roman" w:hAnsi="Times New Roman" w:eastAsia="宋体" w:cs="Times New Roman"/>
          <w:i/>
          <w:iCs/>
          <w:color w:val="auto"/>
          <w:szCs w:val="24"/>
        </w:rPr>
        <w:t>Pinus yunnanensis</w:t>
      </w:r>
      <w:r>
        <w:rPr>
          <w:rFonts w:hint="default" w:ascii="Times New Roman" w:hAnsi="Times New Roman" w:eastAsia="宋体" w:cs="Times New Roman"/>
          <w:color w:val="auto"/>
          <w:szCs w:val="24"/>
        </w:rPr>
        <w:t>、盐肤木</w:t>
      </w:r>
      <w:r>
        <w:rPr>
          <w:rFonts w:hint="default" w:ascii="Times New Roman" w:hAnsi="Times New Roman" w:eastAsia="宋体" w:cs="Times New Roman"/>
          <w:i/>
          <w:iCs/>
          <w:color w:val="auto"/>
          <w:szCs w:val="24"/>
        </w:rPr>
        <w:t>Rhus chinensis</w:t>
      </w:r>
      <w:r>
        <w:rPr>
          <w:rFonts w:hint="default" w:ascii="Times New Roman" w:hAnsi="Times New Roman" w:eastAsia="宋体" w:cs="Times New Roman"/>
          <w:color w:val="auto"/>
          <w:szCs w:val="24"/>
        </w:rPr>
        <w:t>、杉木</w:t>
      </w:r>
      <w:r>
        <w:rPr>
          <w:rFonts w:hint="default" w:ascii="Times New Roman" w:hAnsi="Times New Roman" w:eastAsia="宋体" w:cs="Times New Roman"/>
          <w:i/>
          <w:iCs/>
          <w:color w:val="auto"/>
          <w:szCs w:val="24"/>
        </w:rPr>
        <w:t>Cunninghamia lanceolata</w:t>
      </w:r>
      <w:r>
        <w:rPr>
          <w:rFonts w:hint="default" w:ascii="Times New Roman" w:hAnsi="Times New Roman" w:eastAsia="宋体" w:cs="Times New Roman"/>
          <w:i/>
          <w:color w:val="auto"/>
          <w:szCs w:val="24"/>
        </w:rPr>
        <w:t>、</w:t>
      </w:r>
      <w:r>
        <w:rPr>
          <w:rFonts w:hint="default" w:ascii="Times New Roman" w:hAnsi="Times New Roman" w:eastAsia="宋体" w:cs="Times New Roman"/>
          <w:bCs/>
          <w:color w:val="auto"/>
          <w:szCs w:val="24"/>
        </w:rPr>
        <w:t>马桑、华山松</w:t>
      </w:r>
      <w:r>
        <w:rPr>
          <w:rFonts w:hint="default" w:ascii="Times New Roman" w:hAnsi="Times New Roman" w:eastAsia="宋体" w:cs="Times New Roman"/>
          <w:bCs/>
          <w:i/>
          <w:iCs/>
          <w:color w:val="auto"/>
          <w:szCs w:val="24"/>
        </w:rPr>
        <w:t>Pinus armandii</w:t>
      </w:r>
      <w:r>
        <w:rPr>
          <w:rFonts w:hint="default" w:ascii="Times New Roman" w:hAnsi="Times New Roman" w:eastAsia="宋体" w:cs="Times New Roman"/>
          <w:bCs/>
          <w:color w:val="auto"/>
          <w:szCs w:val="24"/>
        </w:rPr>
        <w:t>、</w:t>
      </w:r>
      <w:r>
        <w:rPr>
          <w:rFonts w:hint="default" w:ascii="Times New Roman" w:hAnsi="Times New Roman" w:eastAsia="宋体" w:cs="Times New Roman"/>
          <w:color w:val="auto"/>
          <w:szCs w:val="24"/>
        </w:rPr>
        <w:t>火棘</w:t>
      </w:r>
      <w:r>
        <w:rPr>
          <w:rFonts w:hint="default" w:ascii="Times New Roman" w:hAnsi="Times New Roman" w:eastAsia="宋体" w:cs="Times New Roman"/>
          <w:i/>
          <w:iCs/>
          <w:color w:val="auto"/>
          <w:szCs w:val="24"/>
        </w:rPr>
        <w:t>Pyracantha fortuneana </w:t>
      </w:r>
      <w:r>
        <w:rPr>
          <w:rFonts w:hint="default" w:ascii="Times New Roman" w:hAnsi="Times New Roman" w:eastAsia="宋体" w:cs="Times New Roman"/>
          <w:color w:val="auto"/>
          <w:szCs w:val="24"/>
        </w:rPr>
        <w:t>、小铁仔</w:t>
      </w:r>
      <w:r>
        <w:rPr>
          <w:rFonts w:hint="default" w:ascii="Times New Roman" w:hAnsi="Times New Roman" w:eastAsia="宋体" w:cs="Times New Roman"/>
          <w:i/>
          <w:color w:val="auto"/>
          <w:szCs w:val="24"/>
        </w:rPr>
        <w:t>Myrsine africana</w:t>
      </w:r>
      <w:r>
        <w:rPr>
          <w:rFonts w:hint="default" w:ascii="Times New Roman" w:hAnsi="Times New Roman" w:eastAsia="宋体" w:cs="Times New Roman"/>
          <w:color w:val="auto"/>
          <w:szCs w:val="24"/>
        </w:rPr>
        <w:t>、黑面神</w:t>
      </w:r>
      <w:r>
        <w:rPr>
          <w:rFonts w:hint="default" w:ascii="Times New Roman" w:hAnsi="Times New Roman" w:eastAsia="宋体" w:cs="Times New Roman"/>
          <w:i/>
          <w:iCs/>
          <w:color w:val="auto"/>
          <w:szCs w:val="24"/>
        </w:rPr>
        <w:t>Breynia fruticosa</w:t>
      </w:r>
      <w:r>
        <w:rPr>
          <w:rFonts w:hint="default" w:ascii="Times New Roman" w:hAnsi="Times New Roman" w:eastAsia="宋体" w:cs="Times New Roman"/>
          <w:color w:val="auto"/>
          <w:szCs w:val="24"/>
        </w:rPr>
        <w:t>、马棘</w:t>
      </w:r>
      <w:r>
        <w:rPr>
          <w:rFonts w:hint="default" w:ascii="Times New Roman" w:hAnsi="Times New Roman" w:eastAsia="宋体" w:cs="Times New Roman"/>
          <w:i/>
          <w:iCs/>
          <w:color w:val="auto"/>
          <w:szCs w:val="24"/>
        </w:rPr>
        <w:t>Indigofera bungeana</w:t>
      </w:r>
      <w:r>
        <w:rPr>
          <w:rFonts w:hint="default" w:ascii="Times New Roman" w:hAnsi="Times New Roman" w:eastAsia="宋体" w:cs="Times New Roman"/>
          <w:color w:val="auto"/>
          <w:szCs w:val="24"/>
        </w:rPr>
        <w:t> 、金花小檗</w:t>
      </w:r>
      <w:r>
        <w:rPr>
          <w:rFonts w:hint="default" w:ascii="Times New Roman" w:hAnsi="Times New Roman" w:eastAsia="宋体" w:cs="Times New Roman"/>
          <w:i/>
          <w:iCs/>
          <w:color w:val="auto"/>
          <w:szCs w:val="24"/>
        </w:rPr>
        <w:t>Berberis wilsonae</w:t>
      </w:r>
      <w:r>
        <w:rPr>
          <w:rFonts w:hint="default" w:ascii="Times New Roman" w:hAnsi="Times New Roman" w:eastAsia="宋体" w:cs="Times New Roman"/>
          <w:color w:val="auto"/>
          <w:szCs w:val="24"/>
        </w:rPr>
        <w:t>、</w:t>
      </w:r>
      <w:r>
        <w:rPr>
          <w:rFonts w:hint="default" w:ascii="Times New Roman" w:hAnsi="Times New Roman" w:eastAsia="宋体" w:cs="Times New Roman"/>
          <w:bCs/>
          <w:color w:val="auto"/>
          <w:szCs w:val="24"/>
        </w:rPr>
        <w:t>烟管荚蒾</w:t>
      </w:r>
      <w:r>
        <w:rPr>
          <w:rFonts w:hint="default" w:ascii="Times New Roman" w:hAnsi="Times New Roman" w:eastAsia="宋体" w:cs="Times New Roman"/>
          <w:bCs/>
          <w:i/>
          <w:color w:val="auto"/>
          <w:szCs w:val="24"/>
        </w:rPr>
        <w:t>Viburnum utile </w:t>
      </w:r>
      <w:r>
        <w:rPr>
          <w:rFonts w:hint="default" w:ascii="Times New Roman" w:hAnsi="Times New Roman" w:eastAsia="宋体" w:cs="Times New Roman"/>
          <w:bCs/>
          <w:color w:val="auto"/>
          <w:szCs w:val="24"/>
        </w:rPr>
        <w:t>、毡毛栒子</w:t>
      </w:r>
      <w:r>
        <w:rPr>
          <w:rFonts w:hint="default" w:ascii="Times New Roman" w:hAnsi="Times New Roman" w:eastAsia="宋体" w:cs="Times New Roman"/>
          <w:bCs/>
          <w:i/>
          <w:color w:val="auto"/>
          <w:szCs w:val="24"/>
        </w:rPr>
        <w:t>Cotoneaster pannosus、</w:t>
      </w:r>
      <w:r>
        <w:rPr>
          <w:rFonts w:hint="default" w:ascii="Times New Roman" w:hAnsi="Times New Roman" w:eastAsia="宋体" w:cs="Times New Roman"/>
          <w:color w:val="auto"/>
          <w:szCs w:val="24"/>
        </w:rPr>
        <w:t>黄茅</w:t>
      </w:r>
      <w:r>
        <w:rPr>
          <w:rFonts w:hint="default" w:ascii="Times New Roman" w:hAnsi="Times New Roman" w:eastAsia="宋体" w:cs="Times New Roman"/>
          <w:i/>
          <w:color w:val="auto"/>
          <w:szCs w:val="24"/>
        </w:rPr>
        <w:t>Heteropogon contortus</w:t>
      </w:r>
      <w:r>
        <w:rPr>
          <w:rFonts w:hint="default" w:ascii="Times New Roman" w:hAnsi="Times New Roman" w:eastAsia="宋体" w:cs="Times New Roman"/>
          <w:color w:val="auto"/>
          <w:szCs w:val="24"/>
        </w:rPr>
        <w:t>、旱茅</w:t>
      </w:r>
      <w:r>
        <w:rPr>
          <w:rFonts w:hint="default" w:ascii="Times New Roman" w:hAnsi="Times New Roman" w:eastAsia="宋体" w:cs="Times New Roman"/>
          <w:i/>
          <w:color w:val="auto"/>
          <w:szCs w:val="24"/>
        </w:rPr>
        <w:t>Schizachyrium delavayi</w:t>
      </w:r>
      <w:r>
        <w:rPr>
          <w:rFonts w:hint="default" w:ascii="Times New Roman" w:hAnsi="Times New Roman" w:eastAsia="宋体" w:cs="Times New Roman"/>
          <w:color w:val="auto"/>
          <w:szCs w:val="24"/>
        </w:rPr>
        <w:t>、短柄草</w:t>
      </w:r>
      <w:r>
        <w:rPr>
          <w:rFonts w:hint="default" w:ascii="Times New Roman" w:hAnsi="Times New Roman" w:eastAsia="宋体" w:cs="Times New Roman"/>
          <w:i/>
          <w:color w:val="auto"/>
          <w:szCs w:val="24"/>
        </w:rPr>
        <w:t>Brachypodium sylvaticum</w:t>
      </w:r>
      <w:r>
        <w:rPr>
          <w:rFonts w:hint="default" w:ascii="Times New Roman" w:hAnsi="Times New Roman" w:eastAsia="宋体" w:cs="Times New Roman"/>
          <w:color w:val="auto"/>
          <w:szCs w:val="24"/>
        </w:rPr>
        <w:t>、三花兔儿风</w:t>
      </w:r>
      <w:r>
        <w:rPr>
          <w:rFonts w:hint="default" w:ascii="Times New Roman" w:hAnsi="Times New Roman" w:eastAsia="宋体" w:cs="Times New Roman"/>
          <w:i/>
          <w:color w:val="auto"/>
          <w:szCs w:val="24"/>
        </w:rPr>
        <w:t>Ainsliaea latifolia</w:t>
      </w:r>
      <w:r>
        <w:rPr>
          <w:rFonts w:hint="default" w:ascii="Times New Roman" w:hAnsi="Times New Roman" w:eastAsia="宋体" w:cs="Times New Roman"/>
          <w:color w:val="auto"/>
          <w:szCs w:val="24"/>
        </w:rPr>
        <w:t>、唐松草</w:t>
      </w:r>
      <w:r>
        <w:rPr>
          <w:rFonts w:hint="default" w:ascii="Times New Roman" w:hAnsi="Times New Roman" w:eastAsia="宋体" w:cs="Times New Roman"/>
          <w:i/>
          <w:color w:val="auto"/>
          <w:szCs w:val="24"/>
        </w:rPr>
        <w:t>Thalictrum aquilegiifolium</w:t>
      </w:r>
      <w:r>
        <w:rPr>
          <w:rFonts w:hint="default" w:ascii="Times New Roman" w:hAnsi="Times New Roman" w:eastAsia="宋体" w:cs="Times New Roman"/>
          <w:color w:val="auto"/>
          <w:szCs w:val="24"/>
        </w:rPr>
        <w:t>、蕨</w:t>
      </w:r>
      <w:r>
        <w:rPr>
          <w:rFonts w:hint="default" w:ascii="Times New Roman" w:hAnsi="Times New Roman" w:eastAsia="宋体" w:cs="Times New Roman"/>
          <w:i/>
          <w:color w:val="auto"/>
          <w:szCs w:val="24"/>
        </w:rPr>
        <w:t>Pteridium aquilinum</w:t>
      </w:r>
      <w:r>
        <w:rPr>
          <w:rFonts w:hint="default" w:ascii="Times New Roman" w:hAnsi="Times New Roman" w:cs="Times New Roman"/>
          <w:color w:val="auto"/>
        </w:rPr>
        <w:t>等</w:t>
      </w:r>
      <w:r>
        <w:rPr>
          <w:rFonts w:hint="default" w:ascii="Times New Roman" w:hAnsi="Times New Roman" w:eastAsia="宋体" w:cs="Times New Roman"/>
          <w:iCs/>
          <w:color w:val="auto"/>
          <w:kern w:val="0"/>
          <w:szCs w:val="24"/>
        </w:rPr>
        <w:t>。</w:t>
      </w:r>
      <w:r>
        <w:rPr>
          <w:rFonts w:hint="default" w:ascii="Times New Roman" w:hAnsi="Times New Roman" w:eastAsia="宋体" w:cs="Times New Roman"/>
          <w:snapToGrid w:val="0"/>
          <w:color w:val="auto"/>
          <w:kern w:val="0"/>
          <w:szCs w:val="24"/>
        </w:rPr>
        <w:t>跨越区域内无国家级和云南省级保护野生植物，无区域狭域分布物种。</w:t>
      </w:r>
    </w:p>
    <w:p w14:paraId="22FD14BF">
      <w:pPr>
        <w:ind w:firstLine="480"/>
        <w:rPr>
          <w:rFonts w:hint="default" w:ascii="Times New Roman" w:hAnsi="Times New Roman" w:eastAsia="宋体" w:cs="Times New Roman"/>
          <w:snapToGrid w:val="0"/>
          <w:color w:val="auto"/>
          <w:kern w:val="0"/>
          <w:szCs w:val="24"/>
        </w:rPr>
      </w:pPr>
      <w:r>
        <w:rPr>
          <w:rFonts w:hint="default" w:ascii="Times New Roman" w:hAnsi="Times New Roman" w:eastAsia="宋体" w:cs="Times New Roman"/>
          <w:snapToGrid w:val="0"/>
          <w:color w:val="auto"/>
          <w:kern w:val="0"/>
          <w:szCs w:val="24"/>
        </w:rPr>
        <w:t>项目涉及跨越生态保护红线但用地范围不涉及占用生态保护红线，对该部分生态保护红线无直接影响，本工程建设对该部分生态保护红线的影响主要来源于施工过程中机械噪声、施工粉尘及施工人员可能进入生态保护红线区活动等的影响以及工作人员在日常的管理活动中可能进入生态保护红线区活动的影响。</w:t>
      </w:r>
    </w:p>
    <w:p w14:paraId="6211BAD4">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311" w:name="_Toc4722"/>
      <w:r>
        <w:rPr>
          <w:rFonts w:hint="default" w:ascii="Times New Roman" w:hAnsi="Times New Roman" w:cs="Times New Roman"/>
          <w:color w:val="auto"/>
          <w:sz w:val="24"/>
          <w:szCs w:val="24"/>
        </w:rPr>
        <w:t>3.11.1对植被及植物多样性的影响</w:t>
      </w:r>
      <w:bookmarkEnd w:id="311"/>
    </w:p>
    <w:p w14:paraId="5D392FE1">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（1）施工期影响</w:t>
      </w:r>
    </w:p>
    <w:p w14:paraId="75EEB4E9">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bCs/>
          <w:color w:val="auto"/>
          <w:szCs w:val="24"/>
        </w:rPr>
      </w:pPr>
      <w:r>
        <w:rPr>
          <w:rFonts w:hint="default" w:ascii="Times New Roman" w:hAnsi="Times New Roman" w:cs="Times New Roman"/>
          <w:bCs/>
          <w:color w:val="auto"/>
          <w:szCs w:val="24"/>
        </w:rPr>
        <w:t>本</w:t>
      </w:r>
      <w:r>
        <w:rPr>
          <w:rFonts w:hint="default" w:ascii="Times New Roman" w:hAnsi="Times New Roman" w:cs="Times New Roman"/>
          <w:color w:val="auto"/>
          <w:szCs w:val="24"/>
        </w:rPr>
        <w:t>项目</w:t>
      </w:r>
      <w:r>
        <w:rPr>
          <w:rFonts w:hint="default" w:ascii="Times New Roman" w:hAnsi="Times New Roman" w:eastAsia="宋体" w:cs="Times New Roman"/>
          <w:color w:val="auto"/>
          <w:szCs w:val="24"/>
        </w:rPr>
        <w:t>涉及跨越生态</w:t>
      </w:r>
      <w:r>
        <w:rPr>
          <w:rFonts w:hint="default" w:ascii="Times New Roman" w:hAnsi="Times New Roman" w:cs="Times New Roman"/>
          <w:color w:val="auto"/>
          <w:szCs w:val="24"/>
        </w:rPr>
        <w:t>保护</w:t>
      </w:r>
      <w:r>
        <w:rPr>
          <w:rFonts w:hint="default" w:ascii="Times New Roman" w:hAnsi="Times New Roman" w:eastAsia="宋体" w:cs="Times New Roman"/>
          <w:color w:val="auto"/>
          <w:szCs w:val="24"/>
        </w:rPr>
        <w:t>红线</w:t>
      </w:r>
      <w:r>
        <w:rPr>
          <w:rFonts w:hint="default" w:ascii="Times New Roman" w:hAnsi="Times New Roman" w:cs="Times New Roman"/>
          <w:color w:val="auto"/>
          <w:szCs w:val="24"/>
        </w:rPr>
        <w:t>但用地范围不涉及占用生态保护红线</w:t>
      </w:r>
      <w:r>
        <w:rPr>
          <w:rFonts w:hint="default" w:ascii="Times New Roman" w:hAnsi="Times New Roman" w:cs="Times New Roman"/>
          <w:bCs/>
          <w:color w:val="auto"/>
          <w:szCs w:val="24"/>
        </w:rPr>
        <w:t>，不存在直接占地影响。项目部分线路跨越生态保护红线，项目施工期产生的粉尘会随风飞扬进入生态保护红线区内，沉降于生态保护红线区内的植物叶片和树干上，会对植被景观和植物的生长造成一定影响。</w:t>
      </w:r>
      <w:r>
        <w:rPr>
          <w:rFonts w:hint="default" w:ascii="Times New Roman" w:hAnsi="Times New Roman" w:eastAsia="宋体" w:cs="Times New Roman"/>
          <w:color w:val="auto"/>
          <w:szCs w:val="24"/>
        </w:rPr>
        <w:t>由于临近生态保护红线工程主要为输电线路，施工工程量小，</w:t>
      </w:r>
      <w:r>
        <w:rPr>
          <w:rFonts w:hint="default" w:ascii="Times New Roman" w:hAnsi="Times New Roman" w:cs="Times New Roman"/>
          <w:bCs/>
          <w:color w:val="auto"/>
          <w:szCs w:val="24"/>
        </w:rPr>
        <w:t>项目建设产生的扬尘较少，且项目区地势开阔，空气扩散条件较好，本项目施工产生的扬尘进入</w:t>
      </w:r>
      <w:r>
        <w:rPr>
          <w:rFonts w:hint="default" w:ascii="Times New Roman" w:hAnsi="Times New Roman" w:eastAsia="宋体" w:cs="Times New Roman"/>
          <w:color w:val="auto"/>
          <w:szCs w:val="24"/>
        </w:rPr>
        <w:t>生态保护红线</w:t>
      </w:r>
      <w:r>
        <w:rPr>
          <w:rFonts w:hint="default" w:ascii="Times New Roman" w:hAnsi="Times New Roman" w:cs="Times New Roman"/>
          <w:bCs/>
          <w:color w:val="auto"/>
          <w:szCs w:val="24"/>
        </w:rPr>
        <w:t>区范围内的量较少，对</w:t>
      </w:r>
      <w:r>
        <w:rPr>
          <w:rFonts w:hint="default" w:ascii="Times New Roman" w:hAnsi="Times New Roman" w:eastAsia="宋体" w:cs="Times New Roman"/>
          <w:color w:val="auto"/>
          <w:szCs w:val="24"/>
        </w:rPr>
        <w:t>生态保护红线</w:t>
      </w:r>
      <w:r>
        <w:rPr>
          <w:rFonts w:hint="default" w:ascii="Times New Roman" w:hAnsi="Times New Roman" w:cs="Times New Roman"/>
          <w:bCs/>
          <w:color w:val="auto"/>
          <w:szCs w:val="24"/>
        </w:rPr>
        <w:t>区植被景观的影响很小。施工扬尘沉降到植物叶片和树干上的量有限，不会对区域内的植物生长造成明显不利影响。</w:t>
      </w:r>
    </w:p>
    <w:p w14:paraId="619F373E">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bCs/>
          <w:color w:val="auto"/>
          <w:szCs w:val="24"/>
        </w:rPr>
      </w:pPr>
      <w:r>
        <w:rPr>
          <w:rFonts w:hint="default" w:ascii="Times New Roman" w:hAnsi="Times New Roman" w:cs="Times New Roman"/>
          <w:bCs/>
          <w:color w:val="auto"/>
          <w:szCs w:val="24"/>
        </w:rPr>
        <w:t>本项目部分区域靠近</w:t>
      </w:r>
      <w:r>
        <w:rPr>
          <w:rFonts w:hint="default" w:ascii="Times New Roman" w:hAnsi="Times New Roman" w:eastAsia="宋体" w:cs="Times New Roman"/>
          <w:color w:val="auto"/>
          <w:szCs w:val="24"/>
        </w:rPr>
        <w:t>生态保护红线</w:t>
      </w:r>
      <w:r>
        <w:rPr>
          <w:rFonts w:hint="default" w:ascii="Times New Roman" w:hAnsi="Times New Roman" w:cs="Times New Roman"/>
          <w:bCs/>
          <w:color w:val="auto"/>
          <w:szCs w:val="24"/>
        </w:rPr>
        <w:t>区，施工期施工人员可能进入</w:t>
      </w:r>
      <w:r>
        <w:rPr>
          <w:rFonts w:hint="default" w:ascii="Times New Roman" w:hAnsi="Times New Roman" w:eastAsia="宋体" w:cs="Times New Roman"/>
          <w:color w:val="auto"/>
          <w:szCs w:val="24"/>
        </w:rPr>
        <w:t>生态保护红线</w:t>
      </w:r>
      <w:r>
        <w:rPr>
          <w:rFonts w:hint="default" w:ascii="Times New Roman" w:hAnsi="Times New Roman" w:cs="Times New Roman"/>
          <w:bCs/>
          <w:color w:val="auto"/>
          <w:szCs w:val="24"/>
        </w:rPr>
        <w:t>区内活动，对区内的植被和植物造成干扰和破坏。因此，施工期施工单位须对施工人员加强管理，在施工区周边设置生态保护警示牌，并在</w:t>
      </w:r>
      <w:r>
        <w:rPr>
          <w:rFonts w:hint="default" w:ascii="Times New Roman" w:hAnsi="Times New Roman" w:eastAsia="宋体" w:cs="Times New Roman"/>
          <w:color w:val="auto"/>
          <w:szCs w:val="24"/>
        </w:rPr>
        <w:t>生态保护红线</w:t>
      </w:r>
      <w:r>
        <w:rPr>
          <w:rFonts w:hint="default" w:ascii="Times New Roman" w:hAnsi="Times New Roman" w:cs="Times New Roman"/>
          <w:bCs/>
          <w:color w:val="auto"/>
          <w:szCs w:val="24"/>
        </w:rPr>
        <w:t>区边界上设置生态保护警戒线，尽量减少施工人员进入</w:t>
      </w:r>
      <w:r>
        <w:rPr>
          <w:rFonts w:hint="default" w:ascii="Times New Roman" w:hAnsi="Times New Roman" w:eastAsia="宋体" w:cs="Times New Roman"/>
          <w:color w:val="auto"/>
          <w:szCs w:val="24"/>
        </w:rPr>
        <w:t>生态保护红线</w:t>
      </w:r>
      <w:r>
        <w:rPr>
          <w:rFonts w:hint="default" w:ascii="Times New Roman" w:hAnsi="Times New Roman" w:cs="Times New Roman"/>
          <w:bCs/>
          <w:color w:val="auto"/>
          <w:szCs w:val="24"/>
        </w:rPr>
        <w:t>区范围内活动。</w:t>
      </w:r>
    </w:p>
    <w:p w14:paraId="3417353E">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bCs/>
          <w:color w:val="auto"/>
          <w:szCs w:val="24"/>
        </w:rPr>
      </w:pPr>
      <w:r>
        <w:rPr>
          <w:rFonts w:hint="default" w:ascii="Times New Roman" w:hAnsi="Times New Roman" w:cs="Times New Roman"/>
          <w:bCs/>
          <w:color w:val="auto"/>
          <w:szCs w:val="24"/>
        </w:rPr>
        <w:t>综上所述，项目施工期只要对施工人员加强管理，尽量减少进入</w:t>
      </w:r>
      <w:r>
        <w:rPr>
          <w:rFonts w:hint="default" w:ascii="Times New Roman" w:hAnsi="Times New Roman" w:eastAsia="宋体" w:cs="Times New Roman"/>
          <w:color w:val="auto"/>
          <w:szCs w:val="24"/>
        </w:rPr>
        <w:t>生态保护红线</w:t>
      </w:r>
      <w:r>
        <w:rPr>
          <w:rFonts w:hint="default" w:ascii="Times New Roman" w:hAnsi="Times New Roman" w:cs="Times New Roman"/>
          <w:bCs/>
          <w:color w:val="auto"/>
          <w:szCs w:val="24"/>
        </w:rPr>
        <w:t>区内活动，则项目施工期对保护区内的植被和植物影响较小。</w:t>
      </w:r>
    </w:p>
    <w:p w14:paraId="79625EB1">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（2）运营期影响</w:t>
      </w:r>
    </w:p>
    <w:p w14:paraId="4DD79DF7">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bCs/>
          <w:color w:val="auto"/>
          <w:szCs w:val="24"/>
        </w:rPr>
      </w:pPr>
      <w:r>
        <w:rPr>
          <w:rFonts w:hint="default" w:ascii="Times New Roman" w:hAnsi="Times New Roman" w:cs="Times New Roman"/>
          <w:bCs/>
          <w:color w:val="auto"/>
          <w:szCs w:val="24"/>
        </w:rPr>
        <w:t>本项目运营期对</w:t>
      </w:r>
      <w:r>
        <w:rPr>
          <w:rFonts w:hint="default" w:ascii="Times New Roman" w:hAnsi="Times New Roman" w:eastAsia="宋体" w:cs="Times New Roman"/>
          <w:color w:val="auto"/>
          <w:szCs w:val="24"/>
        </w:rPr>
        <w:t>生态保护红线</w:t>
      </w:r>
      <w:r>
        <w:rPr>
          <w:rFonts w:hint="default" w:ascii="Times New Roman" w:hAnsi="Times New Roman" w:cs="Times New Roman"/>
          <w:bCs/>
          <w:color w:val="auto"/>
          <w:szCs w:val="24"/>
        </w:rPr>
        <w:t>区的影响主要是工作人员在日常的管理活动中可能进入</w:t>
      </w:r>
      <w:r>
        <w:rPr>
          <w:rFonts w:hint="default" w:ascii="Times New Roman" w:hAnsi="Times New Roman" w:eastAsia="宋体" w:cs="Times New Roman"/>
          <w:color w:val="auto"/>
          <w:szCs w:val="24"/>
        </w:rPr>
        <w:t>生态保护红线</w:t>
      </w:r>
      <w:r>
        <w:rPr>
          <w:rFonts w:hint="default" w:ascii="Times New Roman" w:hAnsi="Times New Roman" w:cs="Times New Roman"/>
          <w:bCs/>
          <w:color w:val="auto"/>
          <w:szCs w:val="24"/>
        </w:rPr>
        <w:t>区范围内活动，对</w:t>
      </w:r>
      <w:r>
        <w:rPr>
          <w:rFonts w:hint="default" w:ascii="Times New Roman" w:hAnsi="Times New Roman" w:eastAsia="宋体" w:cs="Times New Roman"/>
          <w:color w:val="auto"/>
          <w:szCs w:val="24"/>
        </w:rPr>
        <w:t>生态保护红线</w:t>
      </w:r>
      <w:r>
        <w:rPr>
          <w:rFonts w:hint="default" w:ascii="Times New Roman" w:hAnsi="Times New Roman" w:cs="Times New Roman"/>
          <w:bCs/>
          <w:color w:val="auto"/>
          <w:szCs w:val="24"/>
        </w:rPr>
        <w:t>区内的植被和植物造成干扰和破坏。因此，项目运营期建设单位须对工作人员加强管理，在项目区周边设置生态保护警示牌，告知工作人员</w:t>
      </w:r>
      <w:r>
        <w:rPr>
          <w:rFonts w:hint="default" w:ascii="Times New Roman" w:hAnsi="Times New Roman" w:eastAsia="宋体" w:cs="Times New Roman"/>
          <w:color w:val="auto"/>
          <w:szCs w:val="24"/>
        </w:rPr>
        <w:t>生态保护红线</w:t>
      </w:r>
      <w:r>
        <w:rPr>
          <w:rFonts w:hint="default" w:ascii="Times New Roman" w:hAnsi="Times New Roman" w:cs="Times New Roman"/>
          <w:bCs/>
          <w:color w:val="auto"/>
          <w:szCs w:val="24"/>
        </w:rPr>
        <w:t>区的位置及范围，尽量减少工作人员进入</w:t>
      </w:r>
      <w:r>
        <w:rPr>
          <w:rFonts w:hint="default" w:ascii="Times New Roman" w:hAnsi="Times New Roman" w:eastAsia="宋体" w:cs="Times New Roman"/>
          <w:color w:val="auto"/>
          <w:szCs w:val="24"/>
        </w:rPr>
        <w:t>生态保护红线</w:t>
      </w:r>
      <w:r>
        <w:rPr>
          <w:rFonts w:hint="default" w:ascii="Times New Roman" w:hAnsi="Times New Roman" w:cs="Times New Roman"/>
          <w:bCs/>
          <w:color w:val="auto"/>
          <w:szCs w:val="24"/>
        </w:rPr>
        <w:t>区内活动。若此，则项目运营期对</w:t>
      </w:r>
      <w:r>
        <w:rPr>
          <w:rFonts w:hint="default" w:ascii="Times New Roman" w:hAnsi="Times New Roman" w:eastAsia="宋体" w:cs="Times New Roman"/>
          <w:color w:val="auto"/>
          <w:szCs w:val="24"/>
        </w:rPr>
        <w:t>生态保护红线</w:t>
      </w:r>
      <w:r>
        <w:rPr>
          <w:rFonts w:hint="default" w:ascii="Times New Roman" w:hAnsi="Times New Roman" w:cs="Times New Roman"/>
          <w:bCs/>
          <w:color w:val="auto"/>
          <w:szCs w:val="24"/>
        </w:rPr>
        <w:t>区植被、植物影响较小。</w:t>
      </w:r>
    </w:p>
    <w:p w14:paraId="63D3FBB3">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312" w:name="_Toc437291426"/>
      <w:bookmarkStart w:id="313" w:name="_Toc680"/>
      <w:bookmarkStart w:id="314" w:name="_Toc26861"/>
      <w:bookmarkStart w:id="315" w:name="_Toc7063"/>
      <w:r>
        <w:rPr>
          <w:rFonts w:hint="default" w:ascii="Times New Roman" w:hAnsi="Times New Roman" w:cs="Times New Roman"/>
          <w:color w:val="auto"/>
          <w:sz w:val="24"/>
          <w:szCs w:val="24"/>
        </w:rPr>
        <w:t>3.11.2对野生动物的影响</w:t>
      </w:r>
      <w:bookmarkEnd w:id="312"/>
      <w:bookmarkEnd w:id="313"/>
      <w:bookmarkEnd w:id="314"/>
      <w:bookmarkEnd w:id="315"/>
    </w:p>
    <w:p w14:paraId="566BDC3D">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bookmarkStart w:id="316" w:name="_Toc437291427"/>
      <w:r>
        <w:rPr>
          <w:rFonts w:hint="default" w:ascii="Times New Roman" w:hAnsi="Times New Roman" w:cs="Times New Roman"/>
          <w:color w:val="auto"/>
        </w:rPr>
        <w:t>（1）施工期影响</w:t>
      </w:r>
    </w:p>
    <w:p w14:paraId="02ED04AD">
      <w:pPr>
        <w:widowControl/>
        <w:adjustRightInd w:val="0"/>
        <w:snapToGrid w:val="0"/>
        <w:spacing w:after="0" w:line="440" w:lineRule="exact"/>
        <w:ind w:firstLine="480"/>
        <w:jc w:val="left"/>
        <w:rPr>
          <w:rFonts w:hint="default" w:ascii="Times New Roman" w:hAnsi="Times New Roman" w:cs="Times New Roman"/>
          <w:color w:val="auto"/>
          <w:kern w:val="0"/>
          <w:szCs w:val="24"/>
        </w:rPr>
      </w:pPr>
      <w:r>
        <w:rPr>
          <w:rFonts w:hint="default" w:ascii="Times New Roman" w:hAnsi="Times New Roman" w:cs="Times New Roman"/>
          <w:color w:val="auto"/>
          <w:kern w:val="0"/>
          <w:szCs w:val="24"/>
        </w:rPr>
        <w:t>本</w:t>
      </w:r>
      <w:r>
        <w:rPr>
          <w:rFonts w:hint="default" w:ascii="Times New Roman" w:hAnsi="Times New Roman" w:cs="Times New Roman"/>
          <w:color w:val="auto"/>
          <w:szCs w:val="24"/>
        </w:rPr>
        <w:t>项目</w:t>
      </w:r>
      <w:r>
        <w:rPr>
          <w:rFonts w:hint="default" w:ascii="Times New Roman" w:hAnsi="Times New Roman" w:eastAsia="宋体" w:cs="Times New Roman"/>
          <w:color w:val="auto"/>
          <w:szCs w:val="24"/>
        </w:rPr>
        <w:t>涉及跨越生态</w:t>
      </w:r>
      <w:r>
        <w:rPr>
          <w:rFonts w:hint="default" w:ascii="Times New Roman" w:hAnsi="Times New Roman" w:cs="Times New Roman"/>
          <w:color w:val="auto"/>
          <w:szCs w:val="24"/>
        </w:rPr>
        <w:t>保护</w:t>
      </w:r>
      <w:r>
        <w:rPr>
          <w:rFonts w:hint="default" w:ascii="Times New Roman" w:hAnsi="Times New Roman" w:eastAsia="宋体" w:cs="Times New Roman"/>
          <w:color w:val="auto"/>
          <w:szCs w:val="24"/>
        </w:rPr>
        <w:t>红线</w:t>
      </w:r>
      <w:r>
        <w:rPr>
          <w:rFonts w:hint="default" w:ascii="Times New Roman" w:hAnsi="Times New Roman" w:cs="Times New Roman"/>
          <w:color w:val="auto"/>
          <w:szCs w:val="24"/>
        </w:rPr>
        <w:t>但用地范围不涉及占用生态保护红线</w:t>
      </w:r>
      <w:r>
        <w:rPr>
          <w:rFonts w:hint="default" w:ascii="Times New Roman" w:hAnsi="Times New Roman" w:cs="Times New Roman"/>
          <w:color w:val="auto"/>
          <w:kern w:val="0"/>
          <w:szCs w:val="24"/>
        </w:rPr>
        <w:t>，项目施工不会造成</w:t>
      </w:r>
      <w:r>
        <w:rPr>
          <w:rFonts w:hint="default" w:ascii="Times New Roman" w:hAnsi="Times New Roman" w:eastAsia="宋体" w:cs="Times New Roman"/>
          <w:color w:val="auto"/>
          <w:szCs w:val="24"/>
        </w:rPr>
        <w:t>生态保护红线</w:t>
      </w:r>
      <w:r>
        <w:rPr>
          <w:rFonts w:hint="default" w:ascii="Times New Roman" w:hAnsi="Times New Roman" w:cs="Times New Roman"/>
          <w:color w:val="auto"/>
          <w:kern w:val="0"/>
          <w:szCs w:val="24"/>
        </w:rPr>
        <w:t>区内野生动物生境的减少。但项目施工期产生的噪声、扬尘等会对附近的野生动物造成一定的干扰影响，使受影响区域的野生动物向不受干扰区域迁移，造成影响区野生动物种类和种群数量减少，但施工期结束后，这些物种又会回迁。根据现场调查和访问，项目区域内的野生动物均是受干扰严重生境的常见种、广布种，这些物种对人类活动的干扰均有一定的耐受力，项目施工不会造成区域内物种和种群数量显著下降，更不会造成任何物种的濒危或灭绝，影响较小。</w:t>
      </w:r>
    </w:p>
    <w:p w14:paraId="59D925A1">
      <w:pPr>
        <w:widowControl/>
        <w:adjustRightInd w:val="0"/>
        <w:snapToGrid w:val="0"/>
        <w:spacing w:after="0" w:line="440" w:lineRule="exact"/>
        <w:ind w:firstLine="480"/>
        <w:jc w:val="left"/>
        <w:rPr>
          <w:rFonts w:hint="default" w:ascii="Times New Roman" w:hAnsi="Times New Roman" w:cs="Times New Roman"/>
          <w:color w:val="auto"/>
          <w:kern w:val="0"/>
          <w:szCs w:val="24"/>
        </w:rPr>
      </w:pPr>
      <w:r>
        <w:rPr>
          <w:rFonts w:hint="default" w:ascii="Times New Roman" w:hAnsi="Times New Roman" w:cs="Times New Roman"/>
          <w:color w:val="auto"/>
          <w:kern w:val="0"/>
          <w:szCs w:val="24"/>
        </w:rPr>
        <w:t>施工期施工人员可能进入</w:t>
      </w:r>
      <w:r>
        <w:rPr>
          <w:rFonts w:hint="default" w:ascii="Times New Roman" w:hAnsi="Times New Roman" w:eastAsia="宋体" w:cs="Times New Roman"/>
          <w:color w:val="auto"/>
          <w:szCs w:val="24"/>
        </w:rPr>
        <w:t>生态保护红线</w:t>
      </w:r>
      <w:r>
        <w:rPr>
          <w:rFonts w:hint="default" w:ascii="Times New Roman" w:hAnsi="Times New Roman" w:cs="Times New Roman"/>
          <w:color w:val="auto"/>
          <w:kern w:val="0"/>
          <w:szCs w:val="24"/>
        </w:rPr>
        <w:t>区范围内活动，破坏野生动物的生境，对野生动物进行惊吓或捕杀，因此，施工单位须对施工人员加强管理，严禁施工人员惊吓、捕杀野生动物，严禁破坏周边生态环境。</w:t>
      </w:r>
    </w:p>
    <w:p w14:paraId="7A8587F3">
      <w:pPr>
        <w:adjustRightInd w:val="0"/>
        <w:snapToGrid w:val="0"/>
        <w:spacing w:after="0" w:line="440" w:lineRule="exact"/>
        <w:ind w:firstLine="480"/>
        <w:rPr>
          <w:rFonts w:hint="default" w:ascii="Times New Roman" w:hAnsi="Times New Roman" w:cs="Times New Roman"/>
          <w:bCs/>
          <w:color w:val="auto"/>
          <w:szCs w:val="24"/>
        </w:rPr>
      </w:pPr>
      <w:r>
        <w:rPr>
          <w:rFonts w:hint="default" w:ascii="Times New Roman" w:hAnsi="Times New Roman" w:cs="Times New Roman"/>
          <w:bCs/>
          <w:color w:val="auto"/>
          <w:szCs w:val="24"/>
        </w:rPr>
        <w:t>综上所述，项目施工期只要对施工人员加强管理，尽量减少进入</w:t>
      </w:r>
      <w:r>
        <w:rPr>
          <w:rFonts w:hint="default" w:ascii="Times New Roman" w:hAnsi="Times New Roman" w:eastAsia="宋体" w:cs="Times New Roman"/>
          <w:color w:val="auto"/>
          <w:szCs w:val="24"/>
        </w:rPr>
        <w:t>生态保护红线</w:t>
      </w:r>
      <w:r>
        <w:rPr>
          <w:rFonts w:hint="default" w:ascii="Times New Roman" w:hAnsi="Times New Roman" w:cs="Times New Roman"/>
          <w:bCs/>
          <w:color w:val="auto"/>
          <w:szCs w:val="24"/>
        </w:rPr>
        <w:t>区内活动，则项目施工期对</w:t>
      </w:r>
      <w:r>
        <w:rPr>
          <w:rFonts w:hint="default" w:ascii="Times New Roman" w:hAnsi="Times New Roman" w:eastAsia="宋体" w:cs="Times New Roman"/>
          <w:color w:val="auto"/>
          <w:szCs w:val="24"/>
        </w:rPr>
        <w:t>生态保护红线</w:t>
      </w:r>
      <w:r>
        <w:rPr>
          <w:rFonts w:hint="default" w:ascii="Times New Roman" w:hAnsi="Times New Roman" w:cs="Times New Roman"/>
          <w:bCs/>
          <w:color w:val="auto"/>
          <w:szCs w:val="24"/>
        </w:rPr>
        <w:t>区野生动物的影响很小。</w:t>
      </w:r>
    </w:p>
    <w:p w14:paraId="6FBD6CC9">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（2）运营期影响</w:t>
      </w:r>
    </w:p>
    <w:p w14:paraId="5103506E">
      <w:pPr>
        <w:adjustRightInd w:val="0"/>
        <w:snapToGrid w:val="0"/>
        <w:spacing w:after="0" w:line="440" w:lineRule="exact"/>
        <w:ind w:firstLine="480"/>
        <w:rPr>
          <w:rFonts w:hint="default" w:ascii="Times New Roman" w:hAnsi="Times New Roman" w:cs="Times New Roman"/>
          <w:bCs/>
          <w:color w:val="auto"/>
          <w:szCs w:val="24"/>
        </w:rPr>
      </w:pPr>
      <w:r>
        <w:rPr>
          <w:rFonts w:hint="default" w:ascii="Times New Roman" w:hAnsi="Times New Roman" w:cs="Times New Roman"/>
          <w:bCs/>
          <w:color w:val="auto"/>
          <w:szCs w:val="24"/>
        </w:rPr>
        <w:t>本项目运营期对</w:t>
      </w:r>
      <w:r>
        <w:rPr>
          <w:rFonts w:hint="default" w:ascii="Times New Roman" w:hAnsi="Times New Roman" w:eastAsia="宋体" w:cs="Times New Roman"/>
          <w:color w:val="auto"/>
          <w:szCs w:val="24"/>
        </w:rPr>
        <w:t>生态保护红线</w:t>
      </w:r>
      <w:r>
        <w:rPr>
          <w:rFonts w:hint="default" w:ascii="Times New Roman" w:hAnsi="Times New Roman" w:cs="Times New Roman"/>
          <w:bCs/>
          <w:color w:val="auto"/>
          <w:szCs w:val="24"/>
        </w:rPr>
        <w:t>区野生动物的影响主要是工作人员在日常的管理活动中可能进入</w:t>
      </w:r>
      <w:r>
        <w:rPr>
          <w:rFonts w:hint="default" w:ascii="Times New Roman" w:hAnsi="Times New Roman" w:eastAsia="宋体" w:cs="Times New Roman"/>
          <w:color w:val="auto"/>
          <w:szCs w:val="24"/>
        </w:rPr>
        <w:t>生态保护红线</w:t>
      </w:r>
      <w:r>
        <w:rPr>
          <w:rFonts w:hint="default" w:ascii="Times New Roman" w:hAnsi="Times New Roman" w:cs="Times New Roman"/>
          <w:bCs/>
          <w:color w:val="auto"/>
          <w:szCs w:val="24"/>
        </w:rPr>
        <w:t>区范围内活动，对</w:t>
      </w:r>
      <w:r>
        <w:rPr>
          <w:rFonts w:hint="default" w:ascii="Times New Roman" w:hAnsi="Times New Roman" w:eastAsia="宋体" w:cs="Times New Roman"/>
          <w:color w:val="auto"/>
          <w:szCs w:val="24"/>
        </w:rPr>
        <w:t>生态保护红线</w:t>
      </w:r>
      <w:r>
        <w:rPr>
          <w:rFonts w:hint="default" w:ascii="Times New Roman" w:hAnsi="Times New Roman" w:cs="Times New Roman"/>
          <w:bCs/>
          <w:color w:val="auto"/>
          <w:szCs w:val="24"/>
        </w:rPr>
        <w:t>区内的动物生境造成破坏，或者惊吓、捕杀区域内的野生动物。因此，项目运营期建设单位须对电站工作人员加强管理，在项目区周边设置生态保护警示牌，告知工作人员</w:t>
      </w:r>
      <w:r>
        <w:rPr>
          <w:rFonts w:hint="default" w:ascii="Times New Roman" w:hAnsi="Times New Roman" w:eastAsia="宋体" w:cs="Times New Roman"/>
          <w:color w:val="auto"/>
          <w:szCs w:val="24"/>
        </w:rPr>
        <w:t>生态保护红线</w:t>
      </w:r>
      <w:r>
        <w:rPr>
          <w:rFonts w:hint="default" w:ascii="Times New Roman" w:hAnsi="Times New Roman" w:cs="Times New Roman"/>
          <w:bCs/>
          <w:color w:val="auto"/>
          <w:szCs w:val="24"/>
        </w:rPr>
        <w:t>区的位置及范围，尽量减少工作人员进入</w:t>
      </w:r>
      <w:r>
        <w:rPr>
          <w:rFonts w:hint="default" w:ascii="Times New Roman" w:hAnsi="Times New Roman" w:eastAsia="宋体" w:cs="Times New Roman"/>
          <w:color w:val="auto"/>
          <w:szCs w:val="24"/>
        </w:rPr>
        <w:t>生态保护红线</w:t>
      </w:r>
      <w:r>
        <w:rPr>
          <w:rFonts w:hint="default" w:ascii="Times New Roman" w:hAnsi="Times New Roman" w:cs="Times New Roman"/>
          <w:bCs/>
          <w:color w:val="auto"/>
          <w:szCs w:val="24"/>
        </w:rPr>
        <w:t>区内活动。若此，则项目运营期对保护区野生动物影响较小。</w:t>
      </w:r>
    </w:p>
    <w:bookmarkEnd w:id="316"/>
    <w:p w14:paraId="07317E15">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317" w:name="_Toc31328"/>
      <w:bookmarkStart w:id="318" w:name="_Toc26919"/>
      <w:r>
        <w:rPr>
          <w:rFonts w:hint="default" w:ascii="Times New Roman" w:hAnsi="Times New Roman" w:cs="Times New Roman"/>
          <w:color w:val="auto"/>
          <w:sz w:val="24"/>
          <w:szCs w:val="24"/>
        </w:rPr>
        <w:t>3.11.3对生态保护红线主导功能影响分析</w:t>
      </w:r>
    </w:p>
    <w:p w14:paraId="10BE913F">
      <w:pPr>
        <w:adjustRightInd w:val="0"/>
        <w:snapToGrid w:val="0"/>
        <w:spacing w:after="0"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根据调查，本项目跨越的生态保护红线主要为金沙江下游—小江流域水土流失控制生态保护红线，其主导功能为水土保持。</w:t>
      </w:r>
    </w:p>
    <w:p w14:paraId="79D6D867">
      <w:pPr>
        <w:adjustRightInd w:val="0"/>
        <w:snapToGrid w:val="0"/>
        <w:spacing w:after="0"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本输电线路工程在设计过程中根据地形条件，已尽可能避让生态保护红线，不在生态保护红线内立塔，减少了对生态保护红线区域的扰动；结合现场调查，评价区生态保护红线内</w:t>
      </w:r>
      <w:r>
        <w:rPr>
          <w:rFonts w:hint="default" w:ascii="Times New Roman" w:hAnsi="Times New Roman" w:eastAsia="宋体" w:cs="Times New Roman"/>
          <w:snapToGrid w:val="0"/>
          <w:color w:val="auto"/>
          <w:kern w:val="0"/>
          <w:szCs w:val="24"/>
        </w:rPr>
        <w:t>主要植被类型为暖温性针叶林，</w:t>
      </w:r>
      <w:r>
        <w:rPr>
          <w:rFonts w:hint="default" w:ascii="Times New Roman" w:hAnsi="Times New Roman" w:eastAsia="宋体" w:cs="Times New Roman"/>
          <w:color w:val="auto"/>
          <w:kern w:val="0"/>
          <w:szCs w:val="24"/>
        </w:rPr>
        <w:t>以次生生境常见种和广布种为主，主要为</w:t>
      </w:r>
      <w:r>
        <w:rPr>
          <w:rFonts w:hint="default" w:ascii="Times New Roman" w:hAnsi="Times New Roman" w:eastAsia="宋体" w:cs="Times New Roman"/>
          <w:color w:val="auto"/>
          <w:szCs w:val="24"/>
        </w:rPr>
        <w:t>云南松</w:t>
      </w:r>
      <w:r>
        <w:rPr>
          <w:rFonts w:hint="default" w:ascii="Times New Roman" w:hAnsi="Times New Roman" w:eastAsia="宋体" w:cs="Times New Roman"/>
          <w:i/>
          <w:iCs/>
          <w:color w:val="auto"/>
          <w:szCs w:val="24"/>
        </w:rPr>
        <w:t>Pinus yunnanensis</w:t>
      </w:r>
      <w:r>
        <w:rPr>
          <w:rFonts w:hint="default" w:ascii="Times New Roman" w:hAnsi="Times New Roman" w:eastAsia="宋体" w:cs="Times New Roman"/>
          <w:color w:val="auto"/>
          <w:szCs w:val="24"/>
        </w:rPr>
        <w:t>、盐肤木</w:t>
      </w:r>
      <w:r>
        <w:rPr>
          <w:rFonts w:hint="default" w:ascii="Times New Roman" w:hAnsi="Times New Roman" w:eastAsia="宋体" w:cs="Times New Roman"/>
          <w:i/>
          <w:iCs/>
          <w:color w:val="auto"/>
          <w:szCs w:val="24"/>
        </w:rPr>
        <w:t>Rhus chinensis</w:t>
      </w:r>
      <w:r>
        <w:rPr>
          <w:rFonts w:hint="default" w:ascii="Times New Roman" w:hAnsi="Times New Roman" w:eastAsia="宋体" w:cs="Times New Roman"/>
          <w:color w:val="auto"/>
          <w:szCs w:val="24"/>
        </w:rPr>
        <w:t>、杉木</w:t>
      </w:r>
      <w:r>
        <w:rPr>
          <w:rFonts w:hint="default" w:ascii="Times New Roman" w:hAnsi="Times New Roman" w:eastAsia="宋体" w:cs="Times New Roman"/>
          <w:i/>
          <w:iCs/>
          <w:color w:val="auto"/>
          <w:szCs w:val="24"/>
        </w:rPr>
        <w:t>Cunninghamia lanceolata</w:t>
      </w:r>
      <w:r>
        <w:rPr>
          <w:rFonts w:hint="default" w:ascii="Times New Roman" w:hAnsi="Times New Roman" w:eastAsia="宋体" w:cs="Times New Roman"/>
          <w:i/>
          <w:color w:val="auto"/>
          <w:szCs w:val="24"/>
        </w:rPr>
        <w:t>、</w:t>
      </w:r>
      <w:r>
        <w:rPr>
          <w:rFonts w:hint="default" w:ascii="Times New Roman" w:hAnsi="Times New Roman" w:eastAsia="宋体" w:cs="Times New Roman"/>
          <w:bCs/>
          <w:color w:val="auto"/>
          <w:szCs w:val="24"/>
        </w:rPr>
        <w:t>马桑、华山松</w:t>
      </w:r>
      <w:r>
        <w:rPr>
          <w:rFonts w:hint="default" w:ascii="Times New Roman" w:hAnsi="Times New Roman" w:eastAsia="宋体" w:cs="Times New Roman"/>
          <w:bCs/>
          <w:i/>
          <w:iCs/>
          <w:color w:val="auto"/>
          <w:szCs w:val="24"/>
        </w:rPr>
        <w:t>Pinus armandii</w:t>
      </w:r>
      <w:r>
        <w:rPr>
          <w:rFonts w:hint="default" w:ascii="Times New Roman" w:hAnsi="Times New Roman" w:eastAsia="宋体" w:cs="Times New Roman"/>
          <w:bCs/>
          <w:color w:val="auto"/>
          <w:szCs w:val="24"/>
        </w:rPr>
        <w:t>、</w:t>
      </w:r>
      <w:r>
        <w:rPr>
          <w:rFonts w:hint="default" w:ascii="Times New Roman" w:hAnsi="Times New Roman" w:eastAsia="宋体" w:cs="Times New Roman"/>
          <w:color w:val="auto"/>
          <w:szCs w:val="24"/>
        </w:rPr>
        <w:t>火棘</w:t>
      </w:r>
      <w:r>
        <w:rPr>
          <w:rFonts w:hint="default" w:ascii="Times New Roman" w:hAnsi="Times New Roman" w:eastAsia="宋体" w:cs="Times New Roman"/>
          <w:i/>
          <w:iCs/>
          <w:color w:val="auto"/>
          <w:szCs w:val="24"/>
        </w:rPr>
        <w:t>Pyracantha fortuneana </w:t>
      </w:r>
      <w:r>
        <w:rPr>
          <w:rFonts w:hint="default" w:ascii="Times New Roman" w:hAnsi="Times New Roman" w:eastAsia="宋体" w:cs="Times New Roman"/>
          <w:color w:val="auto"/>
          <w:szCs w:val="24"/>
        </w:rPr>
        <w:t>、小铁仔</w:t>
      </w:r>
      <w:r>
        <w:rPr>
          <w:rFonts w:hint="default" w:ascii="Times New Roman" w:hAnsi="Times New Roman" w:eastAsia="宋体" w:cs="Times New Roman"/>
          <w:i/>
          <w:color w:val="auto"/>
          <w:szCs w:val="24"/>
        </w:rPr>
        <w:t>Myrsine africana</w:t>
      </w:r>
      <w:r>
        <w:rPr>
          <w:rFonts w:hint="default" w:ascii="Times New Roman" w:hAnsi="Times New Roman" w:eastAsia="宋体" w:cs="Times New Roman"/>
          <w:color w:val="auto"/>
          <w:szCs w:val="24"/>
        </w:rPr>
        <w:t>、黑面神</w:t>
      </w:r>
      <w:r>
        <w:rPr>
          <w:rFonts w:hint="default" w:ascii="Times New Roman" w:hAnsi="Times New Roman" w:eastAsia="宋体" w:cs="Times New Roman"/>
          <w:i/>
          <w:iCs/>
          <w:color w:val="auto"/>
          <w:szCs w:val="24"/>
        </w:rPr>
        <w:t>Breynia fruticosa</w:t>
      </w:r>
      <w:r>
        <w:rPr>
          <w:rFonts w:hint="default" w:ascii="Times New Roman" w:hAnsi="Times New Roman" w:eastAsia="宋体" w:cs="Times New Roman"/>
          <w:color w:val="auto"/>
          <w:szCs w:val="24"/>
        </w:rPr>
        <w:t>、马棘</w:t>
      </w:r>
      <w:r>
        <w:rPr>
          <w:rFonts w:hint="default" w:ascii="Times New Roman" w:hAnsi="Times New Roman" w:eastAsia="宋体" w:cs="Times New Roman"/>
          <w:i/>
          <w:iCs/>
          <w:color w:val="auto"/>
          <w:szCs w:val="24"/>
        </w:rPr>
        <w:t>Indigofera bungeana</w:t>
      </w:r>
      <w:r>
        <w:rPr>
          <w:rFonts w:hint="default" w:ascii="Times New Roman" w:hAnsi="Times New Roman" w:eastAsia="宋体" w:cs="Times New Roman"/>
          <w:color w:val="auto"/>
          <w:szCs w:val="24"/>
        </w:rPr>
        <w:t> 、金花小檗</w:t>
      </w:r>
      <w:r>
        <w:rPr>
          <w:rFonts w:hint="default" w:ascii="Times New Roman" w:hAnsi="Times New Roman" w:eastAsia="宋体" w:cs="Times New Roman"/>
          <w:i/>
          <w:iCs/>
          <w:color w:val="auto"/>
          <w:szCs w:val="24"/>
        </w:rPr>
        <w:t>Berberis wilsonae</w:t>
      </w:r>
      <w:r>
        <w:rPr>
          <w:rFonts w:hint="default" w:ascii="Times New Roman" w:hAnsi="Times New Roman" w:eastAsia="宋体" w:cs="Times New Roman"/>
          <w:color w:val="auto"/>
          <w:szCs w:val="24"/>
        </w:rPr>
        <w:t>、</w:t>
      </w:r>
      <w:r>
        <w:rPr>
          <w:rFonts w:hint="default" w:ascii="Times New Roman" w:hAnsi="Times New Roman" w:eastAsia="宋体" w:cs="Times New Roman"/>
          <w:bCs/>
          <w:color w:val="auto"/>
          <w:szCs w:val="24"/>
        </w:rPr>
        <w:t>烟管荚蒾</w:t>
      </w:r>
      <w:r>
        <w:rPr>
          <w:rFonts w:hint="default" w:ascii="Times New Roman" w:hAnsi="Times New Roman" w:eastAsia="宋体" w:cs="Times New Roman"/>
          <w:bCs/>
          <w:i/>
          <w:color w:val="auto"/>
          <w:szCs w:val="24"/>
        </w:rPr>
        <w:t>Viburnum utile </w:t>
      </w:r>
      <w:r>
        <w:rPr>
          <w:rFonts w:hint="default" w:ascii="Times New Roman" w:hAnsi="Times New Roman" w:eastAsia="宋体" w:cs="Times New Roman"/>
          <w:bCs/>
          <w:color w:val="auto"/>
          <w:szCs w:val="24"/>
        </w:rPr>
        <w:t>、毡毛栒子</w:t>
      </w:r>
      <w:r>
        <w:rPr>
          <w:rFonts w:hint="default" w:ascii="Times New Roman" w:hAnsi="Times New Roman" w:eastAsia="宋体" w:cs="Times New Roman"/>
          <w:bCs/>
          <w:i/>
          <w:color w:val="auto"/>
          <w:szCs w:val="24"/>
        </w:rPr>
        <w:t>Cotoneaster pannosus、</w:t>
      </w:r>
      <w:r>
        <w:rPr>
          <w:rFonts w:hint="default" w:ascii="Times New Roman" w:hAnsi="Times New Roman" w:eastAsia="宋体" w:cs="Times New Roman"/>
          <w:color w:val="auto"/>
          <w:szCs w:val="24"/>
        </w:rPr>
        <w:t>黄茅</w:t>
      </w:r>
      <w:r>
        <w:rPr>
          <w:rFonts w:hint="default" w:ascii="Times New Roman" w:hAnsi="Times New Roman" w:eastAsia="宋体" w:cs="Times New Roman"/>
          <w:i/>
          <w:color w:val="auto"/>
          <w:szCs w:val="24"/>
        </w:rPr>
        <w:t>Heteropogon contortus</w:t>
      </w:r>
      <w:r>
        <w:rPr>
          <w:rFonts w:hint="default" w:ascii="Times New Roman" w:hAnsi="Times New Roman" w:eastAsia="宋体" w:cs="Times New Roman"/>
          <w:color w:val="auto"/>
          <w:szCs w:val="24"/>
        </w:rPr>
        <w:t>、旱茅</w:t>
      </w:r>
      <w:r>
        <w:rPr>
          <w:rFonts w:hint="default" w:ascii="Times New Roman" w:hAnsi="Times New Roman" w:eastAsia="宋体" w:cs="Times New Roman"/>
          <w:i/>
          <w:color w:val="auto"/>
          <w:szCs w:val="24"/>
        </w:rPr>
        <w:t>Schizachyrium delavayi</w:t>
      </w:r>
      <w:r>
        <w:rPr>
          <w:rFonts w:hint="default" w:ascii="Times New Roman" w:hAnsi="Times New Roman" w:eastAsia="宋体" w:cs="Times New Roman"/>
          <w:color w:val="auto"/>
          <w:szCs w:val="24"/>
        </w:rPr>
        <w:t>、短柄草</w:t>
      </w:r>
      <w:r>
        <w:rPr>
          <w:rFonts w:hint="default" w:ascii="Times New Roman" w:hAnsi="Times New Roman" w:eastAsia="宋体" w:cs="Times New Roman"/>
          <w:i/>
          <w:color w:val="auto"/>
          <w:szCs w:val="24"/>
        </w:rPr>
        <w:t>Brachypodium sylvaticum</w:t>
      </w:r>
      <w:r>
        <w:rPr>
          <w:rFonts w:hint="default" w:ascii="Times New Roman" w:hAnsi="Times New Roman" w:eastAsia="宋体" w:cs="Times New Roman"/>
          <w:color w:val="auto"/>
          <w:szCs w:val="24"/>
        </w:rPr>
        <w:t>、三花兔儿风</w:t>
      </w:r>
      <w:r>
        <w:rPr>
          <w:rFonts w:hint="default" w:ascii="Times New Roman" w:hAnsi="Times New Roman" w:eastAsia="宋体" w:cs="Times New Roman"/>
          <w:i/>
          <w:color w:val="auto"/>
          <w:szCs w:val="24"/>
        </w:rPr>
        <w:t>Ainsliaea latifolia</w:t>
      </w:r>
      <w:r>
        <w:rPr>
          <w:rFonts w:hint="default" w:ascii="Times New Roman" w:hAnsi="Times New Roman" w:eastAsia="宋体" w:cs="Times New Roman"/>
          <w:color w:val="auto"/>
          <w:szCs w:val="24"/>
        </w:rPr>
        <w:t>、唐松草</w:t>
      </w:r>
      <w:r>
        <w:rPr>
          <w:rFonts w:hint="default" w:ascii="Times New Roman" w:hAnsi="Times New Roman" w:eastAsia="宋体" w:cs="Times New Roman"/>
          <w:i/>
          <w:color w:val="auto"/>
          <w:szCs w:val="24"/>
        </w:rPr>
        <w:t>Thalictrum aquilegiifolium</w:t>
      </w:r>
      <w:r>
        <w:rPr>
          <w:rFonts w:hint="default" w:ascii="Times New Roman" w:hAnsi="Times New Roman" w:eastAsia="宋体" w:cs="Times New Roman"/>
          <w:color w:val="auto"/>
          <w:szCs w:val="24"/>
        </w:rPr>
        <w:t>、蕨</w:t>
      </w:r>
      <w:r>
        <w:rPr>
          <w:rFonts w:hint="default" w:ascii="Times New Roman" w:hAnsi="Times New Roman" w:eastAsia="宋体" w:cs="Times New Roman"/>
          <w:i/>
          <w:color w:val="auto"/>
          <w:szCs w:val="24"/>
        </w:rPr>
        <w:t>Pteridium aquilinum</w:t>
      </w:r>
      <w:r>
        <w:rPr>
          <w:rFonts w:hint="default" w:ascii="Times New Roman" w:hAnsi="Times New Roman" w:cs="Times New Roman"/>
          <w:color w:val="auto"/>
        </w:rPr>
        <w:t>等</w:t>
      </w:r>
      <w:r>
        <w:rPr>
          <w:rFonts w:hint="default" w:ascii="Times New Roman" w:hAnsi="Times New Roman" w:eastAsia="宋体" w:cs="Times New Roman"/>
          <w:iCs/>
          <w:color w:val="auto"/>
          <w:kern w:val="0"/>
          <w:szCs w:val="24"/>
        </w:rPr>
        <w:t>。</w:t>
      </w:r>
      <w:r>
        <w:rPr>
          <w:rFonts w:hint="default" w:ascii="Times New Roman" w:hAnsi="Times New Roman" w:eastAsia="宋体" w:cs="Times New Roman"/>
          <w:snapToGrid w:val="0"/>
          <w:color w:val="auto"/>
          <w:kern w:val="0"/>
          <w:szCs w:val="24"/>
        </w:rPr>
        <w:t>跨越区域内无国家级和云南省级保护野生植物，无区域狭域分布物种。</w:t>
      </w:r>
    </w:p>
    <w:p w14:paraId="4238E24D">
      <w:pPr>
        <w:adjustRightInd w:val="0"/>
        <w:snapToGrid w:val="0"/>
        <w:spacing w:after="0"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评价区生态保护红线内</w:t>
      </w:r>
      <w:r>
        <w:rPr>
          <w:rFonts w:hint="default" w:ascii="Times New Roman" w:hAnsi="Times New Roman" w:eastAsia="宋体" w:cs="Times New Roman"/>
          <w:snapToGrid w:val="0"/>
          <w:color w:val="auto"/>
          <w:kern w:val="0"/>
          <w:szCs w:val="24"/>
        </w:rPr>
        <w:t>主要动物为</w:t>
      </w:r>
      <w:r>
        <w:rPr>
          <w:rFonts w:hint="default" w:ascii="Times New Roman" w:hAnsi="Times New Roman" w:eastAsia="宋体" w:cs="Times New Roman"/>
          <w:color w:val="auto"/>
          <w:szCs w:val="24"/>
        </w:rPr>
        <w:t>山斑鸠</w:t>
      </w:r>
      <w:r>
        <w:rPr>
          <w:rFonts w:hint="default" w:ascii="Times New Roman" w:hAnsi="Times New Roman" w:eastAsia="宋体" w:cs="Times New Roman"/>
          <w:i/>
          <w:iCs/>
          <w:color w:val="auto"/>
          <w:szCs w:val="24"/>
        </w:rPr>
        <w:t>Streptopelia orientalis</w:t>
      </w:r>
      <w:r>
        <w:rPr>
          <w:rFonts w:hint="default" w:ascii="Times New Roman" w:hAnsi="Times New Roman" w:eastAsia="宋体" w:cs="Times New Roman"/>
          <w:color w:val="auto"/>
          <w:szCs w:val="24"/>
        </w:rPr>
        <w:t>、小杜鹃</w:t>
      </w:r>
      <w:r>
        <w:rPr>
          <w:rFonts w:hint="default" w:ascii="Times New Roman" w:hAnsi="Times New Roman" w:eastAsia="宋体" w:cs="Times New Roman"/>
          <w:i/>
          <w:iCs/>
          <w:color w:val="auto"/>
          <w:szCs w:val="24"/>
        </w:rPr>
        <w:t>Cuculus poliocephalus</w:t>
      </w:r>
      <w:r>
        <w:rPr>
          <w:rFonts w:hint="default" w:ascii="Times New Roman" w:hAnsi="Times New Roman" w:eastAsia="宋体" w:cs="Times New Roman"/>
          <w:color w:val="auto"/>
          <w:szCs w:val="24"/>
        </w:rPr>
        <w:t>、树鹨</w:t>
      </w:r>
      <w:r>
        <w:rPr>
          <w:rFonts w:hint="default" w:ascii="Times New Roman" w:hAnsi="Times New Roman" w:eastAsia="宋体" w:cs="Times New Roman"/>
          <w:i/>
          <w:iCs/>
          <w:color w:val="auto"/>
          <w:szCs w:val="24"/>
        </w:rPr>
        <w:t>Anthus hodgsoni、</w:t>
      </w:r>
      <w:r>
        <w:rPr>
          <w:rFonts w:hint="default" w:ascii="Times New Roman" w:hAnsi="Times New Roman" w:eastAsia="宋体" w:cs="Times New Roman"/>
          <w:color w:val="auto"/>
          <w:szCs w:val="24"/>
        </w:rPr>
        <w:t>小云雀</w:t>
      </w:r>
      <w:r>
        <w:rPr>
          <w:rFonts w:hint="default" w:ascii="Times New Roman" w:hAnsi="Times New Roman" w:eastAsia="宋体" w:cs="Times New Roman"/>
          <w:i/>
          <w:iCs/>
          <w:color w:val="auto"/>
          <w:szCs w:val="24"/>
        </w:rPr>
        <w:t>Alauda gulgula</w:t>
      </w:r>
      <w:r>
        <w:rPr>
          <w:rFonts w:hint="default" w:ascii="Times New Roman" w:hAnsi="Times New Roman" w:eastAsia="宋体" w:cs="Times New Roman"/>
          <w:color w:val="auto"/>
          <w:szCs w:val="24"/>
        </w:rPr>
        <w:t>、黄臀鹎</w:t>
      </w:r>
      <w:r>
        <w:rPr>
          <w:rFonts w:hint="default" w:ascii="Times New Roman" w:hAnsi="Times New Roman" w:eastAsia="宋体" w:cs="Times New Roman"/>
          <w:i/>
          <w:iCs/>
          <w:color w:val="auto"/>
          <w:szCs w:val="24"/>
        </w:rPr>
        <w:t>Pycnonotus xanthorrhous、</w:t>
      </w:r>
      <w:r>
        <w:rPr>
          <w:rFonts w:hint="default" w:ascii="Times New Roman" w:hAnsi="Times New Roman" w:eastAsia="宋体" w:cs="Times New Roman"/>
          <w:color w:val="auto"/>
          <w:szCs w:val="24"/>
        </w:rPr>
        <w:t>赤腹松鼠</w:t>
      </w:r>
      <w:r>
        <w:rPr>
          <w:rFonts w:hint="default" w:ascii="Times New Roman" w:hAnsi="Times New Roman" w:eastAsia="宋体" w:cs="Times New Roman"/>
          <w:i/>
          <w:color w:val="auto"/>
          <w:szCs w:val="24"/>
        </w:rPr>
        <w:t>Callosciurus erythaeus</w:t>
      </w:r>
      <w:r>
        <w:rPr>
          <w:rFonts w:hint="default" w:ascii="Times New Roman" w:hAnsi="Times New Roman" w:eastAsia="宋体" w:cs="Times New Roman"/>
          <w:iCs/>
          <w:color w:val="auto"/>
          <w:szCs w:val="24"/>
        </w:rPr>
        <w:t>等，均为</w:t>
      </w:r>
      <w:r>
        <w:rPr>
          <w:rFonts w:hint="default" w:ascii="Times New Roman" w:hAnsi="Times New Roman" w:cs="Times New Roman"/>
          <w:color w:val="auto"/>
          <w:kern w:val="0"/>
          <w:szCs w:val="24"/>
        </w:rPr>
        <w:t>常见种、广布种，</w:t>
      </w:r>
      <w:r>
        <w:rPr>
          <w:rFonts w:hint="default" w:ascii="Times New Roman" w:hAnsi="Times New Roman" w:eastAsia="宋体" w:cs="Times New Roman"/>
          <w:snapToGrid w:val="0"/>
          <w:color w:val="auto"/>
          <w:kern w:val="0"/>
          <w:szCs w:val="24"/>
        </w:rPr>
        <w:t>跨越区域内无国家级和云南省级保护野生动物，无区域狭域分布物种，</w:t>
      </w:r>
      <w:r>
        <w:rPr>
          <w:rFonts w:hint="default" w:ascii="Times New Roman" w:hAnsi="Times New Roman" w:cs="Times New Roman"/>
          <w:color w:val="auto"/>
          <w:szCs w:val="24"/>
        </w:rPr>
        <w:t>无鸟类关键迁徙通道。</w:t>
      </w:r>
    </w:p>
    <w:p w14:paraId="1B4E799E">
      <w:pPr>
        <w:adjustRightInd w:val="0"/>
        <w:snapToGrid w:val="0"/>
        <w:spacing w:after="0"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项目施工仅对跨越生态保护红线局部生境产生短期可逆扰动，不会破坏红线原生生态系统完整性，不阻断生物迁徙廊道，不会造成珍稀濒危物种种群衰退，原有生物多样性核心保护功能与生态意义可维持。根据调查，不在生态保护红线范围内布置临时占地，最大限度地减小了对生态保护红线的植被破坏和水土流失影响，施工结束后，将对所有临时占地、塔基永久占地中除去塔腿硬化部分的区域进行植被恢复，同时也恢复了原有的水土保持功能。线路建设不会对生态保护红线的水土保持功能造成影响。</w:t>
      </w:r>
    </w:p>
    <w:p w14:paraId="2C9C6D7A">
      <w:pPr>
        <w:adjustRightInd w:val="0"/>
        <w:snapToGrid w:val="0"/>
        <w:spacing w:after="0"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输电线路占地呈点状线性分布，空间跨度大，不会造成生态保护红线区域内生态分割，不会对生态保护红线内水土保持产生影响，不会造成明显水土流失。此外，本工程不在生态保护红线内立塔、布置临时占地，对生态保护红线范围内植被无直接影响，对动植物生境的破坏影响较小。同时，根据生态保护红线内其他已运行输电线路的情况来看，输电线路建成后塔基处植被恢复良好，不会对区域生物多样性造成明显不利影响，因此输电线路在施工期对生态保护红线内自然生态系统、野生动物及其生境以及生物多样性影响较轻微。</w:t>
      </w:r>
    </w:p>
    <w:p w14:paraId="0820BB50">
      <w:pPr>
        <w:adjustRightInd w:val="0"/>
        <w:snapToGrid w:val="0"/>
        <w:spacing w:after="0"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输电线路运行期无“三废”污染物产生，不会对金沙江下游—小江流域水土流失控制生态保护红线产生影响。</w:t>
      </w:r>
    </w:p>
    <w:p w14:paraId="6ABEA54E">
      <w:pPr>
        <w:pStyle w:val="5"/>
        <w:numPr>
          <w:ilvl w:val="2"/>
          <w:numId w:val="0"/>
        </w:numPr>
        <w:adjustRightInd w:val="0"/>
        <w:snapToGrid w:val="0"/>
        <w:spacing w:line="440" w:lineRule="exac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3.11.4对生态保护红线区影响小结</w:t>
      </w:r>
      <w:bookmarkEnd w:id="317"/>
      <w:bookmarkEnd w:id="318"/>
    </w:p>
    <w:p w14:paraId="2ED898D9">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szCs w:val="24"/>
        </w:rPr>
      </w:pPr>
      <w:r>
        <w:rPr>
          <w:rFonts w:hint="default" w:ascii="Times New Roman" w:hAnsi="Times New Roman" w:cs="Times New Roman"/>
          <w:color w:val="auto"/>
          <w:szCs w:val="24"/>
        </w:rPr>
        <w:t>拟建项目涉及跨越生态保护红线但用地范围不涉及占用生态保护红线，项目生态环境影响范围内的生态保护红线区受人类生产活动干扰影响严重，本项目建设不会造成生态保护红线区内植被面积下降，不会导致植物种群数量减少。项目施工期将造成受影响区域内陆栖脊椎动物数量少量减少，施工结束后又会逐渐恢复。本项目建设不会造成区域内物种的显著减少，更不会造成任何物种的濒危或灭绝。总之，本项目建设对项目评价范围生态保护红线内的植被多样性和分布格局、功能、生物多样性及景观影响较小，对生态保护红线区的总体影响较小。</w:t>
      </w:r>
    </w:p>
    <w:p w14:paraId="466C8BCE">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319" w:name="_Toc6380"/>
      <w:bookmarkStart w:id="320" w:name="_Toc5760"/>
      <w:bookmarkStart w:id="321" w:name="_Toc30953"/>
      <w:bookmarkStart w:id="322" w:name="_Toc11934"/>
      <w:r>
        <w:rPr>
          <w:rFonts w:hint="default" w:ascii="Times New Roman" w:hAnsi="Times New Roman" w:eastAsia="宋体" w:cs="Times New Roman"/>
          <w:bCs w:val="0"/>
          <w:color w:val="auto"/>
          <w:kern w:val="0"/>
          <w:sz w:val="28"/>
          <w:szCs w:val="28"/>
          <w:lang w:val="zh-CN"/>
        </w:rPr>
        <w:t>3.12对生态公益林影响</w:t>
      </w:r>
      <w:bookmarkEnd w:id="319"/>
      <w:bookmarkEnd w:id="320"/>
      <w:bookmarkEnd w:id="321"/>
    </w:p>
    <w:p w14:paraId="4D3C48E8">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323" w:name="_Toc1518"/>
      <w:r>
        <w:rPr>
          <w:rFonts w:hint="default" w:ascii="Times New Roman" w:hAnsi="Times New Roman" w:cs="Times New Roman"/>
          <w:color w:val="auto"/>
          <w:sz w:val="24"/>
          <w:szCs w:val="24"/>
        </w:rPr>
        <w:t>3.12.1施工期对公益林的影响</w:t>
      </w:r>
      <w:bookmarkEnd w:id="323"/>
    </w:p>
    <w:p w14:paraId="1CC5DBC7">
      <w:pPr>
        <w:adjustRightInd w:val="0"/>
        <w:snapToGrid w:val="0"/>
        <w:spacing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根据管理部门意见及林业调查数据结果，</w:t>
      </w:r>
      <w:r>
        <w:rPr>
          <w:rFonts w:ascii="Times New Roman" w:hAnsi="Times New Roman"/>
          <w:color w:val="auto"/>
          <w:sz w:val="24"/>
          <w:szCs w:val="24"/>
        </w:rPr>
        <w:t>项目占用省级公益林</w:t>
      </w:r>
      <w:r>
        <w:rPr>
          <w:rFonts w:hint="eastAsia" w:ascii="Times New Roman" w:hAnsi="Times New Roman"/>
          <w:color w:val="auto"/>
          <w:sz w:val="24"/>
          <w:szCs w:val="24"/>
          <w:lang w:val="en-US" w:eastAsia="zh-CN"/>
        </w:rPr>
        <w:t>0.0607</w:t>
      </w:r>
      <w:r>
        <w:rPr>
          <w:rFonts w:ascii="Times New Roman" w:hAnsi="Times New Roman"/>
          <w:color w:val="auto"/>
          <w:sz w:val="24"/>
          <w:szCs w:val="24"/>
        </w:rPr>
        <w:t>公顷，其中塔基永久占地</w:t>
      </w:r>
      <w:r>
        <w:rPr>
          <w:rFonts w:hint="eastAsia" w:ascii="Times New Roman" w:hAnsi="Times New Roman"/>
          <w:color w:val="auto"/>
          <w:sz w:val="24"/>
          <w:szCs w:val="24"/>
          <w:lang w:val="en-US" w:eastAsia="zh-CN"/>
        </w:rPr>
        <w:t>0.01413</w:t>
      </w:r>
      <w:r>
        <w:rPr>
          <w:rFonts w:ascii="Times New Roman" w:hAnsi="Times New Roman"/>
          <w:color w:val="auto"/>
          <w:sz w:val="24"/>
          <w:szCs w:val="24"/>
        </w:rPr>
        <w:t>公顷，临时占地</w:t>
      </w:r>
      <w:r>
        <w:rPr>
          <w:rFonts w:hint="eastAsia" w:ascii="Times New Roman" w:hAnsi="Times New Roman"/>
          <w:color w:val="auto"/>
          <w:sz w:val="24"/>
          <w:szCs w:val="24"/>
          <w:lang w:val="en-US" w:eastAsia="zh-CN"/>
        </w:rPr>
        <w:t>0.04657</w:t>
      </w:r>
      <w:r>
        <w:rPr>
          <w:rFonts w:ascii="Times New Roman" w:hAnsi="Times New Roman"/>
          <w:color w:val="auto"/>
          <w:sz w:val="24"/>
          <w:szCs w:val="24"/>
        </w:rPr>
        <w:t>公顷。其中塔基N</w:t>
      </w:r>
      <w:r>
        <w:rPr>
          <w:rFonts w:hint="eastAsia" w:ascii="Times New Roman" w:hAnsi="Times New Roman"/>
          <w:color w:val="auto"/>
          <w:sz w:val="24"/>
          <w:szCs w:val="24"/>
          <w:lang w:val="en-US" w:eastAsia="zh-CN"/>
        </w:rPr>
        <w:t>1</w:t>
      </w:r>
      <w:r>
        <w:rPr>
          <w:rFonts w:ascii="Times New Roman" w:hAnsi="Times New Roman"/>
          <w:color w:val="auto"/>
          <w:sz w:val="24"/>
          <w:szCs w:val="24"/>
        </w:rPr>
        <w:t>3、N</w:t>
      </w:r>
      <w:r>
        <w:rPr>
          <w:rFonts w:hint="eastAsia" w:ascii="Times New Roman" w:hAnsi="Times New Roman"/>
          <w:color w:val="auto"/>
          <w:sz w:val="24"/>
          <w:szCs w:val="24"/>
          <w:lang w:val="en-US" w:eastAsia="zh-CN"/>
        </w:rPr>
        <w:t>1</w:t>
      </w:r>
      <w:r>
        <w:rPr>
          <w:rFonts w:ascii="Times New Roman" w:hAnsi="Times New Roman"/>
          <w:color w:val="auto"/>
          <w:sz w:val="24"/>
          <w:szCs w:val="24"/>
        </w:rPr>
        <w:t>4共</w:t>
      </w:r>
      <w:r>
        <w:rPr>
          <w:rFonts w:hint="eastAsia" w:ascii="Times New Roman" w:hAnsi="Times New Roman"/>
          <w:color w:val="auto"/>
          <w:sz w:val="24"/>
          <w:szCs w:val="24"/>
          <w:lang w:val="en-US" w:eastAsia="zh-CN"/>
        </w:rPr>
        <w:t>2</w:t>
      </w:r>
      <w:r>
        <w:rPr>
          <w:rFonts w:ascii="Times New Roman" w:hAnsi="Times New Roman"/>
          <w:color w:val="auto"/>
          <w:sz w:val="24"/>
          <w:szCs w:val="24"/>
        </w:rPr>
        <w:t>个塔基占用省级公益林，面积约为</w:t>
      </w:r>
      <w:r>
        <w:rPr>
          <w:rFonts w:hint="eastAsia" w:ascii="Times New Roman" w:hAnsi="Times New Roman"/>
          <w:color w:val="auto"/>
          <w:sz w:val="24"/>
          <w:szCs w:val="24"/>
          <w:lang w:val="en-US" w:eastAsia="zh-CN"/>
        </w:rPr>
        <w:t>0.01413</w:t>
      </w:r>
      <w:r>
        <w:rPr>
          <w:rFonts w:ascii="Times New Roman" w:hAnsi="Times New Roman"/>
          <w:color w:val="auto"/>
          <w:sz w:val="24"/>
          <w:szCs w:val="24"/>
        </w:rPr>
        <w:t>公顷，主要功能为水土保持。临时占地主要为施工便道、人抬道路等。</w:t>
      </w:r>
    </w:p>
    <w:p w14:paraId="6D8D1F8E">
      <w:pPr>
        <w:pStyle w:val="7"/>
        <w:adjustRightInd w:val="0"/>
        <w:snapToGrid w:val="0"/>
        <w:spacing w:line="440" w:lineRule="exact"/>
        <w:ind w:firstLine="480" w:firstLineChars="200"/>
        <w:rPr>
          <w:rFonts w:hint="default" w:ascii="Times New Roman" w:hAnsi="Times New Roman" w:cs="Times New Roman"/>
          <w:color w:val="auto"/>
          <w:sz w:val="24"/>
          <w:szCs w:val="24"/>
          <w:lang w:val="en-US"/>
        </w:rPr>
      </w:pPr>
      <w:r>
        <w:rPr>
          <w:rFonts w:hint="default" w:ascii="Times New Roman" w:hAnsi="Times New Roman" w:cs="Times New Roman"/>
          <w:color w:val="auto"/>
          <w:sz w:val="24"/>
          <w:szCs w:val="24"/>
          <w:lang w:val="en-US"/>
        </w:rPr>
        <w:t>公益林内项目临时占地为塔基施工区，不在公益林内设置施工营地、取弃土场、拌和站、材料站、牵张场等临时设施，占地需清除塔基施工区域地表植被，新建人抬道路一般选择林间空地或林分较差的林地行走运输，线路架设采用无人机展放线，施工临时占地对植被的破坏面积较小，施工结束后及时选择当地植物种类进行植被恢复，基本不影响区公益林内临时占地区的植物种类。</w:t>
      </w:r>
    </w:p>
    <w:p w14:paraId="5A00889D">
      <w:pPr>
        <w:pStyle w:val="7"/>
        <w:adjustRightInd w:val="0"/>
        <w:snapToGrid w:val="0"/>
        <w:spacing w:line="440" w:lineRule="exact"/>
        <w:ind w:firstLine="480" w:firstLineChars="200"/>
        <w:rPr>
          <w:rFonts w:hint="default" w:ascii="Times New Roman" w:hAnsi="Times New Roman" w:cs="Times New Roman"/>
          <w:color w:val="auto"/>
          <w:sz w:val="24"/>
          <w:szCs w:val="24"/>
          <w:lang w:val="en-US"/>
        </w:rPr>
      </w:pPr>
      <w:r>
        <w:rPr>
          <w:rFonts w:hint="default" w:ascii="Times New Roman" w:hAnsi="Times New Roman" w:cs="Times New Roman"/>
          <w:color w:val="auto"/>
          <w:sz w:val="24"/>
          <w:szCs w:val="24"/>
          <w:lang w:val="en-US"/>
        </w:rPr>
        <w:t>因此，虽然项目临时占地会破坏部分植物，可能会对植物数量产生一定的影响，但是一般在施工结束后即可恢复，对公益林的影响很小。</w:t>
      </w:r>
    </w:p>
    <w:p w14:paraId="6185DCF4">
      <w:pPr>
        <w:pStyle w:val="7"/>
        <w:adjustRightInd w:val="0"/>
        <w:snapToGrid w:val="0"/>
        <w:spacing w:line="440" w:lineRule="exact"/>
        <w:ind w:firstLine="480" w:firstLineChars="200"/>
        <w:rPr>
          <w:rFonts w:hint="default" w:ascii="Times New Roman" w:hAnsi="Times New Roman" w:cs="Times New Roman"/>
          <w:color w:val="auto"/>
          <w:sz w:val="24"/>
          <w:szCs w:val="24"/>
          <w:lang w:val="en-US"/>
        </w:rPr>
      </w:pPr>
      <w:r>
        <w:rPr>
          <w:rFonts w:hint="default" w:ascii="Times New Roman" w:hAnsi="Times New Roman" w:cs="Times New Roman"/>
          <w:color w:val="auto"/>
          <w:sz w:val="24"/>
          <w:szCs w:val="24"/>
          <w:lang w:val="en-US"/>
        </w:rPr>
        <w:t>项目涉及生态公益林的主要生态功能为水土保持，项目占用面积占会泽县生态公益林总面积比例均较小，不会损害公益林主导生态功能的持续发挥，对其整体生态服务能力影响不大，但需按林业部门管理要求，办理相关手续，按照《云南省公益林管理办法》（云林规〔2019〕2号）的相关规定，目前，建设单位正在办理林业</w:t>
      </w:r>
      <w:r>
        <w:rPr>
          <w:rFonts w:hint="default" w:ascii="Times New Roman" w:hAnsi="Times New Roman" w:cs="Times New Roman"/>
          <w:color w:val="auto"/>
          <w:sz w:val="24"/>
          <w:szCs w:val="24"/>
        </w:rPr>
        <w:t>手续，</w:t>
      </w:r>
      <w:r>
        <w:rPr>
          <w:rFonts w:hint="default" w:ascii="Times New Roman" w:hAnsi="Times New Roman" w:cs="Times New Roman"/>
          <w:color w:val="auto"/>
          <w:sz w:val="24"/>
          <w:szCs w:val="24"/>
          <w:lang w:val="en-US"/>
        </w:rPr>
        <w:t>合法使用林地</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val="en-US"/>
        </w:rPr>
        <w:t>因此，项目的建设符合现行国家和地方公益林管控要求，对区域生态公益林需要采取补偿措施以降低影响。</w:t>
      </w:r>
    </w:p>
    <w:p w14:paraId="677A6863">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324" w:name="_Toc14572"/>
      <w:r>
        <w:rPr>
          <w:rFonts w:hint="default" w:ascii="Times New Roman" w:hAnsi="Times New Roman" w:cs="Times New Roman"/>
          <w:color w:val="auto"/>
          <w:sz w:val="24"/>
          <w:szCs w:val="24"/>
        </w:rPr>
        <w:t>3.12.2运营期对公益林的影响</w:t>
      </w:r>
      <w:bookmarkEnd w:id="324"/>
    </w:p>
    <w:p w14:paraId="5E037F72">
      <w:pPr>
        <w:pStyle w:val="7"/>
        <w:adjustRightInd w:val="0"/>
        <w:snapToGrid w:val="0"/>
        <w:spacing w:line="440" w:lineRule="exact"/>
        <w:ind w:firstLine="480" w:firstLineChars="200"/>
        <w:rPr>
          <w:rFonts w:hint="default" w:ascii="Times New Roman" w:hAnsi="Times New Roman" w:cs="Times New Roman"/>
          <w:color w:val="auto"/>
        </w:rPr>
      </w:pPr>
      <w:r>
        <w:rPr>
          <w:rFonts w:hint="default" w:ascii="Times New Roman" w:hAnsi="Times New Roman" w:cs="Times New Roman"/>
          <w:color w:val="auto"/>
          <w:sz w:val="24"/>
          <w:szCs w:val="24"/>
          <w:lang w:val="en-US"/>
        </w:rPr>
        <w:t>项目在运行期内，输变电线路工程对公益林区基本没有影响。运营期期间仅维护检修人员会进入公益林区域内活动，对区域内动植物产生影响，但这种干扰强度很低，时间很短，对区域生态影响极为有限。</w:t>
      </w:r>
      <w:r>
        <w:rPr>
          <w:rFonts w:hint="default" w:ascii="Times New Roman" w:hAnsi="Times New Roman" w:cs="Times New Roman"/>
          <w:color w:val="auto"/>
        </w:rPr>
        <w:br w:type="page"/>
      </w:r>
    </w:p>
    <w:p w14:paraId="473D1E51">
      <w:pPr>
        <w:pStyle w:val="3"/>
        <w:numPr>
          <w:ilvl w:val="0"/>
          <w:numId w:val="0"/>
        </w:numPr>
        <w:adjustRightInd w:val="0"/>
        <w:spacing w:before="0" w:after="0"/>
        <w:jc w:val="left"/>
        <w:textAlignment w:val="baseline"/>
        <w:rPr>
          <w:rFonts w:hint="default" w:ascii="Times New Roman" w:hAnsi="Times New Roman" w:eastAsia="宋体" w:cs="Times New Roman"/>
          <w:snapToGrid/>
          <w:color w:val="auto"/>
          <w:kern w:val="44"/>
          <w:sz w:val="32"/>
          <w:szCs w:val="32"/>
          <w:lang w:val="zh-CN"/>
        </w:rPr>
      </w:pPr>
      <w:bookmarkStart w:id="325" w:name="_Toc6371"/>
      <w:bookmarkStart w:id="326" w:name="_Toc9496"/>
      <w:r>
        <w:rPr>
          <w:rFonts w:hint="default" w:ascii="Times New Roman" w:hAnsi="Times New Roman" w:eastAsia="宋体" w:cs="Times New Roman"/>
          <w:snapToGrid/>
          <w:color w:val="auto"/>
          <w:kern w:val="44"/>
          <w:sz w:val="32"/>
          <w:szCs w:val="32"/>
          <w:lang w:val="zh-CN"/>
        </w:rPr>
        <w:t>4 生态环境影响减缓措施</w:t>
      </w:r>
      <w:bookmarkEnd w:id="322"/>
      <w:bookmarkEnd w:id="325"/>
      <w:bookmarkEnd w:id="326"/>
    </w:p>
    <w:p w14:paraId="0EC0E478">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327" w:name="_Toc14221"/>
      <w:bookmarkStart w:id="328" w:name="_Toc16676"/>
      <w:r>
        <w:rPr>
          <w:rFonts w:hint="default" w:ascii="Times New Roman" w:hAnsi="Times New Roman" w:eastAsia="宋体" w:cs="Times New Roman"/>
          <w:bCs w:val="0"/>
          <w:color w:val="auto"/>
          <w:kern w:val="0"/>
          <w:sz w:val="28"/>
          <w:szCs w:val="28"/>
          <w:lang w:val="zh-CN"/>
        </w:rPr>
        <w:t>4.1施工期生态环境保护措施</w:t>
      </w:r>
      <w:bookmarkEnd w:id="327"/>
      <w:bookmarkEnd w:id="328"/>
    </w:p>
    <w:p w14:paraId="1909774F">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329" w:name="_Toc2028"/>
      <w:r>
        <w:rPr>
          <w:rFonts w:hint="default" w:ascii="Times New Roman" w:hAnsi="Times New Roman" w:cs="Times New Roman"/>
          <w:color w:val="auto"/>
          <w:sz w:val="24"/>
          <w:szCs w:val="24"/>
        </w:rPr>
        <w:t>4.1.1土地占用保护措施</w:t>
      </w:r>
      <w:bookmarkEnd w:id="329"/>
    </w:p>
    <w:p w14:paraId="1B32CF85">
      <w:pPr>
        <w:pStyle w:val="92"/>
        <w:adjustRightInd w:val="0"/>
        <w:snapToGrid w:val="0"/>
        <w:spacing w:line="440" w:lineRule="exact"/>
        <w:ind w:firstLine="48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（1）建议建设单位以合同形式要求施工单位在施工过程中必须按照设计要求，严格控制开挖范围及开挖量，输电线路施工限制在事先划定的施工区内。</w:t>
      </w:r>
    </w:p>
    <w:p w14:paraId="074FCF2D">
      <w:pPr>
        <w:pStyle w:val="92"/>
        <w:adjustRightInd w:val="0"/>
        <w:snapToGrid w:val="0"/>
        <w:spacing w:line="440" w:lineRule="exact"/>
        <w:ind w:firstLine="48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对开挖后的裸露开挖面用苫布覆盖，避免降雨时水流直接冲刷；施工时开挖的土石方不允许就地倾倒，应采取回填等方式妥善处置，临时堆土应采取围护拦挡措施，并在土体表面覆上苫布防止雨水冲刷造成水土流失。</w:t>
      </w:r>
    </w:p>
    <w:p w14:paraId="1BCBAB1F">
      <w:pPr>
        <w:pStyle w:val="92"/>
        <w:adjustRightInd w:val="0"/>
        <w:snapToGrid w:val="0"/>
        <w:spacing w:line="440" w:lineRule="exact"/>
        <w:ind w:firstLine="48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（3）优化塔基布置，避开旱地和林地，确实无法避让的，应尽量布置在边角处，减少对农业耕作的影响。优化铁塔设计，减少永久占地和对林木的砍伐量。</w:t>
      </w:r>
    </w:p>
    <w:p w14:paraId="6F707975">
      <w:pPr>
        <w:pStyle w:val="92"/>
        <w:adjustRightInd w:val="0"/>
        <w:snapToGrid w:val="0"/>
        <w:spacing w:line="440" w:lineRule="exact"/>
        <w:ind w:firstLine="48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（4）塔基已避让永久基本农田，施工占用旱地、林地时，施工前应进行表土剥离，将表土单独堆存并做好覆盖、拦挡等防护措施，施工结束后用于项目区植被恢复或耕作区域表层覆土。</w:t>
      </w:r>
    </w:p>
    <w:p w14:paraId="48F07C5B">
      <w:pPr>
        <w:pStyle w:val="92"/>
        <w:adjustRightInd w:val="0"/>
        <w:snapToGrid w:val="0"/>
        <w:spacing w:line="440" w:lineRule="exact"/>
        <w:ind w:firstLine="48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（5）合理规划施工临时道路、牵张场等临时场地，合理划定施工范围和人员、车辆的行走路线，避免对施工范围之外区域的动植物造成碾压和破坏。</w:t>
      </w:r>
    </w:p>
    <w:p w14:paraId="4CDF9CD4">
      <w:pPr>
        <w:pStyle w:val="92"/>
        <w:adjustRightInd w:val="0"/>
        <w:snapToGrid w:val="0"/>
        <w:spacing w:line="440" w:lineRule="exact"/>
        <w:ind w:firstLine="48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（6）种植植物应选择本地物种，避免引入外来物种，造林严格按造林施工作业设计，以达到尽快覆盖的目的。</w:t>
      </w:r>
    </w:p>
    <w:p w14:paraId="39904ED4">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330" w:name="_Toc6535"/>
      <w:r>
        <w:rPr>
          <w:rFonts w:hint="default" w:ascii="Times New Roman" w:hAnsi="Times New Roman" w:cs="Times New Roman"/>
          <w:color w:val="auto"/>
          <w:sz w:val="24"/>
          <w:szCs w:val="24"/>
        </w:rPr>
        <w:t>4.1.2植被及植物保护措施</w:t>
      </w:r>
      <w:bookmarkEnd w:id="330"/>
    </w:p>
    <w:p w14:paraId="702CDE60">
      <w:pPr>
        <w:pStyle w:val="92"/>
        <w:adjustRightInd w:val="0"/>
        <w:snapToGrid w:val="0"/>
        <w:spacing w:line="440" w:lineRule="exact"/>
        <w:ind w:firstLine="48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（1）施工应在红线区范围内进行，文明施工，集中堆放材料，严禁踩踏施工区域外地表植被。</w:t>
      </w:r>
    </w:p>
    <w:p w14:paraId="045BEE08">
      <w:pPr>
        <w:pStyle w:val="92"/>
        <w:adjustRightInd w:val="0"/>
        <w:snapToGrid w:val="0"/>
        <w:spacing w:line="440" w:lineRule="exact"/>
        <w:ind w:firstLine="48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输电线路塔基施工时，建设单位应划定施工活动范围，避免对周边区域植被造成破坏。线路根据地形条件采用全方位高低腿铁塔，基础开挖时选用掏挖基础影响较小开挖方式，少占土地，减少土石方开挖量及水土流失，保护生态环境；基础开挖临时堆土应采用临时拦挡措施，用苫布覆盖，回填多余土石方选择合适地点堆放，并采取措施进行防护，塔基周围其他区域采取铺垫措施减少扰动破坏。</w:t>
      </w:r>
    </w:p>
    <w:p w14:paraId="55C764C6">
      <w:pPr>
        <w:pStyle w:val="92"/>
        <w:adjustRightInd w:val="0"/>
        <w:snapToGrid w:val="0"/>
        <w:spacing w:line="440" w:lineRule="exact"/>
        <w:ind w:firstLine="48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（3）塔基施工开挖时应分层开挖，分层堆放，注意表土保护，施工结束后按原土层顺序分层回填，以利于后期植被恢复。</w:t>
      </w:r>
    </w:p>
    <w:p w14:paraId="5D71DECA">
      <w:pPr>
        <w:pStyle w:val="92"/>
        <w:adjustRightInd w:val="0"/>
        <w:snapToGrid w:val="0"/>
        <w:spacing w:line="440" w:lineRule="exact"/>
        <w:ind w:firstLine="48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（4）对线路沿线经过的林地，采取高跨方式通过，严禁砍伐通道；输电线路采用先进的架线工艺，如无人机等展放线，减少对线路走廊下方植被的破坏。</w:t>
      </w:r>
    </w:p>
    <w:p w14:paraId="747CC392">
      <w:pPr>
        <w:pStyle w:val="92"/>
        <w:adjustRightInd w:val="0"/>
        <w:snapToGrid w:val="0"/>
        <w:spacing w:line="440" w:lineRule="exact"/>
        <w:ind w:firstLine="48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5）建设单位应根据林业用地的管理规定，对于永久占地造成的植被破坏，应严格按照有关规定向政府和主管部门办理征占用林地审核审批手续，缴纳相关青苗补偿费、林木赔偿费，并由相关部门统一安排。严禁超计划占用林地，严禁随意扩大占地范围。</w:t>
      </w:r>
    </w:p>
    <w:p w14:paraId="7167B039">
      <w:pPr>
        <w:pStyle w:val="92"/>
        <w:adjustRightInd w:val="0"/>
        <w:snapToGrid w:val="0"/>
        <w:spacing w:line="440" w:lineRule="exact"/>
        <w:ind w:firstLine="48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（6）施工结束后，尽快清理施工场地，及时清理残留在原场地的混凝土、土石方，并对施工扰动区域进行植被恢复。</w:t>
      </w:r>
    </w:p>
    <w:p w14:paraId="31E06209">
      <w:pPr>
        <w:pStyle w:val="92"/>
        <w:adjustRightInd w:val="0"/>
        <w:snapToGrid w:val="0"/>
        <w:spacing w:line="440" w:lineRule="exact"/>
        <w:ind w:firstLine="48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（7）工程施工过程中强化管理，增强管理者的消防意识，注意管理巡查，避免森林火灾的发生。对施工人员进行环保教育及有关</w:t>
      </w:r>
      <w:r>
        <w:rPr>
          <w:rFonts w:hint="eastAsia" w:ascii="Times New Roman" w:hAnsi="Times New Roman" w:cs="Times New Roman"/>
          <w:color w:val="auto"/>
          <w:sz w:val="24"/>
          <w:szCs w:val="24"/>
          <w:lang w:eastAsia="zh-CN"/>
        </w:rPr>
        <w:t>法律法规</w:t>
      </w:r>
      <w:r>
        <w:rPr>
          <w:rFonts w:hint="default" w:ascii="Times New Roman" w:hAnsi="Times New Roman" w:cs="Times New Roman"/>
          <w:color w:val="auto"/>
          <w:sz w:val="24"/>
          <w:szCs w:val="24"/>
        </w:rPr>
        <w:t>的宣传教育，让施工人员知道生物多样性受国家法律保护，破坏生物多样性是要承担相应的法律责任。</w:t>
      </w:r>
    </w:p>
    <w:p w14:paraId="081DB955">
      <w:pPr>
        <w:pStyle w:val="92"/>
        <w:adjustRightInd w:val="0"/>
        <w:snapToGrid w:val="0"/>
        <w:spacing w:line="440" w:lineRule="exact"/>
        <w:ind w:firstLine="48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8）完善林地手续，严格按照签订的补偿协议缴纳补偿费用。对工程临时占地及时进行植被恢复，选择当地的常见生态林种，如云南松等进行植被恢复。对塔基占地沿线坡度较缓的地带实施补种栽培，促进植被恢复。对较陡的边坡可考虑采用围栏及其他工程措施进行特殊管护以促进其尽快恢复。</w:t>
      </w:r>
    </w:p>
    <w:p w14:paraId="775B9EFC">
      <w:pPr>
        <w:pStyle w:val="92"/>
        <w:adjustRightInd w:val="0"/>
        <w:snapToGrid w:val="0"/>
        <w:spacing w:line="440" w:lineRule="exact"/>
        <w:ind w:firstLine="48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在采取以上植被保护措施以后，工程施工对植被的影响可控制在可接受范围内。</w:t>
      </w:r>
    </w:p>
    <w:p w14:paraId="10EF10BA">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331" w:name="_Toc20163"/>
      <w:r>
        <w:rPr>
          <w:rFonts w:hint="default" w:ascii="Times New Roman" w:hAnsi="Times New Roman" w:cs="Times New Roman"/>
          <w:color w:val="auto"/>
          <w:sz w:val="24"/>
          <w:szCs w:val="24"/>
        </w:rPr>
        <w:t>4.1.3陆生野生脊椎动物保护措施</w:t>
      </w:r>
      <w:bookmarkEnd w:id="331"/>
    </w:p>
    <w:p w14:paraId="3E6167B1">
      <w:pPr>
        <w:adjustRightInd w:val="0"/>
        <w:snapToGrid w:val="0"/>
        <w:spacing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（1）加强施工人员的环境保护教育，提高施工人员和相关管理人员的环保意识，严禁捕杀野生动物的行为。</w:t>
      </w:r>
    </w:p>
    <w:p w14:paraId="39D3CD04">
      <w:pPr>
        <w:adjustRightInd w:val="0"/>
        <w:snapToGrid w:val="0"/>
        <w:spacing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（2）采用低噪声的机械等施工设备，禁止随意大声喧哗等高噪声的活动，减少施工活动噪声对野生动物的驱赶效应。</w:t>
      </w:r>
    </w:p>
    <w:p w14:paraId="0D6CD285">
      <w:pPr>
        <w:adjustRightInd w:val="0"/>
        <w:snapToGrid w:val="0"/>
        <w:spacing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3）尽量利用原有田间道路、机耕路等现有道路作为施工道路，减小施工道路开辟对野生动物生活环境的破坏范围和强度。尽可能利用已建硬化道路、机耕路、林区小路等现有道路和人抬马驮相结合的方式进行材料运输。施工中控制声源，选取低噪声设备，并合理安排强噪声施工行为的时间，减少施工噪声对野生动物的干扰，合理制定施工计划，避免在夜间以及鸟类繁殖季节进行施工。</w:t>
      </w:r>
    </w:p>
    <w:p w14:paraId="22D4F768">
      <w:pPr>
        <w:adjustRightInd w:val="0"/>
        <w:snapToGrid w:val="0"/>
        <w:spacing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4）施工结束后，对施工扰动区域及临时占地区域进行原生态恢复，恢复野生动物生境。科学规划、精心组织、强化教育、缩短工期，减少工程施工期对鸟类栖息地的扰动和破坏，降低施工噪声对鸟类的惊扰和驱赶，避免捕鸟、掏蛋等对鸟类直接伤害的行为。</w:t>
      </w:r>
    </w:p>
    <w:p w14:paraId="5F24285F">
      <w:pPr>
        <w:adjustRightInd w:val="0"/>
        <w:snapToGrid w:val="0"/>
        <w:spacing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5）经过植被较好的区域时应采用高塔架设和无人机放线等施工架线工艺；穿越天然植被（云南松林）基塔施工减少开挖，使用无人机布线。施工现场使用带油料的机械器具，应铺设彩条布防止油料跑、冒、滴、漏，防止对土壤和水体造成污染。除施工必要的砍伐外，禁止乱砍滥伐，禁止砍伐非施工用地范围内的植物。</w:t>
      </w:r>
    </w:p>
    <w:p w14:paraId="092DAB51">
      <w:pPr>
        <w:adjustRightInd w:val="0"/>
        <w:snapToGrid w:val="0"/>
        <w:spacing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6）对保护物种的影响减缓措施：禁止超范围占地，要有效地限制施工活动范围，减少人为活动对动物的影响；禁止施工人员猎捕野生动物，禁止乱砍滥伐，破坏野生动物生境；选用低噪声机械设备进行施工，控制施工噪声、施工扬尘、固体废弃物等，减少施工人员、设备与污染对周边野生动物的干扰；另外，施工噪声较大的环节建议避让评价区内保护动物的繁殖季节（3-4月），施工结束后，应立即对临时用地进行植被恢复，恢复动物的栖息环境。</w:t>
      </w:r>
    </w:p>
    <w:p w14:paraId="3811FDFF">
      <w:pPr>
        <w:adjustRightInd w:val="0"/>
        <w:snapToGrid w:val="0"/>
        <w:spacing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7）建设单位应成立监督管理机构，制定相应的管理、奖惩制度，配备专职人员对工程施工的全过程进行监督管理。杜绝乱砍滥伐、捕猎行为的发生；加强林业管理，严禁捕猎鸟类、兽类、砍伐非施工区域的植物，违者应依法处理。</w:t>
      </w:r>
    </w:p>
    <w:p w14:paraId="2549E2A0">
      <w:pPr>
        <w:adjustRightInd w:val="0"/>
        <w:snapToGrid w:val="0"/>
        <w:spacing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在采取上述土地占用保护措施和植被保护、动物保护措施后，工程施工期对周边生态环境影响较小。</w:t>
      </w:r>
    </w:p>
    <w:p w14:paraId="1E87D670">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332" w:name="_Toc23131"/>
      <w:r>
        <w:rPr>
          <w:rFonts w:hint="default" w:ascii="Times New Roman" w:hAnsi="Times New Roman" w:cs="Times New Roman"/>
          <w:color w:val="auto"/>
          <w:sz w:val="24"/>
          <w:szCs w:val="24"/>
        </w:rPr>
        <w:t>4.1.4重要物种环境保护措施</w:t>
      </w:r>
      <w:bookmarkEnd w:id="332"/>
    </w:p>
    <w:p w14:paraId="5C3A5702">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rPr>
        <w:t>①</w:t>
      </w:r>
      <w:r>
        <w:rPr>
          <w:rFonts w:hint="default" w:ascii="Times New Roman" w:hAnsi="Times New Roman" w:eastAsia="宋体" w:cs="Times New Roman"/>
          <w:color w:val="auto"/>
          <w:szCs w:val="24"/>
        </w:rPr>
        <w:t>加强施工单位和施工人员的宣传教育，通过标志牌、法律宣传等措施</w:t>
      </w:r>
      <w:r>
        <w:rPr>
          <w:rFonts w:hint="default" w:ascii="Times New Roman" w:hAnsi="Times New Roman" w:eastAsia="宋体" w:cs="Times New Roman"/>
          <w:color w:val="auto"/>
          <w:spacing w:val="2"/>
          <w:szCs w:val="24"/>
        </w:rPr>
        <w:t>进行宣传，严禁猎杀野生动物，并通过对违法活动进行举报奖励的措施以制止</w:t>
      </w:r>
      <w:r>
        <w:rPr>
          <w:rFonts w:hint="default" w:ascii="Times New Roman" w:hAnsi="Times New Roman" w:eastAsia="宋体" w:cs="Times New Roman"/>
          <w:color w:val="auto"/>
          <w:spacing w:val="-2"/>
          <w:szCs w:val="24"/>
        </w:rPr>
        <w:t>偷猎活动。对于评价区内的</w:t>
      </w:r>
      <w:r>
        <w:rPr>
          <w:rFonts w:hint="eastAsia" w:ascii="Times New Roman" w:hAnsi="Times New Roman" w:eastAsia="宋体" w:cs="Times New Roman"/>
          <w:color w:val="auto"/>
          <w:spacing w:val="-2"/>
          <w:szCs w:val="24"/>
          <w:lang w:val="en-US" w:eastAsia="zh-CN"/>
        </w:rPr>
        <w:t>5</w:t>
      </w:r>
      <w:r>
        <w:rPr>
          <w:rFonts w:hint="default" w:ascii="Times New Roman" w:hAnsi="Times New Roman" w:eastAsia="宋体" w:cs="Times New Roman"/>
          <w:color w:val="auto"/>
          <w:spacing w:val="-2"/>
          <w:szCs w:val="24"/>
        </w:rPr>
        <w:t>种重要动物，严禁施工人员捕猎，并以展</w:t>
      </w:r>
      <w:r>
        <w:rPr>
          <w:rFonts w:hint="default" w:ascii="Times New Roman" w:hAnsi="Times New Roman" w:eastAsia="宋体" w:cs="Times New Roman"/>
          <w:color w:val="auto"/>
          <w:spacing w:val="-3"/>
          <w:szCs w:val="24"/>
        </w:rPr>
        <w:t>板形式</w:t>
      </w:r>
      <w:r>
        <w:rPr>
          <w:rFonts w:hint="default" w:ascii="Times New Roman" w:hAnsi="Times New Roman" w:eastAsia="宋体" w:cs="Times New Roman"/>
          <w:color w:val="auto"/>
          <w:spacing w:val="-2"/>
          <w:szCs w:val="24"/>
        </w:rPr>
        <w:t>对施工人员进行宣传教育；施工时要合理安</w:t>
      </w:r>
      <w:r>
        <w:rPr>
          <w:rFonts w:hint="default" w:ascii="Times New Roman" w:hAnsi="Times New Roman" w:eastAsia="宋体" w:cs="Times New Roman"/>
          <w:color w:val="auto"/>
          <w:spacing w:val="-3"/>
          <w:szCs w:val="24"/>
        </w:rPr>
        <w:t>排施工作业的时间，尽量缩短工期。</w:t>
      </w:r>
    </w:p>
    <w:p w14:paraId="4528DD24">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rPr>
        <w:t>②</w:t>
      </w:r>
      <w:r>
        <w:rPr>
          <w:rFonts w:hint="default" w:ascii="Times New Roman" w:hAnsi="Times New Roman" w:eastAsia="宋体" w:cs="Times New Roman"/>
          <w:color w:val="auto"/>
          <w:szCs w:val="24"/>
        </w:rPr>
        <w:t>项目在施工过程中若遇到重点保护动物，按照《输变电建设项目环境保护技</w:t>
      </w:r>
      <w:r>
        <w:rPr>
          <w:rFonts w:hint="default" w:ascii="Times New Roman" w:hAnsi="Times New Roman" w:eastAsia="宋体" w:cs="Times New Roman"/>
          <w:color w:val="auto"/>
          <w:spacing w:val="1"/>
          <w:szCs w:val="24"/>
        </w:rPr>
        <w:t>术要求》（</w:t>
      </w:r>
      <w:r>
        <w:rPr>
          <w:rFonts w:hint="default" w:ascii="Times New Roman" w:hAnsi="Times New Roman" w:eastAsia="宋体" w:cs="Times New Roman"/>
          <w:color w:val="auto"/>
          <w:szCs w:val="24"/>
        </w:rPr>
        <w:t>HJ</w:t>
      </w:r>
      <w:r>
        <w:rPr>
          <w:rFonts w:hint="default" w:ascii="Times New Roman" w:hAnsi="Times New Roman" w:eastAsia="宋体" w:cs="Times New Roman"/>
          <w:color w:val="auto"/>
          <w:spacing w:val="1"/>
          <w:szCs w:val="24"/>
        </w:rPr>
        <w:t>1113-2020）中相关要求“施工区发现有保</w:t>
      </w:r>
      <w:r>
        <w:rPr>
          <w:rFonts w:hint="default" w:ascii="Times New Roman" w:hAnsi="Times New Roman" w:eastAsia="宋体" w:cs="Times New Roman"/>
          <w:color w:val="auto"/>
          <w:szCs w:val="24"/>
        </w:rPr>
        <w:t>护动物时应暂停施工，</w:t>
      </w:r>
      <w:r>
        <w:rPr>
          <w:rFonts w:hint="default" w:ascii="Times New Roman" w:hAnsi="Times New Roman" w:eastAsia="宋体" w:cs="Times New Roman"/>
          <w:color w:val="auto"/>
          <w:spacing w:val="-1"/>
          <w:szCs w:val="24"/>
        </w:rPr>
        <w:t>并实施保护方案”，禁止挑衅、捕猎，待保护动物自行离开施</w:t>
      </w:r>
      <w:r>
        <w:rPr>
          <w:rFonts w:hint="default" w:ascii="Times New Roman" w:hAnsi="Times New Roman" w:eastAsia="宋体" w:cs="Times New Roman"/>
          <w:color w:val="auto"/>
          <w:spacing w:val="-2"/>
          <w:szCs w:val="24"/>
        </w:rPr>
        <w:t>工区后方可恢复施</w:t>
      </w:r>
      <w:r>
        <w:rPr>
          <w:rFonts w:hint="default" w:ascii="Times New Roman" w:hAnsi="Times New Roman" w:eastAsia="宋体" w:cs="Times New Roman"/>
          <w:color w:val="auto"/>
          <w:spacing w:val="3"/>
          <w:szCs w:val="24"/>
        </w:rPr>
        <w:t>工，若动物因受伤等原因无法自行离开需汇报当</w:t>
      </w:r>
      <w:r>
        <w:rPr>
          <w:rFonts w:hint="default" w:ascii="Times New Roman" w:hAnsi="Times New Roman" w:eastAsia="宋体" w:cs="Times New Roman"/>
          <w:color w:val="auto"/>
          <w:spacing w:val="2"/>
          <w:szCs w:val="24"/>
        </w:rPr>
        <w:t>地林业部门；对受伤的珍稀动</w:t>
      </w:r>
      <w:r>
        <w:rPr>
          <w:rFonts w:hint="default" w:ascii="Times New Roman" w:hAnsi="Times New Roman" w:eastAsia="宋体" w:cs="Times New Roman"/>
          <w:color w:val="auto"/>
          <w:szCs w:val="24"/>
        </w:rPr>
        <w:t>物应及时联系野生动物保护部门，及时救治。</w:t>
      </w:r>
    </w:p>
    <w:p w14:paraId="4BB879C1">
      <w:pPr>
        <w:pStyle w:val="92"/>
        <w:adjustRightInd w:val="0"/>
        <w:snapToGrid w:val="0"/>
        <w:spacing w:after="0" w:line="440" w:lineRule="exact"/>
        <w:ind w:firstLine="480"/>
        <w:jc w:val="both"/>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z w:val="24"/>
        </w:rPr>
        <w:t>③</w:t>
      </w:r>
      <w:r>
        <w:rPr>
          <w:rFonts w:hint="default" w:ascii="Times New Roman" w:hAnsi="Times New Roman" w:eastAsia="宋体" w:cs="Times New Roman"/>
          <w:color w:val="auto"/>
          <w:spacing w:val="-2"/>
          <w:sz w:val="24"/>
          <w:szCs w:val="24"/>
        </w:rPr>
        <w:t>合理安排，科学组织施工。野生鸟类和兽类大多是晨昏外出觅食，正</w:t>
      </w:r>
      <w:r>
        <w:rPr>
          <w:rFonts w:hint="default" w:ascii="Times New Roman" w:hAnsi="Times New Roman" w:eastAsia="宋体" w:cs="Times New Roman"/>
          <w:color w:val="auto"/>
          <w:spacing w:val="2"/>
          <w:sz w:val="24"/>
          <w:szCs w:val="24"/>
        </w:rPr>
        <w:t>午休息。为了减少工程施工噪声对野生动物的惊扰，应做好施工方式和时间的</w:t>
      </w:r>
      <w:r>
        <w:rPr>
          <w:rFonts w:hint="default" w:ascii="Times New Roman" w:hAnsi="Times New Roman" w:eastAsia="宋体" w:cs="Times New Roman"/>
          <w:color w:val="auto"/>
          <w:sz w:val="24"/>
          <w:szCs w:val="24"/>
        </w:rPr>
        <w:t>计划，并力求避免在晨昏和正午进行噪声较大的施</w:t>
      </w:r>
      <w:r>
        <w:rPr>
          <w:rFonts w:hint="default" w:ascii="Times New Roman" w:hAnsi="Times New Roman" w:eastAsia="宋体" w:cs="Times New Roman"/>
          <w:color w:val="auto"/>
          <w:spacing w:val="-1"/>
          <w:sz w:val="24"/>
          <w:szCs w:val="24"/>
        </w:rPr>
        <w:t>工活动，禁止夜间施工。</w:t>
      </w:r>
    </w:p>
    <w:p w14:paraId="1C3A5813">
      <w:pPr>
        <w:pStyle w:val="5"/>
        <w:numPr>
          <w:ilvl w:val="2"/>
          <w:numId w:val="0"/>
        </w:numPr>
        <w:adjustRightInd w:val="0"/>
        <w:snapToGrid w:val="0"/>
        <w:spacing w:line="440" w:lineRule="exact"/>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4.1.5管理措施</w:t>
      </w:r>
    </w:p>
    <w:p w14:paraId="4A8F1C2A">
      <w:pPr>
        <w:keepNext w:val="0"/>
        <w:keepLines w:val="0"/>
        <w:pageBreakBefore w:val="0"/>
        <w:widowControl w:val="0"/>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①在施工过程中，如发现受保护的野生动植物，要及时报告当地林业部门。</w:t>
      </w:r>
    </w:p>
    <w:p w14:paraId="7F927695">
      <w:pPr>
        <w:keepNext w:val="0"/>
        <w:keepLines w:val="0"/>
        <w:pageBreakBefore w:val="0"/>
        <w:widowControl w:val="0"/>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②施工前，施工单位应做好施工</w:t>
      </w:r>
      <w:r>
        <w:rPr>
          <w:rFonts w:hint="eastAsia" w:ascii="Times New Roman" w:hAnsi="Times New Roman" w:eastAsia="宋体" w:cs="Times New Roman"/>
          <w:color w:val="auto"/>
          <w:lang w:val="en-US" w:eastAsia="zh-CN"/>
        </w:rPr>
        <w:t>期间</w:t>
      </w:r>
      <w:r>
        <w:rPr>
          <w:rFonts w:hint="default" w:ascii="Times New Roman" w:hAnsi="Times New Roman" w:eastAsia="宋体" w:cs="Times New Roman"/>
          <w:color w:val="auto"/>
          <w:lang w:val="en-US" w:eastAsia="zh-CN"/>
        </w:rPr>
        <w:t>环境管理与教育培训、印发环境保护手册，组织专业人员对施工人员进行环保宣传教育，在施工期间严格施工红线，严格行为规范，进行必要的管理监督。</w:t>
      </w:r>
    </w:p>
    <w:p w14:paraId="3EA94941">
      <w:pPr>
        <w:keepNext w:val="0"/>
        <w:keepLines w:val="0"/>
        <w:pageBreakBefore w:val="0"/>
        <w:widowControl w:val="0"/>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③在施工设计文件中应说明施工期需注意的环保问题，如对沿线树木砍伐，野生动植物保护、植被恢复等情况均应按设计文件执行；严格要求施工单位按环保设计要求施工。</w:t>
      </w:r>
    </w:p>
    <w:p w14:paraId="16F50EE4">
      <w:pPr>
        <w:keepNext w:val="0"/>
        <w:keepLines w:val="0"/>
        <w:pageBreakBefore w:val="0"/>
        <w:widowControl w:val="0"/>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④在人员活动较多和较集中的区域，如生产区域、项目部附近，粘贴和设置环境保护方面的警示牌，提醒人们依法保护自然环境。</w:t>
      </w:r>
    </w:p>
    <w:p w14:paraId="02632C4E">
      <w:pPr>
        <w:keepNext w:val="0"/>
        <w:keepLines w:val="0"/>
        <w:pageBreakBefore w:val="0"/>
        <w:widowControl w:val="0"/>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⑤加强生态入侵风险管理，加强项目区危险性林业有害生物的预防和控制，强化森林资源及其附近森林资源的保护，确保区域生态安全。</w:t>
      </w:r>
    </w:p>
    <w:p w14:paraId="7F23CC7B">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333" w:name="_Toc15235"/>
      <w:bookmarkStart w:id="334" w:name="_Toc14682"/>
      <w:r>
        <w:rPr>
          <w:rFonts w:hint="default" w:ascii="Times New Roman" w:hAnsi="Times New Roman" w:eastAsia="宋体" w:cs="Times New Roman"/>
          <w:bCs w:val="0"/>
          <w:color w:val="auto"/>
          <w:kern w:val="0"/>
          <w:sz w:val="28"/>
          <w:szCs w:val="28"/>
          <w:lang w:val="zh-CN"/>
        </w:rPr>
        <w:t>4.2运营期生态环境保护措施</w:t>
      </w:r>
      <w:bookmarkEnd w:id="333"/>
      <w:bookmarkEnd w:id="334"/>
    </w:p>
    <w:p w14:paraId="1B68960E">
      <w:pPr>
        <w:adjustRightInd w:val="0"/>
        <w:snapToGrid w:val="0"/>
        <w:spacing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1）在项目运行期需对线路沿线及塔基进行定期巡查及检修，应对线路运行维护人员进行生态环境保护，尤其是野生动植物保护相关知识的培训，增强他们的环境保护意识，不对工程周边区域的动植物及生态环境造成破坏。</w:t>
      </w:r>
    </w:p>
    <w:p w14:paraId="165144DF">
      <w:pPr>
        <w:adjustRightInd w:val="0"/>
        <w:snapToGrid w:val="0"/>
        <w:spacing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（2）强化对设备检修维护人员的生态保护意识教育，加强管理，禁止滥采滥伐和捕猎野生动物，避免因此导致沿线自然植被破坏和野生动物的影响；</w:t>
      </w:r>
    </w:p>
    <w:p w14:paraId="46CBD1D0">
      <w:pPr>
        <w:adjustRightInd w:val="0"/>
        <w:snapToGrid w:val="0"/>
        <w:spacing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3）定期对线路沿线生态保护和防护措施及设施进行检查，跟踪生态保护与恢复效果，以便及时采取后续措施。输电线路使用警示色。根据鸟类的视觉特征，将高压输电线路导线设置成对鸟类具有警示作用的颜色，提醒鸟类对障碍物的识别，减少碰撞概率。</w:t>
      </w:r>
    </w:p>
    <w:p w14:paraId="143CF840">
      <w:pPr>
        <w:adjustRightInd w:val="0"/>
        <w:snapToGrid w:val="0"/>
        <w:spacing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（4）对于永久占地造成的植被破坏，建设单位应严格按照有关规定向政府和主管部门缴纳相关青苗补偿费、林木赔偿费等，并由相关部门统一安排植被恢复。</w:t>
      </w:r>
    </w:p>
    <w:p w14:paraId="020C6102">
      <w:pPr>
        <w:adjustRightInd w:val="0"/>
        <w:snapToGrid w:val="0"/>
        <w:spacing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（5）严格遵循《110kV～750kV架空输电线路施工及验收规范》（GB50233-2014），为保护评价区内天然植被，禁止砍伐通道，仅对运营后期生长到21m以上的林冠进行修剪。</w:t>
      </w:r>
    </w:p>
    <w:p w14:paraId="2FF22E38">
      <w:pPr>
        <w:adjustRightInd w:val="0"/>
        <w:snapToGrid w:val="0"/>
        <w:spacing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（6）线路运行后，进行维护或巡视时不得新开道路。设置告示牌和警示牌。运行后制定相关的工作规则，避免维护人员伤害野生动物。</w:t>
      </w:r>
    </w:p>
    <w:p w14:paraId="78E3DF6D">
      <w:pPr>
        <w:adjustRightInd w:val="0"/>
        <w:snapToGrid w:val="0"/>
        <w:spacing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采取相应的预防生态破坏措施和恢复生态手段，尤其是通过施工管理的保护和恢复后，项目建设对生态环境影响较小，不会导致项目所在区域环境功能明显改变。</w:t>
      </w:r>
    </w:p>
    <w:p w14:paraId="58FF5B92">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335" w:name="_Toc19444"/>
      <w:bookmarkStart w:id="336" w:name="_Toc437114787"/>
      <w:bookmarkStart w:id="337" w:name="_Toc444534415"/>
      <w:bookmarkStart w:id="338" w:name="_Toc4078"/>
      <w:bookmarkStart w:id="339" w:name="_Toc5439"/>
      <w:bookmarkStart w:id="340" w:name="_Toc437590504"/>
      <w:bookmarkStart w:id="341" w:name="_Toc421819576"/>
      <w:bookmarkStart w:id="342" w:name="_Toc437291435"/>
      <w:r>
        <w:rPr>
          <w:rFonts w:hint="default" w:ascii="Times New Roman" w:hAnsi="Times New Roman" w:eastAsia="宋体" w:cs="Times New Roman"/>
          <w:bCs w:val="0"/>
          <w:color w:val="auto"/>
          <w:kern w:val="0"/>
          <w:sz w:val="28"/>
          <w:szCs w:val="28"/>
          <w:lang w:val="zh-CN"/>
        </w:rPr>
        <w:t>4.3 生态保护红线保护措施</w:t>
      </w:r>
      <w:bookmarkEnd w:id="335"/>
      <w:bookmarkEnd w:id="336"/>
      <w:bookmarkEnd w:id="337"/>
      <w:bookmarkEnd w:id="338"/>
      <w:bookmarkEnd w:id="339"/>
      <w:bookmarkEnd w:id="340"/>
      <w:bookmarkEnd w:id="341"/>
      <w:bookmarkEnd w:id="342"/>
    </w:p>
    <w:p w14:paraId="5768DD5C">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343" w:name="_Toc8998"/>
      <w:r>
        <w:rPr>
          <w:rFonts w:hint="default" w:ascii="Times New Roman" w:hAnsi="Times New Roman" w:cs="Times New Roman"/>
          <w:color w:val="auto"/>
          <w:sz w:val="24"/>
          <w:szCs w:val="24"/>
        </w:rPr>
        <w:t>4.3.1施工期生态保护红线保护措施</w:t>
      </w:r>
      <w:bookmarkEnd w:id="343"/>
    </w:p>
    <w:p w14:paraId="6D00ECC8">
      <w:pPr>
        <w:adjustRightInd w:val="0"/>
        <w:snapToGrid w:val="0"/>
        <w:spacing w:after="0" w:line="440" w:lineRule="exact"/>
        <w:ind w:firstLine="480"/>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1）建设过程中严格落实生态保护红线的管控要求，实施源头严防、过程严管、后果严惩的全周期管控。跨越生态保护红线段采用无人机放线的施工方式，严格落实各项环境保护措施，保证生态保护红线内污染物排放满足国家的地方的相关规定。</w:t>
      </w:r>
    </w:p>
    <w:p w14:paraId="5788B71B">
      <w:pPr>
        <w:adjustRightInd w:val="0"/>
        <w:snapToGrid w:val="0"/>
        <w:spacing w:after="0" w:line="440" w:lineRule="exact"/>
        <w:ind w:firstLine="480"/>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2）项目线路跨越生态保护红线段施工区，禁止在红线范围内及邻近区域设置施工场地，严格控制施工场地范围和施工作业带宽度，明确施工作业范围，减少施工活动对生态保护红线的扰动。施工时要严格按照施工工序进行施工，对临时堆放的砂石材料进行遮盖，防止扬尘，施工期间做好洒水降尘工作，严格控制工程破坏植被的面积，增加对植被的保护措施，严禁超范围开挖，工程完工后应迅速对开挖区、边坡等区域进行水土流失防治和植被绿化。跨越区域施工</w:t>
      </w:r>
      <w:r>
        <w:rPr>
          <w:rFonts w:hint="default" w:ascii="Times New Roman" w:hAnsi="Times New Roman" w:eastAsia="宋体" w:cs="Times New Roman"/>
          <w:color w:val="auto"/>
          <w:szCs w:val="24"/>
        </w:rPr>
        <w:t>必须</w:t>
      </w:r>
      <w:r>
        <w:rPr>
          <w:rFonts w:hint="default" w:ascii="Times New Roman" w:hAnsi="Times New Roman" w:eastAsia="宋体" w:cs="Times New Roman"/>
          <w:color w:val="auto"/>
          <w:szCs w:val="24"/>
          <w:lang w:val="zh-CN"/>
        </w:rPr>
        <w:t>采用无人机布线，减少对生态保护红线的影响。</w:t>
      </w:r>
    </w:p>
    <w:p w14:paraId="32E569CA">
      <w:pPr>
        <w:adjustRightInd w:val="0"/>
        <w:snapToGrid w:val="0"/>
        <w:spacing w:after="0" w:line="440" w:lineRule="exact"/>
        <w:ind w:firstLine="480"/>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3）加强施工期间的监督管理，确保各项生态保护措施落实到位。建设单位应制定施工期环境管理实施方案，明确施工单位的环境保护责任。</w:t>
      </w:r>
    </w:p>
    <w:p w14:paraId="26184233">
      <w:pPr>
        <w:adjustRightInd w:val="0"/>
        <w:snapToGrid w:val="0"/>
        <w:spacing w:after="0" w:line="440" w:lineRule="exact"/>
        <w:ind w:firstLine="480"/>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rPr>
        <w:t>4</w:t>
      </w:r>
      <w:r>
        <w:rPr>
          <w:rFonts w:hint="default" w:ascii="Times New Roman" w:hAnsi="Times New Roman" w:eastAsia="宋体" w:cs="Times New Roman"/>
          <w:color w:val="auto"/>
          <w:szCs w:val="24"/>
          <w:lang w:val="zh-CN"/>
        </w:rPr>
        <w:t>）加强施工人员的环境保护宣传工作，严格规范施工行为，</w:t>
      </w:r>
      <w:r>
        <w:rPr>
          <w:rFonts w:hint="default" w:ascii="Times New Roman" w:hAnsi="Times New Roman" w:eastAsia="宋体" w:cs="Times New Roman"/>
          <w:color w:val="auto"/>
          <w:szCs w:val="24"/>
        </w:rPr>
        <w:t>禁止</w:t>
      </w:r>
      <w:r>
        <w:rPr>
          <w:rFonts w:hint="default" w:ascii="Times New Roman" w:hAnsi="Times New Roman" w:eastAsia="宋体" w:cs="Times New Roman"/>
          <w:color w:val="auto"/>
          <w:szCs w:val="24"/>
          <w:lang w:val="zh-CN"/>
        </w:rPr>
        <w:t>在生态保护红线范围内随意破坏林木，排放污水，倾倒废弃物。</w:t>
      </w:r>
    </w:p>
    <w:p w14:paraId="0BB073E0">
      <w:pPr>
        <w:adjustRightInd w:val="0"/>
        <w:snapToGrid w:val="0"/>
        <w:spacing w:line="440" w:lineRule="exact"/>
        <w:ind w:firstLine="480"/>
        <w:rPr>
          <w:rFonts w:hint="default" w:ascii="Times New Roman" w:hAnsi="Times New Roman" w:eastAsia="宋体" w:cs="Times New Roman"/>
          <w:color w:val="auto"/>
          <w:szCs w:val="24"/>
          <w:lang w:val="zh-CN"/>
        </w:rPr>
      </w:pPr>
      <w:r>
        <w:rPr>
          <w:rFonts w:hint="eastAsia" w:ascii="Times New Roman" w:hAnsi="Times New Roman" w:eastAsia="宋体" w:cs="Times New Roman"/>
          <w:color w:val="auto"/>
          <w:szCs w:val="24"/>
          <w:lang w:val="en-US" w:eastAsia="zh-CN"/>
        </w:rPr>
        <w:t>5</w:t>
      </w:r>
      <w:r>
        <w:rPr>
          <w:rFonts w:hint="default" w:ascii="Times New Roman" w:hAnsi="Times New Roman" w:eastAsia="宋体" w:cs="Times New Roman"/>
          <w:color w:val="auto"/>
          <w:szCs w:val="24"/>
          <w:lang w:val="zh-CN"/>
        </w:rPr>
        <w:t>）施工期，在施工区周边设置生态保护警示牌，在生态保护红线区边界设置警戒线，减少施工人员进入生态保护红线区范围内活动，严禁随意破坏植被、植物。加强消防安全管理，严禁发生森林火灾。加强宣传教育和管理，认真全面贯彻执行野生动植物保护</w:t>
      </w:r>
      <w:r>
        <w:rPr>
          <w:rFonts w:hint="eastAsia" w:ascii="Times New Roman" w:hAnsi="Times New Roman" w:eastAsia="宋体" w:cs="Times New Roman"/>
          <w:color w:val="auto"/>
          <w:szCs w:val="24"/>
          <w:lang w:val="zh-CN"/>
        </w:rPr>
        <w:t>法律法规</w:t>
      </w:r>
      <w:r>
        <w:rPr>
          <w:rFonts w:hint="default" w:ascii="Times New Roman" w:hAnsi="Times New Roman" w:eastAsia="宋体" w:cs="Times New Roman"/>
          <w:color w:val="auto"/>
          <w:szCs w:val="24"/>
          <w:lang w:val="zh-CN"/>
        </w:rPr>
        <w:t>，严禁非法猎捕野生动物。通过发放宣传册、张贴宣传画报等措施，增强人们的生态环境保护意识。</w:t>
      </w:r>
    </w:p>
    <w:p w14:paraId="0B5A0795">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344" w:name="_Toc13282"/>
      <w:bookmarkStart w:id="345" w:name="_Toc15328"/>
      <w:r>
        <w:rPr>
          <w:rFonts w:hint="default" w:ascii="Times New Roman" w:hAnsi="Times New Roman" w:cs="Times New Roman"/>
          <w:color w:val="auto"/>
          <w:sz w:val="24"/>
          <w:szCs w:val="24"/>
        </w:rPr>
        <w:t>4.3.2运营期生态保护红线保护措施</w:t>
      </w:r>
      <w:bookmarkEnd w:id="344"/>
      <w:bookmarkEnd w:id="345"/>
    </w:p>
    <w:p w14:paraId="17E1A33E">
      <w:pPr>
        <w:adjustRightInd w:val="0"/>
        <w:snapToGrid w:val="0"/>
        <w:spacing w:line="440" w:lineRule="exact"/>
        <w:ind w:firstLine="480"/>
        <w:rPr>
          <w:rFonts w:hint="default" w:ascii="Times New Roman" w:hAnsi="Times New Roman" w:eastAsia="宋体" w:cs="Times New Roman"/>
          <w:color w:val="auto"/>
          <w:szCs w:val="24"/>
        </w:rPr>
      </w:pPr>
      <w:bookmarkStart w:id="346" w:name="_Toc19319"/>
      <w:r>
        <w:rPr>
          <w:rFonts w:hint="default" w:ascii="Times New Roman" w:hAnsi="Times New Roman" w:eastAsia="宋体" w:cs="Times New Roman"/>
          <w:color w:val="auto"/>
          <w:szCs w:val="24"/>
        </w:rPr>
        <w:t>（1）塔基施工完成后，应对施工现场塔基区、塔基施工场地、人抬道路区进行清理平整并及时进行植被恢复，人工恢复以当地植物为主，禁止引进外来入侵物种。</w:t>
      </w:r>
    </w:p>
    <w:p w14:paraId="46403945">
      <w:pPr>
        <w:adjustRightInd w:val="0"/>
        <w:snapToGrid w:val="0"/>
        <w:spacing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（2）加强对植被恢复区域绿化植物的抚育管理，提高恢复植物成活率及植被覆盖率。</w:t>
      </w:r>
    </w:p>
    <w:p w14:paraId="28E1EB4D">
      <w:pPr>
        <w:adjustRightInd w:val="0"/>
        <w:snapToGrid w:val="0"/>
        <w:spacing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（3）定期对生态保护红线内生态保护措施进行检查，跟踪生态保护与恢复效果，以便及时采取后续措施。</w:t>
      </w:r>
    </w:p>
    <w:p w14:paraId="7E0CBDA3">
      <w:pPr>
        <w:adjustRightInd w:val="0"/>
        <w:snapToGrid w:val="0"/>
        <w:spacing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（4）对电站工作人员加强管理，在项目区周边设置生态保护警示牌，告知工作人员生态保护红线区的位置及范围，减少工作人员进入生态保护红线区内活动。</w:t>
      </w:r>
    </w:p>
    <w:p w14:paraId="49D42028">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347" w:name="_Toc14122"/>
      <w:r>
        <w:rPr>
          <w:rFonts w:hint="default" w:ascii="Times New Roman" w:hAnsi="Times New Roman" w:cs="Times New Roman"/>
          <w:color w:val="auto"/>
          <w:sz w:val="24"/>
          <w:szCs w:val="24"/>
        </w:rPr>
        <w:t>4.3.3生态保护红线监管措施</w:t>
      </w:r>
      <w:bookmarkEnd w:id="347"/>
    </w:p>
    <w:p w14:paraId="69E287CE">
      <w:pPr>
        <w:ind w:firstLine="480"/>
        <w:rPr>
          <w:rFonts w:hint="default" w:ascii="Times New Roman" w:hAnsi="Times New Roman" w:cs="Times New Roman"/>
          <w:color w:val="auto"/>
        </w:rPr>
      </w:pPr>
      <w:r>
        <w:rPr>
          <w:rFonts w:hint="default" w:ascii="Times New Roman" w:hAnsi="Times New Roman" w:cs="Times New Roman"/>
          <w:color w:val="auto"/>
        </w:rPr>
        <w:t>工程跨越生态保护红线段，应联合生态保护红线主管部门，由主管部门结合保护需求划定施工范围，尽量减少施工对生态保护红线的影响，并由主管部门监管</w:t>
      </w:r>
      <w:r>
        <w:rPr>
          <w:rFonts w:hint="eastAsia" w:ascii="Times New Roman" w:hAnsi="Times New Roman" w:cs="Times New Roman"/>
          <w:color w:val="auto"/>
          <w:lang w:eastAsia="zh-CN"/>
        </w:rPr>
        <w:t>施工</w:t>
      </w:r>
      <w:r>
        <w:rPr>
          <w:rFonts w:hint="default" w:ascii="Times New Roman" w:hAnsi="Times New Roman" w:cs="Times New Roman"/>
          <w:color w:val="auto"/>
        </w:rPr>
        <w:t>行为。运行期针对跨越红线段管护、巡护均应联合主管部门进行，跨越红线段树木生长到不安全高度时，进行修剪应由主管部门确定修剪范围，减少对生态保护红线的影响。</w:t>
      </w:r>
    </w:p>
    <w:p w14:paraId="3280CB8B">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348" w:name="_Toc12613"/>
      <w:bookmarkStart w:id="349" w:name="_Toc21420"/>
      <w:r>
        <w:rPr>
          <w:rFonts w:hint="default" w:ascii="Times New Roman" w:hAnsi="Times New Roman" w:eastAsia="宋体" w:cs="Times New Roman"/>
          <w:bCs w:val="0"/>
          <w:color w:val="auto"/>
          <w:kern w:val="0"/>
          <w:sz w:val="28"/>
          <w:szCs w:val="28"/>
          <w:lang w:val="zh-CN"/>
        </w:rPr>
        <w:t>4.4公益林保护措施</w:t>
      </w:r>
      <w:bookmarkEnd w:id="348"/>
      <w:bookmarkEnd w:id="349"/>
    </w:p>
    <w:p w14:paraId="120D67F2">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350" w:name="_Toc21295"/>
      <w:r>
        <w:rPr>
          <w:rFonts w:hint="default" w:ascii="Times New Roman" w:hAnsi="Times New Roman" w:cs="Times New Roman"/>
          <w:color w:val="auto"/>
          <w:sz w:val="24"/>
          <w:szCs w:val="24"/>
        </w:rPr>
        <w:t>4.4.1施工期公益林保护措施</w:t>
      </w:r>
      <w:bookmarkEnd w:id="350"/>
    </w:p>
    <w:p w14:paraId="2759573A">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①按照《云南省公益林管理办法》和《建设项目使用林地审核审批管理规范》的相关要求，已向主管部门履行手续，落实公益林补偿和保护工作。</w:t>
      </w:r>
    </w:p>
    <w:p w14:paraId="29741B45">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②线路采取高塔跨越架设，仅对超高树枝进行修剪，临时用地避开林木密集区域，尽量选择林间斑块无树木、稀树荒草地处，减少对公益林的影响。</w:t>
      </w:r>
    </w:p>
    <w:p w14:paraId="6646FFAE">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③项目对公益林的影响主要集中在施工期，为此，根据占用的公益林区域的地形地貌及扰动情况，对临时占用的公益林区域内采取植物恢复措施；对于植物物种的选取，应以乡土树种为主，并且注意乔灌草的合理搭配；植被恢复主要从生态修复的角度出发，着重考虑植被的水土保持、涵养水源和保护生态环境的作用。</w:t>
      </w:r>
    </w:p>
    <w:p w14:paraId="39C6845C">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④根据林业用地的管理规定，交纳森林资源补偿费，并对临时占用的部分进行施工后的恢复，避免超计划占用林地，严禁随意扩大占地范围，项目必须在取得林地征用审批手续的前提方可开工建设。</w:t>
      </w:r>
    </w:p>
    <w:p w14:paraId="0FD08A87">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⑤</w:t>
      </w:r>
      <w:r>
        <w:rPr>
          <w:rFonts w:hint="default" w:ascii="Times New Roman" w:hAnsi="Times New Roman" w:eastAsia="宋体" w:cs="Times New Roman"/>
          <w:color w:val="auto"/>
          <w:szCs w:val="24"/>
        </w:rPr>
        <w:t>涉及占用公益林地，严格控制施工范围，施工过程中除占地范围内必须除去的树木外，不破坏塔基占地周围的树木，严禁乱砍滥伐。塔基基础弃渣全部回填，施工中未随意开辟施工便道。</w:t>
      </w:r>
    </w:p>
    <w:p w14:paraId="4E5F0CFF">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351" w:name="_Toc5371"/>
      <w:r>
        <w:rPr>
          <w:rFonts w:hint="default" w:ascii="Times New Roman" w:hAnsi="Times New Roman" w:cs="Times New Roman"/>
          <w:color w:val="auto"/>
          <w:sz w:val="24"/>
          <w:szCs w:val="24"/>
        </w:rPr>
        <w:t>4.4.2运行期公益林保护措施</w:t>
      </w:r>
      <w:bookmarkEnd w:id="351"/>
    </w:p>
    <w:p w14:paraId="2F827611">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运营期建设单位须对工作人员加强管理，在项目区周边设置生态保护警示牌，告知工作人员公益林的位置及范围，减少工作人员进入公益林内活动；同时加强工作人员的宣传教育，不对公益林进行砍伐破坏。</w:t>
      </w:r>
    </w:p>
    <w:p w14:paraId="3AF84570">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352" w:name="_Toc30190"/>
      <w:bookmarkStart w:id="353" w:name="_Toc4169"/>
      <w:r>
        <w:rPr>
          <w:rFonts w:hint="default" w:ascii="Times New Roman" w:hAnsi="Times New Roman" w:eastAsia="宋体" w:cs="Times New Roman"/>
          <w:bCs w:val="0"/>
          <w:color w:val="auto"/>
          <w:kern w:val="0"/>
          <w:sz w:val="28"/>
          <w:szCs w:val="28"/>
          <w:lang w:val="zh-CN"/>
        </w:rPr>
        <w:t>4.5生态监测计划</w:t>
      </w:r>
      <w:bookmarkEnd w:id="352"/>
      <w:bookmarkEnd w:id="353"/>
    </w:p>
    <w:p w14:paraId="618CBCAB">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354" w:name="_Toc5947"/>
      <w:bookmarkStart w:id="355" w:name="_Toc4789"/>
      <w:r>
        <w:rPr>
          <w:rFonts w:hint="default" w:ascii="Times New Roman" w:hAnsi="Times New Roman" w:cs="Times New Roman"/>
          <w:color w:val="auto"/>
          <w:sz w:val="24"/>
          <w:szCs w:val="24"/>
        </w:rPr>
        <w:t>4.5.1监测区域</w:t>
      </w:r>
      <w:bookmarkEnd w:id="354"/>
      <w:bookmarkEnd w:id="355"/>
    </w:p>
    <w:p w14:paraId="6F2EC3EF">
      <w:pPr>
        <w:adjustRightInd w:val="0"/>
        <w:snapToGrid w:val="0"/>
        <w:spacing w:after="0" w:line="440" w:lineRule="exact"/>
        <w:ind w:firstLine="480"/>
        <w:rPr>
          <w:rFonts w:hint="default" w:ascii="Times New Roman" w:hAnsi="Times New Roman" w:cs="Times New Roman"/>
          <w:color w:val="auto"/>
        </w:rPr>
      </w:pPr>
      <w:r>
        <w:rPr>
          <w:rFonts w:hint="default" w:ascii="Times New Roman" w:hAnsi="Times New Roman" w:cs="Times New Roman"/>
          <w:color w:val="auto"/>
        </w:rPr>
        <w:t>建议重点监测涉及生态保护红线区域。监测点概况及内容见下表。</w:t>
      </w:r>
    </w:p>
    <w:p w14:paraId="701FA387">
      <w:pPr>
        <w:spacing w:after="0" w:line="240" w:lineRule="auto"/>
        <w:ind w:firstLine="0" w:firstLineChars="0"/>
        <w:jc w:val="center"/>
        <w:rPr>
          <w:rFonts w:hint="default" w:ascii="Times New Roman" w:hAnsi="Times New Roman" w:eastAsia="宋体" w:cs="Times New Roman"/>
          <w:color w:val="auto"/>
          <w:szCs w:val="24"/>
        </w:rPr>
      </w:pPr>
      <w:r>
        <w:rPr>
          <w:rFonts w:hint="default" w:ascii="Times New Roman" w:hAnsi="Times New Roman" w:eastAsia="宋体" w:cs="Times New Roman"/>
          <w:b/>
          <w:bCs/>
          <w:color w:val="auto"/>
          <w:spacing w:val="-2"/>
          <w:szCs w:val="24"/>
        </w:rPr>
        <w:t>表4.5-1  监测点概况</w:t>
      </w:r>
    </w:p>
    <w:tbl>
      <w:tblPr>
        <w:tblStyle w:val="91"/>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2308"/>
        <w:gridCol w:w="2184"/>
        <w:gridCol w:w="4043"/>
      </w:tblGrid>
      <w:tr w14:paraId="77078D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1352" w:type="pct"/>
            <w:tcBorders>
              <w:tl2br w:val="nil"/>
              <w:tr2bl w:val="nil"/>
            </w:tcBorders>
            <w:vAlign w:val="center"/>
          </w:tcPr>
          <w:p w14:paraId="08D16E0E">
            <w:pPr>
              <w:pStyle w:val="126"/>
              <w:autoSpaceDE/>
              <w:autoSpaceDN/>
              <w:adjustRightInd w:val="0"/>
              <w:snapToGrid w:val="0"/>
              <w:spacing w:after="0" w:line="240" w:lineRule="auto"/>
              <w:ind w:firstLine="0" w:firstLineChars="0"/>
              <w:jc w:val="center"/>
              <w:rPr>
                <w:rFonts w:hint="default" w:ascii="Times New Roman" w:hAnsi="Times New Roman" w:cs="Times New Roman"/>
                <w:b/>
                <w:bCs/>
                <w:color w:val="auto"/>
                <w:spacing w:val="-3"/>
                <w:sz w:val="21"/>
                <w:szCs w:val="21"/>
                <w:lang w:eastAsia="zh-CN"/>
              </w:rPr>
            </w:pPr>
            <w:r>
              <w:rPr>
                <w:rFonts w:hint="default" w:ascii="Times New Roman" w:hAnsi="Times New Roman" w:cs="Times New Roman"/>
                <w:b/>
                <w:bCs/>
                <w:color w:val="auto"/>
                <w:spacing w:val="-3"/>
                <w:sz w:val="21"/>
                <w:szCs w:val="21"/>
                <w:lang w:eastAsia="zh-CN"/>
              </w:rPr>
              <w:t>监测区域</w:t>
            </w:r>
          </w:p>
        </w:tc>
        <w:tc>
          <w:tcPr>
            <w:tcW w:w="1279" w:type="pct"/>
            <w:tcBorders>
              <w:tl2br w:val="nil"/>
              <w:tr2bl w:val="nil"/>
            </w:tcBorders>
            <w:vAlign w:val="center"/>
          </w:tcPr>
          <w:p w14:paraId="6577B3E0">
            <w:pPr>
              <w:pStyle w:val="126"/>
              <w:autoSpaceDE/>
              <w:autoSpaceDN/>
              <w:adjustRightInd w:val="0"/>
              <w:snapToGrid w:val="0"/>
              <w:spacing w:after="0" w:line="240" w:lineRule="auto"/>
              <w:ind w:firstLine="0" w:firstLineChars="0"/>
              <w:jc w:val="center"/>
              <w:rPr>
                <w:rFonts w:hint="default" w:ascii="Times New Roman" w:hAnsi="Times New Roman" w:cs="Times New Roman"/>
                <w:color w:val="auto"/>
                <w:sz w:val="21"/>
                <w:szCs w:val="21"/>
                <w:lang w:eastAsia="zh-CN"/>
              </w:rPr>
            </w:pPr>
            <w:r>
              <w:rPr>
                <w:rFonts w:hint="default" w:ascii="Times New Roman" w:hAnsi="Times New Roman" w:cs="Times New Roman"/>
                <w:b/>
                <w:bCs/>
                <w:color w:val="auto"/>
                <w:spacing w:val="-3"/>
                <w:sz w:val="21"/>
                <w:szCs w:val="21"/>
              </w:rPr>
              <w:t>主要监测对象</w:t>
            </w:r>
          </w:p>
        </w:tc>
        <w:tc>
          <w:tcPr>
            <w:tcW w:w="2368" w:type="pct"/>
            <w:tcBorders>
              <w:tl2br w:val="nil"/>
              <w:tr2bl w:val="nil"/>
            </w:tcBorders>
            <w:vAlign w:val="center"/>
          </w:tcPr>
          <w:p w14:paraId="3C3C7955">
            <w:pPr>
              <w:pStyle w:val="126"/>
              <w:autoSpaceDE/>
              <w:autoSpaceDN/>
              <w:adjustRightInd w:val="0"/>
              <w:snapToGrid w:val="0"/>
              <w:spacing w:after="0" w:line="240" w:lineRule="auto"/>
              <w:ind w:firstLine="0" w:firstLineChars="0"/>
              <w:jc w:val="center"/>
              <w:rPr>
                <w:rFonts w:hint="default" w:ascii="Times New Roman" w:hAnsi="Times New Roman" w:cs="Times New Roman"/>
                <w:b/>
                <w:bCs/>
                <w:color w:val="auto"/>
                <w:spacing w:val="-3"/>
                <w:sz w:val="21"/>
                <w:szCs w:val="21"/>
                <w:lang w:eastAsia="zh-CN"/>
              </w:rPr>
            </w:pPr>
            <w:r>
              <w:rPr>
                <w:rFonts w:hint="default" w:ascii="Times New Roman" w:hAnsi="Times New Roman" w:cs="Times New Roman"/>
                <w:b/>
                <w:bCs/>
                <w:color w:val="auto"/>
                <w:spacing w:val="-3"/>
                <w:sz w:val="21"/>
                <w:szCs w:val="21"/>
                <w:lang w:eastAsia="zh-CN"/>
              </w:rPr>
              <w:t>监测内容</w:t>
            </w:r>
          </w:p>
        </w:tc>
      </w:tr>
      <w:tr w14:paraId="7B89C9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52" w:type="pct"/>
            <w:tcBorders>
              <w:tl2br w:val="nil"/>
              <w:tr2bl w:val="nil"/>
            </w:tcBorders>
            <w:vAlign w:val="center"/>
          </w:tcPr>
          <w:p w14:paraId="77C720AB">
            <w:pPr>
              <w:pStyle w:val="126"/>
              <w:autoSpaceDE/>
              <w:autoSpaceDN/>
              <w:adjustRightInd w:val="0"/>
              <w:snapToGrid w:val="0"/>
              <w:spacing w:after="0" w:line="240" w:lineRule="auto"/>
              <w:ind w:firstLine="0" w:firstLineChars="0"/>
              <w:jc w:val="center"/>
              <w:rPr>
                <w:rFonts w:hint="default" w:ascii="Times New Roman" w:hAnsi="Times New Roman" w:cs="Times New Roman"/>
                <w:color w:val="auto"/>
                <w:spacing w:val="-1"/>
                <w:sz w:val="21"/>
                <w:szCs w:val="21"/>
                <w:lang w:eastAsia="zh-CN"/>
              </w:rPr>
            </w:pPr>
            <w:r>
              <w:rPr>
                <w:rFonts w:hint="default" w:ascii="Times New Roman" w:hAnsi="Times New Roman" w:cs="Times New Roman"/>
                <w:color w:val="auto"/>
                <w:spacing w:val="-1"/>
                <w:sz w:val="21"/>
                <w:szCs w:val="21"/>
                <w:lang w:eastAsia="zh-CN"/>
              </w:rPr>
              <w:t>重点监测涉及生态保护红线区域</w:t>
            </w:r>
          </w:p>
        </w:tc>
        <w:tc>
          <w:tcPr>
            <w:tcW w:w="1279" w:type="pct"/>
            <w:tcBorders>
              <w:tl2br w:val="nil"/>
              <w:tr2bl w:val="nil"/>
            </w:tcBorders>
            <w:vAlign w:val="center"/>
          </w:tcPr>
          <w:p w14:paraId="2D3D31F0">
            <w:pPr>
              <w:pStyle w:val="126"/>
              <w:autoSpaceDE/>
              <w:autoSpaceDN/>
              <w:adjustRightInd w:val="0"/>
              <w:snapToGrid w:val="0"/>
              <w:spacing w:after="0" w:line="240" w:lineRule="auto"/>
              <w:ind w:firstLine="0" w:firstLineChars="0"/>
              <w:jc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pacing w:val="-1"/>
                <w:sz w:val="21"/>
                <w:szCs w:val="21"/>
                <w:lang w:eastAsia="zh-CN"/>
              </w:rPr>
              <w:t>建成后的植被恢复及演替状况</w:t>
            </w:r>
          </w:p>
        </w:tc>
        <w:tc>
          <w:tcPr>
            <w:tcW w:w="2368" w:type="pct"/>
            <w:tcBorders>
              <w:tl2br w:val="nil"/>
              <w:tr2bl w:val="nil"/>
            </w:tcBorders>
            <w:vAlign w:val="center"/>
          </w:tcPr>
          <w:p w14:paraId="1FB19ABB">
            <w:pPr>
              <w:pStyle w:val="126"/>
              <w:autoSpaceDE/>
              <w:autoSpaceDN/>
              <w:adjustRightInd w:val="0"/>
              <w:snapToGrid w:val="0"/>
              <w:spacing w:after="0" w:line="240" w:lineRule="auto"/>
              <w:ind w:firstLine="0" w:firstLineChars="0"/>
              <w:jc w:val="center"/>
              <w:rPr>
                <w:rFonts w:hint="default" w:ascii="Times New Roman" w:hAnsi="Times New Roman" w:cs="Times New Roman"/>
                <w:color w:val="auto"/>
                <w:spacing w:val="-1"/>
                <w:sz w:val="21"/>
                <w:szCs w:val="21"/>
                <w:lang w:eastAsia="zh-CN"/>
              </w:rPr>
            </w:pPr>
            <w:r>
              <w:rPr>
                <w:rFonts w:hint="default" w:ascii="Times New Roman" w:hAnsi="Times New Roman" w:cs="Times New Roman"/>
                <w:color w:val="auto"/>
                <w:lang w:eastAsia="zh-CN"/>
              </w:rPr>
              <w:t>监测</w:t>
            </w:r>
            <w:r>
              <w:rPr>
                <w:rFonts w:hint="default" w:ascii="Times New Roman" w:hAnsi="Times New Roman" w:cs="Times New Roman"/>
                <w:color w:val="auto"/>
                <w:szCs w:val="24"/>
                <w:lang w:eastAsia="zh-CN"/>
              </w:rPr>
              <w:t>生态系统的整体性和稳定性、植物和植被类型、重点保护动物的数量、出现频率等</w:t>
            </w:r>
          </w:p>
        </w:tc>
      </w:tr>
    </w:tbl>
    <w:p w14:paraId="7013982E">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356" w:name="_Toc11149"/>
      <w:bookmarkStart w:id="357" w:name="_Toc9991"/>
      <w:r>
        <w:rPr>
          <w:rFonts w:hint="default" w:ascii="Times New Roman" w:hAnsi="Times New Roman" w:cs="Times New Roman"/>
          <w:color w:val="auto"/>
          <w:sz w:val="24"/>
          <w:szCs w:val="24"/>
        </w:rPr>
        <w:t>4.5.2监测内容</w:t>
      </w:r>
      <w:bookmarkEnd w:id="356"/>
      <w:bookmarkEnd w:id="357"/>
    </w:p>
    <w:p w14:paraId="3AC200E4">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①监测频率</w:t>
      </w:r>
    </w:p>
    <w:p w14:paraId="3FA8FF1F">
      <w:pPr>
        <w:adjustRightInd w:val="0"/>
        <w:snapToGrid w:val="0"/>
        <w:spacing w:after="0"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生态监测时段为工程施工期、建设完成运行后的第1年，共2期。</w:t>
      </w:r>
    </w:p>
    <w:p w14:paraId="51502F5D">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②主要监测内容</w:t>
      </w:r>
    </w:p>
    <w:p w14:paraId="0C35DA3B">
      <w:pPr>
        <w:adjustRightInd w:val="0"/>
        <w:snapToGrid w:val="0"/>
        <w:spacing w:after="0"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生态系统的整体性和稳定性：以遥感和GIS技术为支撑，监测区域生态系统的构成、生产力及土壤侵蚀变化状况，分析区域生态系统的整体性和稳定性及其变化趋势。</w:t>
      </w:r>
    </w:p>
    <w:p w14:paraId="0901BBF0">
      <w:pPr>
        <w:adjustRightInd w:val="0"/>
        <w:snapToGrid w:val="0"/>
        <w:spacing w:after="0" w:line="440" w:lineRule="exact"/>
        <w:ind w:firstLine="480"/>
        <w:rPr>
          <w:rFonts w:hint="default" w:ascii="Times New Roman" w:hAnsi="Times New Roman" w:cs="Times New Roman"/>
          <w:color w:val="auto"/>
          <w:szCs w:val="24"/>
        </w:rPr>
      </w:pPr>
      <w:r>
        <w:rPr>
          <w:rFonts w:hint="default" w:ascii="Times New Roman" w:hAnsi="Times New Roman" w:cs="Times New Roman"/>
          <w:color w:val="auto"/>
          <w:szCs w:val="24"/>
        </w:rPr>
        <w:t>植物和植被类型：对各监测区域的暖温性针叶林进行调查。调查内容包括群落结构、组成、多优度-群聚度、物种多样性、物候期等。</w:t>
      </w:r>
    </w:p>
    <w:p w14:paraId="2293AA00">
      <w:pPr>
        <w:adjustRightInd w:val="0"/>
        <w:snapToGrid w:val="0"/>
        <w:spacing w:after="0" w:line="440" w:lineRule="exact"/>
        <w:ind w:firstLine="480"/>
        <w:rPr>
          <w:rFonts w:hint="default" w:ascii="Times New Roman" w:hAnsi="Times New Roman" w:cs="Times New Roman"/>
          <w:color w:val="auto"/>
          <w:szCs w:val="24"/>
          <w:lang w:val="zh-CN"/>
        </w:rPr>
      </w:pPr>
      <w:r>
        <w:rPr>
          <w:rFonts w:hint="default" w:ascii="Times New Roman" w:hAnsi="Times New Roman" w:cs="Times New Roman"/>
          <w:color w:val="auto"/>
          <w:szCs w:val="24"/>
        </w:rPr>
        <w:t>陆生动物：对评价区的国家级主要重点保护动物的数量、出现频率进行监测。</w:t>
      </w:r>
    </w:p>
    <w:p w14:paraId="15ED843D">
      <w:pPr>
        <w:pStyle w:val="5"/>
        <w:numPr>
          <w:ilvl w:val="2"/>
          <w:numId w:val="0"/>
        </w:numPr>
        <w:adjustRightInd w:val="0"/>
        <w:snapToGrid w:val="0"/>
        <w:spacing w:line="440" w:lineRule="exact"/>
        <w:rPr>
          <w:rFonts w:hint="default" w:ascii="Times New Roman" w:hAnsi="Times New Roman" w:cs="Times New Roman"/>
          <w:color w:val="auto"/>
          <w:sz w:val="24"/>
          <w:szCs w:val="24"/>
        </w:rPr>
      </w:pPr>
      <w:bookmarkStart w:id="358" w:name="_Toc7211"/>
      <w:bookmarkStart w:id="359" w:name="_Toc21175"/>
      <w:r>
        <w:rPr>
          <w:rFonts w:hint="default" w:ascii="Times New Roman" w:hAnsi="Times New Roman" w:cs="Times New Roman"/>
          <w:color w:val="auto"/>
          <w:sz w:val="24"/>
          <w:szCs w:val="24"/>
        </w:rPr>
        <w:t>4.5.3监测方法</w:t>
      </w:r>
      <w:bookmarkEnd w:id="358"/>
      <w:bookmarkEnd w:id="359"/>
    </w:p>
    <w:p w14:paraId="53F6E184">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1）遥感监测</w:t>
      </w:r>
    </w:p>
    <w:p w14:paraId="41365820">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采用“3S”技术，对工程植被类型、土地利用类型及生态系统类型进行判读、分析和制图，结合资料收集和野外实地调查，分析陆生生态系统完整性变化情况。</w:t>
      </w:r>
    </w:p>
    <w:p w14:paraId="5CDF8EED">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2）实地监测</w:t>
      </w:r>
    </w:p>
    <w:p w14:paraId="077B08FF">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①植物群落调查</w:t>
      </w:r>
    </w:p>
    <w:p w14:paraId="1614CB86">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根据所设定的植物群落类型进行监测：暖温性针叶林的调查面积为25*25m，暖性石灰岩灌丛的调查面积为20*20m，暖温性稀树灌木草丛的调查面积为10*10m。调查内容包括：群落结构，优势种数量、冠幅、胸径、枝下高，植物种类构成，盖度、数量多度、生殖苗高度、叶层高度等。</w:t>
      </w:r>
    </w:p>
    <w:p w14:paraId="36D07F97">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②动物监测</w:t>
      </w:r>
    </w:p>
    <w:p w14:paraId="77BB8843">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两栖类和爬行类：采用访问法调查两栖类和爬行类动物种类、数量、分布特征等。</w:t>
      </w:r>
    </w:p>
    <w:p w14:paraId="70676C52">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color w:val="auto"/>
          <w:szCs w:val="24"/>
        </w:rPr>
      </w:pPr>
      <w:r>
        <w:rPr>
          <w:rFonts w:hint="default" w:ascii="Times New Roman" w:hAnsi="Times New Roman" w:cs="Times New Roman"/>
          <w:color w:val="auto"/>
        </w:rPr>
        <w:t>哺乳动物：采用</w:t>
      </w:r>
      <w:r>
        <w:rPr>
          <w:rFonts w:hint="default" w:ascii="Times New Roman" w:hAnsi="Times New Roman" w:cs="Times New Roman"/>
          <w:color w:val="auto"/>
          <w:szCs w:val="24"/>
        </w:rPr>
        <w:t>日铗法、访问法调查哺乳动物种类、数量、分布特征等。</w:t>
      </w:r>
    </w:p>
    <w:p w14:paraId="4AB37AE7">
      <w:pPr>
        <w:adjustRightInd w:val="0"/>
        <w:snapToGrid w:val="0"/>
        <w:spacing w:line="440" w:lineRule="exact"/>
        <w:ind w:firstLine="480"/>
        <w:rPr>
          <w:rFonts w:hint="default" w:ascii="Times New Roman" w:hAnsi="Times New Roman" w:eastAsia="宋体" w:cs="Times New Roman"/>
          <w:color w:val="auto"/>
          <w:lang w:val="zh-CN"/>
        </w:rPr>
      </w:pPr>
      <w:r>
        <w:rPr>
          <w:rFonts w:hint="default" w:ascii="Times New Roman" w:hAnsi="Times New Roman" w:eastAsia="宋体" w:cs="Times New Roman"/>
          <w:color w:val="auto"/>
          <w:lang w:val="zh-CN"/>
        </w:rPr>
        <w:br w:type="page"/>
      </w:r>
    </w:p>
    <w:p w14:paraId="627EC629">
      <w:pPr>
        <w:pStyle w:val="3"/>
        <w:numPr>
          <w:ilvl w:val="0"/>
          <w:numId w:val="0"/>
        </w:numPr>
        <w:adjustRightInd w:val="0"/>
        <w:spacing w:before="0" w:after="0"/>
        <w:jc w:val="left"/>
        <w:textAlignment w:val="baseline"/>
        <w:rPr>
          <w:rFonts w:hint="default" w:ascii="Times New Roman" w:hAnsi="Times New Roman" w:eastAsia="宋体" w:cs="Times New Roman"/>
          <w:snapToGrid/>
          <w:color w:val="auto"/>
          <w:kern w:val="44"/>
          <w:sz w:val="32"/>
          <w:szCs w:val="32"/>
          <w:lang w:val="zh-CN"/>
        </w:rPr>
      </w:pPr>
      <w:bookmarkStart w:id="360" w:name="_Toc24731"/>
      <w:bookmarkStart w:id="361" w:name="_Toc22481"/>
      <w:r>
        <w:rPr>
          <w:rFonts w:hint="default" w:ascii="Times New Roman" w:hAnsi="Times New Roman" w:eastAsia="宋体" w:cs="Times New Roman"/>
          <w:snapToGrid/>
          <w:color w:val="auto"/>
          <w:kern w:val="44"/>
          <w:sz w:val="32"/>
          <w:szCs w:val="32"/>
          <w:lang w:val="zh-CN"/>
        </w:rPr>
        <w:t>5 生态环境专项评价结论</w:t>
      </w:r>
      <w:bookmarkEnd w:id="346"/>
      <w:bookmarkEnd w:id="360"/>
      <w:bookmarkEnd w:id="361"/>
    </w:p>
    <w:p w14:paraId="3484EF5B">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362" w:name="_Toc7815"/>
      <w:bookmarkStart w:id="363" w:name="_Toc31134"/>
      <w:r>
        <w:rPr>
          <w:rFonts w:hint="default" w:ascii="Times New Roman" w:hAnsi="Times New Roman" w:eastAsia="宋体" w:cs="Times New Roman"/>
          <w:bCs w:val="0"/>
          <w:color w:val="auto"/>
          <w:kern w:val="0"/>
          <w:sz w:val="28"/>
          <w:szCs w:val="28"/>
          <w:lang w:val="zh-CN"/>
        </w:rPr>
        <w:t>5.1 生态环境现状评价结论</w:t>
      </w:r>
      <w:bookmarkEnd w:id="362"/>
      <w:bookmarkEnd w:id="363"/>
    </w:p>
    <w:p w14:paraId="6ADF5571">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b/>
          <w:bCs/>
          <w:color w:val="auto"/>
        </w:rPr>
      </w:pPr>
      <w:r>
        <w:rPr>
          <w:rFonts w:hint="default" w:ascii="Times New Roman" w:hAnsi="Times New Roman" w:cs="Times New Roman"/>
          <w:b/>
          <w:bCs/>
          <w:color w:val="auto"/>
        </w:rPr>
        <w:t>（1）植被现状</w:t>
      </w:r>
    </w:p>
    <w:p w14:paraId="14DDB2A9">
      <w:pPr>
        <w:adjustRightInd w:val="0"/>
        <w:snapToGrid w:val="0"/>
        <w:spacing w:after="0" w:line="440" w:lineRule="exact"/>
        <w:ind w:firstLine="480"/>
        <w:jc w:val="left"/>
        <w:rPr>
          <w:rFonts w:hint="default" w:ascii="Times New Roman" w:hAnsi="Times New Roman" w:eastAsia="宋体" w:cs="Times New Roman"/>
          <w:color w:val="auto"/>
          <w:kern w:val="0"/>
          <w:szCs w:val="24"/>
        </w:rPr>
      </w:pPr>
      <w:r>
        <w:rPr>
          <w:rFonts w:hint="default" w:ascii="Times New Roman" w:hAnsi="Times New Roman" w:eastAsia="宋体" w:cs="Times New Roman"/>
          <w:color w:val="auto"/>
          <w:kern w:val="0"/>
          <w:szCs w:val="24"/>
        </w:rPr>
        <w:t>项目评价区总面积1072.183hm²。在评价区内，人工植被面积231.538hm²，自然植被面积798.777hm²。自然植被中以暖温性针叶林面积最大为427.240h</w:t>
      </w:r>
      <w:r>
        <w:rPr>
          <w:rFonts w:hint="default" w:ascii="Times New Roman" w:hAnsi="Times New Roman" w:eastAsia="黑体" w:cs="Times New Roman"/>
          <w:color w:val="auto"/>
          <w:kern w:val="0"/>
          <w:szCs w:val="24"/>
        </w:rPr>
        <w:t>m</w:t>
      </w:r>
      <w:r>
        <w:rPr>
          <w:rFonts w:hint="default" w:ascii="Times New Roman" w:hAnsi="Times New Roman" w:eastAsia="黑体" w:cs="Times New Roman"/>
          <w:color w:val="auto"/>
          <w:kern w:val="0"/>
          <w:szCs w:val="24"/>
          <w:vertAlign w:val="superscript"/>
        </w:rPr>
        <w:t>2</w:t>
      </w:r>
      <w:r>
        <w:rPr>
          <w:rFonts w:hint="default" w:ascii="Times New Roman" w:hAnsi="Times New Roman" w:eastAsia="宋体" w:cs="Times New Roman"/>
          <w:color w:val="auto"/>
          <w:kern w:val="0"/>
          <w:szCs w:val="24"/>
        </w:rPr>
        <w:t>，占评价区总面积的39.85%。</w:t>
      </w:r>
    </w:p>
    <w:p w14:paraId="181BB25F">
      <w:pPr>
        <w:adjustRightInd w:val="0"/>
        <w:snapToGrid w:val="0"/>
        <w:spacing w:after="0" w:line="440" w:lineRule="exact"/>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评价区内的植被类型均属常见植被类型，无稀有或特有植被类型。</w:t>
      </w:r>
    </w:p>
    <w:p w14:paraId="7996AA18">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b/>
          <w:bCs/>
          <w:color w:val="auto"/>
        </w:rPr>
      </w:pPr>
      <w:r>
        <w:rPr>
          <w:rFonts w:hint="default" w:ascii="Times New Roman" w:hAnsi="Times New Roman" w:cs="Times New Roman"/>
          <w:b/>
          <w:bCs/>
          <w:color w:val="auto"/>
        </w:rPr>
        <w:t>（2）植物资源</w:t>
      </w:r>
    </w:p>
    <w:p w14:paraId="240854C7">
      <w:pPr>
        <w:adjustRightInd w:val="0"/>
        <w:snapToGrid w:val="0"/>
        <w:spacing w:after="0" w:line="440" w:lineRule="exact"/>
        <w:ind w:firstLine="480"/>
        <w:jc w:val="left"/>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rPr>
        <w:t>根据野外考察、室内标本整理鉴定以及相关文献资料查阅，</w:t>
      </w:r>
      <w:r>
        <w:rPr>
          <w:rFonts w:hint="default" w:ascii="Times New Roman" w:hAnsi="Times New Roman" w:eastAsia="宋体" w:cs="Times New Roman"/>
          <w:color w:val="auto"/>
          <w:szCs w:val="24"/>
          <w:lang w:val="zh-CN"/>
        </w:rPr>
        <w:t>根据实地调查和查阅资料，</w:t>
      </w:r>
      <w:r>
        <w:rPr>
          <w:rFonts w:hint="default" w:ascii="Times New Roman" w:hAnsi="Times New Roman" w:eastAsia="宋体" w:cs="Times New Roman"/>
          <w:color w:val="auto"/>
          <w:szCs w:val="24"/>
        </w:rPr>
        <w:t>评价区共记录有维管植物</w:t>
      </w:r>
      <w:r>
        <w:rPr>
          <w:rFonts w:hint="default" w:ascii="Times New Roman" w:hAnsi="Times New Roman" w:eastAsia="宋体" w:cs="Times New Roman"/>
          <w:color w:val="auto"/>
          <w:lang w:val="zh-CN"/>
        </w:rPr>
        <w:t>475种（包含种下等级），隶属于</w:t>
      </w:r>
      <w:r>
        <w:rPr>
          <w:rFonts w:hint="default" w:ascii="Times New Roman" w:hAnsi="Times New Roman" w:eastAsia="宋体" w:cs="Times New Roman"/>
          <w:color w:val="auto"/>
        </w:rPr>
        <w:t>98</w:t>
      </w:r>
      <w:r>
        <w:rPr>
          <w:rFonts w:hint="default" w:ascii="Times New Roman" w:hAnsi="Times New Roman" w:eastAsia="宋体" w:cs="Times New Roman"/>
          <w:color w:val="auto"/>
          <w:lang w:val="zh-CN"/>
        </w:rPr>
        <w:t>科、</w:t>
      </w:r>
      <w:r>
        <w:rPr>
          <w:rFonts w:hint="default" w:ascii="Times New Roman" w:hAnsi="Times New Roman" w:eastAsia="宋体" w:cs="Times New Roman"/>
          <w:color w:val="auto"/>
        </w:rPr>
        <w:t>327</w:t>
      </w:r>
      <w:r>
        <w:rPr>
          <w:rFonts w:hint="default" w:ascii="Times New Roman" w:hAnsi="Times New Roman" w:eastAsia="宋体" w:cs="Times New Roman"/>
          <w:color w:val="auto"/>
          <w:lang w:val="zh-CN"/>
        </w:rPr>
        <w:t>属。其中蕨类植物有</w:t>
      </w:r>
      <w:r>
        <w:rPr>
          <w:rFonts w:hint="default" w:ascii="Times New Roman" w:hAnsi="Times New Roman" w:eastAsia="宋体" w:cs="Times New Roman"/>
          <w:color w:val="auto"/>
        </w:rPr>
        <w:t>11</w:t>
      </w:r>
      <w:r>
        <w:rPr>
          <w:rFonts w:hint="default" w:ascii="Times New Roman" w:hAnsi="Times New Roman" w:eastAsia="宋体" w:cs="Times New Roman"/>
          <w:color w:val="auto"/>
          <w:lang w:val="zh-CN"/>
        </w:rPr>
        <w:t>科、</w:t>
      </w:r>
      <w:r>
        <w:rPr>
          <w:rFonts w:hint="default" w:ascii="Times New Roman" w:hAnsi="Times New Roman" w:eastAsia="宋体" w:cs="Times New Roman"/>
          <w:color w:val="auto"/>
        </w:rPr>
        <w:t>15</w:t>
      </w:r>
      <w:r>
        <w:rPr>
          <w:rFonts w:hint="default" w:ascii="Times New Roman" w:hAnsi="Times New Roman" w:eastAsia="宋体" w:cs="Times New Roman"/>
          <w:color w:val="auto"/>
          <w:lang w:val="zh-CN"/>
        </w:rPr>
        <w:t>属、</w:t>
      </w:r>
      <w:r>
        <w:rPr>
          <w:rFonts w:hint="default" w:ascii="Times New Roman" w:hAnsi="Times New Roman" w:eastAsia="宋体" w:cs="Times New Roman"/>
          <w:color w:val="auto"/>
        </w:rPr>
        <w:t>20</w:t>
      </w:r>
      <w:r>
        <w:rPr>
          <w:rFonts w:hint="default" w:ascii="Times New Roman" w:hAnsi="Times New Roman" w:eastAsia="宋体" w:cs="Times New Roman"/>
          <w:color w:val="auto"/>
          <w:lang w:val="zh-CN"/>
        </w:rPr>
        <w:t>种；裸子植物有3科、4属、5种；被子植物有84科、308属、450种</w:t>
      </w:r>
      <w:r>
        <w:rPr>
          <w:rFonts w:hint="default" w:ascii="Times New Roman" w:hAnsi="Times New Roman" w:eastAsia="宋体" w:cs="Times New Roman"/>
          <w:color w:val="auto"/>
          <w:szCs w:val="24"/>
          <w:lang w:val="zh-CN"/>
        </w:rPr>
        <w:t>。</w:t>
      </w:r>
    </w:p>
    <w:p w14:paraId="6EA92C15">
      <w:pPr>
        <w:adjustRightInd w:val="0"/>
        <w:snapToGrid w:val="0"/>
        <w:spacing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工程评价范围内未发现《国家重点保护野生植物名录》（2021年9月）记载的保护植物；</w:t>
      </w:r>
      <w:r>
        <w:rPr>
          <w:rFonts w:hint="default" w:ascii="Times New Roman" w:hAnsi="Times New Roman" w:eastAsia="宋体" w:cs="Times New Roman"/>
          <w:bCs/>
          <w:color w:val="auto"/>
          <w:szCs w:val="24"/>
        </w:rPr>
        <w:t>无《云南省重点保护野生植物名录》（2023）记载的云南省保护植物。</w:t>
      </w:r>
      <w:r>
        <w:rPr>
          <w:rFonts w:hint="default" w:ascii="Times New Roman" w:hAnsi="Times New Roman" w:eastAsia="宋体" w:cs="Times New Roman"/>
          <w:color w:val="auto"/>
          <w:szCs w:val="24"/>
        </w:rPr>
        <w:t>野外调查未发现区域局域分布的物种。</w:t>
      </w:r>
    </w:p>
    <w:p w14:paraId="6B0D2101">
      <w:pPr>
        <w:adjustRightInd w:val="0"/>
        <w:snapToGrid w:val="0"/>
        <w:spacing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bCs/>
          <w:color w:val="auto"/>
        </w:rPr>
        <w:t>根据资料，项目输电线路不涉及占用生态保护红线，经进一步核查，输电线路塔基N7~N8之间约89.2m跨越生态保护红线，项目跨越金沙江下游—小江流域水土流失控制生态保护红线约89.2米，不在生态保护红线内立塔。</w:t>
      </w:r>
      <w:r>
        <w:rPr>
          <w:rFonts w:hint="default" w:ascii="Times New Roman" w:hAnsi="Times New Roman" w:cs="Times New Roman"/>
          <w:color w:val="auto"/>
          <w:szCs w:val="24"/>
        </w:rPr>
        <w:t>评价区总面积1073.183hm</w:t>
      </w:r>
      <w:r>
        <w:rPr>
          <w:rFonts w:hint="default" w:ascii="Times New Roman" w:hAnsi="Times New Roman" w:cs="Times New Roman"/>
          <w:color w:val="auto"/>
          <w:szCs w:val="24"/>
          <w:vertAlign w:val="superscript"/>
        </w:rPr>
        <w:t>2</w:t>
      </w:r>
      <w:r>
        <w:rPr>
          <w:rFonts w:hint="default" w:ascii="Times New Roman" w:hAnsi="Times New Roman" w:cs="Times New Roman"/>
          <w:color w:val="auto"/>
          <w:szCs w:val="24"/>
        </w:rPr>
        <w:t>，评价区分布有会泽县生态保护红线面积47.933hm</w:t>
      </w:r>
      <w:r>
        <w:rPr>
          <w:rFonts w:hint="default" w:ascii="Times New Roman" w:hAnsi="Times New Roman" w:cs="Times New Roman"/>
          <w:color w:val="auto"/>
          <w:szCs w:val="24"/>
          <w:vertAlign w:val="superscript"/>
        </w:rPr>
        <w:t>2</w:t>
      </w:r>
      <w:r>
        <w:rPr>
          <w:rFonts w:hint="default" w:ascii="Times New Roman" w:hAnsi="Times New Roman" w:cs="Times New Roman"/>
          <w:color w:val="auto"/>
          <w:szCs w:val="24"/>
        </w:rPr>
        <w:t>，占评价区总面积的4.467%，工程占地范围不涉及占用生态保护红线，</w:t>
      </w:r>
      <w:r>
        <w:rPr>
          <w:rFonts w:hint="default" w:ascii="Times New Roman" w:hAnsi="Times New Roman" w:eastAsia="宋体" w:cs="Times New Roman"/>
          <w:bCs/>
          <w:color w:val="auto"/>
        </w:rPr>
        <w:t>输电线路塔基N7-N8之间约89.2米跨越生态保护红线，本项目跨越金沙江下游—小江流域水土流失控制生态保护红线约89.2米，主要功能为水土保持，</w:t>
      </w:r>
      <w:r>
        <w:rPr>
          <w:rFonts w:hint="default" w:ascii="Times New Roman" w:hAnsi="Times New Roman" w:cs="Times New Roman"/>
          <w:color w:val="auto"/>
          <w:szCs w:val="24"/>
        </w:rPr>
        <w:t>评价区内分布的生态保护红线内主要植被类型为暖温性针叶林。</w:t>
      </w:r>
    </w:p>
    <w:p w14:paraId="71B81B78">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b/>
          <w:bCs/>
          <w:color w:val="auto"/>
        </w:rPr>
      </w:pPr>
      <w:r>
        <w:rPr>
          <w:rFonts w:hint="default" w:ascii="Times New Roman" w:hAnsi="Times New Roman" w:cs="Times New Roman"/>
          <w:b/>
          <w:bCs/>
          <w:color w:val="auto"/>
        </w:rPr>
        <w:t>（3）陆栖脊椎动物现状</w:t>
      </w:r>
    </w:p>
    <w:p w14:paraId="3F02D164">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lang w:val="zh-CN"/>
        </w:rPr>
        <w:t>根据实地调查、访问当地村民及查阅有关资料，</w:t>
      </w:r>
      <w:r>
        <w:rPr>
          <w:rFonts w:hint="default" w:ascii="Times New Roman" w:hAnsi="Times New Roman" w:eastAsia="宋体" w:cs="Times New Roman"/>
          <w:color w:val="auto"/>
          <w:szCs w:val="24"/>
        </w:rPr>
        <w:t>评价区内栖息有陆栖脊椎动物7</w:t>
      </w:r>
      <w:r>
        <w:rPr>
          <w:rFonts w:hint="eastAsia" w:ascii="Times New Roman" w:hAnsi="Times New Roman" w:eastAsia="宋体" w:cs="Times New Roman"/>
          <w:color w:val="auto"/>
          <w:szCs w:val="24"/>
          <w:lang w:val="en-US" w:eastAsia="zh-CN"/>
        </w:rPr>
        <w:t>3</w:t>
      </w:r>
      <w:r>
        <w:rPr>
          <w:rFonts w:hint="default" w:ascii="Times New Roman" w:hAnsi="Times New Roman" w:eastAsia="宋体" w:cs="Times New Roman"/>
          <w:color w:val="auto"/>
          <w:szCs w:val="24"/>
        </w:rPr>
        <w:t>种。其中两栖类6种；爬行类6种；鸟类51种；哺乳类</w:t>
      </w:r>
      <w:r>
        <w:rPr>
          <w:rFonts w:hint="eastAsia" w:ascii="Times New Roman" w:hAnsi="Times New Roman" w:eastAsia="宋体" w:cs="Times New Roman"/>
          <w:color w:val="auto"/>
          <w:szCs w:val="24"/>
          <w:lang w:val="en-US" w:eastAsia="zh-CN"/>
        </w:rPr>
        <w:t>10</w:t>
      </w:r>
      <w:r>
        <w:rPr>
          <w:rFonts w:hint="default" w:ascii="Times New Roman" w:hAnsi="Times New Roman" w:eastAsia="宋体" w:cs="Times New Roman"/>
          <w:color w:val="auto"/>
          <w:szCs w:val="24"/>
        </w:rPr>
        <w:t>种。鸟类种类最多，主要是因为鸟类活动能力强，活动范围大。</w:t>
      </w:r>
    </w:p>
    <w:p w14:paraId="6F15868B">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评价区内所记录的陆栖脊椎动物中，共有国家及云南重点保护野生动物物种5种。</w:t>
      </w:r>
      <w:r>
        <w:rPr>
          <w:rFonts w:hint="default" w:ascii="Times New Roman" w:hAnsi="Times New Roman" w:cs="Times New Roman"/>
          <w:color w:val="auto"/>
          <w:sz w:val="24"/>
          <w:szCs w:val="24"/>
        </w:rPr>
        <w:t>评价区内有</w:t>
      </w:r>
      <w:r>
        <w:rPr>
          <w:rFonts w:hint="default" w:ascii="Times New Roman" w:hAnsi="Times New Roman" w:eastAsia="宋体" w:cs="Times New Roman"/>
          <w:color w:val="auto"/>
          <w:sz w:val="24"/>
          <w:szCs w:val="24"/>
        </w:rPr>
        <w:t>国家二级重点保护野生鸟类：松雀鹰</w:t>
      </w:r>
      <w:r>
        <w:rPr>
          <w:rFonts w:hint="default" w:ascii="Times New Roman" w:hAnsi="Times New Roman" w:eastAsia="宋体" w:cs="Times New Roman"/>
          <w:i/>
          <w:iCs/>
          <w:color w:val="auto"/>
          <w:sz w:val="24"/>
          <w:szCs w:val="24"/>
        </w:rPr>
        <w:t>Accipiter virgatus</w:t>
      </w:r>
      <w:r>
        <w:rPr>
          <w:rFonts w:hint="default" w:ascii="Times New Roman" w:hAnsi="Times New Roman" w:eastAsia="宋体" w:cs="Times New Roman"/>
          <w:color w:val="auto"/>
          <w:sz w:val="24"/>
          <w:szCs w:val="24"/>
        </w:rPr>
        <w:t>、普通鵟</w:t>
      </w:r>
      <w:r>
        <w:rPr>
          <w:rFonts w:hint="default" w:ascii="Times New Roman" w:hAnsi="Times New Roman" w:eastAsia="宋体" w:cs="Times New Roman"/>
          <w:i/>
          <w:iCs/>
          <w:color w:val="auto"/>
          <w:sz w:val="24"/>
          <w:szCs w:val="24"/>
        </w:rPr>
        <w:t>Buteo buteo</w:t>
      </w:r>
      <w:r>
        <w:rPr>
          <w:rFonts w:hint="default" w:ascii="Times New Roman" w:hAnsi="Times New Roman" w:eastAsia="宋体" w:cs="Times New Roman"/>
          <w:color w:val="auto"/>
          <w:sz w:val="24"/>
          <w:szCs w:val="24"/>
        </w:rPr>
        <w:t>、画眉、红隼</w:t>
      </w:r>
      <w:r>
        <w:rPr>
          <w:rFonts w:hint="default" w:ascii="Times New Roman" w:hAnsi="Times New Roman" w:eastAsia="宋体" w:cs="Times New Roman"/>
          <w:i/>
          <w:iCs/>
          <w:color w:val="auto"/>
          <w:sz w:val="24"/>
          <w:szCs w:val="24"/>
        </w:rPr>
        <w:t>Falco tinnunculus</w:t>
      </w:r>
      <w:r>
        <w:rPr>
          <w:rFonts w:hint="default" w:ascii="Times New Roman" w:hAnsi="Times New Roman" w:eastAsia="宋体" w:cs="Times New Roman"/>
          <w:color w:val="auto"/>
          <w:sz w:val="24"/>
          <w:szCs w:val="24"/>
        </w:rPr>
        <w:t>。分布有国家二级保护哺乳类：豹猫。</w:t>
      </w:r>
    </w:p>
    <w:p w14:paraId="1129A94C">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 w:val="24"/>
          <w:szCs w:val="24"/>
        </w:rPr>
        <w:t>未发现《中国生物多样性红色名录—脊椎动物卷（2020）》中收录的濒危（EN）和极危（CR）动物物种</w:t>
      </w:r>
      <w:r>
        <w:rPr>
          <w:rFonts w:hint="default" w:ascii="Times New Roman" w:hAnsi="Times New Roman" w:cs="Times New Roman"/>
          <w:iCs/>
          <w:color w:val="auto"/>
          <w:sz w:val="24"/>
          <w:szCs w:val="24"/>
          <w:lang w:eastAsia="zh-CN"/>
        </w:rPr>
        <w:t>，</w:t>
      </w:r>
      <w:r>
        <w:rPr>
          <w:rFonts w:hint="default" w:ascii="Times New Roman" w:hAnsi="Times New Roman" w:eastAsia="宋体" w:cs="Times New Roman"/>
          <w:color w:val="auto"/>
          <w:sz w:val="24"/>
          <w:szCs w:val="24"/>
        </w:rPr>
        <w:t>易危（VU）物种1种，为豹猫，无局限分布于该区域的特有种类。</w:t>
      </w:r>
    </w:p>
    <w:p w14:paraId="06508D53">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b/>
          <w:bCs/>
          <w:color w:val="auto"/>
        </w:rPr>
      </w:pPr>
      <w:r>
        <w:rPr>
          <w:rFonts w:hint="default" w:ascii="Times New Roman" w:hAnsi="Times New Roman" w:cs="Times New Roman"/>
          <w:b/>
          <w:bCs/>
          <w:color w:val="auto"/>
        </w:rPr>
        <w:t>（4）土地利用现状</w:t>
      </w:r>
    </w:p>
    <w:p w14:paraId="5B4A4BEB">
      <w:pPr>
        <w:widowControl/>
        <w:adjustRightInd w:val="0"/>
        <w:spacing w:after="0"/>
        <w:ind w:firstLine="504"/>
        <w:textAlignment w:val="baseline"/>
        <w:rPr>
          <w:rFonts w:hint="default" w:ascii="Times New Roman" w:hAnsi="Times New Roman" w:cs="Times New Roman"/>
          <w:snapToGrid w:val="0"/>
          <w:color w:val="auto"/>
          <w:spacing w:val="6"/>
          <w:kern w:val="0"/>
          <w:szCs w:val="20"/>
        </w:rPr>
      </w:pPr>
      <w:r>
        <w:rPr>
          <w:rFonts w:hint="default" w:ascii="Times New Roman" w:hAnsi="Times New Roman" w:cs="Times New Roman"/>
          <w:snapToGrid w:val="0"/>
          <w:color w:val="auto"/>
          <w:spacing w:val="6"/>
          <w:kern w:val="0"/>
          <w:szCs w:val="20"/>
        </w:rPr>
        <w:t>根据统计结果，评价区土地利用现状类型以乔木林地面积最大，面积为427.240hm²，占比达到39.85%；其次为灌木林地与旱地，面积分别为202.331hm²、223.380hm²，占比依次为18.87%、20.83%；其他草地面积169.206hm²，占比15.78%，为区域第四大土地利用类型。水田、水浇地、其他林地、农村宅基地、后备耕地、河流水面、农村道路、公路用地、铁路用地、设施农用地、特殊用地、城镇村道路、工业用地、坑塘水面、裸岩石砾地、裸土地、沟渠面积占比分别为0.30%、0.02%、0.44%、1.15%、0.36%、0.58%、0.79%、0.54%、0.27%、0.14%、0.02%、0.01%、0.01%、0.01%、0.01%、0.01%、0.00%。</w:t>
      </w:r>
    </w:p>
    <w:p w14:paraId="4C4F5B00">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b/>
          <w:bCs/>
          <w:color w:val="auto"/>
        </w:rPr>
      </w:pPr>
      <w:r>
        <w:rPr>
          <w:rFonts w:hint="default" w:ascii="Times New Roman" w:hAnsi="Times New Roman" w:cs="Times New Roman"/>
          <w:b/>
          <w:bCs/>
          <w:color w:val="auto"/>
        </w:rPr>
        <w:t>（5）景观系统现状</w:t>
      </w:r>
    </w:p>
    <w:p w14:paraId="1B62E6AB">
      <w:pPr>
        <w:ind w:firstLine="480"/>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项目评价区总面积为1072.183hm²，以暖温性针叶林景观所占比重最大，面积为427.240hm²，占评价区总面积的39.85%；其次为暖性石灰岩灌丛景观、暖温性稀树灌木草丛景观与耕地景观，面积分别为202.331hm²、169.206hm²、226.808hm²，占比依次为18.87%、15.78%、21.15%。暖温性针叶林、暖性石灰岩灌丛、稀树灌木草丛及耕地景观构成评价区主要地域背景，是区域景观结构的主导类型，在很大程度上决定了评价区整体景观基底属性，对区域景观格局演变起到控制性作用。</w:t>
      </w:r>
    </w:p>
    <w:p w14:paraId="3C37F587">
      <w:pPr>
        <w:ind w:firstLine="480"/>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①景观多样性指数</w:t>
      </w:r>
    </w:p>
    <w:p w14:paraId="49D319DA">
      <w:pPr>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评价区景观多样性与异质性相对较高。这一特征源于评价区内植被类型较为丰富，形成了多样的景观生态体系，表明评价区景观生态系统具备一定的稳定性与抗干扰能力。</w:t>
      </w:r>
    </w:p>
    <w:p w14:paraId="4293A9EB">
      <w:pPr>
        <w:ind w:firstLine="480"/>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②景观空间特征</w:t>
      </w:r>
    </w:p>
    <w:p w14:paraId="35EA8186">
      <w:pPr>
        <w:keepNext w:val="0"/>
        <w:keepLines w:val="0"/>
        <w:pageBreakBefore w:val="0"/>
        <w:widowControl w:val="0"/>
        <w:kinsoku/>
        <w:wordWrap/>
        <w:overflowPunct/>
        <w:topLinePunct w:val="0"/>
        <w:autoSpaceDE/>
        <w:autoSpaceDN/>
        <w:bidi w:val="0"/>
        <w:adjustRightInd w:val="0"/>
        <w:snapToGrid w:val="0"/>
        <w:spacing w:after="0" w:line="440" w:lineRule="exact"/>
        <w:ind w:firstLine="480"/>
        <w:jc w:val="both"/>
        <w:textAlignment w:val="auto"/>
        <w:rPr>
          <w:rFonts w:hint="default" w:ascii="Times New Roman" w:hAnsi="Times New Roman" w:cs="Times New Roman"/>
          <w:color w:val="auto"/>
          <w:szCs w:val="24"/>
        </w:rPr>
      </w:pPr>
      <w:r>
        <w:rPr>
          <w:rFonts w:hint="default" w:ascii="Times New Roman" w:hAnsi="Times New Roman" w:eastAsia="宋体" w:cs="Times New Roman"/>
          <w:color w:val="auto"/>
          <w:szCs w:val="24"/>
        </w:rPr>
        <w:t>总体来看，评价区聚集度指数、连通度指数分别达89.3889、97.862，数值处于较高水平；全域SPLIT破碎度指数为20.806，介于1～30低破碎区间。综合表明评价区内各类景观斑块集聚分布特征显著，整体割裂、碎片化程度较低，景观空间连通性优良。</w:t>
      </w:r>
    </w:p>
    <w:p w14:paraId="0077D3C4">
      <w:pPr>
        <w:keepNext w:val="0"/>
        <w:keepLines w:val="0"/>
        <w:pageBreakBefore w:val="0"/>
        <w:widowControl w:val="0"/>
        <w:kinsoku/>
        <w:wordWrap/>
        <w:overflowPunct/>
        <w:topLinePunct w:val="0"/>
        <w:autoSpaceDE/>
        <w:autoSpaceDN/>
        <w:bidi w:val="0"/>
        <w:adjustRightInd w:val="0"/>
        <w:snapToGrid w:val="0"/>
        <w:spacing w:after="0" w:line="440" w:lineRule="exact"/>
        <w:ind w:firstLine="480"/>
        <w:jc w:val="both"/>
        <w:textAlignment w:val="auto"/>
        <w:rPr>
          <w:rFonts w:hint="default" w:ascii="Times New Roman" w:hAnsi="Times New Roman" w:cs="Times New Roman"/>
          <w:b/>
          <w:bCs/>
          <w:color w:val="auto"/>
        </w:rPr>
      </w:pPr>
      <w:r>
        <w:rPr>
          <w:rFonts w:hint="default" w:ascii="Times New Roman" w:hAnsi="Times New Roman" w:cs="Times New Roman"/>
          <w:b/>
          <w:bCs/>
          <w:color w:val="auto"/>
        </w:rPr>
        <w:t>（6）生态系统特征</w:t>
      </w:r>
    </w:p>
    <w:p w14:paraId="1003B0C4">
      <w:pPr>
        <w:keepNext w:val="0"/>
        <w:keepLines w:val="0"/>
        <w:pageBreakBefore w:val="0"/>
        <w:widowControl w:val="0"/>
        <w:kinsoku/>
        <w:wordWrap/>
        <w:overflowPunct/>
        <w:topLinePunct w:val="0"/>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①生态系统结构</w:t>
      </w:r>
    </w:p>
    <w:p w14:paraId="78A10945">
      <w:pPr>
        <w:keepNext w:val="0"/>
        <w:keepLines w:val="0"/>
        <w:pageBreakBefore w:val="0"/>
        <w:widowControl w:val="0"/>
        <w:kinsoku/>
        <w:wordWrap/>
        <w:overflowPunct/>
        <w:topLinePunct w:val="0"/>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整体来看，评价区生态系统以自然生态系统（森林、灌丛、草丛、湿地）为主体，三类陆生自然植被合计面积占评价区总面积94.55%；农田、城镇人工生态系统占比较低。区域自然植被大面积集中分布，农田斑块细碎密集穿插其中，城镇、工矿交通等人工斑块碎片化明显，整体生态格局以森林、灌丛、草丛自然植被为基底，人类活动干扰强度整体偏低，原生自然涵养空间充足。</w:t>
      </w:r>
    </w:p>
    <w:p w14:paraId="54ED9F01">
      <w:pPr>
        <w:keepNext w:val="0"/>
        <w:keepLines w:val="0"/>
        <w:pageBreakBefore w:val="0"/>
        <w:widowControl w:val="0"/>
        <w:kinsoku/>
        <w:wordWrap/>
        <w:overflowPunct/>
        <w:topLinePunct w:val="0"/>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②生态系统生产力、生物量</w:t>
      </w:r>
    </w:p>
    <w:p w14:paraId="3AF9C00E">
      <w:pPr>
        <w:keepNext w:val="0"/>
        <w:keepLines w:val="0"/>
        <w:pageBreakBefore w:val="0"/>
        <w:widowControl w:val="0"/>
        <w:kinsoku/>
        <w:wordWrap/>
        <w:overflowPunct/>
        <w:topLinePunct w:val="0"/>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评价区总生产力约为9041.03t/a，总生物量56187.13t。年生物生产力最高的前三位依次是针叶林生态系统、阔叶灌丛生态系统、耕地生态系统。</w:t>
      </w:r>
    </w:p>
    <w:p w14:paraId="1A49B8FF">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364" w:name="_Toc13079"/>
      <w:bookmarkStart w:id="365" w:name="_Toc25645"/>
      <w:r>
        <w:rPr>
          <w:rFonts w:hint="default" w:ascii="Times New Roman" w:hAnsi="Times New Roman" w:eastAsia="宋体" w:cs="Times New Roman"/>
          <w:bCs w:val="0"/>
          <w:color w:val="auto"/>
          <w:kern w:val="0"/>
          <w:sz w:val="28"/>
          <w:szCs w:val="28"/>
          <w:lang w:val="zh-CN"/>
        </w:rPr>
        <w:t>5.2 生态环境影响评价结论</w:t>
      </w:r>
      <w:bookmarkEnd w:id="364"/>
      <w:bookmarkEnd w:id="365"/>
    </w:p>
    <w:p w14:paraId="194AD54C">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b/>
          <w:bCs/>
          <w:color w:val="auto"/>
        </w:rPr>
      </w:pPr>
      <w:r>
        <w:rPr>
          <w:rFonts w:hint="default" w:ascii="Times New Roman" w:hAnsi="Times New Roman" w:cs="Times New Roman"/>
          <w:b/>
          <w:bCs/>
          <w:color w:val="auto"/>
        </w:rPr>
        <w:t>（1）对植被的影响评价结论</w:t>
      </w:r>
    </w:p>
    <w:p w14:paraId="66E58319">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lang w:val="zh-CN"/>
        </w:rPr>
        <w:t>本工程所涉及区域受人类活动长期影响，</w:t>
      </w:r>
      <w:r>
        <w:rPr>
          <w:rFonts w:hint="default" w:ascii="Times New Roman" w:hAnsi="Times New Roman" w:eastAsia="宋体" w:cs="Times New Roman"/>
          <w:color w:val="auto"/>
          <w:szCs w:val="24"/>
        </w:rPr>
        <w:t>主要是农业生产及生活的影响，评价区目前很多原生植被大量消失或改变为耕地，次生植被及人工植被面积增加；</w:t>
      </w:r>
      <w:r>
        <w:rPr>
          <w:rFonts w:hint="default" w:ascii="Times New Roman" w:hAnsi="Times New Roman" w:cs="Times New Roman"/>
          <w:color w:val="auto"/>
          <w:szCs w:val="24"/>
        </w:rPr>
        <w:t>工程总占地面积为</w:t>
      </w:r>
      <w:r>
        <w:rPr>
          <w:rFonts w:hint="eastAsia" w:ascii="Times New Roman" w:hAnsi="Times New Roman" w:cs="Times New Roman"/>
          <w:color w:val="auto"/>
          <w:szCs w:val="24"/>
          <w:lang w:val="en-US" w:eastAsia="zh-CN"/>
        </w:rPr>
        <w:t>0.60895</w:t>
      </w:r>
      <w:r>
        <w:rPr>
          <w:rFonts w:hint="default" w:ascii="Times New Roman" w:hAnsi="Times New Roman" w:cs="Times New Roman"/>
          <w:color w:val="auto"/>
          <w:szCs w:val="24"/>
        </w:rPr>
        <w:t>hm</w:t>
      </w:r>
      <w:r>
        <w:rPr>
          <w:rFonts w:hint="default" w:ascii="Times New Roman" w:hAnsi="Times New Roman" w:cs="Times New Roman"/>
          <w:color w:val="auto"/>
          <w:szCs w:val="24"/>
          <w:vertAlign w:val="superscript"/>
        </w:rPr>
        <w:t>2</w:t>
      </w:r>
      <w:r>
        <w:rPr>
          <w:rFonts w:hint="default" w:ascii="Times New Roman" w:hAnsi="Times New Roman" w:cs="Times New Roman"/>
          <w:color w:val="auto"/>
          <w:szCs w:val="24"/>
        </w:rPr>
        <w:t>，其中永久占地0.25495hm²，临时占地0.</w:t>
      </w:r>
      <w:r>
        <w:rPr>
          <w:rFonts w:hint="eastAsia" w:ascii="Times New Roman" w:hAnsi="Times New Roman" w:cs="Times New Roman"/>
          <w:color w:val="auto"/>
          <w:szCs w:val="24"/>
          <w:lang w:val="en-US" w:eastAsia="zh-CN"/>
        </w:rPr>
        <w:t>354</w:t>
      </w:r>
      <w:r>
        <w:rPr>
          <w:rFonts w:hint="default" w:ascii="Times New Roman" w:hAnsi="Times New Roman" w:cs="Times New Roman"/>
          <w:color w:val="auto"/>
          <w:szCs w:val="24"/>
        </w:rPr>
        <w:t>hm²</w:t>
      </w:r>
      <w:r>
        <w:rPr>
          <w:rFonts w:hint="default" w:ascii="Times New Roman" w:hAnsi="Times New Roman" w:eastAsia="宋体" w:cs="Times New Roman"/>
          <w:color w:val="auto"/>
          <w:szCs w:val="24"/>
        </w:rPr>
        <w:t>。工程建设将对植被产生一定的负面影响，包括永久影响和临时影响。影响评价区内灌丛主要为石灰岩灌丛，该植被类型在河谷区域及会泽县分布极广，且项目建设不会造成评价群内该植被类型的大面积减少，因此影响较小。</w:t>
      </w:r>
    </w:p>
    <w:p w14:paraId="0DE342A8">
      <w:pPr>
        <w:adjustRightInd w:val="0"/>
        <w:snapToGrid w:val="0"/>
        <w:spacing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工程临时占地包括塔基施工场地区、跨越施工场地区、牵张场区。临时占地涉及天然植被主要为暖温性针叶林、暖温性稀树灌木草丛、旱地，分别占用0.</w:t>
      </w:r>
      <w:r>
        <w:rPr>
          <w:rFonts w:hint="eastAsia" w:ascii="Times New Roman" w:hAnsi="Times New Roman" w:eastAsia="宋体" w:cs="Times New Roman"/>
          <w:color w:val="auto"/>
          <w:szCs w:val="24"/>
          <w:lang w:val="en-US" w:eastAsia="zh-CN"/>
        </w:rPr>
        <w:t>229</w:t>
      </w:r>
      <w:r>
        <w:rPr>
          <w:rFonts w:hint="default" w:ascii="Times New Roman" w:hAnsi="Times New Roman" w:eastAsia="宋体" w:cs="Times New Roman"/>
          <w:color w:val="auto"/>
          <w:szCs w:val="24"/>
        </w:rPr>
        <w:t>hm²、0.</w:t>
      </w:r>
      <w:r>
        <w:rPr>
          <w:rFonts w:hint="eastAsia" w:ascii="Times New Roman" w:hAnsi="Times New Roman" w:eastAsia="宋体" w:cs="Times New Roman"/>
          <w:color w:val="auto"/>
          <w:szCs w:val="24"/>
          <w:lang w:val="en-US" w:eastAsia="zh-CN"/>
        </w:rPr>
        <w:t>11</w:t>
      </w:r>
      <w:r>
        <w:rPr>
          <w:rFonts w:hint="default" w:ascii="Times New Roman" w:hAnsi="Times New Roman" w:eastAsia="宋体" w:cs="Times New Roman"/>
          <w:color w:val="auto"/>
          <w:szCs w:val="24"/>
        </w:rPr>
        <w:t>hm²、0.015hm²，占用面积很小，影响很小。</w:t>
      </w:r>
    </w:p>
    <w:p w14:paraId="6280E213">
      <w:pPr>
        <w:adjustRightInd w:val="0"/>
        <w:snapToGrid w:val="0"/>
        <w:spacing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总体来说，工程建设将造成评价区内植被面积的减少，但并不会造成评价区任何一种植被类型的消失。</w:t>
      </w:r>
    </w:p>
    <w:p w14:paraId="056DD1D7">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b/>
          <w:bCs/>
          <w:color w:val="auto"/>
          <w:lang w:val="zh-CN"/>
        </w:rPr>
      </w:pPr>
      <w:r>
        <w:rPr>
          <w:rFonts w:hint="default" w:ascii="Times New Roman" w:hAnsi="Times New Roman" w:cs="Times New Roman"/>
          <w:b/>
          <w:bCs/>
          <w:color w:val="auto"/>
        </w:rPr>
        <w:t>（2）</w:t>
      </w:r>
      <w:r>
        <w:rPr>
          <w:rFonts w:hint="default" w:ascii="Times New Roman" w:hAnsi="Times New Roman" w:cs="Times New Roman"/>
          <w:b/>
          <w:bCs/>
          <w:color w:val="auto"/>
          <w:lang w:val="zh-CN"/>
        </w:rPr>
        <w:t>对植物的影响</w:t>
      </w:r>
      <w:r>
        <w:rPr>
          <w:rFonts w:hint="default" w:ascii="Times New Roman" w:hAnsi="Times New Roman" w:cs="Times New Roman"/>
          <w:b/>
          <w:bCs/>
          <w:color w:val="auto"/>
        </w:rPr>
        <w:t>评价结论</w:t>
      </w:r>
    </w:p>
    <w:p w14:paraId="6117DDE6">
      <w:pPr>
        <w:ind w:firstLine="480"/>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①施工期</w:t>
      </w:r>
    </w:p>
    <w:p w14:paraId="6BA8B49E">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工程永久占地范围内地表植物将永久性消失，工程的建设会造成一部分植物数量的减少，但由于工程占地范围内无珍稀濒危及保护植物分布，且占用的植物在工程区周边大量分布，因此工程建设虽会造成一部分植物数量的减少，但并不会造成任何一种植物的大面积减少和消失。</w:t>
      </w:r>
      <w:r>
        <w:rPr>
          <w:rFonts w:hint="default" w:ascii="Times New Roman" w:hAnsi="Times New Roman" w:eastAsia="宋体" w:cs="Times New Roman"/>
          <w:bCs/>
          <w:color w:val="auto"/>
          <w:szCs w:val="24"/>
        </w:rPr>
        <w:t>本工程输电线路经过区域地形主要为林地、灌木林地、园地、耕地、其他用地；现状植被主要以云南松、华山松、灌丛、人工林及农作物等。评价范围内未发现国家重点保护的野生植物、云南省保护植物和地方特有植物。</w:t>
      </w:r>
      <w:r>
        <w:rPr>
          <w:rFonts w:hint="default" w:ascii="Times New Roman" w:hAnsi="Times New Roman" w:eastAsia="宋体" w:cs="Times New Roman"/>
          <w:color w:val="auto"/>
          <w:szCs w:val="24"/>
        </w:rPr>
        <w:t>工程建设不会造成任何珍稀濒危野生植物种类的灭绝或消失。</w:t>
      </w:r>
    </w:p>
    <w:p w14:paraId="4225F919">
      <w:pPr>
        <w:ind w:firstLine="480"/>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②运营期</w:t>
      </w:r>
    </w:p>
    <w:p w14:paraId="45D21CE8">
      <w:pPr>
        <w:adjustRightInd w:val="0"/>
        <w:snapToGrid w:val="0"/>
        <w:spacing w:after="0" w:line="440" w:lineRule="exact"/>
        <w:ind w:firstLine="480"/>
        <w:rPr>
          <w:rFonts w:hint="default" w:ascii="Times New Roman" w:hAnsi="Times New Roman" w:eastAsia="宋体" w:cs="Times New Roman"/>
          <w:color w:val="auto"/>
          <w:kern w:val="0"/>
          <w:szCs w:val="24"/>
        </w:rPr>
      </w:pPr>
      <w:r>
        <w:rPr>
          <w:rFonts w:hint="default" w:ascii="Times New Roman" w:hAnsi="Times New Roman" w:eastAsia="宋体" w:cs="Times New Roman"/>
          <w:color w:val="auto"/>
          <w:kern w:val="0"/>
          <w:szCs w:val="24"/>
        </w:rPr>
        <w:t>本项目线路运行期不进行林木砍伐，仅按相关规定对导线下方与树木垂直距离小于4.5m的零星林木进行削枝，以保证线路安全运行，但总体削枝量小，不会对植物种类和数量产生明显影响；本项目运行期对植被的影响主要是线路维护人员踩踏植被和线路电磁环境影响；线路维护人员可能在运行维护过程中对植被造成一定踩踏和引入外来植物；通常线路维护检查1个月左右进行1次，运行及维护人员的数量和负重有限，对植被的破坏强度小，不会带来明显的持续不利影响；通过禁止维护人员引入外来物种，可避免人为引入外来物种对本土植物造成威胁。从区域类似环境状况来看，线路周围植物生长良好，输电线路电磁影响对周围植物生长无明显影响。同时，根据调查，评价区未发现古树名木，国家级、省级重点保护野生植物分布，项目运营期对植物影响较小。</w:t>
      </w:r>
    </w:p>
    <w:p w14:paraId="28ABCE8B">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b/>
          <w:bCs/>
          <w:color w:val="auto"/>
        </w:rPr>
      </w:pPr>
      <w:r>
        <w:rPr>
          <w:rFonts w:hint="default" w:ascii="Times New Roman" w:hAnsi="Times New Roman" w:cs="Times New Roman"/>
          <w:b/>
          <w:bCs/>
          <w:color w:val="auto"/>
        </w:rPr>
        <w:t>（3）对保护植物和名木古树的影响评价结论</w:t>
      </w:r>
    </w:p>
    <w:p w14:paraId="621F714D">
      <w:pPr>
        <w:adjustRightInd w:val="0"/>
        <w:snapToGrid w:val="0"/>
        <w:spacing w:after="0" w:line="440" w:lineRule="exact"/>
        <w:ind w:firstLine="480"/>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根据</w:t>
      </w:r>
      <w:r>
        <w:rPr>
          <w:rFonts w:hint="default" w:ascii="Times New Roman" w:hAnsi="Times New Roman" w:eastAsia="宋体" w:cs="Times New Roman"/>
          <w:color w:val="auto"/>
          <w:szCs w:val="24"/>
        </w:rPr>
        <w:t>调查</w:t>
      </w:r>
      <w:r>
        <w:rPr>
          <w:rFonts w:hint="default" w:ascii="Times New Roman" w:hAnsi="Times New Roman" w:eastAsia="宋体" w:cs="Times New Roman"/>
          <w:color w:val="auto"/>
          <w:szCs w:val="24"/>
          <w:lang w:val="zh-CN"/>
        </w:rPr>
        <w:t>结果，本项目评价区范围内未发现有国家级、云南省级保护野生植物</w:t>
      </w:r>
      <w:r>
        <w:rPr>
          <w:rFonts w:hint="default" w:ascii="Times New Roman" w:hAnsi="Times New Roman" w:eastAsia="宋体" w:cs="Times New Roman"/>
          <w:color w:val="auto"/>
          <w:szCs w:val="24"/>
        </w:rPr>
        <w:t>和古树名木分布</w:t>
      </w:r>
      <w:r>
        <w:rPr>
          <w:rFonts w:hint="default" w:ascii="Times New Roman" w:hAnsi="Times New Roman" w:eastAsia="宋体" w:cs="Times New Roman"/>
          <w:color w:val="auto"/>
          <w:szCs w:val="24"/>
          <w:lang w:val="zh-CN"/>
        </w:rPr>
        <w:t>，工程建设对野生保护植物</w:t>
      </w:r>
      <w:r>
        <w:rPr>
          <w:rFonts w:hint="default" w:ascii="Times New Roman" w:hAnsi="Times New Roman" w:eastAsia="宋体" w:cs="Times New Roman"/>
          <w:color w:val="auto"/>
          <w:szCs w:val="24"/>
        </w:rPr>
        <w:t>和古树名木</w:t>
      </w:r>
      <w:r>
        <w:rPr>
          <w:rFonts w:hint="default" w:ascii="Times New Roman" w:hAnsi="Times New Roman" w:eastAsia="宋体" w:cs="Times New Roman"/>
          <w:color w:val="auto"/>
          <w:szCs w:val="24"/>
          <w:lang w:val="zh-CN"/>
        </w:rPr>
        <w:t>无影响。同时，调查未发现</w:t>
      </w:r>
      <w:r>
        <w:rPr>
          <w:rFonts w:hint="default" w:ascii="Times New Roman" w:hAnsi="Times New Roman" w:eastAsia="宋体" w:cs="Times New Roman"/>
          <w:color w:val="auto"/>
          <w:szCs w:val="24"/>
        </w:rPr>
        <w:t>会泽县</w:t>
      </w:r>
      <w:r>
        <w:rPr>
          <w:rFonts w:hint="default" w:ascii="Times New Roman" w:hAnsi="Times New Roman" w:eastAsia="宋体" w:cs="Times New Roman"/>
          <w:color w:val="auto"/>
          <w:szCs w:val="24"/>
          <w:lang w:val="zh-CN"/>
        </w:rPr>
        <w:t>区特有植物物种分布，项目建设对区域特有物种无影响。</w:t>
      </w:r>
    </w:p>
    <w:p w14:paraId="6B4A89C3">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cs="Times New Roman"/>
          <w:b/>
          <w:bCs/>
          <w:color w:val="auto"/>
        </w:rPr>
      </w:pPr>
      <w:bookmarkStart w:id="366" w:name="_Toc402364628"/>
      <w:bookmarkStart w:id="367" w:name="_Toc308088148"/>
      <w:bookmarkStart w:id="368" w:name="_Toc333864364"/>
      <w:bookmarkStart w:id="369" w:name="_Toc333863949"/>
      <w:r>
        <w:rPr>
          <w:rFonts w:hint="default" w:ascii="Times New Roman" w:hAnsi="Times New Roman" w:cs="Times New Roman"/>
          <w:b/>
          <w:bCs/>
          <w:color w:val="auto"/>
        </w:rPr>
        <w:t>（4）对野生动物的影响</w:t>
      </w:r>
      <w:bookmarkEnd w:id="366"/>
      <w:bookmarkEnd w:id="367"/>
      <w:bookmarkEnd w:id="368"/>
      <w:bookmarkEnd w:id="369"/>
      <w:r>
        <w:rPr>
          <w:rFonts w:hint="default" w:ascii="Times New Roman" w:hAnsi="Times New Roman" w:cs="Times New Roman"/>
          <w:b/>
          <w:bCs/>
          <w:color w:val="auto"/>
        </w:rPr>
        <w:t>评价结论</w:t>
      </w:r>
    </w:p>
    <w:p w14:paraId="2593E22C">
      <w:pPr>
        <w:keepNext w:val="0"/>
        <w:keepLines w:val="0"/>
        <w:pageBreakBefore w:val="0"/>
        <w:kinsoku/>
        <w:wordWrap/>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&lt;1&gt;施工期</w:t>
      </w:r>
    </w:p>
    <w:p w14:paraId="35586DDA">
      <w:pPr>
        <w:keepNext w:val="0"/>
        <w:keepLines w:val="0"/>
        <w:pageBreakBefore w:val="0"/>
        <w:kinsoku/>
        <w:wordWrap/>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①对两栖爬行类动物的影响</w:t>
      </w:r>
    </w:p>
    <w:p w14:paraId="1C7B230F">
      <w:pPr>
        <w:keepNext w:val="0"/>
        <w:keepLines w:val="0"/>
        <w:pageBreakBefore w:val="0"/>
        <w:kinsoku/>
        <w:wordWrap/>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本工程线路沿线的两栖爬行动物主要栖息于农田、溪流及附近的林木、灌丛、杂草中，受工程影响的主要是栖息于上述环境中的常见物种。</w:t>
      </w:r>
    </w:p>
    <w:p w14:paraId="3AFCA847">
      <w:pPr>
        <w:keepNext w:val="0"/>
        <w:keepLines w:val="0"/>
        <w:pageBreakBefore w:val="0"/>
        <w:kinsoku/>
        <w:wordWrap/>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工程施工对两栖爬行类动物的影响包括对其栖息地生境的干扰和破坏，施工机械噪声对动物的驱赶；这些影响将使大部分动物迁移他处，远离施工区范围；小部分动物由于栖息地的散失而可能从项目区消失。总体来说，施工期间虽会使项目占地区及施工影响区两栖爬行动物的种类和数量有所减少，但对整个项目区两栖爬行动物的种群数量的影响十分有限。一方面这些动物将迁徙他处；另一方面随着项目建设的完成，生境的恢复，两栖爬行动物的种群数量将很快得以恢复。</w:t>
      </w:r>
    </w:p>
    <w:p w14:paraId="09D07D9E">
      <w:pPr>
        <w:keepNext w:val="0"/>
        <w:keepLines w:val="0"/>
        <w:pageBreakBefore w:val="0"/>
        <w:kinsoku/>
        <w:wordWrap/>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②对鸟类动物的影响</w:t>
      </w:r>
    </w:p>
    <w:p w14:paraId="1E6FD75D">
      <w:pPr>
        <w:keepNext w:val="0"/>
        <w:keepLines w:val="0"/>
        <w:pageBreakBefore w:val="0"/>
        <w:kinsoku/>
        <w:wordWrap/>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bCs/>
          <w:color w:val="auto"/>
          <w:szCs w:val="24"/>
          <w:lang w:val="zh-CN"/>
        </w:rPr>
      </w:pPr>
      <w:r>
        <w:rPr>
          <w:rFonts w:hint="default" w:ascii="Times New Roman" w:hAnsi="Times New Roman" w:eastAsia="宋体" w:cs="Times New Roman"/>
          <w:bCs/>
          <w:color w:val="auto"/>
          <w:szCs w:val="24"/>
          <w:lang w:val="zh-CN"/>
        </w:rPr>
        <w:t>施工期间对鸟类的影响主要表现为：人为活动的增加以及施工便道的开挖和噪声、施工机械</w:t>
      </w:r>
      <w:r>
        <w:rPr>
          <w:rFonts w:hint="default" w:ascii="Times New Roman" w:hAnsi="Times New Roman" w:eastAsia="宋体" w:cs="Times New Roman"/>
          <w:bCs/>
          <w:color w:val="auto"/>
          <w:szCs w:val="24"/>
        </w:rPr>
        <w:t>噪声</w:t>
      </w:r>
      <w:r>
        <w:rPr>
          <w:rFonts w:hint="default" w:ascii="Times New Roman" w:hAnsi="Times New Roman" w:eastAsia="宋体" w:cs="Times New Roman"/>
          <w:bCs/>
          <w:color w:val="auto"/>
          <w:szCs w:val="24"/>
          <w:lang w:val="zh-CN"/>
        </w:rPr>
        <w:t>等均会惊吓、干扰某些鸟类，尤其对一些林栖鸟类会产生干扰。但鸟类能凭借自身的飞翔能力离开施工影响区域，寻找适宜的栖息地。只要施工过程没有影响到鸟类集中的栖息或繁殖地，就不会影响工程沿线鸟类种群及其长期生存繁衍的环境。施工活动对于伴人活动的一些鸟类，诸如黄臀鹎、麻雀数量可能会有所增加；而对于其他鸟类可能会产生干扰，导致种类和数量明显减少，但不会导致其消失。</w:t>
      </w:r>
    </w:p>
    <w:p w14:paraId="43A5D0C5">
      <w:pPr>
        <w:keepNext w:val="0"/>
        <w:keepLines w:val="0"/>
        <w:pageBreakBefore w:val="0"/>
        <w:kinsoku/>
        <w:wordWrap/>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bCs/>
          <w:color w:val="auto"/>
          <w:szCs w:val="24"/>
          <w:lang w:val="zh-CN"/>
        </w:rPr>
      </w:pPr>
      <w:r>
        <w:rPr>
          <w:rFonts w:hint="default" w:ascii="Times New Roman" w:hAnsi="Times New Roman" w:eastAsia="宋体" w:cs="Times New Roman"/>
          <w:bCs/>
          <w:color w:val="auto"/>
          <w:szCs w:val="24"/>
          <w:lang w:val="zh-CN"/>
        </w:rPr>
        <w:t>总体来看，评价区施工区没有鸟类集中的栖息或繁殖地，更没有重点保护野生鸟类的固定繁殖地；而施工期由于人为活动、施工噪声等会惊吓干扰的鸟类会暂时避绕到影响区外觅食，但由于大部分鸟类活动能力与范围较广，受影响施工影响十分有限。</w:t>
      </w:r>
    </w:p>
    <w:p w14:paraId="4B46E211">
      <w:pPr>
        <w:keepNext w:val="0"/>
        <w:keepLines w:val="0"/>
        <w:pageBreakBefore w:val="0"/>
        <w:kinsoku/>
        <w:wordWrap/>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③对哺乳类动物的影响</w:t>
      </w:r>
    </w:p>
    <w:p w14:paraId="795B9178">
      <w:pPr>
        <w:keepNext w:val="0"/>
        <w:keepLines w:val="0"/>
        <w:pageBreakBefore w:val="0"/>
        <w:kinsoku/>
        <w:wordWrap/>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塔基的设置，基本不占据动物的栖息地，占用植被有限且非区域原生植被，大大降低了对该区哺乳动物的影响；评价区内的灌草丛可能是一些小型兽类活动较多的地方，工程临时占地与永久占地，会压缩该区动物的活动空间，降低种群数量与出现频率。</w:t>
      </w:r>
    </w:p>
    <w:p w14:paraId="48E8ACFE">
      <w:pPr>
        <w:keepNext w:val="0"/>
        <w:keepLines w:val="0"/>
        <w:pageBreakBefore w:val="0"/>
        <w:kinsoku/>
        <w:wordWrap/>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施工期间对兽类的影响主要表现为：对动物觅食地所在生态环境的破坏，包括对施工区林地植被的破坏和林木的砍伐、爆破所产生的噪声，弃渣场作业、各种施工人员以及施工机械的干扰等，使评价区及其周边环境发生改变，受影响的主要是适生于灌丛、草丛等的小型兽类，将迁移至附近受干扰小的区域，在施工区附近区域上述兽类栖息适宜度降低，种类和数量将相应减少，而伴随人类生活的一些啮齿目、食虫目动物（如小家鼠等），其种群数量会有所增加，与之相适应，主要以鼠类为食的黄鼬等种群数量将会有所增加。工程建成后，随着植被的逐渐恢复，生态环境的好转，人为干扰减少，许多外迁的兽类会陆续回到原来的栖息地。</w:t>
      </w:r>
    </w:p>
    <w:p w14:paraId="2141649E">
      <w:pPr>
        <w:keepNext w:val="0"/>
        <w:keepLines w:val="0"/>
        <w:pageBreakBefore w:val="0"/>
        <w:kinsoku/>
        <w:wordWrap/>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④对重要野生保护动物的影响</w:t>
      </w:r>
    </w:p>
    <w:p w14:paraId="64BDBACB">
      <w:pPr>
        <w:keepNext w:val="0"/>
        <w:keepLines w:val="0"/>
        <w:pageBreakBefore w:val="0"/>
        <w:kinsoku/>
        <w:wordWrap/>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本项目评价区记录的陆栖脊椎动物中，</w:t>
      </w:r>
      <w:r>
        <w:rPr>
          <w:rFonts w:hint="default" w:ascii="Times New Roman" w:hAnsi="Times New Roman" w:eastAsia="宋体" w:cs="Times New Roman"/>
          <w:bCs/>
          <w:color w:val="auto"/>
          <w:szCs w:val="24"/>
          <w:lang w:val="zh-CN"/>
        </w:rPr>
        <w:t>有国家重点保护野生动物</w:t>
      </w:r>
      <w:r>
        <w:rPr>
          <w:rFonts w:hint="default" w:ascii="Times New Roman" w:hAnsi="Times New Roman" w:eastAsia="宋体" w:cs="Times New Roman"/>
          <w:bCs/>
          <w:color w:val="auto"/>
          <w:szCs w:val="24"/>
          <w:lang w:val="zh-CN" w:eastAsia="zh-CN"/>
        </w:rPr>
        <w:t>5</w:t>
      </w:r>
      <w:r>
        <w:rPr>
          <w:rFonts w:hint="default" w:ascii="Times New Roman" w:hAnsi="Times New Roman" w:eastAsia="宋体" w:cs="Times New Roman"/>
          <w:bCs/>
          <w:color w:val="auto"/>
          <w:szCs w:val="24"/>
          <w:lang w:val="zh-CN"/>
        </w:rPr>
        <w:t>种</w:t>
      </w:r>
      <w:r>
        <w:rPr>
          <w:rFonts w:hint="default" w:ascii="Times New Roman" w:hAnsi="Times New Roman" w:eastAsia="宋体" w:cs="Times New Roman"/>
          <w:bCs/>
          <w:color w:val="auto"/>
          <w:szCs w:val="24"/>
          <w:lang w:val="zh-CN" w:eastAsia="zh-CN"/>
        </w:rPr>
        <w:t>，其中</w:t>
      </w:r>
      <w:r>
        <w:rPr>
          <w:rFonts w:hint="default" w:ascii="Times New Roman" w:hAnsi="Times New Roman" w:eastAsia="宋体" w:cs="Times New Roman"/>
          <w:bCs/>
          <w:color w:val="auto"/>
          <w:szCs w:val="24"/>
          <w:lang w:val="zh-CN"/>
        </w:rPr>
        <w:t>国家二级重点保护野生鸟类</w:t>
      </w:r>
      <w:r>
        <w:rPr>
          <w:rFonts w:hint="default" w:ascii="Times New Roman" w:hAnsi="Times New Roman" w:eastAsia="宋体" w:cs="Times New Roman"/>
          <w:bCs/>
          <w:color w:val="auto"/>
          <w:szCs w:val="24"/>
          <w:lang w:val="zh-CN" w:eastAsia="zh-CN"/>
        </w:rPr>
        <w:t>4种</w:t>
      </w:r>
      <w:r>
        <w:rPr>
          <w:rFonts w:hint="default" w:ascii="Times New Roman" w:hAnsi="Times New Roman" w:eastAsia="宋体" w:cs="Times New Roman"/>
          <w:bCs/>
          <w:color w:val="auto"/>
          <w:szCs w:val="24"/>
          <w:lang w:val="zh-CN"/>
        </w:rPr>
        <w:t>：松雀鹰、普通鵟、红隼</w:t>
      </w:r>
      <w:r>
        <w:rPr>
          <w:rFonts w:hint="default" w:ascii="Times New Roman" w:hAnsi="Times New Roman" w:eastAsia="宋体" w:cs="Times New Roman"/>
          <w:bCs/>
          <w:color w:val="auto"/>
          <w:szCs w:val="24"/>
          <w:lang w:val="zh-CN" w:eastAsia="zh-CN"/>
        </w:rPr>
        <w:t>、</w:t>
      </w:r>
      <w:r>
        <w:rPr>
          <w:rFonts w:hint="default" w:ascii="Times New Roman" w:hAnsi="Times New Roman" w:eastAsia="宋体" w:cs="Times New Roman"/>
          <w:bCs/>
          <w:color w:val="auto"/>
          <w:szCs w:val="24"/>
          <w:lang w:val="zh-CN"/>
        </w:rPr>
        <w:t>画眉</w:t>
      </w:r>
      <w:r>
        <w:rPr>
          <w:rFonts w:hint="default" w:ascii="Times New Roman" w:hAnsi="Times New Roman" w:eastAsia="宋体" w:cs="Times New Roman"/>
          <w:bCs/>
          <w:color w:val="auto"/>
          <w:szCs w:val="24"/>
          <w:lang w:val="zh-CN" w:eastAsia="zh-CN"/>
        </w:rPr>
        <w:t>；</w:t>
      </w:r>
      <w:r>
        <w:rPr>
          <w:rFonts w:hint="default" w:ascii="Times New Roman" w:hAnsi="Times New Roman" w:eastAsia="宋体" w:cs="Times New Roman"/>
          <w:bCs/>
          <w:color w:val="auto"/>
          <w:szCs w:val="24"/>
          <w:lang w:val="zh-CN"/>
        </w:rPr>
        <w:t>国家二级重点保护野生</w:t>
      </w:r>
      <w:r>
        <w:rPr>
          <w:rFonts w:hint="default" w:ascii="Times New Roman" w:hAnsi="Times New Roman" w:eastAsia="宋体" w:cs="Times New Roman"/>
          <w:bCs/>
          <w:color w:val="auto"/>
          <w:szCs w:val="24"/>
          <w:lang w:val="zh-CN" w:eastAsia="zh-CN"/>
        </w:rPr>
        <w:t>种哺乳类1种：</w:t>
      </w:r>
      <w:r>
        <w:rPr>
          <w:rFonts w:hint="default" w:ascii="Times New Roman" w:hAnsi="Times New Roman" w:eastAsia="宋体" w:cs="Times New Roman"/>
          <w:bCs/>
          <w:color w:val="auto"/>
          <w:szCs w:val="24"/>
          <w:lang w:val="zh-CN"/>
        </w:rPr>
        <w:t>豹猫。</w:t>
      </w:r>
      <w:r>
        <w:rPr>
          <w:rFonts w:hint="default" w:ascii="Times New Roman" w:hAnsi="Times New Roman" w:eastAsia="宋体" w:cs="Times New Roman"/>
          <w:bCs/>
          <w:color w:val="auto"/>
          <w:szCs w:val="24"/>
        </w:rPr>
        <w:t>评价范围内会有上述重要物种活动，是因为其活动范围较大，它们在云南大部分地区均有分布，现场调查过程中没有发现其栖息地，根据访问调查及相关资料，评价区有该物种活动，但评价区不属于其主要栖息地。</w:t>
      </w:r>
    </w:p>
    <w:p w14:paraId="5DB3DCD4">
      <w:pPr>
        <w:keepNext w:val="0"/>
        <w:keepLines w:val="0"/>
        <w:pageBreakBefore w:val="0"/>
        <w:widowControl w:val="0"/>
        <w:kinsoku/>
        <w:wordWrap/>
        <w:overflowPunct/>
        <w:topLinePunct w:val="0"/>
        <w:autoSpaceDE/>
        <w:autoSpaceDN/>
        <w:bidi w:val="0"/>
        <w:adjustRightInd w:val="0"/>
        <w:snapToGrid w:val="0"/>
        <w:spacing w:after="0" w:line="440" w:lineRule="exact"/>
        <w:ind w:firstLine="480"/>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在上述保护物种中，普通鵟、红隼、松雀鹰均为高空猛禽，这些猛禽只是偶尔会到评价区的空中飞翔、觅食，均未发现它们在评价区范围内筑巢繁殖，也未发现适宜它们繁殖的生境。画眉为小型鸣禽，主要分布在评价区靠近村庄的灌草丛，工程占用的林地不涉及其适宜生境，但施工噪声会对其造成趋避影响，施工期间其在评价区内数量将下降。豹猫在评价区内较为罕见，工程对其影响主要为噪声影响，将造成其在施工期评价范围内数量的下降。工程建设会一定程度上压缩这些物种的生境，但这种影响十分有限，且其活动能力较强，受影响时会自行避让和选择新的生境，工程建设对其不良影响很小。且根据分析，工程建设范围均不涉及保护动物重要生境。</w:t>
      </w:r>
    </w:p>
    <w:p w14:paraId="582B9E1C">
      <w:pPr>
        <w:keepNext w:val="0"/>
        <w:keepLines w:val="0"/>
        <w:pageBreakBefore w:val="0"/>
        <w:kinsoku/>
        <w:wordWrap/>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color w:val="auto"/>
          <w:szCs w:val="24"/>
          <w:lang w:val="zh-CN"/>
        </w:rPr>
      </w:pPr>
      <w:r>
        <w:rPr>
          <w:rFonts w:hint="default" w:ascii="Times New Roman" w:hAnsi="Times New Roman" w:eastAsia="宋体" w:cs="Times New Roman"/>
          <w:color w:val="auto"/>
          <w:szCs w:val="24"/>
          <w:lang w:val="zh-CN"/>
        </w:rPr>
        <w:t>&lt;2&gt;运营期</w:t>
      </w:r>
    </w:p>
    <w:p w14:paraId="1C5D83FF">
      <w:pPr>
        <w:keepNext w:val="0"/>
        <w:keepLines w:val="0"/>
        <w:pageBreakBefore w:val="0"/>
        <w:kinsoku/>
        <w:wordWrap/>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工程运行对陆栖脊椎动物的影响主要体现在输电线路电场、磁场对鸟类迁徙的影响和碰撞影响和对栖息地连通性影响上。</w:t>
      </w:r>
    </w:p>
    <w:p w14:paraId="4A9D8FB9">
      <w:pPr>
        <w:keepNext w:val="0"/>
        <w:keepLines w:val="0"/>
        <w:pageBreakBefore w:val="0"/>
        <w:kinsoku/>
        <w:wordWrap/>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输变电线路营运的噪声、电磁辐射会对鸟类造成潜在的威胁和影响，干扰鸟类的生殖活动和行为。但由于鸟类趋避能力较强，且工程输电线路电压等级较低，这种影响是较小的。</w:t>
      </w:r>
    </w:p>
    <w:p w14:paraId="199F8DFE">
      <w:pPr>
        <w:keepNext w:val="0"/>
        <w:keepLines w:val="0"/>
        <w:pageBreakBefore w:val="0"/>
        <w:kinsoku/>
        <w:wordWrap/>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同时工程虽然不需要砍伐隔离带和通道，但由于运营时线路产生电磁噪声，仍然会影响动物栖息地的连通性，对线路两侧的生物种群交流造成一定的影响，长此以往将降低评价区内种群遗传多样性；评价区由于生境偏干，两栖类分布数量很小，且两栖类动物活动范围较小，不需要广阔的觅食、繁殖区域，因此工程建设对两栖类生境连通性影响较小；评价区内爬行类动物主要为适应偏干生境的种类，爬行类活动范围较小，觅食、繁殖所需区域相对较小，且由于工程电压等级较低、线路高度远高于植被高度，不砍伐隔离带仅对超过安全距离林冠进行修剪，因此对爬行类动物影响较小。</w:t>
      </w:r>
    </w:p>
    <w:p w14:paraId="1916FE53">
      <w:pPr>
        <w:keepNext w:val="0"/>
        <w:keepLines w:val="0"/>
        <w:pageBreakBefore w:val="0"/>
        <w:widowControl w:val="0"/>
        <w:kinsoku/>
        <w:wordWrap/>
        <w:overflowPunct/>
        <w:topLinePunct w:val="0"/>
        <w:autoSpaceDE/>
        <w:autoSpaceDN/>
        <w:bidi w:val="0"/>
        <w:adjustRightInd w:val="0"/>
        <w:snapToGrid w:val="0"/>
        <w:spacing w:after="0" w:line="440" w:lineRule="exact"/>
        <w:ind w:firstLine="480"/>
        <w:jc w:val="both"/>
        <w:textAlignment w:val="auto"/>
        <w:rPr>
          <w:rFonts w:hint="default" w:ascii="Times New Roman" w:hAnsi="Times New Roman" w:cs="Times New Roman"/>
          <w:b/>
          <w:bCs/>
          <w:color w:val="auto"/>
        </w:rPr>
      </w:pPr>
      <w:r>
        <w:rPr>
          <w:rFonts w:hint="default" w:ascii="Times New Roman" w:hAnsi="Times New Roman" w:cs="Times New Roman"/>
          <w:b/>
          <w:bCs/>
          <w:color w:val="auto"/>
        </w:rPr>
        <w:t>（5）对土地利用的影响结论</w:t>
      </w:r>
    </w:p>
    <w:p w14:paraId="222780B5">
      <w:pPr>
        <w:keepNext w:val="0"/>
        <w:keepLines w:val="0"/>
        <w:pageBreakBefore w:val="0"/>
        <w:kinsoku/>
        <w:wordWrap/>
        <w:overflowPunct w:val="0"/>
        <w:topLinePunct/>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color w:val="auto"/>
          <w:szCs w:val="24"/>
        </w:rPr>
      </w:pPr>
      <w:r>
        <w:rPr>
          <w:rFonts w:hint="default" w:ascii="Times New Roman" w:hAnsi="Times New Roman" w:cs="Times New Roman"/>
          <w:color w:val="auto"/>
          <w:szCs w:val="24"/>
        </w:rPr>
        <w:t>工程总占地面积为</w:t>
      </w:r>
      <w:r>
        <w:rPr>
          <w:rFonts w:hint="eastAsia" w:ascii="Times New Roman" w:hAnsi="Times New Roman" w:cs="Times New Roman"/>
          <w:color w:val="auto"/>
          <w:szCs w:val="24"/>
          <w:lang w:val="en-US" w:eastAsia="zh-CN"/>
        </w:rPr>
        <w:t>0.60895</w:t>
      </w:r>
      <w:r>
        <w:rPr>
          <w:rFonts w:hint="default" w:ascii="Times New Roman" w:hAnsi="Times New Roman" w:cs="Times New Roman"/>
          <w:color w:val="auto"/>
          <w:szCs w:val="24"/>
        </w:rPr>
        <w:t>hm</w:t>
      </w:r>
      <w:r>
        <w:rPr>
          <w:rFonts w:hint="default" w:ascii="Times New Roman" w:hAnsi="Times New Roman" w:cs="Times New Roman"/>
          <w:color w:val="auto"/>
          <w:szCs w:val="24"/>
          <w:vertAlign w:val="superscript"/>
        </w:rPr>
        <w:t>2</w:t>
      </w:r>
      <w:r>
        <w:rPr>
          <w:rFonts w:hint="default" w:ascii="Times New Roman" w:hAnsi="Times New Roman" w:cs="Times New Roman"/>
          <w:color w:val="auto"/>
          <w:szCs w:val="24"/>
        </w:rPr>
        <w:t>，其中永久占地0.25495hm²，临时占地0.</w:t>
      </w:r>
      <w:r>
        <w:rPr>
          <w:rFonts w:hint="eastAsia" w:ascii="Times New Roman" w:hAnsi="Times New Roman" w:cs="Times New Roman"/>
          <w:color w:val="auto"/>
          <w:szCs w:val="24"/>
          <w:lang w:val="en-US" w:eastAsia="zh-CN"/>
        </w:rPr>
        <w:t>354</w:t>
      </w:r>
      <w:r>
        <w:rPr>
          <w:rFonts w:hint="default" w:ascii="Times New Roman" w:hAnsi="Times New Roman" w:cs="Times New Roman"/>
          <w:color w:val="auto"/>
          <w:szCs w:val="24"/>
        </w:rPr>
        <w:t>hm²，永久占地主要为塔基占地，</w:t>
      </w:r>
      <w:r>
        <w:rPr>
          <w:rFonts w:hint="default" w:ascii="Times New Roman" w:hAnsi="Times New Roman" w:eastAsia="宋体" w:cs="Times New Roman"/>
          <w:color w:val="auto"/>
          <w:szCs w:val="24"/>
        </w:rPr>
        <w:t>工程占用乔木林地面积0.20882hm²，占评价区同类型土地利用面积的0.05%；工程占用旱地面积0.04613hm²，占评价区同类型土地利用面积的0.03%。项目永久占地将改变现有土地的性质和功能，临时占地将破坏地表植被，干扰野生动物的栖息。</w:t>
      </w:r>
    </w:p>
    <w:p w14:paraId="60816F53">
      <w:pPr>
        <w:keepNext w:val="0"/>
        <w:keepLines w:val="0"/>
        <w:pageBreakBefore w:val="0"/>
        <w:kinsoku/>
        <w:wordWrap/>
        <w:autoSpaceDE/>
        <w:autoSpaceDN/>
        <w:bidi w:val="0"/>
        <w:adjustRightInd w:val="0"/>
        <w:snapToGrid w:val="0"/>
        <w:spacing w:after="0" w:line="440" w:lineRule="exact"/>
        <w:ind w:firstLine="480"/>
        <w:jc w:val="both"/>
        <w:textAlignment w:val="auto"/>
        <w:rPr>
          <w:rFonts w:hint="default" w:ascii="Times New Roman" w:hAnsi="Times New Roman" w:cs="Times New Roman"/>
          <w:snapToGrid w:val="0"/>
          <w:color w:val="auto"/>
        </w:rPr>
      </w:pPr>
      <w:r>
        <w:rPr>
          <w:rFonts w:hint="default" w:ascii="Times New Roman" w:hAnsi="Times New Roman" w:eastAsia="宋体" w:cs="Times New Roman"/>
          <w:color w:val="auto"/>
          <w:szCs w:val="24"/>
        </w:rPr>
        <w:t>工程建设对评价区的土地利用有一定影响，但并不会对评价区的土地利用格局产生大的改变。由于本项目输电线路具有占地面积小且较为分散的特点，工程建设不会引起区域土地利用的结构性变化，</w:t>
      </w:r>
      <w:r>
        <w:rPr>
          <w:rFonts w:hint="default" w:ascii="Times New Roman" w:hAnsi="Times New Roman" w:eastAsia="宋体" w:cs="Times New Roman"/>
          <w:bCs/>
          <w:color w:val="auto"/>
          <w:szCs w:val="24"/>
        </w:rPr>
        <w:t>从现场情况看，基本无施工痕迹。因此，本次评价要求按照水土保持报告表要求，及时进行裸露地表的植被恢复及相关防护措施。在采取以上措施后，施工对占地影响可以接受。</w:t>
      </w:r>
    </w:p>
    <w:p w14:paraId="6098BF9B">
      <w:pPr>
        <w:keepNext w:val="0"/>
        <w:keepLines w:val="0"/>
        <w:pageBreakBefore w:val="0"/>
        <w:widowControl w:val="0"/>
        <w:kinsoku/>
        <w:wordWrap/>
        <w:overflowPunct/>
        <w:topLinePunct w:val="0"/>
        <w:autoSpaceDE/>
        <w:autoSpaceDN/>
        <w:bidi w:val="0"/>
        <w:adjustRightInd w:val="0"/>
        <w:snapToGrid w:val="0"/>
        <w:spacing w:after="0" w:line="440" w:lineRule="exact"/>
        <w:ind w:firstLine="480"/>
        <w:jc w:val="both"/>
        <w:textAlignment w:val="auto"/>
        <w:rPr>
          <w:rFonts w:hint="default" w:ascii="Times New Roman" w:hAnsi="Times New Roman" w:cs="Times New Roman"/>
          <w:b/>
          <w:bCs/>
          <w:color w:val="auto"/>
        </w:rPr>
      </w:pPr>
      <w:r>
        <w:rPr>
          <w:rFonts w:hint="default" w:ascii="Times New Roman" w:hAnsi="Times New Roman" w:cs="Times New Roman"/>
          <w:b/>
          <w:bCs/>
          <w:color w:val="auto"/>
        </w:rPr>
        <w:t>（6）景观生态结构、质量和稳定性变化影响预测结论</w:t>
      </w:r>
    </w:p>
    <w:p w14:paraId="5EFB9232">
      <w:pPr>
        <w:keepNext w:val="0"/>
        <w:keepLines w:val="0"/>
        <w:pageBreakBefore w:val="0"/>
        <w:kinsoku/>
        <w:wordWrap/>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项目涉及占用景观类型为暖温性针叶林景观、暖温性稀树灌木草丛景观、耕地景观，这些景观并不属于特有景观和特有生态系统类型。</w:t>
      </w:r>
    </w:p>
    <w:p w14:paraId="74246FC9">
      <w:pPr>
        <w:keepNext w:val="0"/>
        <w:keepLines w:val="0"/>
        <w:pageBreakBefore w:val="0"/>
        <w:kinsoku/>
        <w:wordWrap/>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项目建成后评价区总面积为107</w:t>
      </w:r>
      <w:r>
        <w:rPr>
          <w:rFonts w:hint="eastAsia" w:ascii="Times New Roman" w:hAnsi="Times New Roman" w:eastAsia="宋体" w:cs="Times New Roman"/>
          <w:color w:val="auto"/>
          <w:szCs w:val="24"/>
          <w:lang w:val="en-US" w:eastAsia="zh-CN"/>
        </w:rPr>
        <w:t>2.183</w:t>
      </w:r>
      <w:r>
        <w:rPr>
          <w:rFonts w:hint="default" w:ascii="Times New Roman" w:hAnsi="Times New Roman" w:eastAsia="宋体" w:cs="Times New Roman"/>
          <w:color w:val="auto"/>
          <w:szCs w:val="24"/>
        </w:rPr>
        <w:t>hm</w:t>
      </w:r>
      <w:r>
        <w:rPr>
          <w:rFonts w:hint="default" w:ascii="Times New Roman" w:hAnsi="Times New Roman" w:eastAsia="宋体" w:cs="Times New Roman"/>
          <w:color w:val="auto"/>
          <w:szCs w:val="24"/>
          <w:vertAlign w:val="superscript"/>
        </w:rPr>
        <w:t>2</w:t>
      </w:r>
      <w:r>
        <w:rPr>
          <w:rFonts w:hint="default" w:ascii="Times New Roman" w:hAnsi="Times New Roman" w:eastAsia="宋体" w:cs="Times New Roman"/>
          <w:color w:val="auto"/>
          <w:szCs w:val="24"/>
        </w:rPr>
        <w:t>，仍然以暖温性针叶林景观所占比重最大，面积为426.892hm</w:t>
      </w:r>
      <w:r>
        <w:rPr>
          <w:rFonts w:hint="default" w:ascii="Times New Roman" w:hAnsi="Times New Roman" w:eastAsia="宋体" w:cs="Times New Roman"/>
          <w:color w:val="auto"/>
          <w:szCs w:val="24"/>
          <w:vertAlign w:val="superscript"/>
        </w:rPr>
        <w:t>2</w:t>
      </w:r>
      <w:r>
        <w:rPr>
          <w:rFonts w:hint="default" w:ascii="Times New Roman" w:hAnsi="Times New Roman" w:eastAsia="宋体" w:cs="Times New Roman"/>
          <w:color w:val="auto"/>
          <w:szCs w:val="24"/>
        </w:rPr>
        <w:t>，占评价区总面积的39.</w:t>
      </w:r>
      <w:r>
        <w:rPr>
          <w:rFonts w:hint="eastAsia" w:ascii="Times New Roman" w:hAnsi="Times New Roman" w:eastAsia="宋体" w:cs="Times New Roman"/>
          <w:color w:val="auto"/>
          <w:szCs w:val="24"/>
          <w:lang w:val="en-US" w:eastAsia="zh-CN"/>
        </w:rPr>
        <w:t>815</w:t>
      </w:r>
      <w:r>
        <w:rPr>
          <w:rFonts w:hint="default" w:ascii="Times New Roman" w:hAnsi="Times New Roman" w:eastAsia="宋体" w:cs="Times New Roman"/>
          <w:color w:val="auto"/>
          <w:szCs w:val="24"/>
        </w:rPr>
        <w:t>%；其次为耕地景观。</w:t>
      </w:r>
    </w:p>
    <w:p w14:paraId="34E17A3D">
      <w:pPr>
        <w:keepNext w:val="0"/>
        <w:keepLines w:val="0"/>
        <w:pageBreakBefore w:val="0"/>
        <w:kinsoku/>
        <w:wordWrap/>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项目建成后，暖温性针叶林景观与耕地景观成为景观的地域背景，与建设前维持不变。</w:t>
      </w:r>
    </w:p>
    <w:p w14:paraId="491B58B1">
      <w:pPr>
        <w:keepNext w:val="0"/>
        <w:keepLines w:val="0"/>
        <w:pageBreakBefore w:val="0"/>
        <w:kinsoku/>
        <w:wordWrap/>
        <w:autoSpaceDE/>
        <w:autoSpaceDN/>
        <w:bidi w:val="0"/>
        <w:adjustRightInd w:val="0"/>
        <w:snapToGrid w:val="0"/>
        <w:spacing w:after="0" w:line="440" w:lineRule="exact"/>
        <w:ind w:firstLine="480"/>
        <w:jc w:val="both"/>
        <w:textAlignment w:val="auto"/>
        <w:rPr>
          <w:rFonts w:hint="default" w:ascii="Times New Roman" w:hAnsi="Times New Roman" w:eastAsia="宋体" w:cs="Times New Roman"/>
          <w:color w:val="auto"/>
          <w:kern w:val="0"/>
          <w:szCs w:val="24"/>
          <w:lang w:bidi="ar"/>
        </w:rPr>
      </w:pPr>
      <w:r>
        <w:rPr>
          <w:rFonts w:hint="default" w:ascii="Times New Roman" w:hAnsi="Times New Roman" w:eastAsia="宋体" w:cs="Times New Roman"/>
          <w:color w:val="auto"/>
          <w:kern w:val="0"/>
          <w:szCs w:val="24"/>
          <w:lang w:bidi="ar"/>
        </w:rPr>
        <w:t>从指数变化特征来看，多样性指数与均匀度指数同步提升，说明项目建设后评价区域景观类型分布的均匀性有所改善、景观多样程度略有提升，同时优势度指数上升，表明区域景观优势类型的主导性有所增强。工程施工及建设过程对原有景观格局造成一定扰动，加剧了评价区景观边缘化、孤岛化现象，一定程度上提升了景观破碎化程度。但整体而言，各项多样性指数开发前后数值差异较小，波动幅度有限，未对区域景观生态格局造成颠覆性改变。综合判定，本项目建设对评价区景观生态结构与景观多样性的整体影响较小，处于可接受范围。</w:t>
      </w:r>
    </w:p>
    <w:p w14:paraId="392652AC">
      <w:pPr>
        <w:keepNext w:val="0"/>
        <w:keepLines w:val="0"/>
        <w:pageBreakBefore w:val="0"/>
        <w:widowControl/>
        <w:kinsoku/>
        <w:wordWrap/>
        <w:autoSpaceDE/>
        <w:autoSpaceDN/>
        <w:bidi w:val="0"/>
        <w:adjustRightInd w:val="0"/>
        <w:snapToGrid w:val="0"/>
        <w:spacing w:after="0" w:line="440" w:lineRule="exact"/>
        <w:ind w:firstLine="480"/>
        <w:jc w:val="both"/>
        <w:textAlignment w:val="auto"/>
        <w:rPr>
          <w:rFonts w:hint="default" w:ascii="Times New Roman" w:hAnsi="Times New Roman" w:cs="Times New Roman"/>
          <w:color w:val="auto"/>
          <w:szCs w:val="24"/>
        </w:rPr>
      </w:pPr>
      <w:r>
        <w:rPr>
          <w:rFonts w:hint="default" w:ascii="Times New Roman" w:hAnsi="Times New Roman" w:eastAsia="宋体" w:cs="Times New Roman"/>
          <w:color w:val="auto"/>
          <w:kern w:val="0"/>
          <w:szCs w:val="24"/>
          <w:lang w:bidi="ar"/>
        </w:rPr>
        <w:t>从格局变化规律分析，项目建设占用了部分原有景观用地，对区域连续的景观格局形成切割与分隔作用，直接导致景观分割度、破碎度小幅升高，景观完整性与连通性略有降低，景观空间集聚程度、蔓延延展能力轻微减弱。但由于本项目占地面积规模较小，工程扰动范围有限，对区域景观空间格局的切割、破碎化干扰程度较低，开发前后各项景观空间特征指数差值均较小，无显著突变情况。总体来看，项目建设对评价区景观空间结构、连通性及整体格局的影响轻微，未破坏区域景观空间体系的稳定性。</w:t>
      </w:r>
      <w:r>
        <w:rPr>
          <w:rFonts w:hint="default" w:ascii="Times New Roman" w:hAnsi="Times New Roman" w:eastAsia="宋体" w:cs="Times New Roman"/>
          <w:color w:val="auto"/>
          <w:szCs w:val="24"/>
        </w:rPr>
        <w:t>且</w:t>
      </w:r>
      <w:r>
        <w:rPr>
          <w:rFonts w:hint="default" w:ascii="Times New Roman" w:hAnsi="Times New Roman" w:cs="Times New Roman"/>
          <w:color w:val="auto"/>
          <w:szCs w:val="24"/>
        </w:rPr>
        <w:t>项目占地面积较小，对景观分割有限，开发前后各空间特征指数变化不大。</w:t>
      </w:r>
    </w:p>
    <w:p w14:paraId="0E3E5832">
      <w:pPr>
        <w:keepNext w:val="0"/>
        <w:keepLines w:val="0"/>
        <w:pageBreakBefore w:val="0"/>
        <w:widowControl w:val="0"/>
        <w:kinsoku/>
        <w:wordWrap/>
        <w:overflowPunct/>
        <w:topLinePunct w:val="0"/>
        <w:autoSpaceDE/>
        <w:autoSpaceDN/>
        <w:bidi w:val="0"/>
        <w:adjustRightInd w:val="0"/>
        <w:snapToGrid w:val="0"/>
        <w:spacing w:after="0" w:line="440" w:lineRule="exact"/>
        <w:ind w:firstLine="480"/>
        <w:jc w:val="both"/>
        <w:textAlignment w:val="auto"/>
        <w:rPr>
          <w:rFonts w:hint="default" w:ascii="Times New Roman" w:hAnsi="Times New Roman" w:cs="Times New Roman"/>
          <w:b/>
          <w:bCs/>
          <w:color w:val="auto"/>
        </w:rPr>
      </w:pPr>
      <w:r>
        <w:rPr>
          <w:rFonts w:hint="default" w:ascii="Times New Roman" w:hAnsi="Times New Roman" w:cs="Times New Roman"/>
          <w:b/>
          <w:bCs/>
          <w:color w:val="auto"/>
        </w:rPr>
        <w:t>（7）对当地生态系统的影响评价结论</w:t>
      </w:r>
    </w:p>
    <w:p w14:paraId="08CA2320">
      <w:pPr>
        <w:pStyle w:val="7"/>
        <w:keepNext w:val="0"/>
        <w:keepLines w:val="0"/>
        <w:pageBreakBefore w:val="0"/>
        <w:kinsoku/>
        <w:wordWrap/>
        <w:autoSpaceDE/>
        <w:autoSpaceDN/>
        <w:bidi w:val="0"/>
        <w:adjustRightInd w:val="0"/>
        <w:snapToGrid w:val="0"/>
        <w:spacing w:after="0" w:line="440" w:lineRule="exact"/>
        <w:ind w:firstLine="480" w:firstLineChars="200"/>
        <w:jc w:val="both"/>
        <w:textAlignment w:val="auto"/>
        <w:rPr>
          <w:rFonts w:hint="default" w:ascii="Times New Roman" w:hAnsi="Times New Roman" w:cs="Times New Roman" w:eastAsiaTheme="minorEastAsia"/>
          <w:color w:val="auto"/>
          <w:sz w:val="24"/>
          <w:szCs w:val="24"/>
          <w:lang w:val="en-US"/>
        </w:rPr>
      </w:pPr>
      <w:r>
        <w:rPr>
          <w:rFonts w:hint="default" w:ascii="Times New Roman" w:hAnsi="Times New Roman" w:cs="Times New Roman" w:eastAsiaTheme="minorEastAsia"/>
          <w:color w:val="auto"/>
          <w:sz w:val="24"/>
          <w:szCs w:val="24"/>
          <w:lang w:val="en-US"/>
        </w:rPr>
        <w:t>根据现场踏勘，项目所在地为针叶林生态系统、耕地生态系统占据主导。项目占地面积较小，对生态系统面积的影响较小。但项目为输电线路，将不可避免地对穿越区域的生态系统进行分割，分割后对生态系统的稳定性、连通性将产生不利影响。</w:t>
      </w:r>
    </w:p>
    <w:p w14:paraId="4DB23580">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370" w:name="_Toc2570"/>
      <w:bookmarkStart w:id="371" w:name="_Toc29151"/>
      <w:r>
        <w:rPr>
          <w:rFonts w:hint="default" w:ascii="Times New Roman" w:hAnsi="Times New Roman" w:eastAsia="宋体" w:cs="Times New Roman"/>
          <w:bCs w:val="0"/>
          <w:color w:val="auto"/>
          <w:kern w:val="0"/>
          <w:sz w:val="28"/>
          <w:szCs w:val="28"/>
          <w:lang w:val="zh-CN"/>
        </w:rPr>
        <w:t>5.3 总结论</w:t>
      </w:r>
      <w:bookmarkEnd w:id="370"/>
      <w:bookmarkEnd w:id="371"/>
    </w:p>
    <w:p w14:paraId="48BB5627">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本项目建设和运行将对区域生态环境产生一定的影响，但受本工程建设影响的植被类型、植物种类在项目区及周边区域广泛分布，植物种类均为区域常见种，没有保护植物及该区域特有物种分布，工程对其不利影响仅限于局部，占用植被面积有限，影响范围和程度有限，且以人工植被和次生植被为主，工程建设对植被及植物资源的总体影响较小；本工程建设造成的生物生产量损失占评价区年生产量的比例不高，工程建设</w:t>
      </w:r>
      <w:r>
        <w:rPr>
          <w:rFonts w:hint="default" w:ascii="Times New Roman" w:hAnsi="Times New Roman" w:eastAsia="宋体" w:cs="Times New Roman"/>
          <w:color w:val="auto"/>
          <w:szCs w:val="24"/>
          <w:lang w:val="zh-CN"/>
        </w:rPr>
        <w:t>对区域生态系统生产力水平总体影响不大；</w:t>
      </w:r>
      <w:r>
        <w:rPr>
          <w:rFonts w:hint="default" w:ascii="Times New Roman" w:hAnsi="Times New Roman" w:eastAsia="宋体" w:cs="Times New Roman"/>
          <w:color w:val="auto"/>
          <w:kern w:val="0"/>
        </w:rPr>
        <w:t>本工程建设不会导致评价区的景观生态格局、景观多样性及生态系统发生显著变化，不会导致评价区景观生态系统的功能和稳定性发生显著改变；</w:t>
      </w:r>
      <w:r>
        <w:rPr>
          <w:rFonts w:hint="default" w:ascii="Times New Roman" w:hAnsi="Times New Roman" w:eastAsia="宋体" w:cs="Times New Roman"/>
          <w:color w:val="auto"/>
          <w:szCs w:val="24"/>
        </w:rPr>
        <w:t>受工程建设影响的土地类型在评价区及周边分布广泛，工程建设占用的面积有限，总体影响不大；工程占地范围不属于陆栖脊椎动物的主要栖息地，工程占地区外有广泛适宜的生境和栖息地，工程建设和运行对陆栖脊椎动物影响不大</w:t>
      </w:r>
      <w:r>
        <w:rPr>
          <w:rFonts w:hint="default" w:ascii="Times New Roman" w:hAnsi="Times New Roman" w:eastAsia="宋体" w:cs="Times New Roman"/>
          <w:color w:val="auto"/>
          <w:kern w:val="0"/>
        </w:rPr>
        <w:t>。</w:t>
      </w:r>
    </w:p>
    <w:p w14:paraId="55E4EA29">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总之，从生态影响的角度看，本工程建设和运行对区域生态环境影响不大，在可以接受的范围内。在执行一系列水土保持措施和生态环境影响减缓措施后，本项目是可以实施的。</w:t>
      </w:r>
    </w:p>
    <w:p w14:paraId="49F8187C">
      <w:pPr>
        <w:pStyle w:val="4"/>
        <w:keepNext/>
        <w:keepLines/>
        <w:pageBreakBefore w:val="0"/>
        <w:widowControl w:val="0"/>
        <w:numPr>
          <w:ilvl w:val="1"/>
          <w:numId w:val="0"/>
        </w:numPr>
        <w:kinsoku/>
        <w:wordWrap/>
        <w:overflowPunct/>
        <w:topLinePunct w:val="0"/>
        <w:autoSpaceDE/>
        <w:autoSpaceDN/>
        <w:bidi w:val="0"/>
        <w:adjustRightInd/>
        <w:snapToGrid/>
        <w:spacing w:before="0" w:after="0" w:line="360" w:lineRule="auto"/>
        <w:ind w:left="567" w:hanging="567"/>
        <w:textAlignment w:val="auto"/>
        <w:rPr>
          <w:rFonts w:hint="default" w:ascii="Times New Roman" w:hAnsi="Times New Roman" w:eastAsia="宋体" w:cs="Times New Roman"/>
          <w:bCs w:val="0"/>
          <w:color w:val="auto"/>
          <w:kern w:val="0"/>
          <w:sz w:val="28"/>
          <w:szCs w:val="28"/>
          <w:lang w:val="zh-CN"/>
        </w:rPr>
      </w:pPr>
      <w:bookmarkStart w:id="372" w:name="_Toc18898"/>
      <w:bookmarkStart w:id="373" w:name="_Toc10111"/>
      <w:bookmarkStart w:id="374" w:name="_Toc24972"/>
      <w:r>
        <w:rPr>
          <w:rFonts w:hint="default" w:ascii="Times New Roman" w:hAnsi="Times New Roman" w:eastAsia="宋体" w:cs="Times New Roman"/>
          <w:bCs w:val="0"/>
          <w:color w:val="auto"/>
          <w:kern w:val="0"/>
          <w:sz w:val="28"/>
          <w:szCs w:val="28"/>
          <w:lang w:val="zh-CN"/>
        </w:rPr>
        <w:t>5.4 要求和建议</w:t>
      </w:r>
      <w:bookmarkEnd w:id="372"/>
      <w:bookmarkEnd w:id="373"/>
      <w:bookmarkEnd w:id="374"/>
    </w:p>
    <w:p w14:paraId="4DD034F9">
      <w:pPr>
        <w:adjustRightInd w:val="0"/>
        <w:snapToGrid w:val="0"/>
        <w:spacing w:after="0" w:line="440" w:lineRule="exact"/>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（1）及时进行临时占地的植被恢复，并保证成活率，栽种的植物物种应为本土物种，禁止引进外来物种。应设置专人对栽种的植物进行管护，若发现栽种的植物死亡，应及时补种。</w:t>
      </w:r>
    </w:p>
    <w:p w14:paraId="478D0BD3">
      <w:pPr>
        <w:adjustRightInd w:val="0"/>
        <w:snapToGrid w:val="0"/>
        <w:spacing w:after="0" w:line="440" w:lineRule="exact"/>
        <w:ind w:firstLine="482" w:firstLineChars="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（2）加强运行期森林防火宣传教育及管理力度，及时排除消防安全隐患。</w:t>
      </w:r>
    </w:p>
    <w:p w14:paraId="090B6F8D">
      <w:pPr>
        <w:adjustRightInd w:val="0"/>
        <w:snapToGrid w:val="0"/>
        <w:spacing w:after="0" w:line="440" w:lineRule="exact"/>
        <w:ind w:firstLine="482" w:firstLineChars="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（3）严格按照相关规定办理完成各项审批手续后方可开工建设。</w:t>
      </w:r>
    </w:p>
    <w:p w14:paraId="16C33C28">
      <w:pPr>
        <w:ind w:firstLine="48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br w:type="page"/>
      </w:r>
    </w:p>
    <w:p w14:paraId="5AE78C64">
      <w:pPr>
        <w:tabs>
          <w:tab w:val="left" w:pos="2395"/>
        </w:tabs>
        <w:spacing w:line="240" w:lineRule="auto"/>
        <w:ind w:firstLine="482"/>
        <w:jc w:val="center"/>
        <w:outlineLvl w:val="0"/>
        <w:rPr>
          <w:rFonts w:hint="default" w:ascii="Times New Roman" w:hAnsi="Times New Roman" w:cs="Times New Roman"/>
          <w:b/>
          <w:color w:val="auto"/>
        </w:rPr>
      </w:pPr>
      <w:bookmarkStart w:id="375" w:name="_Toc10245"/>
      <w:r>
        <w:rPr>
          <w:rFonts w:hint="default" w:ascii="Times New Roman" w:hAnsi="Times New Roman" w:cs="Times New Roman"/>
          <w:b/>
          <w:color w:val="auto"/>
        </w:rPr>
        <w:t>附表1  生态环境影响自查表</w:t>
      </w:r>
      <w:bookmarkEnd w:id="375"/>
    </w:p>
    <w:tbl>
      <w:tblPr>
        <w:tblStyle w:val="3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00"/>
        <w:gridCol w:w="1584"/>
        <w:gridCol w:w="5966"/>
      </w:tblGrid>
      <w:tr w14:paraId="640668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86" w:type="pct"/>
            <w:tcBorders>
              <w:tl2br w:val="nil"/>
              <w:tr2bl w:val="nil"/>
            </w:tcBorders>
            <w:vAlign w:val="center"/>
          </w:tcPr>
          <w:p w14:paraId="0001CB92">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工作内容</w:t>
            </w:r>
          </w:p>
        </w:tc>
        <w:tc>
          <w:tcPr>
            <w:tcW w:w="4313" w:type="pct"/>
            <w:gridSpan w:val="2"/>
            <w:tcBorders>
              <w:tl2br w:val="nil"/>
              <w:tr2bl w:val="nil"/>
            </w:tcBorders>
            <w:vAlign w:val="center"/>
          </w:tcPr>
          <w:p w14:paraId="5FEB6173">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自查项目</w:t>
            </w:r>
          </w:p>
        </w:tc>
      </w:tr>
      <w:tr w14:paraId="3FB7C8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86" w:type="pct"/>
            <w:vMerge w:val="restart"/>
            <w:tcBorders>
              <w:tl2br w:val="nil"/>
              <w:tr2bl w:val="nil"/>
            </w:tcBorders>
            <w:vAlign w:val="center"/>
          </w:tcPr>
          <w:p w14:paraId="64E6910A">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生态影响识别</w:t>
            </w:r>
          </w:p>
        </w:tc>
        <w:tc>
          <w:tcPr>
            <w:tcW w:w="905" w:type="pct"/>
            <w:tcBorders>
              <w:tl2br w:val="nil"/>
              <w:tr2bl w:val="nil"/>
            </w:tcBorders>
            <w:vAlign w:val="center"/>
          </w:tcPr>
          <w:p w14:paraId="7C570AF7">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生态保护目标</w:t>
            </w:r>
          </w:p>
        </w:tc>
        <w:tc>
          <w:tcPr>
            <w:tcW w:w="3408" w:type="pct"/>
            <w:tcBorders>
              <w:tl2br w:val="nil"/>
              <w:tr2bl w:val="nil"/>
            </w:tcBorders>
            <w:vAlign w:val="center"/>
          </w:tcPr>
          <w:p w14:paraId="324C99DF">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重要物种☑；国家公园</w:t>
            </w:r>
            <w:r>
              <w:rPr>
                <w:rFonts w:hint="eastAsia" w:ascii="Times New Roman" w:hAnsi="Times New Roman" w:cs="Times New Roman"/>
                <w:color w:val="auto"/>
                <w:sz w:val="21"/>
                <w:szCs w:val="21"/>
                <w:lang w:eastAsia="zh-CN"/>
              </w:rPr>
              <w:t>□</w:t>
            </w:r>
            <w:r>
              <w:rPr>
                <w:rFonts w:hint="default" w:ascii="Times New Roman" w:hAnsi="Times New Roman" w:cs="Times New Roman"/>
                <w:color w:val="auto"/>
                <w:sz w:val="21"/>
                <w:szCs w:val="21"/>
              </w:rPr>
              <w:t>；自然保护区□；自然公园□；世界自然遗产□；生态保护红线</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；重要生境□；其他具有重要生态功能、对保护生物多样性具有重要意义的区域</w:t>
            </w:r>
            <w:r>
              <w:rPr>
                <w:rFonts w:hint="default" w:ascii="Times New Roman" w:hAnsi="Times New Roman" w:cs="Times New Roman"/>
                <w:color w:val="auto"/>
                <w:sz w:val="21"/>
                <w:szCs w:val="21"/>
              </w:rPr>
              <w:sym w:font="Wingdings 2" w:char="00A3"/>
            </w:r>
            <w:r>
              <w:rPr>
                <w:rFonts w:hint="default" w:ascii="Times New Roman" w:hAnsi="Times New Roman" w:cs="Times New Roman"/>
                <w:color w:val="auto"/>
                <w:sz w:val="21"/>
                <w:szCs w:val="21"/>
              </w:rPr>
              <w:t>；其他</w:t>
            </w:r>
            <w:r>
              <w:rPr>
                <w:rFonts w:hint="default" w:ascii="Times New Roman" w:hAnsi="Times New Roman" w:cs="Times New Roman"/>
                <w:color w:val="auto"/>
                <w:sz w:val="21"/>
                <w:szCs w:val="21"/>
              </w:rPr>
              <w:sym w:font="Wingdings 2" w:char="0052"/>
            </w:r>
          </w:p>
        </w:tc>
      </w:tr>
      <w:tr w14:paraId="3490B2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86" w:type="pct"/>
            <w:vMerge w:val="continue"/>
            <w:tcBorders>
              <w:tl2br w:val="nil"/>
              <w:tr2bl w:val="nil"/>
            </w:tcBorders>
            <w:vAlign w:val="center"/>
          </w:tcPr>
          <w:p w14:paraId="08926FE0">
            <w:pPr>
              <w:spacing w:line="300" w:lineRule="exact"/>
              <w:ind w:firstLine="0" w:firstLineChars="0"/>
              <w:jc w:val="center"/>
              <w:rPr>
                <w:rFonts w:hint="default" w:ascii="Times New Roman" w:hAnsi="Times New Roman" w:cs="Times New Roman"/>
                <w:color w:val="auto"/>
                <w:sz w:val="21"/>
                <w:szCs w:val="21"/>
              </w:rPr>
            </w:pPr>
          </w:p>
        </w:tc>
        <w:tc>
          <w:tcPr>
            <w:tcW w:w="905" w:type="pct"/>
            <w:tcBorders>
              <w:tl2br w:val="nil"/>
              <w:tr2bl w:val="nil"/>
            </w:tcBorders>
            <w:vAlign w:val="center"/>
          </w:tcPr>
          <w:p w14:paraId="74DA9467">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影响方式</w:t>
            </w:r>
          </w:p>
        </w:tc>
        <w:tc>
          <w:tcPr>
            <w:tcW w:w="3408" w:type="pct"/>
            <w:tcBorders>
              <w:tl2br w:val="nil"/>
              <w:tr2bl w:val="nil"/>
            </w:tcBorders>
            <w:vAlign w:val="center"/>
          </w:tcPr>
          <w:p w14:paraId="007C1DD2">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工程占用</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；施工活动干扰</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；改变环境条件</w:t>
            </w:r>
            <w:r>
              <w:rPr>
                <w:rFonts w:hint="default" w:ascii="Times New Roman" w:hAnsi="Times New Roman" w:cs="Times New Roman"/>
                <w:color w:val="auto"/>
                <w:sz w:val="21"/>
                <w:szCs w:val="21"/>
              </w:rPr>
              <w:sym w:font="Wingdings 2" w:char="00A3"/>
            </w:r>
            <w:r>
              <w:rPr>
                <w:rFonts w:hint="default" w:ascii="Times New Roman" w:hAnsi="Times New Roman" w:cs="Times New Roman"/>
                <w:color w:val="auto"/>
                <w:sz w:val="21"/>
                <w:szCs w:val="21"/>
              </w:rPr>
              <w:t>；其他</w:t>
            </w:r>
            <w:r>
              <w:rPr>
                <w:rFonts w:hint="default" w:ascii="Times New Roman" w:hAnsi="Times New Roman" w:cs="Times New Roman"/>
                <w:color w:val="auto"/>
                <w:sz w:val="21"/>
                <w:szCs w:val="21"/>
              </w:rPr>
              <w:sym w:font="Wingdings 2" w:char="00A3"/>
            </w:r>
          </w:p>
        </w:tc>
      </w:tr>
      <w:tr w14:paraId="1CA322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86" w:type="pct"/>
            <w:vMerge w:val="continue"/>
            <w:tcBorders>
              <w:tl2br w:val="nil"/>
              <w:tr2bl w:val="nil"/>
            </w:tcBorders>
            <w:vAlign w:val="center"/>
          </w:tcPr>
          <w:p w14:paraId="2E0C1989">
            <w:pPr>
              <w:spacing w:line="300" w:lineRule="exact"/>
              <w:ind w:firstLine="0" w:firstLineChars="0"/>
              <w:jc w:val="center"/>
              <w:rPr>
                <w:rFonts w:hint="default" w:ascii="Times New Roman" w:hAnsi="Times New Roman" w:cs="Times New Roman"/>
                <w:color w:val="auto"/>
                <w:sz w:val="21"/>
                <w:szCs w:val="21"/>
              </w:rPr>
            </w:pPr>
          </w:p>
        </w:tc>
        <w:tc>
          <w:tcPr>
            <w:tcW w:w="905" w:type="pct"/>
            <w:tcBorders>
              <w:tl2br w:val="nil"/>
              <w:tr2bl w:val="nil"/>
            </w:tcBorders>
            <w:vAlign w:val="center"/>
          </w:tcPr>
          <w:p w14:paraId="213C5634">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评价因子</w:t>
            </w:r>
          </w:p>
        </w:tc>
        <w:tc>
          <w:tcPr>
            <w:tcW w:w="3408" w:type="pct"/>
            <w:tcBorders>
              <w:tl2br w:val="nil"/>
              <w:tr2bl w:val="nil"/>
            </w:tcBorders>
            <w:vAlign w:val="center"/>
          </w:tcPr>
          <w:p w14:paraId="22C3D847">
            <w:pPr>
              <w:spacing w:line="300" w:lineRule="exact"/>
              <w:ind w:firstLine="0" w:firstLineChars="0"/>
              <w:jc w:val="left"/>
              <w:rPr>
                <w:rFonts w:hint="default" w:ascii="Times New Roman" w:hAnsi="Times New Roman" w:eastAsia="宋体" w:cs="Times New Roman"/>
                <w:color w:val="auto"/>
                <w:sz w:val="21"/>
                <w:szCs w:val="21"/>
                <w:lang w:val="zh-CN"/>
              </w:rPr>
            </w:pPr>
            <w:r>
              <w:rPr>
                <w:rFonts w:hint="default" w:ascii="Times New Roman" w:hAnsi="Times New Roman" w:cs="Times New Roman"/>
                <w:color w:val="auto"/>
                <w:sz w:val="21"/>
                <w:szCs w:val="21"/>
              </w:rPr>
              <w:t>物种</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（评价区共记录有维管植物</w:t>
            </w:r>
            <w:r>
              <w:rPr>
                <w:rFonts w:hint="default" w:ascii="Times New Roman" w:hAnsi="Times New Roman" w:cs="Times New Roman"/>
                <w:color w:val="auto"/>
                <w:sz w:val="21"/>
                <w:szCs w:val="21"/>
                <w:lang w:val="zh-CN"/>
              </w:rPr>
              <w:t>475种（包含种下等级），隶属于</w:t>
            </w:r>
            <w:r>
              <w:rPr>
                <w:rFonts w:hint="default" w:ascii="Times New Roman" w:hAnsi="Times New Roman" w:cs="Times New Roman"/>
                <w:color w:val="auto"/>
                <w:sz w:val="21"/>
                <w:szCs w:val="21"/>
              </w:rPr>
              <w:t>98</w:t>
            </w:r>
            <w:r>
              <w:rPr>
                <w:rFonts w:hint="default" w:ascii="Times New Roman" w:hAnsi="Times New Roman" w:cs="Times New Roman"/>
                <w:color w:val="auto"/>
                <w:sz w:val="21"/>
                <w:szCs w:val="21"/>
                <w:lang w:val="zh-CN"/>
              </w:rPr>
              <w:t>科、</w:t>
            </w:r>
            <w:r>
              <w:rPr>
                <w:rFonts w:hint="default" w:ascii="Times New Roman" w:hAnsi="Times New Roman" w:cs="Times New Roman"/>
                <w:color w:val="auto"/>
                <w:sz w:val="21"/>
                <w:szCs w:val="21"/>
              </w:rPr>
              <w:t>327</w:t>
            </w:r>
            <w:r>
              <w:rPr>
                <w:rFonts w:hint="default" w:ascii="Times New Roman" w:hAnsi="Times New Roman" w:cs="Times New Roman"/>
                <w:color w:val="auto"/>
                <w:sz w:val="21"/>
                <w:szCs w:val="21"/>
                <w:lang w:val="zh-CN"/>
              </w:rPr>
              <w:t>属。其中蕨类植物有</w:t>
            </w:r>
            <w:r>
              <w:rPr>
                <w:rFonts w:hint="default" w:ascii="Times New Roman" w:hAnsi="Times New Roman" w:cs="Times New Roman"/>
                <w:color w:val="auto"/>
                <w:sz w:val="21"/>
                <w:szCs w:val="21"/>
              </w:rPr>
              <w:t>11</w:t>
            </w:r>
            <w:r>
              <w:rPr>
                <w:rFonts w:hint="default" w:ascii="Times New Roman" w:hAnsi="Times New Roman" w:cs="Times New Roman"/>
                <w:color w:val="auto"/>
                <w:sz w:val="21"/>
                <w:szCs w:val="21"/>
                <w:lang w:val="zh-CN"/>
              </w:rPr>
              <w:t>科、</w:t>
            </w:r>
            <w:r>
              <w:rPr>
                <w:rFonts w:hint="default" w:ascii="Times New Roman" w:hAnsi="Times New Roman" w:cs="Times New Roman"/>
                <w:color w:val="auto"/>
                <w:sz w:val="21"/>
                <w:szCs w:val="21"/>
              </w:rPr>
              <w:t>15</w:t>
            </w:r>
            <w:r>
              <w:rPr>
                <w:rFonts w:hint="default" w:ascii="Times New Roman" w:hAnsi="Times New Roman" w:cs="Times New Roman"/>
                <w:color w:val="auto"/>
                <w:sz w:val="21"/>
                <w:szCs w:val="21"/>
                <w:lang w:val="zh-CN"/>
              </w:rPr>
              <w:t>属、</w:t>
            </w:r>
            <w:r>
              <w:rPr>
                <w:rFonts w:hint="default" w:ascii="Times New Roman" w:hAnsi="Times New Roman" w:cs="Times New Roman"/>
                <w:color w:val="auto"/>
                <w:sz w:val="21"/>
                <w:szCs w:val="21"/>
              </w:rPr>
              <w:t>20</w:t>
            </w:r>
            <w:r>
              <w:rPr>
                <w:rFonts w:hint="default" w:ascii="Times New Roman" w:hAnsi="Times New Roman" w:cs="Times New Roman"/>
                <w:color w:val="auto"/>
                <w:sz w:val="21"/>
                <w:szCs w:val="21"/>
                <w:lang w:val="zh-CN"/>
              </w:rPr>
              <w:t>种；裸子植物有3科、4属、5种；被子植物有84科、308属、450种。无国家级、云南省级野生保护植物，无珍稀濒危植物，无极小种群物种，无狭域特有物种，无名木古树分布。</w:t>
            </w:r>
          </w:p>
          <w:p w14:paraId="4E4CF3A5">
            <w:pPr>
              <w:widowControl/>
              <w:adjustRightInd w:val="0"/>
              <w:snapToGrid w:val="0"/>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评价区分布有陆栖脊椎动物7</w:t>
            </w:r>
            <w:r>
              <w:rPr>
                <w:rFonts w:hint="eastAsia"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rPr>
              <w:t>种。其中两栖类6种；爬行类6种；鸟类51种；哺乳类</w:t>
            </w:r>
            <w:r>
              <w:rPr>
                <w:rFonts w:hint="eastAsia" w:ascii="Times New Roman" w:hAnsi="Times New Roman" w:eastAsia="宋体" w:cs="Times New Roman"/>
                <w:color w:val="auto"/>
                <w:sz w:val="21"/>
                <w:szCs w:val="21"/>
                <w:lang w:val="en-US" w:eastAsia="zh-CN"/>
              </w:rPr>
              <w:t>10</w:t>
            </w:r>
            <w:r>
              <w:rPr>
                <w:rFonts w:hint="default" w:ascii="Times New Roman" w:hAnsi="Times New Roman" w:eastAsia="宋体" w:cs="Times New Roman"/>
                <w:color w:val="auto"/>
                <w:sz w:val="21"/>
                <w:szCs w:val="21"/>
              </w:rPr>
              <w:t>种。</w:t>
            </w:r>
            <w:r>
              <w:rPr>
                <w:rFonts w:hint="default" w:ascii="Times New Roman" w:hAnsi="Times New Roman" w:eastAsia="宋体" w:cs="Times New Roman"/>
                <w:bCs/>
                <w:color w:val="auto"/>
                <w:kern w:val="0"/>
                <w:sz w:val="21"/>
                <w:szCs w:val="21"/>
                <w:lang w:val="zh-CN"/>
              </w:rPr>
              <w:t>有国家重点保护野生动物</w:t>
            </w:r>
            <w:r>
              <w:rPr>
                <w:rFonts w:hint="default" w:ascii="Times New Roman" w:hAnsi="Times New Roman" w:eastAsia="宋体" w:cs="Times New Roman"/>
                <w:bCs/>
                <w:color w:val="auto"/>
                <w:kern w:val="0"/>
                <w:sz w:val="21"/>
                <w:szCs w:val="21"/>
                <w:lang w:val="zh-CN" w:eastAsia="zh-CN"/>
              </w:rPr>
              <w:t>5</w:t>
            </w:r>
            <w:r>
              <w:rPr>
                <w:rFonts w:hint="default" w:ascii="Times New Roman" w:hAnsi="Times New Roman" w:eastAsia="宋体" w:cs="Times New Roman"/>
                <w:bCs/>
                <w:color w:val="auto"/>
                <w:kern w:val="0"/>
                <w:sz w:val="21"/>
                <w:szCs w:val="21"/>
                <w:lang w:val="zh-CN"/>
              </w:rPr>
              <w:t>种</w:t>
            </w:r>
            <w:r>
              <w:rPr>
                <w:rFonts w:hint="default" w:ascii="Times New Roman" w:hAnsi="Times New Roman" w:eastAsia="宋体" w:cs="Times New Roman"/>
                <w:bCs/>
                <w:color w:val="auto"/>
                <w:kern w:val="0"/>
                <w:sz w:val="21"/>
                <w:szCs w:val="21"/>
                <w:lang w:val="zh-CN" w:eastAsia="zh-CN"/>
              </w:rPr>
              <w:t>，其中</w:t>
            </w:r>
            <w:r>
              <w:rPr>
                <w:rFonts w:hint="default" w:ascii="Times New Roman" w:hAnsi="Times New Roman" w:eastAsia="宋体" w:cs="Times New Roman"/>
                <w:bCs/>
                <w:color w:val="auto"/>
                <w:kern w:val="0"/>
                <w:sz w:val="21"/>
                <w:szCs w:val="21"/>
                <w:lang w:val="zh-CN"/>
              </w:rPr>
              <w:t>鸟类</w:t>
            </w:r>
            <w:r>
              <w:rPr>
                <w:rFonts w:hint="default" w:ascii="Times New Roman" w:hAnsi="Times New Roman" w:eastAsia="宋体" w:cs="Times New Roman"/>
                <w:bCs/>
                <w:color w:val="auto"/>
                <w:kern w:val="0"/>
                <w:sz w:val="21"/>
                <w:szCs w:val="21"/>
                <w:lang w:val="zh-CN" w:eastAsia="zh-CN"/>
              </w:rPr>
              <w:t>4种</w:t>
            </w:r>
            <w:r>
              <w:rPr>
                <w:rFonts w:hint="default" w:ascii="Times New Roman" w:hAnsi="Times New Roman" w:eastAsia="宋体" w:cs="Times New Roman"/>
                <w:bCs/>
                <w:color w:val="auto"/>
                <w:kern w:val="0"/>
                <w:sz w:val="21"/>
                <w:szCs w:val="21"/>
                <w:lang w:val="zh-CN"/>
              </w:rPr>
              <w:t>：松雀鹰、普通鵟、红隼</w:t>
            </w:r>
            <w:r>
              <w:rPr>
                <w:rFonts w:hint="default" w:ascii="Times New Roman" w:hAnsi="Times New Roman" w:eastAsia="宋体" w:cs="Times New Roman"/>
                <w:bCs/>
                <w:color w:val="auto"/>
                <w:kern w:val="0"/>
                <w:sz w:val="21"/>
                <w:szCs w:val="21"/>
                <w:lang w:val="zh-CN" w:eastAsia="zh-CN"/>
              </w:rPr>
              <w:t>、</w:t>
            </w:r>
            <w:r>
              <w:rPr>
                <w:rFonts w:hint="default" w:ascii="Times New Roman" w:hAnsi="Times New Roman" w:eastAsia="宋体" w:cs="Times New Roman"/>
                <w:bCs/>
                <w:color w:val="auto"/>
                <w:kern w:val="0"/>
                <w:sz w:val="21"/>
                <w:szCs w:val="21"/>
                <w:lang w:val="zh-CN"/>
              </w:rPr>
              <w:t>画眉</w:t>
            </w:r>
            <w:r>
              <w:rPr>
                <w:rFonts w:hint="default" w:ascii="Times New Roman" w:hAnsi="Times New Roman" w:eastAsia="宋体" w:cs="Times New Roman"/>
                <w:bCs/>
                <w:color w:val="auto"/>
                <w:kern w:val="0"/>
                <w:sz w:val="21"/>
                <w:szCs w:val="21"/>
                <w:lang w:val="zh-CN" w:eastAsia="zh-CN"/>
              </w:rPr>
              <w:t>；哺乳类1种：</w:t>
            </w:r>
            <w:r>
              <w:rPr>
                <w:rFonts w:hint="default" w:ascii="Times New Roman" w:hAnsi="Times New Roman" w:eastAsia="宋体" w:cs="Times New Roman"/>
                <w:bCs/>
                <w:color w:val="auto"/>
                <w:kern w:val="0"/>
                <w:sz w:val="21"/>
                <w:szCs w:val="21"/>
                <w:lang w:val="zh-CN"/>
              </w:rPr>
              <w:t>豹猫</w:t>
            </w:r>
            <w:r>
              <w:rPr>
                <w:rFonts w:hint="default" w:ascii="Times New Roman" w:hAnsi="Times New Roman" w:eastAsia="宋体" w:cs="Times New Roman"/>
                <w:bCs/>
                <w:color w:val="auto"/>
                <w:kern w:val="0"/>
                <w:sz w:val="21"/>
                <w:szCs w:val="21"/>
                <w:lang w:val="zh-CN" w:eastAsia="zh-CN"/>
              </w:rPr>
              <w:t>。有</w:t>
            </w:r>
            <w:r>
              <w:rPr>
                <w:rFonts w:hint="default" w:ascii="Times New Roman" w:hAnsi="Times New Roman" w:eastAsia="宋体" w:cs="Times New Roman"/>
                <w:bCs/>
                <w:color w:val="auto"/>
                <w:kern w:val="0"/>
                <w:sz w:val="21"/>
                <w:szCs w:val="21"/>
                <w:lang w:val="zh-CN"/>
              </w:rPr>
              <w:t>《中国生物多样性红色名录—脊椎动物卷（2020）》中收录的易危（VU）</w:t>
            </w:r>
            <w:r>
              <w:rPr>
                <w:rFonts w:hint="default" w:ascii="Times New Roman" w:hAnsi="Times New Roman" w:eastAsia="宋体" w:cs="Times New Roman"/>
                <w:bCs/>
                <w:color w:val="auto"/>
                <w:kern w:val="0"/>
                <w:sz w:val="21"/>
                <w:szCs w:val="21"/>
                <w:lang w:val="zh-CN" w:eastAsia="zh-CN"/>
              </w:rPr>
              <w:t>物种1种，为豹猫</w:t>
            </w:r>
            <w:r>
              <w:rPr>
                <w:rFonts w:hint="default" w:ascii="Times New Roman" w:hAnsi="Times New Roman" w:eastAsia="宋体" w:cs="Times New Roman"/>
                <w:bCs/>
                <w:color w:val="auto"/>
                <w:kern w:val="0"/>
                <w:sz w:val="21"/>
                <w:szCs w:val="21"/>
                <w:lang w:val="zh-CN"/>
              </w:rPr>
              <w:t>。无局限分布于该区域的特有种类</w:t>
            </w:r>
            <w:r>
              <w:rPr>
                <w:rFonts w:hint="default" w:ascii="Times New Roman" w:hAnsi="Times New Roman" w:cs="Times New Roman"/>
                <w:color w:val="auto"/>
                <w:sz w:val="21"/>
                <w:szCs w:val="21"/>
              </w:rPr>
              <w:t>）。</w:t>
            </w:r>
          </w:p>
          <w:p w14:paraId="792BECF3">
            <w:pPr>
              <w:spacing w:line="300" w:lineRule="exact"/>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生境</w:t>
            </w:r>
            <w:r>
              <w:rPr>
                <w:rFonts w:hint="default" w:ascii="Times New Roman" w:hAnsi="Times New Roman" w:cs="Times New Roman"/>
                <w:color w:val="auto"/>
                <w:sz w:val="21"/>
                <w:szCs w:val="21"/>
              </w:rPr>
              <w:sym w:font="Wingdings 2" w:char="00A3"/>
            </w:r>
            <w:r>
              <w:rPr>
                <w:rFonts w:hint="default" w:ascii="Times New Roman" w:hAnsi="Times New Roman" w:cs="Times New Roman"/>
                <w:color w:val="auto"/>
                <w:sz w:val="21"/>
                <w:szCs w:val="21"/>
              </w:rPr>
              <w:t>（）</w:t>
            </w:r>
          </w:p>
          <w:p w14:paraId="252E0CEE">
            <w:pPr>
              <w:spacing w:line="300" w:lineRule="exact"/>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生物群落</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（3个植被型、3个群系和3个群落）</w:t>
            </w:r>
          </w:p>
          <w:p w14:paraId="72B2DA9A">
            <w:pPr>
              <w:spacing w:line="300" w:lineRule="exact"/>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生态系统</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（9个生态系统类型）</w:t>
            </w:r>
          </w:p>
          <w:p w14:paraId="52794579">
            <w:pPr>
              <w:spacing w:line="300" w:lineRule="exact"/>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生物多样性</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（景观多样性指数、景观空间格局指数）</w:t>
            </w:r>
          </w:p>
          <w:p w14:paraId="116B12CB">
            <w:pPr>
              <w:spacing w:line="300" w:lineRule="exact"/>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生态敏感区</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 生态保护红线 ）</w:t>
            </w:r>
          </w:p>
          <w:p w14:paraId="53BCB56F">
            <w:pPr>
              <w:spacing w:line="300" w:lineRule="exact"/>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自然景观</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（10个景观类型）</w:t>
            </w:r>
          </w:p>
          <w:p w14:paraId="09894C4D">
            <w:pPr>
              <w:spacing w:line="300" w:lineRule="exact"/>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自然遗迹</w:t>
            </w:r>
            <w:r>
              <w:rPr>
                <w:rFonts w:hint="default" w:ascii="Times New Roman" w:hAnsi="Times New Roman" w:cs="Times New Roman"/>
                <w:color w:val="auto"/>
                <w:sz w:val="21"/>
                <w:szCs w:val="21"/>
              </w:rPr>
              <w:sym w:font="Wingdings 2" w:char="00A3"/>
            </w:r>
            <w:r>
              <w:rPr>
                <w:rFonts w:hint="default" w:ascii="Times New Roman" w:hAnsi="Times New Roman" w:cs="Times New Roman"/>
                <w:color w:val="auto"/>
                <w:sz w:val="21"/>
                <w:szCs w:val="21"/>
              </w:rPr>
              <w:t>（                  ）</w:t>
            </w:r>
          </w:p>
          <w:p w14:paraId="7340EBCE">
            <w:pPr>
              <w:spacing w:line="300" w:lineRule="exact"/>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其他</w:t>
            </w:r>
            <w:r>
              <w:rPr>
                <w:rFonts w:hint="default" w:ascii="Times New Roman" w:hAnsi="Times New Roman" w:cs="Times New Roman"/>
                <w:color w:val="auto"/>
                <w:sz w:val="21"/>
                <w:szCs w:val="21"/>
              </w:rPr>
              <w:sym w:font="Wingdings 2" w:char="00A3"/>
            </w:r>
            <w:r>
              <w:rPr>
                <w:rFonts w:hint="default" w:ascii="Times New Roman" w:hAnsi="Times New Roman" w:cs="Times New Roman"/>
                <w:color w:val="auto"/>
                <w:sz w:val="21"/>
                <w:szCs w:val="21"/>
              </w:rPr>
              <w:t>（                      ）</w:t>
            </w:r>
          </w:p>
        </w:tc>
      </w:tr>
      <w:tr w14:paraId="45D7A1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91" w:type="pct"/>
            <w:gridSpan w:val="2"/>
            <w:tcBorders>
              <w:tl2br w:val="nil"/>
              <w:tr2bl w:val="nil"/>
            </w:tcBorders>
            <w:vAlign w:val="center"/>
          </w:tcPr>
          <w:p w14:paraId="39798674">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评价等级</w:t>
            </w:r>
          </w:p>
        </w:tc>
        <w:tc>
          <w:tcPr>
            <w:tcW w:w="3408" w:type="pct"/>
            <w:tcBorders>
              <w:tl2br w:val="nil"/>
              <w:tr2bl w:val="nil"/>
            </w:tcBorders>
            <w:vAlign w:val="center"/>
          </w:tcPr>
          <w:p w14:paraId="0627F466">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一级</w:t>
            </w:r>
            <w:r>
              <w:rPr>
                <w:rFonts w:hint="default" w:ascii="Times New Roman" w:hAnsi="Times New Roman" w:cs="Times New Roman"/>
                <w:color w:val="auto"/>
                <w:sz w:val="21"/>
                <w:szCs w:val="21"/>
              </w:rPr>
              <w:sym w:font="Wingdings 2" w:char="00A3"/>
            </w:r>
            <w:r>
              <w:rPr>
                <w:rFonts w:hint="default" w:ascii="Times New Roman" w:hAnsi="Times New Roman" w:cs="Times New Roman"/>
                <w:color w:val="auto"/>
                <w:sz w:val="21"/>
                <w:szCs w:val="21"/>
              </w:rPr>
              <w:t xml:space="preserve">  二级</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 xml:space="preserve">   三级</w:t>
            </w:r>
            <w:r>
              <w:rPr>
                <w:rFonts w:hint="default" w:ascii="Times New Roman" w:hAnsi="Times New Roman" w:cs="Times New Roman"/>
                <w:color w:val="auto"/>
                <w:sz w:val="21"/>
                <w:szCs w:val="21"/>
              </w:rPr>
              <w:sym w:font="Wingdings 2" w:char="00A3"/>
            </w:r>
            <w:r>
              <w:rPr>
                <w:rFonts w:hint="default" w:ascii="Times New Roman" w:hAnsi="Times New Roman" w:cs="Times New Roman"/>
                <w:color w:val="auto"/>
                <w:sz w:val="21"/>
                <w:szCs w:val="21"/>
              </w:rPr>
              <w:t xml:space="preserve">   生态影响简单分析</w:t>
            </w:r>
            <w:r>
              <w:rPr>
                <w:rFonts w:hint="default" w:ascii="Times New Roman" w:hAnsi="Times New Roman" w:cs="Times New Roman"/>
                <w:color w:val="auto"/>
                <w:sz w:val="21"/>
                <w:szCs w:val="21"/>
              </w:rPr>
              <w:sym w:font="Wingdings 2" w:char="00A3"/>
            </w:r>
          </w:p>
        </w:tc>
      </w:tr>
      <w:tr w14:paraId="144341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91" w:type="pct"/>
            <w:gridSpan w:val="2"/>
            <w:tcBorders>
              <w:tl2br w:val="nil"/>
              <w:tr2bl w:val="nil"/>
            </w:tcBorders>
            <w:vAlign w:val="center"/>
          </w:tcPr>
          <w:p w14:paraId="7C6A10BF">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评价范围</w:t>
            </w:r>
          </w:p>
        </w:tc>
        <w:tc>
          <w:tcPr>
            <w:tcW w:w="3408" w:type="pct"/>
            <w:tcBorders>
              <w:tl2br w:val="nil"/>
              <w:tr2bl w:val="nil"/>
            </w:tcBorders>
            <w:vAlign w:val="center"/>
          </w:tcPr>
          <w:p w14:paraId="0C1171B1">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陆域面积：（1072.183）hm</w:t>
            </w:r>
            <w:r>
              <w:rPr>
                <w:rFonts w:hint="default" w:ascii="Times New Roman" w:hAnsi="Times New Roman" w:cs="Times New Roman"/>
                <w:color w:val="auto"/>
                <w:sz w:val="21"/>
                <w:szCs w:val="21"/>
                <w:vertAlign w:val="superscript"/>
              </w:rPr>
              <w:t>2</w:t>
            </w:r>
            <w:r>
              <w:rPr>
                <w:rFonts w:hint="default" w:ascii="Times New Roman" w:hAnsi="Times New Roman" w:cs="Times New Roman"/>
                <w:color w:val="auto"/>
                <w:sz w:val="21"/>
                <w:szCs w:val="21"/>
              </w:rPr>
              <w:t>；水域面积：（）km</w:t>
            </w:r>
            <w:r>
              <w:rPr>
                <w:rFonts w:hint="default" w:ascii="Times New Roman" w:hAnsi="Times New Roman" w:cs="Times New Roman"/>
                <w:color w:val="auto"/>
                <w:sz w:val="21"/>
                <w:szCs w:val="21"/>
                <w:vertAlign w:val="superscript"/>
              </w:rPr>
              <w:t>2</w:t>
            </w:r>
          </w:p>
        </w:tc>
      </w:tr>
      <w:tr w14:paraId="78E830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686" w:type="pct"/>
            <w:vMerge w:val="restart"/>
            <w:tcBorders>
              <w:tl2br w:val="nil"/>
              <w:tr2bl w:val="nil"/>
            </w:tcBorders>
            <w:vAlign w:val="center"/>
          </w:tcPr>
          <w:p w14:paraId="73471A3D">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生态现状调查与评价</w:t>
            </w:r>
          </w:p>
        </w:tc>
        <w:tc>
          <w:tcPr>
            <w:tcW w:w="905" w:type="pct"/>
            <w:tcBorders>
              <w:tl2br w:val="nil"/>
              <w:tr2bl w:val="nil"/>
            </w:tcBorders>
            <w:vAlign w:val="center"/>
          </w:tcPr>
          <w:p w14:paraId="09C6911F">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调查方法</w:t>
            </w:r>
          </w:p>
        </w:tc>
        <w:tc>
          <w:tcPr>
            <w:tcW w:w="3408" w:type="pct"/>
            <w:tcBorders>
              <w:tl2br w:val="nil"/>
              <w:tr2bl w:val="nil"/>
            </w:tcBorders>
            <w:vAlign w:val="center"/>
          </w:tcPr>
          <w:p w14:paraId="21BA0896">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资料收集</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；遥感调查</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；调查样方</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、样线</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；调查点位、断面</w:t>
            </w:r>
            <w:r>
              <w:rPr>
                <w:rFonts w:hint="default" w:ascii="Times New Roman" w:hAnsi="Times New Roman" w:cs="Times New Roman"/>
                <w:color w:val="auto"/>
                <w:sz w:val="21"/>
                <w:szCs w:val="21"/>
              </w:rPr>
              <w:sym w:font="Wingdings 2" w:char="00A3"/>
            </w:r>
            <w:r>
              <w:rPr>
                <w:rFonts w:hint="default" w:ascii="Times New Roman" w:hAnsi="Times New Roman" w:cs="Times New Roman"/>
                <w:color w:val="auto"/>
                <w:sz w:val="21"/>
                <w:szCs w:val="21"/>
              </w:rPr>
              <w:t>；专家和公众咨询法</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；其他</w:t>
            </w:r>
            <w:r>
              <w:rPr>
                <w:rFonts w:hint="default" w:ascii="Times New Roman" w:hAnsi="Times New Roman" w:cs="Times New Roman"/>
                <w:color w:val="auto"/>
                <w:sz w:val="21"/>
                <w:szCs w:val="21"/>
              </w:rPr>
              <w:sym w:font="Wingdings 2" w:char="0052"/>
            </w:r>
          </w:p>
        </w:tc>
      </w:tr>
      <w:tr w14:paraId="697F67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686" w:type="pct"/>
            <w:vMerge w:val="continue"/>
            <w:tcBorders>
              <w:tl2br w:val="nil"/>
              <w:tr2bl w:val="nil"/>
            </w:tcBorders>
            <w:vAlign w:val="center"/>
          </w:tcPr>
          <w:p w14:paraId="7E964F1C">
            <w:pPr>
              <w:spacing w:line="300" w:lineRule="exact"/>
              <w:ind w:firstLine="0" w:firstLineChars="0"/>
              <w:jc w:val="center"/>
              <w:rPr>
                <w:rFonts w:hint="default" w:ascii="Times New Roman" w:hAnsi="Times New Roman" w:cs="Times New Roman"/>
                <w:color w:val="auto"/>
                <w:sz w:val="21"/>
                <w:szCs w:val="21"/>
              </w:rPr>
            </w:pPr>
          </w:p>
        </w:tc>
        <w:tc>
          <w:tcPr>
            <w:tcW w:w="905" w:type="pct"/>
            <w:tcBorders>
              <w:tl2br w:val="nil"/>
              <w:tr2bl w:val="nil"/>
            </w:tcBorders>
            <w:vAlign w:val="center"/>
          </w:tcPr>
          <w:p w14:paraId="6765E812">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调查时间</w:t>
            </w:r>
          </w:p>
        </w:tc>
        <w:tc>
          <w:tcPr>
            <w:tcW w:w="3408" w:type="pct"/>
            <w:tcBorders>
              <w:tl2br w:val="nil"/>
              <w:tr2bl w:val="nil"/>
            </w:tcBorders>
            <w:vAlign w:val="center"/>
          </w:tcPr>
          <w:p w14:paraId="4B84E0F7">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春季</w:t>
            </w:r>
            <w:r>
              <w:rPr>
                <w:rFonts w:hint="default" w:ascii="Times New Roman" w:hAnsi="Times New Roman" w:cs="Times New Roman"/>
                <w:color w:val="auto"/>
                <w:sz w:val="21"/>
                <w:szCs w:val="21"/>
              </w:rPr>
              <w:sym w:font="Wingdings 2" w:char="00A3"/>
            </w:r>
            <w:r>
              <w:rPr>
                <w:rFonts w:hint="default" w:ascii="Times New Roman" w:hAnsi="Times New Roman" w:cs="Times New Roman"/>
                <w:color w:val="auto"/>
                <w:sz w:val="21"/>
                <w:szCs w:val="21"/>
              </w:rPr>
              <w:t>；夏季☑；秋季□；冬季☑</w:t>
            </w:r>
          </w:p>
          <w:p w14:paraId="43B7492F">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丰水期☑；枯水期□；平水期□</w:t>
            </w:r>
          </w:p>
        </w:tc>
      </w:tr>
      <w:tr w14:paraId="605DAF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686" w:type="pct"/>
            <w:vMerge w:val="continue"/>
            <w:tcBorders>
              <w:tl2br w:val="nil"/>
              <w:tr2bl w:val="nil"/>
            </w:tcBorders>
            <w:vAlign w:val="center"/>
          </w:tcPr>
          <w:p w14:paraId="57B8CB8F">
            <w:pPr>
              <w:spacing w:line="300" w:lineRule="exact"/>
              <w:ind w:firstLine="0" w:firstLineChars="0"/>
              <w:jc w:val="center"/>
              <w:rPr>
                <w:rFonts w:hint="default" w:ascii="Times New Roman" w:hAnsi="Times New Roman" w:cs="Times New Roman"/>
                <w:color w:val="auto"/>
                <w:sz w:val="21"/>
                <w:szCs w:val="21"/>
              </w:rPr>
            </w:pPr>
          </w:p>
        </w:tc>
        <w:tc>
          <w:tcPr>
            <w:tcW w:w="905" w:type="pct"/>
            <w:tcBorders>
              <w:tl2br w:val="nil"/>
              <w:tr2bl w:val="nil"/>
            </w:tcBorders>
            <w:vAlign w:val="center"/>
          </w:tcPr>
          <w:p w14:paraId="67660EE1">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所在区域的生态问题</w:t>
            </w:r>
          </w:p>
        </w:tc>
        <w:tc>
          <w:tcPr>
            <w:tcW w:w="3408" w:type="pct"/>
            <w:tcBorders>
              <w:tl2br w:val="nil"/>
              <w:tr2bl w:val="nil"/>
            </w:tcBorders>
            <w:vAlign w:val="center"/>
          </w:tcPr>
          <w:p w14:paraId="5155B716">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水土流失</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；沙漠化□；石漠化□；盐渍化□；生物入侵</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；污染危害☑；其他□</w:t>
            </w:r>
          </w:p>
        </w:tc>
      </w:tr>
      <w:tr w14:paraId="1600E2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686" w:type="pct"/>
            <w:vMerge w:val="continue"/>
            <w:tcBorders>
              <w:tl2br w:val="nil"/>
              <w:tr2bl w:val="nil"/>
            </w:tcBorders>
            <w:vAlign w:val="center"/>
          </w:tcPr>
          <w:p w14:paraId="05290373">
            <w:pPr>
              <w:spacing w:line="300" w:lineRule="exact"/>
              <w:ind w:firstLine="0" w:firstLineChars="0"/>
              <w:jc w:val="center"/>
              <w:rPr>
                <w:rFonts w:hint="default" w:ascii="Times New Roman" w:hAnsi="Times New Roman" w:cs="Times New Roman"/>
                <w:color w:val="auto"/>
                <w:sz w:val="21"/>
                <w:szCs w:val="21"/>
              </w:rPr>
            </w:pPr>
          </w:p>
        </w:tc>
        <w:tc>
          <w:tcPr>
            <w:tcW w:w="905" w:type="pct"/>
            <w:tcBorders>
              <w:tl2br w:val="nil"/>
              <w:tr2bl w:val="nil"/>
            </w:tcBorders>
            <w:vAlign w:val="center"/>
          </w:tcPr>
          <w:p w14:paraId="1175FB77">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评价内容</w:t>
            </w:r>
          </w:p>
        </w:tc>
        <w:tc>
          <w:tcPr>
            <w:tcW w:w="3408" w:type="pct"/>
            <w:tcBorders>
              <w:tl2br w:val="nil"/>
              <w:tr2bl w:val="nil"/>
            </w:tcBorders>
            <w:vAlign w:val="center"/>
          </w:tcPr>
          <w:p w14:paraId="763CCFE8">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植被/植物群落</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；土地利用</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；生态系统</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；生物多样性</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；重要物种</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；生态敏感区</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；其他□</w:t>
            </w:r>
          </w:p>
        </w:tc>
      </w:tr>
      <w:tr w14:paraId="18D3AE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686" w:type="pct"/>
            <w:vMerge w:val="restart"/>
            <w:tcBorders>
              <w:tl2br w:val="nil"/>
              <w:tr2bl w:val="nil"/>
            </w:tcBorders>
            <w:vAlign w:val="center"/>
          </w:tcPr>
          <w:p w14:paraId="3B0405BF">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生态影响预测与评价</w:t>
            </w:r>
          </w:p>
        </w:tc>
        <w:tc>
          <w:tcPr>
            <w:tcW w:w="905" w:type="pct"/>
            <w:tcBorders>
              <w:tl2br w:val="nil"/>
              <w:tr2bl w:val="nil"/>
            </w:tcBorders>
            <w:vAlign w:val="center"/>
          </w:tcPr>
          <w:p w14:paraId="245D4B80">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评价方法</w:t>
            </w:r>
          </w:p>
        </w:tc>
        <w:tc>
          <w:tcPr>
            <w:tcW w:w="3408" w:type="pct"/>
            <w:tcBorders>
              <w:tl2br w:val="nil"/>
              <w:tr2bl w:val="nil"/>
            </w:tcBorders>
            <w:vAlign w:val="center"/>
          </w:tcPr>
          <w:p w14:paraId="2A26428C">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定性□；定性和定量</w:t>
            </w:r>
            <w:r>
              <w:rPr>
                <w:rFonts w:hint="default" w:ascii="Times New Roman" w:hAnsi="Times New Roman" w:cs="Times New Roman"/>
                <w:color w:val="auto"/>
                <w:sz w:val="21"/>
                <w:szCs w:val="21"/>
              </w:rPr>
              <w:sym w:font="Wingdings 2" w:char="0052"/>
            </w:r>
          </w:p>
        </w:tc>
      </w:tr>
      <w:tr w14:paraId="79C12A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686" w:type="pct"/>
            <w:vMerge w:val="continue"/>
            <w:tcBorders>
              <w:tl2br w:val="nil"/>
              <w:tr2bl w:val="nil"/>
            </w:tcBorders>
            <w:vAlign w:val="center"/>
          </w:tcPr>
          <w:p w14:paraId="0BDC522F">
            <w:pPr>
              <w:spacing w:line="300" w:lineRule="exact"/>
              <w:ind w:firstLine="0" w:firstLineChars="0"/>
              <w:jc w:val="center"/>
              <w:rPr>
                <w:rFonts w:hint="default" w:ascii="Times New Roman" w:hAnsi="Times New Roman" w:cs="Times New Roman"/>
                <w:color w:val="auto"/>
                <w:sz w:val="21"/>
                <w:szCs w:val="21"/>
              </w:rPr>
            </w:pPr>
          </w:p>
        </w:tc>
        <w:tc>
          <w:tcPr>
            <w:tcW w:w="905" w:type="pct"/>
            <w:tcBorders>
              <w:tl2br w:val="nil"/>
              <w:tr2bl w:val="nil"/>
            </w:tcBorders>
            <w:vAlign w:val="center"/>
          </w:tcPr>
          <w:p w14:paraId="1E498B53">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评价内容</w:t>
            </w:r>
          </w:p>
        </w:tc>
        <w:tc>
          <w:tcPr>
            <w:tcW w:w="3408" w:type="pct"/>
            <w:tcBorders>
              <w:tl2br w:val="nil"/>
              <w:tr2bl w:val="nil"/>
            </w:tcBorders>
            <w:vAlign w:val="center"/>
          </w:tcPr>
          <w:p w14:paraId="0672B61D">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植被/植物群落</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；土地利用</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；生态系统</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；生物多样性</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；重要物种</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；生态敏感区</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；生物入侵风险</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；其他</w:t>
            </w:r>
            <w:r>
              <w:rPr>
                <w:rFonts w:hint="default" w:ascii="Times New Roman" w:hAnsi="Times New Roman" w:cs="Times New Roman"/>
                <w:color w:val="auto"/>
                <w:sz w:val="21"/>
                <w:szCs w:val="21"/>
              </w:rPr>
              <w:sym w:font="Wingdings 2" w:char="0052"/>
            </w:r>
          </w:p>
        </w:tc>
      </w:tr>
      <w:tr w14:paraId="657B34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686" w:type="pct"/>
            <w:vMerge w:val="restart"/>
            <w:tcBorders>
              <w:tl2br w:val="nil"/>
              <w:tr2bl w:val="nil"/>
            </w:tcBorders>
            <w:vAlign w:val="center"/>
          </w:tcPr>
          <w:p w14:paraId="0289A5DC">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生态保护对策措施</w:t>
            </w:r>
          </w:p>
        </w:tc>
        <w:tc>
          <w:tcPr>
            <w:tcW w:w="905" w:type="pct"/>
            <w:tcBorders>
              <w:tl2br w:val="nil"/>
              <w:tr2bl w:val="nil"/>
            </w:tcBorders>
            <w:vAlign w:val="center"/>
          </w:tcPr>
          <w:p w14:paraId="75ACA589">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对策措施</w:t>
            </w:r>
          </w:p>
        </w:tc>
        <w:tc>
          <w:tcPr>
            <w:tcW w:w="3408" w:type="pct"/>
            <w:tcBorders>
              <w:tl2br w:val="nil"/>
              <w:tr2bl w:val="nil"/>
            </w:tcBorders>
            <w:vAlign w:val="center"/>
          </w:tcPr>
          <w:p w14:paraId="7B5776F3">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避让</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；减缓</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；生态修复☑；生态补偿</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；科研□；其他□</w:t>
            </w:r>
          </w:p>
        </w:tc>
      </w:tr>
      <w:tr w14:paraId="16722E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686" w:type="pct"/>
            <w:vMerge w:val="continue"/>
            <w:tcBorders>
              <w:tl2br w:val="nil"/>
              <w:tr2bl w:val="nil"/>
            </w:tcBorders>
            <w:vAlign w:val="center"/>
          </w:tcPr>
          <w:p w14:paraId="42A18A93">
            <w:pPr>
              <w:spacing w:line="300" w:lineRule="exact"/>
              <w:ind w:firstLine="0" w:firstLineChars="0"/>
              <w:jc w:val="center"/>
              <w:rPr>
                <w:rFonts w:hint="default" w:ascii="Times New Roman" w:hAnsi="Times New Roman" w:cs="Times New Roman"/>
                <w:color w:val="auto"/>
                <w:sz w:val="21"/>
                <w:szCs w:val="21"/>
              </w:rPr>
            </w:pPr>
          </w:p>
        </w:tc>
        <w:tc>
          <w:tcPr>
            <w:tcW w:w="905" w:type="pct"/>
            <w:tcBorders>
              <w:tl2br w:val="nil"/>
              <w:tr2bl w:val="nil"/>
            </w:tcBorders>
            <w:vAlign w:val="center"/>
          </w:tcPr>
          <w:p w14:paraId="4A4DF12F">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生态监测计划</w:t>
            </w:r>
          </w:p>
        </w:tc>
        <w:tc>
          <w:tcPr>
            <w:tcW w:w="3408" w:type="pct"/>
            <w:tcBorders>
              <w:tl2br w:val="nil"/>
              <w:tr2bl w:val="nil"/>
            </w:tcBorders>
            <w:vAlign w:val="center"/>
          </w:tcPr>
          <w:p w14:paraId="2B2A725D">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全生命周期□；长期跟踪□；常规☑；无</w:t>
            </w:r>
            <w:r>
              <w:rPr>
                <w:rFonts w:hint="default" w:ascii="Times New Roman" w:hAnsi="Times New Roman" w:cs="Times New Roman"/>
                <w:color w:val="auto"/>
                <w:sz w:val="21"/>
                <w:szCs w:val="21"/>
              </w:rPr>
              <w:sym w:font="Wingdings 2" w:char="00A3"/>
            </w:r>
          </w:p>
        </w:tc>
      </w:tr>
      <w:tr w14:paraId="08C0D4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686" w:type="pct"/>
            <w:vMerge w:val="continue"/>
            <w:tcBorders>
              <w:tl2br w:val="nil"/>
              <w:tr2bl w:val="nil"/>
            </w:tcBorders>
            <w:vAlign w:val="center"/>
          </w:tcPr>
          <w:p w14:paraId="357E3AF2">
            <w:pPr>
              <w:spacing w:line="300" w:lineRule="exact"/>
              <w:ind w:firstLine="0" w:firstLineChars="0"/>
              <w:jc w:val="center"/>
              <w:rPr>
                <w:rFonts w:hint="default" w:ascii="Times New Roman" w:hAnsi="Times New Roman" w:cs="Times New Roman"/>
                <w:color w:val="auto"/>
                <w:sz w:val="21"/>
                <w:szCs w:val="21"/>
              </w:rPr>
            </w:pPr>
          </w:p>
        </w:tc>
        <w:tc>
          <w:tcPr>
            <w:tcW w:w="905" w:type="pct"/>
            <w:tcBorders>
              <w:tl2br w:val="nil"/>
              <w:tr2bl w:val="nil"/>
            </w:tcBorders>
            <w:vAlign w:val="center"/>
          </w:tcPr>
          <w:p w14:paraId="46A82663">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环境管理</w:t>
            </w:r>
          </w:p>
        </w:tc>
        <w:tc>
          <w:tcPr>
            <w:tcW w:w="3408" w:type="pct"/>
            <w:tcBorders>
              <w:tl2br w:val="nil"/>
              <w:tr2bl w:val="nil"/>
            </w:tcBorders>
            <w:vAlign w:val="center"/>
          </w:tcPr>
          <w:p w14:paraId="3BD580F4">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环境监理</w:t>
            </w:r>
            <w:r>
              <w:rPr>
                <w:rFonts w:hint="default" w:ascii="Times New Roman" w:hAnsi="Times New Roman" w:cs="Times New Roman"/>
                <w:color w:val="auto"/>
                <w:sz w:val="21"/>
                <w:szCs w:val="21"/>
              </w:rPr>
              <w:sym w:font="Wingdings 2" w:char="00A3"/>
            </w:r>
            <w:r>
              <w:rPr>
                <w:rFonts w:hint="default" w:ascii="Times New Roman" w:hAnsi="Times New Roman" w:cs="Times New Roman"/>
                <w:color w:val="auto"/>
                <w:sz w:val="21"/>
                <w:szCs w:val="21"/>
              </w:rPr>
              <w:t>；环境影响后评价</w:t>
            </w:r>
            <w:r>
              <w:rPr>
                <w:rFonts w:hint="default" w:ascii="Times New Roman" w:hAnsi="Times New Roman" w:cs="Times New Roman"/>
                <w:color w:val="auto"/>
                <w:sz w:val="21"/>
                <w:szCs w:val="21"/>
              </w:rPr>
              <w:sym w:font="Wingdings 2" w:char="00A3"/>
            </w:r>
            <w:r>
              <w:rPr>
                <w:rFonts w:hint="default" w:ascii="Times New Roman" w:hAnsi="Times New Roman" w:cs="Times New Roman"/>
                <w:color w:val="auto"/>
                <w:sz w:val="21"/>
                <w:szCs w:val="21"/>
              </w:rPr>
              <w:t>；其他</w:t>
            </w:r>
            <w:r>
              <w:rPr>
                <w:rFonts w:hint="default" w:ascii="Times New Roman" w:hAnsi="Times New Roman" w:cs="Times New Roman"/>
                <w:color w:val="auto"/>
                <w:sz w:val="21"/>
                <w:szCs w:val="21"/>
              </w:rPr>
              <w:sym w:font="Wingdings 2" w:char="00A3"/>
            </w:r>
          </w:p>
        </w:tc>
      </w:tr>
      <w:tr w14:paraId="3B2FAE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686" w:type="pct"/>
            <w:tcBorders>
              <w:tl2br w:val="nil"/>
              <w:tr2bl w:val="nil"/>
            </w:tcBorders>
            <w:vAlign w:val="center"/>
          </w:tcPr>
          <w:p w14:paraId="6894C906">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评价结论</w:t>
            </w:r>
          </w:p>
        </w:tc>
        <w:tc>
          <w:tcPr>
            <w:tcW w:w="905" w:type="pct"/>
            <w:tcBorders>
              <w:tl2br w:val="nil"/>
              <w:tr2bl w:val="nil"/>
            </w:tcBorders>
            <w:vAlign w:val="center"/>
          </w:tcPr>
          <w:p w14:paraId="2EF0C924">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生态影响</w:t>
            </w:r>
          </w:p>
        </w:tc>
        <w:tc>
          <w:tcPr>
            <w:tcW w:w="3408" w:type="pct"/>
            <w:tcBorders>
              <w:tl2br w:val="nil"/>
              <w:tr2bl w:val="nil"/>
            </w:tcBorders>
            <w:vAlign w:val="center"/>
          </w:tcPr>
          <w:p w14:paraId="66613B60">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可行</w:t>
            </w:r>
            <w:r>
              <w:rPr>
                <w:rFonts w:hint="default" w:ascii="Times New Roman" w:hAnsi="Times New Roman" w:cs="Times New Roman"/>
                <w:color w:val="auto"/>
                <w:sz w:val="21"/>
                <w:szCs w:val="21"/>
              </w:rPr>
              <w:sym w:font="Wingdings 2" w:char="0052"/>
            </w:r>
            <w:r>
              <w:rPr>
                <w:rFonts w:hint="default" w:ascii="Times New Roman" w:hAnsi="Times New Roman" w:cs="Times New Roman"/>
                <w:color w:val="auto"/>
                <w:sz w:val="21"/>
                <w:szCs w:val="21"/>
              </w:rPr>
              <w:t>；不可行□</w:t>
            </w:r>
          </w:p>
        </w:tc>
      </w:tr>
      <w:tr w14:paraId="59D870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5000" w:type="pct"/>
            <w:gridSpan w:val="3"/>
            <w:tcBorders>
              <w:tl2br w:val="nil"/>
              <w:tr2bl w:val="nil"/>
            </w:tcBorders>
            <w:vAlign w:val="center"/>
          </w:tcPr>
          <w:p w14:paraId="2F5137DA">
            <w:pPr>
              <w:spacing w:line="3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注：注： “□” 为勾选项 ，可√ ；“（ ）” 为内容填写项。</w:t>
            </w:r>
          </w:p>
        </w:tc>
      </w:tr>
    </w:tbl>
    <w:p w14:paraId="2A789E3B">
      <w:pPr>
        <w:pStyle w:val="14"/>
        <w:rPr>
          <w:rFonts w:hint="default" w:ascii="Times New Roman" w:hAnsi="Times New Roman" w:cs="Times New Roman"/>
          <w:color w:val="auto"/>
        </w:rPr>
      </w:pPr>
    </w:p>
    <w:p w14:paraId="4861B373">
      <w:pPr>
        <w:rPr>
          <w:color w:val="auto"/>
        </w:rPr>
      </w:pPr>
    </w:p>
    <w:sectPr>
      <w:footerReference r:id="rId15" w:type="default"/>
      <w:pgSz w:w="11906" w:h="16838"/>
      <w:pgMar w:top="1440" w:right="1684" w:bottom="1440" w:left="1684" w:header="794" w:footer="851" w:gutter="0"/>
      <w:pgBorders>
        <w:top w:val="none" w:sz="0" w:space="0"/>
        <w:left w:val="none" w:sz="0" w:space="0"/>
        <w:bottom w:val="none" w:sz="0" w:space="0"/>
        <w:right w:val="none" w:sz="0" w:space="0"/>
      </w:pgBorders>
      <w:pgNumType w:fmt="decimal"/>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swiss"/>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AB67E72-3D7E-4013-BADF-91536014729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2" w:fontKey="{755D18D9-97FD-4124-AFE7-3B1F51A60B28}"/>
  </w:font>
  <w:font w:name="微软雅黑">
    <w:panose1 w:val="020B0503020204020204"/>
    <w:charset w:val="86"/>
    <w:family w:val="swiss"/>
    <w:pitch w:val="default"/>
    <w:sig w:usb0="80000287" w:usb1="2ACF3C50" w:usb2="00000016" w:usb3="00000000" w:csb0="0004001F" w:csb1="00000000"/>
  </w:font>
  <w:font w:name="TimesNewRomanPSMT">
    <w:altName w:val="TimesNewRomanPSMT"/>
    <w:panose1 w:val="00000000000000000000"/>
    <w:charset w:val="00"/>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embedRegular r:id="rId3" w:fontKey="{0D1A8195-D69A-4884-A7A9-8B0569C86B22}"/>
  </w:font>
  <w:font w:name="Wingdings 2">
    <w:panose1 w:val="05020102010507070707"/>
    <w:charset w:val="02"/>
    <w:family w:val="roman"/>
    <w:pitch w:val="default"/>
    <w:sig w:usb0="00000000" w:usb1="00000000" w:usb2="00000000" w:usb3="00000000" w:csb0="80000000" w:csb1="00000000"/>
    <w:embedRegular r:id="rId4" w:fontKey="{514DF233-FE10-439D-BEEB-494EDB1BCB56}"/>
  </w:font>
  <w:font w:name="Therese">
    <w:panose1 w:val="00000500000000000000"/>
    <w:charset w:val="00"/>
    <w:family w:val="auto"/>
    <w:pitch w:val="default"/>
    <w:sig w:usb0="20000007" w:usb1="00000000" w:usb2="00000000" w:usb3="00000000" w:csb0="00000193" w:csb1="00000000"/>
    <w:embedRegular r:id="rId5" w:fontKey="{495AFEA1-09CE-4D83-8630-D69FAAECF96A}"/>
  </w:font>
  <w:font w:name="Cambria Math">
    <w:panose1 w:val="02040503050406030204"/>
    <w:charset w:val="00"/>
    <w:family w:val="roman"/>
    <w:pitch w:val="default"/>
    <w:sig w:usb0="E00006FF" w:usb1="420024FF" w:usb2="02000000" w:usb3="00000000" w:csb0="2000019F" w:csb1="00000000"/>
    <w:embedRegular r:id="rId6" w:fontKey="{948AB3E3-03E3-46B2-A424-13E9D0183DAB}"/>
  </w:font>
  <w:font w:name="方正楷体_GB2312">
    <w:panose1 w:val="02000000000000000000"/>
    <w:charset w:val="86"/>
    <w:family w:val="auto"/>
    <w:pitch w:val="default"/>
    <w:sig w:usb0="A00002BF" w:usb1="184F6CFA" w:usb2="00000012" w:usb3="00000000" w:csb0="00040001" w:csb1="00000000"/>
    <w:embedRegular r:id="rId7" w:fontKey="{5C179153-DE9E-442D-9E34-C3034E590C37}"/>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Good Times">
    <w:panose1 w:val="00000500000000000000"/>
    <w:charset w:val="00"/>
    <w:family w:val="auto"/>
    <w:pitch w:val="default"/>
    <w:sig w:usb0="A00000FF" w:usb1="10000042"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693BE">
    <w:pPr>
      <w:pStyle w:val="18"/>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AAE7E">
    <w:pPr>
      <w:pStyle w:val="18"/>
      <w:framePr w:wrap="around" w:vAnchor="text" w:hAnchor="margin" w:xAlign="center" w:y="1"/>
      <w:ind w:firstLine="360"/>
      <w:rPr>
        <w:rStyle w:val="34"/>
      </w:rPr>
    </w:pPr>
    <w:r>
      <w:fldChar w:fldCharType="begin"/>
    </w:r>
    <w:r>
      <w:rPr>
        <w:rStyle w:val="34"/>
      </w:rPr>
      <w:instrText xml:space="preserve">PAGE  </w:instrText>
    </w:r>
    <w:r>
      <w:fldChar w:fldCharType="separate"/>
    </w:r>
    <w:r>
      <w:rPr>
        <w:rStyle w:val="34"/>
      </w:rPr>
      <w:t>8</w:t>
    </w:r>
    <w:r>
      <w:fldChar w:fldCharType="end"/>
    </w:r>
  </w:p>
  <w:p w14:paraId="3BD1A416">
    <w:pPr>
      <w:pStyle w:val="1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A69BE">
    <w:pPr>
      <w:pStyle w:val="18"/>
      <w:ind w:right="360"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6F2DAA">
                          <w:pPr>
                            <w:pStyle w:val="18"/>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4</w:t>
                          </w:r>
                          <w:r>
                            <w:rPr>
                              <w:sz w:val="21"/>
                              <w:szCs w:val="21"/>
                            </w:rPr>
                            <w:fldChar w:fldCharType="end"/>
                          </w:r>
                          <w:r>
                            <w:rPr>
                              <w:sz w:val="21"/>
                              <w:szCs w:val="21"/>
                            </w:rPr>
                            <w:t xml:space="preserve"> —</w:t>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oOOBXt8BAADAAwAADgAAAAAA&#10;AAABACAAAAAeAQAAZHJzL2Uyb0RvYy54bWxQSwUGAAAAAAYABgBZAQAAbwUAAAAA&#10;">
              <v:fill on="f" focussize="0,0"/>
              <v:stroke on="f"/>
              <v:imagedata o:title=""/>
              <o:lock v:ext="edit" aspectratio="f"/>
              <v:textbox inset="0mm,0mm,0mm,0mm" style="mso-fit-shape-to-text:t;">
                <w:txbxContent>
                  <w:p w14:paraId="7B6F2DAA">
                    <w:pPr>
                      <w:pStyle w:val="18"/>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4</w:t>
                    </w:r>
                    <w:r>
                      <w:rPr>
                        <w:sz w:val="21"/>
                        <w:szCs w:val="21"/>
                      </w:rPr>
                      <w:fldChar w:fldCharType="end"/>
                    </w:r>
                    <w:r>
                      <w:rPr>
                        <w:sz w:val="21"/>
                        <w:szCs w:val="21"/>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B5C3B">
    <w:pPr>
      <w:pStyle w:val="18"/>
      <w:tabs>
        <w:tab w:val="clear" w:pos="4153"/>
      </w:tabs>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EB206">
    <w:pPr>
      <w:pStyle w:val="18"/>
      <w:tabs>
        <w:tab w:val="clear" w:pos="4153"/>
      </w:tabs>
      <w:jc w:val="cente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79D3E5">
                          <w:pPr>
                            <w:pStyle w:val="18"/>
                            <w:tabs>
                              <w:tab w:val="clear" w:pos="4153"/>
                            </w:tabs>
                            <w:jc w:val="center"/>
                            <w:rPr>
                              <w:rFonts w:hint="default" w:ascii="Times New Roman" w:hAnsi="Times New Roman" w:cs="Times New Roman"/>
                              <w:sz w:val="20"/>
                              <w:szCs w:val="28"/>
                            </w:rPr>
                          </w:pPr>
                          <w:r>
                            <w:rPr>
                              <w:rFonts w:hint="default" w:ascii="Times New Roman" w:hAnsi="Times New Roman" w:cs="Times New Roman"/>
                              <w:sz w:val="20"/>
                              <w:szCs w:val="28"/>
                            </w:rPr>
                            <w:fldChar w:fldCharType="begin"/>
                          </w:r>
                          <w:r>
                            <w:rPr>
                              <w:rFonts w:hint="default" w:ascii="Times New Roman" w:hAnsi="Times New Roman" w:cs="Times New Roman"/>
                              <w:sz w:val="20"/>
                              <w:szCs w:val="28"/>
                            </w:rPr>
                            <w:instrText xml:space="preserve">PAGE   \* MERGEFORMAT</w:instrText>
                          </w:r>
                          <w:r>
                            <w:rPr>
                              <w:rFonts w:hint="default" w:ascii="Times New Roman" w:hAnsi="Times New Roman" w:cs="Times New Roman"/>
                              <w:sz w:val="20"/>
                              <w:szCs w:val="28"/>
                            </w:rPr>
                            <w:fldChar w:fldCharType="separate"/>
                          </w:r>
                          <w:r>
                            <w:rPr>
                              <w:rFonts w:hint="default" w:ascii="Times New Roman" w:hAnsi="Times New Roman" w:cs="Times New Roman"/>
                              <w:sz w:val="20"/>
                              <w:szCs w:val="28"/>
                              <w:lang w:val="zh-CN"/>
                            </w:rPr>
                            <w:t>37</w:t>
                          </w:r>
                          <w:r>
                            <w:rPr>
                              <w:rFonts w:hint="default" w:ascii="Times New Roman" w:hAnsi="Times New Roman" w:cs="Times New Roman"/>
                              <w:sz w:val="20"/>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3079D3E5">
                    <w:pPr>
                      <w:pStyle w:val="18"/>
                      <w:tabs>
                        <w:tab w:val="clear" w:pos="4153"/>
                      </w:tabs>
                      <w:jc w:val="center"/>
                      <w:rPr>
                        <w:rFonts w:hint="default" w:ascii="Times New Roman" w:hAnsi="Times New Roman" w:cs="Times New Roman"/>
                        <w:sz w:val="20"/>
                        <w:szCs w:val="28"/>
                      </w:rPr>
                    </w:pPr>
                    <w:r>
                      <w:rPr>
                        <w:rFonts w:hint="default" w:ascii="Times New Roman" w:hAnsi="Times New Roman" w:cs="Times New Roman"/>
                        <w:sz w:val="20"/>
                        <w:szCs w:val="28"/>
                      </w:rPr>
                      <w:fldChar w:fldCharType="begin"/>
                    </w:r>
                    <w:r>
                      <w:rPr>
                        <w:rFonts w:hint="default" w:ascii="Times New Roman" w:hAnsi="Times New Roman" w:cs="Times New Roman"/>
                        <w:sz w:val="20"/>
                        <w:szCs w:val="28"/>
                      </w:rPr>
                      <w:instrText xml:space="preserve">PAGE   \* MERGEFORMAT</w:instrText>
                    </w:r>
                    <w:r>
                      <w:rPr>
                        <w:rFonts w:hint="default" w:ascii="Times New Roman" w:hAnsi="Times New Roman" w:cs="Times New Roman"/>
                        <w:sz w:val="20"/>
                        <w:szCs w:val="28"/>
                      </w:rPr>
                      <w:fldChar w:fldCharType="separate"/>
                    </w:r>
                    <w:r>
                      <w:rPr>
                        <w:rFonts w:hint="default" w:ascii="Times New Roman" w:hAnsi="Times New Roman" w:cs="Times New Roman"/>
                        <w:sz w:val="20"/>
                        <w:szCs w:val="28"/>
                        <w:lang w:val="zh-CN"/>
                      </w:rPr>
                      <w:t>37</w:t>
                    </w:r>
                    <w:r>
                      <w:rPr>
                        <w:rFonts w:hint="default" w:ascii="Times New Roman" w:hAnsi="Times New Roman" w:cs="Times New Roman"/>
                        <w:sz w:val="20"/>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8A2E9">
    <w:pPr>
      <w:pStyle w:val="1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4F9EC">
    <w:pPr>
      <w:pStyle w:val="18"/>
      <w:ind w:firstLine="360"/>
      <w:jc w:val="center"/>
    </w:pPr>
    <w: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4D30B2">
                          <w:pPr>
                            <w:pStyle w:val="18"/>
                            <w:ind w:firstLine="360"/>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M9X0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zM9X0tAgAAVwQAAA4AAAAAAAAAAQAgAAAAHwEAAGRycy9lMm9Eb2MueG1sUEsFBgAAAAAG&#10;AAYAWQEAAL4FAAAAAA==&#10;">
              <v:fill on="f" focussize="0,0"/>
              <v:stroke on="f" weight="0.5pt"/>
              <v:imagedata o:title=""/>
              <o:lock v:ext="edit" aspectratio="f"/>
              <v:textbox inset="0mm,0mm,0mm,0mm" style="mso-fit-shape-to-text:t;">
                <w:txbxContent>
                  <w:p w14:paraId="204D30B2">
                    <w:pPr>
                      <w:pStyle w:val="18"/>
                      <w:ind w:firstLine="360"/>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xbxContent>
              </v:textbox>
            </v:shape>
          </w:pict>
        </mc:Fallback>
      </mc:AlternateContent>
    </w:r>
    <w: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5830"/>
                          </w:sdtPr>
                          <w:sdtContent>
                            <w:p w14:paraId="7BE10D45">
                              <w:pPr>
                                <w:pStyle w:val="18"/>
                                <w:ind w:firstLine="360"/>
                                <w:jc w:val="center"/>
                              </w:pPr>
                            </w:p>
                          </w:sdtContent>
                        </w:sdt>
                        <w:p w14:paraId="03C7099B">
                          <w:pPr>
                            <w:pStyle w:val="14"/>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sdt>
                    <w:sdtPr>
                      <w:id w:val="147475830"/>
                    </w:sdtPr>
                    <w:sdtContent>
                      <w:p w14:paraId="7BE10D45">
                        <w:pPr>
                          <w:pStyle w:val="18"/>
                          <w:ind w:firstLine="360"/>
                          <w:jc w:val="center"/>
                        </w:pPr>
                      </w:p>
                    </w:sdtContent>
                  </w:sdt>
                  <w:p w14:paraId="03C7099B">
                    <w:pPr>
                      <w:pStyle w:val="14"/>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FC4DE">
    <w:pPr>
      <w:pStyle w:val="18"/>
      <w:ind w:firstLine="360"/>
      <w:jc w:val="center"/>
    </w:pPr>
    <w: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293385">
                          <w:pPr>
                            <w:pStyle w:val="18"/>
                            <w:ind w:firstLine="360"/>
                            <w:rPr>
                              <w:rFonts w:ascii="Times New Roman" w:hAnsi="Times New Roman"/>
                            </w:rPr>
                          </w:pP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NLTQM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BJJopVPz04/vp&#10;58Pp1zeCMwjUWj9D3L1FZOjemQ5tM5x7HEbeXeVU/IIRgR9Yx4u8oguEx0vTyXSaw8XhGzbAzx6v&#10;W+fDe2EUiUZBHeqXZGWHjQ996BASs2mzbqRMNZSatAW9ev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0tNAywCAABXBAAADgAAAAAAAAABACAAAAAfAQAAZHJzL2Uyb0RvYy54bWxQSwUGAAAAAAYA&#10;BgBZAQAAvQUAAAAA&#10;">
              <v:fill on="f" focussize="0,0"/>
              <v:stroke on="f" weight="0.5pt"/>
              <v:imagedata o:title=""/>
              <o:lock v:ext="edit" aspectratio="f"/>
              <v:textbox inset="0mm,0mm,0mm,0mm" style="mso-fit-shape-to-text:t;">
                <w:txbxContent>
                  <w:p w14:paraId="6A293385">
                    <w:pPr>
                      <w:pStyle w:val="18"/>
                      <w:ind w:firstLine="360"/>
                      <w:rPr>
                        <w:rFonts w:ascii="Times New Roman" w:hAnsi="Times New Roman"/>
                      </w:rPr>
                    </w:pP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t xml:space="preserve"> —</w:t>
                    </w:r>
                  </w:p>
                </w:txbxContent>
              </v:textbox>
            </v:shape>
          </w:pict>
        </mc:Fallback>
      </mc:AlternateContent>
    </w:r>
    <w: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1041"/>
                          </w:sdtPr>
                          <w:sdtContent>
                            <w:p w14:paraId="29321A99">
                              <w:pPr>
                                <w:pStyle w:val="18"/>
                                <w:ind w:firstLine="360"/>
                                <w:jc w:val="center"/>
                              </w:pPr>
                            </w:p>
                          </w:sdtContent>
                        </w:sdt>
                        <w:p w14:paraId="02331CF4">
                          <w:pPr>
                            <w:pStyle w:val="14"/>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sdt>
                    <w:sdtPr>
                      <w:id w:val="147451041"/>
                    </w:sdtPr>
                    <w:sdtContent>
                      <w:p w14:paraId="29321A99">
                        <w:pPr>
                          <w:pStyle w:val="18"/>
                          <w:ind w:firstLine="360"/>
                          <w:jc w:val="center"/>
                        </w:pPr>
                      </w:p>
                    </w:sdtContent>
                  </w:sdt>
                  <w:p w14:paraId="02331CF4">
                    <w:pPr>
                      <w:pStyle w:val="14"/>
                    </w:pP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82740">
    <w:pPr>
      <w:pStyle w:val="18"/>
      <w:snapToGrid/>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19AD35">
                          <w:pPr>
                            <w:pStyle w:val="18"/>
                          </w:pPr>
                          <w:r>
                            <w:t xml:space="preserve">— </w:t>
                          </w:r>
                          <w:r>
                            <w:fldChar w:fldCharType="begin"/>
                          </w:r>
                          <w:r>
                            <w:instrText xml:space="preserve"> PAGE  \* MERGEFORMAT </w:instrText>
                          </w:r>
                          <w:r>
                            <w:fldChar w:fldCharType="separate"/>
                          </w:r>
                          <w:r>
                            <w:t>126</w:t>
                          </w:r>
                          <w:r>
                            <w:fldChar w:fldCharType="end"/>
                          </w:r>
                          <w:r>
                            <w:t xml:space="preserve"> —</w:t>
                          </w:r>
                        </w:p>
                      </w:txbxContent>
                    </wps:txbx>
                    <wps:bodyPr vert="horz" wrap="none" lIns="0" tIns="0" rIns="0" bIns="0" anchor="t" anchorCtr="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LY+h+DgAQAAwwMAAA4AAAAA&#10;AAAAAQAgAAAAHgEAAGRycy9lMm9Eb2MueG1sUEsFBgAAAAAGAAYAWQEAAHAFAAAAAA==&#10;">
              <v:fill on="f" focussize="0,0"/>
              <v:stroke on="f"/>
              <v:imagedata o:title=""/>
              <o:lock v:ext="edit" aspectratio="f"/>
              <v:textbox inset="0mm,0mm,0mm,0mm" style="mso-fit-shape-to-text:t;">
                <w:txbxContent>
                  <w:p w14:paraId="1C19AD35">
                    <w:pPr>
                      <w:pStyle w:val="18"/>
                    </w:pPr>
                    <w:r>
                      <w:t xml:space="preserve">— </w:t>
                    </w:r>
                    <w:r>
                      <w:fldChar w:fldCharType="begin"/>
                    </w:r>
                    <w:r>
                      <w:instrText xml:space="preserve"> PAGE  \* MERGEFORMAT </w:instrText>
                    </w:r>
                    <w:r>
                      <w:fldChar w:fldCharType="separate"/>
                    </w:r>
                    <w:r>
                      <w:t>126</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0C399">
    <w:pPr>
      <w:pStyle w:val="19"/>
      <w:pBdr>
        <w:bottom w:val="double" w:color="auto" w:sz="8" w:space="1"/>
      </w:pBdr>
      <w:adjustRightInd w:val="0"/>
      <w:spacing w:line="240" w:lineRule="auto"/>
      <w:rPr>
        <w:sz w:val="21"/>
        <w:szCs w:val="21"/>
        <w:u w:val="double"/>
      </w:rPr>
    </w:pPr>
    <w:r>
      <w:rPr>
        <w:rFonts w:hint="eastAsia"/>
        <w:sz w:val="21"/>
        <w:szCs w:val="21"/>
        <w:lang w:eastAsia="zh-CN"/>
      </w:rPr>
      <w:t>大草房至六合一110kV送出线路工程</w:t>
    </w:r>
    <w:r>
      <w:rPr>
        <w:rFonts w:hint="eastAsia"/>
        <w:sz w:val="21"/>
        <w:szCs w:val="21"/>
        <w:lang w:val="en-US" w:eastAsia="zh-CN"/>
      </w:rPr>
      <w:t>生态</w:t>
    </w:r>
    <w:r>
      <w:rPr>
        <w:rFonts w:hint="eastAsia"/>
        <w:sz w:val="21"/>
        <w:szCs w:val="21"/>
      </w:rPr>
      <w:t>环境影响报告表</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1A5F9">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BC20FE"/>
    <w:multiLevelType w:val="singleLevel"/>
    <w:tmpl w:val="4CBC20FE"/>
    <w:lvl w:ilvl="0" w:tentative="0">
      <w:start w:val="2"/>
      <w:numFmt w:val="chineseCounting"/>
      <w:suff w:val="nothing"/>
      <w:lvlText w:val="（%1）"/>
      <w:lvlJc w:val="left"/>
      <w:rPr>
        <w:rFonts w:hint="eastAsia"/>
      </w:rPr>
    </w:lvl>
  </w:abstractNum>
  <w:abstractNum w:abstractNumId="1">
    <w:nsid w:val="69FD400F"/>
    <w:multiLevelType w:val="singleLevel"/>
    <w:tmpl w:val="69FD400F"/>
    <w:lvl w:ilvl="0" w:tentative="0">
      <w:start w:val="1"/>
      <w:numFmt w:val="decimal"/>
      <w:suff w:val="nothing"/>
      <w:lvlText w:val="（%1）"/>
      <w:lvlJc w:val="left"/>
      <w:pPr>
        <w:ind w:left="15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0"/>
  <w:hyphenationZone w:val="360"/>
  <w:doNotHyphenateCaps/>
  <w:drawingGridHorizontalSpacing w:val="210"/>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xNmUzZWUyMDQ1MDZiNDQ2YTEwYjgwZDAzYjJiNmQifQ=="/>
    <w:docVar w:name="KSO_WPS_MARK_KEY" w:val="a601a65d-74e0-4127-8cc7-69f220e9d897"/>
  </w:docVars>
  <w:rsids>
    <w:rsidRoot w:val="00172A27"/>
    <w:rsid w:val="000038FA"/>
    <w:rsid w:val="00003F94"/>
    <w:rsid w:val="00004211"/>
    <w:rsid w:val="000060B3"/>
    <w:rsid w:val="00007A3E"/>
    <w:rsid w:val="00025708"/>
    <w:rsid w:val="00025D9F"/>
    <w:rsid w:val="0002789E"/>
    <w:rsid w:val="00030333"/>
    <w:rsid w:val="0003476A"/>
    <w:rsid w:val="000372DE"/>
    <w:rsid w:val="0003799A"/>
    <w:rsid w:val="0004364B"/>
    <w:rsid w:val="00050BE5"/>
    <w:rsid w:val="00061B1F"/>
    <w:rsid w:val="00062C6D"/>
    <w:rsid w:val="00065AFB"/>
    <w:rsid w:val="000733C4"/>
    <w:rsid w:val="00074783"/>
    <w:rsid w:val="0008070B"/>
    <w:rsid w:val="000810AC"/>
    <w:rsid w:val="00081780"/>
    <w:rsid w:val="00081A02"/>
    <w:rsid w:val="00082231"/>
    <w:rsid w:val="00092D38"/>
    <w:rsid w:val="0009377B"/>
    <w:rsid w:val="00093A28"/>
    <w:rsid w:val="00093FEC"/>
    <w:rsid w:val="00097EF4"/>
    <w:rsid w:val="000A20C9"/>
    <w:rsid w:val="000A2351"/>
    <w:rsid w:val="000A56D9"/>
    <w:rsid w:val="000A7E21"/>
    <w:rsid w:val="000B058F"/>
    <w:rsid w:val="000B0EF6"/>
    <w:rsid w:val="000B1D6A"/>
    <w:rsid w:val="000B2530"/>
    <w:rsid w:val="000B4467"/>
    <w:rsid w:val="000B4DB9"/>
    <w:rsid w:val="000B4F97"/>
    <w:rsid w:val="000C09AC"/>
    <w:rsid w:val="000C174C"/>
    <w:rsid w:val="000C587C"/>
    <w:rsid w:val="000C767F"/>
    <w:rsid w:val="000D3482"/>
    <w:rsid w:val="000D5A44"/>
    <w:rsid w:val="000D610A"/>
    <w:rsid w:val="000D6A59"/>
    <w:rsid w:val="000E05C4"/>
    <w:rsid w:val="000E3115"/>
    <w:rsid w:val="000E3ED2"/>
    <w:rsid w:val="000E7219"/>
    <w:rsid w:val="000F12F3"/>
    <w:rsid w:val="001058EF"/>
    <w:rsid w:val="00105E2E"/>
    <w:rsid w:val="00111A73"/>
    <w:rsid w:val="0011213D"/>
    <w:rsid w:val="00120672"/>
    <w:rsid w:val="00122F75"/>
    <w:rsid w:val="00131F42"/>
    <w:rsid w:val="00133644"/>
    <w:rsid w:val="00133737"/>
    <w:rsid w:val="001357F1"/>
    <w:rsid w:val="00140FA8"/>
    <w:rsid w:val="00142328"/>
    <w:rsid w:val="00142FEB"/>
    <w:rsid w:val="00143A2D"/>
    <w:rsid w:val="00145A41"/>
    <w:rsid w:val="0014797A"/>
    <w:rsid w:val="00151675"/>
    <w:rsid w:val="00153B83"/>
    <w:rsid w:val="00157435"/>
    <w:rsid w:val="00170757"/>
    <w:rsid w:val="001748B9"/>
    <w:rsid w:val="0017504D"/>
    <w:rsid w:val="0017671A"/>
    <w:rsid w:val="00177422"/>
    <w:rsid w:val="00184590"/>
    <w:rsid w:val="00184703"/>
    <w:rsid w:val="001870D1"/>
    <w:rsid w:val="0018781E"/>
    <w:rsid w:val="0019262D"/>
    <w:rsid w:val="0019680F"/>
    <w:rsid w:val="001A1B35"/>
    <w:rsid w:val="001A2A1A"/>
    <w:rsid w:val="001A3708"/>
    <w:rsid w:val="001A3F46"/>
    <w:rsid w:val="001A48A2"/>
    <w:rsid w:val="001A5F37"/>
    <w:rsid w:val="001A6F61"/>
    <w:rsid w:val="001B0FD3"/>
    <w:rsid w:val="001B210A"/>
    <w:rsid w:val="001B473D"/>
    <w:rsid w:val="001B72B8"/>
    <w:rsid w:val="001C2D28"/>
    <w:rsid w:val="001C69B3"/>
    <w:rsid w:val="001C6F12"/>
    <w:rsid w:val="001D48E9"/>
    <w:rsid w:val="001D4FDC"/>
    <w:rsid w:val="001D5595"/>
    <w:rsid w:val="001D5FC6"/>
    <w:rsid w:val="001D6742"/>
    <w:rsid w:val="001D7874"/>
    <w:rsid w:val="001D7F22"/>
    <w:rsid w:val="001F0F17"/>
    <w:rsid w:val="001F16E9"/>
    <w:rsid w:val="001F2D55"/>
    <w:rsid w:val="001F3347"/>
    <w:rsid w:val="001F3462"/>
    <w:rsid w:val="001F5B85"/>
    <w:rsid w:val="001F69E4"/>
    <w:rsid w:val="002125B4"/>
    <w:rsid w:val="002155B8"/>
    <w:rsid w:val="00222CD3"/>
    <w:rsid w:val="00224839"/>
    <w:rsid w:val="002249B2"/>
    <w:rsid w:val="00226574"/>
    <w:rsid w:val="002278EC"/>
    <w:rsid w:val="00231A27"/>
    <w:rsid w:val="0023280E"/>
    <w:rsid w:val="00232A3A"/>
    <w:rsid w:val="002375B6"/>
    <w:rsid w:val="002377D1"/>
    <w:rsid w:val="00243280"/>
    <w:rsid w:val="002466DC"/>
    <w:rsid w:val="00250080"/>
    <w:rsid w:val="002506BC"/>
    <w:rsid w:val="00254345"/>
    <w:rsid w:val="00264557"/>
    <w:rsid w:val="002703AC"/>
    <w:rsid w:val="0027041F"/>
    <w:rsid w:val="002805AB"/>
    <w:rsid w:val="00284204"/>
    <w:rsid w:val="00291773"/>
    <w:rsid w:val="002937DE"/>
    <w:rsid w:val="002A168C"/>
    <w:rsid w:val="002A3C13"/>
    <w:rsid w:val="002A3DC7"/>
    <w:rsid w:val="002A6D94"/>
    <w:rsid w:val="002B1EDE"/>
    <w:rsid w:val="002B49E2"/>
    <w:rsid w:val="002B7B00"/>
    <w:rsid w:val="002B7C44"/>
    <w:rsid w:val="002C2B17"/>
    <w:rsid w:val="002C32D1"/>
    <w:rsid w:val="002D3DD0"/>
    <w:rsid w:val="002E13FF"/>
    <w:rsid w:val="002E1F3A"/>
    <w:rsid w:val="002E298A"/>
    <w:rsid w:val="002E5C23"/>
    <w:rsid w:val="002E7AB9"/>
    <w:rsid w:val="00301978"/>
    <w:rsid w:val="0030332C"/>
    <w:rsid w:val="003051C2"/>
    <w:rsid w:val="003052BD"/>
    <w:rsid w:val="003108B8"/>
    <w:rsid w:val="00312296"/>
    <w:rsid w:val="00314F0E"/>
    <w:rsid w:val="003164D0"/>
    <w:rsid w:val="00317ECD"/>
    <w:rsid w:val="00321D8E"/>
    <w:rsid w:val="003247C6"/>
    <w:rsid w:val="00325928"/>
    <w:rsid w:val="00327C7B"/>
    <w:rsid w:val="003318C8"/>
    <w:rsid w:val="00332863"/>
    <w:rsid w:val="0033684D"/>
    <w:rsid w:val="00337B42"/>
    <w:rsid w:val="00341692"/>
    <w:rsid w:val="00341B42"/>
    <w:rsid w:val="00343385"/>
    <w:rsid w:val="0034348F"/>
    <w:rsid w:val="003512EB"/>
    <w:rsid w:val="003551D5"/>
    <w:rsid w:val="00355621"/>
    <w:rsid w:val="00356653"/>
    <w:rsid w:val="0035743F"/>
    <w:rsid w:val="00357BE2"/>
    <w:rsid w:val="00360915"/>
    <w:rsid w:val="0036170C"/>
    <w:rsid w:val="00366E0F"/>
    <w:rsid w:val="00373D88"/>
    <w:rsid w:val="003819BC"/>
    <w:rsid w:val="00381A72"/>
    <w:rsid w:val="00384676"/>
    <w:rsid w:val="00387642"/>
    <w:rsid w:val="00390857"/>
    <w:rsid w:val="0039423C"/>
    <w:rsid w:val="003A0F01"/>
    <w:rsid w:val="003A4BF3"/>
    <w:rsid w:val="003A581B"/>
    <w:rsid w:val="003B06B1"/>
    <w:rsid w:val="003B33DE"/>
    <w:rsid w:val="003B420D"/>
    <w:rsid w:val="003B54A3"/>
    <w:rsid w:val="003C55AA"/>
    <w:rsid w:val="003C6C16"/>
    <w:rsid w:val="003D38DD"/>
    <w:rsid w:val="003D427D"/>
    <w:rsid w:val="003D794D"/>
    <w:rsid w:val="003E3058"/>
    <w:rsid w:val="003E5D52"/>
    <w:rsid w:val="003E76A9"/>
    <w:rsid w:val="003F0809"/>
    <w:rsid w:val="003F6A8C"/>
    <w:rsid w:val="003F755C"/>
    <w:rsid w:val="0040528E"/>
    <w:rsid w:val="00406F01"/>
    <w:rsid w:val="00416D50"/>
    <w:rsid w:val="00416FD5"/>
    <w:rsid w:val="00417772"/>
    <w:rsid w:val="00420E6A"/>
    <w:rsid w:val="00425A9E"/>
    <w:rsid w:val="00425CC7"/>
    <w:rsid w:val="00426A64"/>
    <w:rsid w:val="00426D6B"/>
    <w:rsid w:val="004275D8"/>
    <w:rsid w:val="00431E6C"/>
    <w:rsid w:val="004324B4"/>
    <w:rsid w:val="00433CE7"/>
    <w:rsid w:val="00452738"/>
    <w:rsid w:val="00456091"/>
    <w:rsid w:val="004606B1"/>
    <w:rsid w:val="00466321"/>
    <w:rsid w:val="004665E1"/>
    <w:rsid w:val="00473653"/>
    <w:rsid w:val="00476B2B"/>
    <w:rsid w:val="00481760"/>
    <w:rsid w:val="004846E2"/>
    <w:rsid w:val="00484B9B"/>
    <w:rsid w:val="004855F6"/>
    <w:rsid w:val="0048661E"/>
    <w:rsid w:val="00487972"/>
    <w:rsid w:val="004924FA"/>
    <w:rsid w:val="00492850"/>
    <w:rsid w:val="00494670"/>
    <w:rsid w:val="004A3823"/>
    <w:rsid w:val="004A55C7"/>
    <w:rsid w:val="004B370E"/>
    <w:rsid w:val="004C12EA"/>
    <w:rsid w:val="004C7967"/>
    <w:rsid w:val="004C7CE0"/>
    <w:rsid w:val="004D71C0"/>
    <w:rsid w:val="004E5CE8"/>
    <w:rsid w:val="004E6946"/>
    <w:rsid w:val="004F1AD8"/>
    <w:rsid w:val="00501337"/>
    <w:rsid w:val="005039CB"/>
    <w:rsid w:val="0050455F"/>
    <w:rsid w:val="0050558F"/>
    <w:rsid w:val="005055A5"/>
    <w:rsid w:val="00505A29"/>
    <w:rsid w:val="00506286"/>
    <w:rsid w:val="00510813"/>
    <w:rsid w:val="00511990"/>
    <w:rsid w:val="00511DE0"/>
    <w:rsid w:val="00514870"/>
    <w:rsid w:val="00514B9B"/>
    <w:rsid w:val="00517F02"/>
    <w:rsid w:val="00524303"/>
    <w:rsid w:val="00524F68"/>
    <w:rsid w:val="005258A2"/>
    <w:rsid w:val="00530C5A"/>
    <w:rsid w:val="00533C2F"/>
    <w:rsid w:val="005401AE"/>
    <w:rsid w:val="00542E07"/>
    <w:rsid w:val="00545424"/>
    <w:rsid w:val="00546C3B"/>
    <w:rsid w:val="0055048A"/>
    <w:rsid w:val="00551588"/>
    <w:rsid w:val="0055405D"/>
    <w:rsid w:val="00554A7B"/>
    <w:rsid w:val="0055572C"/>
    <w:rsid w:val="00556E34"/>
    <w:rsid w:val="0056106A"/>
    <w:rsid w:val="005653A4"/>
    <w:rsid w:val="00567A45"/>
    <w:rsid w:val="005720AE"/>
    <w:rsid w:val="005742E7"/>
    <w:rsid w:val="00594D77"/>
    <w:rsid w:val="005969E4"/>
    <w:rsid w:val="005A0282"/>
    <w:rsid w:val="005A06B7"/>
    <w:rsid w:val="005A1759"/>
    <w:rsid w:val="005A3F53"/>
    <w:rsid w:val="005A68A7"/>
    <w:rsid w:val="005B06D5"/>
    <w:rsid w:val="005B3F74"/>
    <w:rsid w:val="005B7A2F"/>
    <w:rsid w:val="005C5E85"/>
    <w:rsid w:val="005D2979"/>
    <w:rsid w:val="005D36AB"/>
    <w:rsid w:val="005D6848"/>
    <w:rsid w:val="005E625F"/>
    <w:rsid w:val="005F3D3E"/>
    <w:rsid w:val="00607545"/>
    <w:rsid w:val="00610046"/>
    <w:rsid w:val="0061633F"/>
    <w:rsid w:val="00617CC3"/>
    <w:rsid w:val="00622CC1"/>
    <w:rsid w:val="00625FD1"/>
    <w:rsid w:val="00633AD1"/>
    <w:rsid w:val="006377A6"/>
    <w:rsid w:val="00637A3D"/>
    <w:rsid w:val="006411EF"/>
    <w:rsid w:val="0064149C"/>
    <w:rsid w:val="00641DC8"/>
    <w:rsid w:val="0064767A"/>
    <w:rsid w:val="006548C2"/>
    <w:rsid w:val="00657E62"/>
    <w:rsid w:val="006670D8"/>
    <w:rsid w:val="006748B8"/>
    <w:rsid w:val="006775C3"/>
    <w:rsid w:val="00691CA8"/>
    <w:rsid w:val="0069290A"/>
    <w:rsid w:val="006945BC"/>
    <w:rsid w:val="0069775A"/>
    <w:rsid w:val="00697813"/>
    <w:rsid w:val="006A3EE8"/>
    <w:rsid w:val="006A72BF"/>
    <w:rsid w:val="006A7370"/>
    <w:rsid w:val="006A7BC6"/>
    <w:rsid w:val="006B03F2"/>
    <w:rsid w:val="006B0FA2"/>
    <w:rsid w:val="006B321E"/>
    <w:rsid w:val="006B37DC"/>
    <w:rsid w:val="006B4F68"/>
    <w:rsid w:val="006C0592"/>
    <w:rsid w:val="006C1F39"/>
    <w:rsid w:val="006C272E"/>
    <w:rsid w:val="006C5479"/>
    <w:rsid w:val="006D0427"/>
    <w:rsid w:val="006D13B5"/>
    <w:rsid w:val="006D23D5"/>
    <w:rsid w:val="006E12FF"/>
    <w:rsid w:val="006E607E"/>
    <w:rsid w:val="006F0035"/>
    <w:rsid w:val="006F49BD"/>
    <w:rsid w:val="00704C85"/>
    <w:rsid w:val="00705BA0"/>
    <w:rsid w:val="00706C5D"/>
    <w:rsid w:val="00707AB0"/>
    <w:rsid w:val="00707AB8"/>
    <w:rsid w:val="00714C5F"/>
    <w:rsid w:val="007260C7"/>
    <w:rsid w:val="00732922"/>
    <w:rsid w:val="007331E4"/>
    <w:rsid w:val="0073384A"/>
    <w:rsid w:val="00740681"/>
    <w:rsid w:val="0074621B"/>
    <w:rsid w:val="0075162E"/>
    <w:rsid w:val="00754034"/>
    <w:rsid w:val="00754D03"/>
    <w:rsid w:val="00754E44"/>
    <w:rsid w:val="007562F9"/>
    <w:rsid w:val="00756556"/>
    <w:rsid w:val="007612BE"/>
    <w:rsid w:val="007618C4"/>
    <w:rsid w:val="00762E6E"/>
    <w:rsid w:val="00765541"/>
    <w:rsid w:val="00767980"/>
    <w:rsid w:val="007701D2"/>
    <w:rsid w:val="00770B19"/>
    <w:rsid w:val="0077463F"/>
    <w:rsid w:val="00774EC9"/>
    <w:rsid w:val="007767E9"/>
    <w:rsid w:val="00777C5E"/>
    <w:rsid w:val="00780809"/>
    <w:rsid w:val="007816FE"/>
    <w:rsid w:val="007836EA"/>
    <w:rsid w:val="00784CDA"/>
    <w:rsid w:val="007852D0"/>
    <w:rsid w:val="007906C4"/>
    <w:rsid w:val="007940EA"/>
    <w:rsid w:val="007967E8"/>
    <w:rsid w:val="007A041B"/>
    <w:rsid w:val="007A2170"/>
    <w:rsid w:val="007A22BF"/>
    <w:rsid w:val="007A3323"/>
    <w:rsid w:val="007B0396"/>
    <w:rsid w:val="007B287E"/>
    <w:rsid w:val="007B3A97"/>
    <w:rsid w:val="007B690D"/>
    <w:rsid w:val="007B72B8"/>
    <w:rsid w:val="007B7A58"/>
    <w:rsid w:val="007C21B5"/>
    <w:rsid w:val="007C64A9"/>
    <w:rsid w:val="007C7BAD"/>
    <w:rsid w:val="007D275D"/>
    <w:rsid w:val="007D4523"/>
    <w:rsid w:val="007D7367"/>
    <w:rsid w:val="007D7B17"/>
    <w:rsid w:val="007E3312"/>
    <w:rsid w:val="007E3AB6"/>
    <w:rsid w:val="007E4BD2"/>
    <w:rsid w:val="007E4D5E"/>
    <w:rsid w:val="007F033D"/>
    <w:rsid w:val="007F4FB7"/>
    <w:rsid w:val="00801393"/>
    <w:rsid w:val="00801C57"/>
    <w:rsid w:val="00802F88"/>
    <w:rsid w:val="00807326"/>
    <w:rsid w:val="0081293E"/>
    <w:rsid w:val="0081477D"/>
    <w:rsid w:val="00814A29"/>
    <w:rsid w:val="008151B4"/>
    <w:rsid w:val="00815465"/>
    <w:rsid w:val="00816E63"/>
    <w:rsid w:val="00817E9A"/>
    <w:rsid w:val="00825FD4"/>
    <w:rsid w:val="008306BD"/>
    <w:rsid w:val="00831A80"/>
    <w:rsid w:val="00833743"/>
    <w:rsid w:val="008340A4"/>
    <w:rsid w:val="00835DCE"/>
    <w:rsid w:val="00841202"/>
    <w:rsid w:val="00841395"/>
    <w:rsid w:val="008544C0"/>
    <w:rsid w:val="00860F00"/>
    <w:rsid w:val="00863AA1"/>
    <w:rsid w:val="0087135F"/>
    <w:rsid w:val="00872D94"/>
    <w:rsid w:val="00880364"/>
    <w:rsid w:val="00884E55"/>
    <w:rsid w:val="008852FA"/>
    <w:rsid w:val="00891577"/>
    <w:rsid w:val="00891592"/>
    <w:rsid w:val="00891E9E"/>
    <w:rsid w:val="008930B7"/>
    <w:rsid w:val="00896E81"/>
    <w:rsid w:val="008A20D0"/>
    <w:rsid w:val="008A2F68"/>
    <w:rsid w:val="008B4FA6"/>
    <w:rsid w:val="008B5282"/>
    <w:rsid w:val="008B7C17"/>
    <w:rsid w:val="008C02C0"/>
    <w:rsid w:val="008C2A6C"/>
    <w:rsid w:val="008C2D01"/>
    <w:rsid w:val="008C3F66"/>
    <w:rsid w:val="008C40E6"/>
    <w:rsid w:val="008D0F7A"/>
    <w:rsid w:val="008D2A93"/>
    <w:rsid w:val="008D2C99"/>
    <w:rsid w:val="008D327A"/>
    <w:rsid w:val="008D38E3"/>
    <w:rsid w:val="008D68E4"/>
    <w:rsid w:val="008E0506"/>
    <w:rsid w:val="008E0C60"/>
    <w:rsid w:val="008E0CFF"/>
    <w:rsid w:val="008E249E"/>
    <w:rsid w:val="008E5AFA"/>
    <w:rsid w:val="008E5D6B"/>
    <w:rsid w:val="008E76F0"/>
    <w:rsid w:val="008F15FE"/>
    <w:rsid w:val="008F2D29"/>
    <w:rsid w:val="008F3AD9"/>
    <w:rsid w:val="008F5187"/>
    <w:rsid w:val="008F60D8"/>
    <w:rsid w:val="00901898"/>
    <w:rsid w:val="00902212"/>
    <w:rsid w:val="00902727"/>
    <w:rsid w:val="0090312B"/>
    <w:rsid w:val="009036CF"/>
    <w:rsid w:val="009069DE"/>
    <w:rsid w:val="0091736D"/>
    <w:rsid w:val="00925122"/>
    <w:rsid w:val="0093037A"/>
    <w:rsid w:val="0094154D"/>
    <w:rsid w:val="00941AB9"/>
    <w:rsid w:val="009421A5"/>
    <w:rsid w:val="009504A0"/>
    <w:rsid w:val="0095155F"/>
    <w:rsid w:val="00954429"/>
    <w:rsid w:val="009563CE"/>
    <w:rsid w:val="009604C4"/>
    <w:rsid w:val="00963C56"/>
    <w:rsid w:val="00965B04"/>
    <w:rsid w:val="00971502"/>
    <w:rsid w:val="009715DA"/>
    <w:rsid w:val="0097347F"/>
    <w:rsid w:val="00976328"/>
    <w:rsid w:val="0097680D"/>
    <w:rsid w:val="00982438"/>
    <w:rsid w:val="0098404C"/>
    <w:rsid w:val="00985283"/>
    <w:rsid w:val="00986FF7"/>
    <w:rsid w:val="00995992"/>
    <w:rsid w:val="009A03E5"/>
    <w:rsid w:val="009A0F3B"/>
    <w:rsid w:val="009A1BB4"/>
    <w:rsid w:val="009A2006"/>
    <w:rsid w:val="009A22EC"/>
    <w:rsid w:val="009A2628"/>
    <w:rsid w:val="009A3200"/>
    <w:rsid w:val="009B0897"/>
    <w:rsid w:val="009B097A"/>
    <w:rsid w:val="009B7BD9"/>
    <w:rsid w:val="009C1C58"/>
    <w:rsid w:val="009C3DFD"/>
    <w:rsid w:val="009C7DD5"/>
    <w:rsid w:val="009D606F"/>
    <w:rsid w:val="009D689F"/>
    <w:rsid w:val="009E227D"/>
    <w:rsid w:val="009E5019"/>
    <w:rsid w:val="00A04B1D"/>
    <w:rsid w:val="00A04F1B"/>
    <w:rsid w:val="00A0501B"/>
    <w:rsid w:val="00A1224D"/>
    <w:rsid w:val="00A14947"/>
    <w:rsid w:val="00A16FA0"/>
    <w:rsid w:val="00A17042"/>
    <w:rsid w:val="00A21FE7"/>
    <w:rsid w:val="00A23684"/>
    <w:rsid w:val="00A32A83"/>
    <w:rsid w:val="00A368DB"/>
    <w:rsid w:val="00A423AA"/>
    <w:rsid w:val="00A4646E"/>
    <w:rsid w:val="00A50A4D"/>
    <w:rsid w:val="00A53EC6"/>
    <w:rsid w:val="00A54B5F"/>
    <w:rsid w:val="00A55C0F"/>
    <w:rsid w:val="00A578F1"/>
    <w:rsid w:val="00A668C7"/>
    <w:rsid w:val="00A710D0"/>
    <w:rsid w:val="00A8047C"/>
    <w:rsid w:val="00A81D22"/>
    <w:rsid w:val="00A836BB"/>
    <w:rsid w:val="00A8530D"/>
    <w:rsid w:val="00A8713F"/>
    <w:rsid w:val="00A906FB"/>
    <w:rsid w:val="00A90BA1"/>
    <w:rsid w:val="00A940F9"/>
    <w:rsid w:val="00A94125"/>
    <w:rsid w:val="00A97A9A"/>
    <w:rsid w:val="00AA0671"/>
    <w:rsid w:val="00AA2531"/>
    <w:rsid w:val="00AB1E09"/>
    <w:rsid w:val="00AB5330"/>
    <w:rsid w:val="00AB7747"/>
    <w:rsid w:val="00AC14CE"/>
    <w:rsid w:val="00AC2408"/>
    <w:rsid w:val="00AC2A56"/>
    <w:rsid w:val="00AC7B3E"/>
    <w:rsid w:val="00AD020D"/>
    <w:rsid w:val="00AD055E"/>
    <w:rsid w:val="00AD475A"/>
    <w:rsid w:val="00AD47A7"/>
    <w:rsid w:val="00AD5238"/>
    <w:rsid w:val="00AE13CA"/>
    <w:rsid w:val="00AE1C39"/>
    <w:rsid w:val="00AE3AE7"/>
    <w:rsid w:val="00AF0CBF"/>
    <w:rsid w:val="00AF257F"/>
    <w:rsid w:val="00AF33CF"/>
    <w:rsid w:val="00AF4D50"/>
    <w:rsid w:val="00AF6179"/>
    <w:rsid w:val="00B025F7"/>
    <w:rsid w:val="00B03122"/>
    <w:rsid w:val="00B07F74"/>
    <w:rsid w:val="00B10619"/>
    <w:rsid w:val="00B1295A"/>
    <w:rsid w:val="00B20A45"/>
    <w:rsid w:val="00B22C5C"/>
    <w:rsid w:val="00B24F30"/>
    <w:rsid w:val="00B27B92"/>
    <w:rsid w:val="00B31ABF"/>
    <w:rsid w:val="00B3386C"/>
    <w:rsid w:val="00B33BE3"/>
    <w:rsid w:val="00B42CC8"/>
    <w:rsid w:val="00B43E8E"/>
    <w:rsid w:val="00B51773"/>
    <w:rsid w:val="00B526CD"/>
    <w:rsid w:val="00B53B5D"/>
    <w:rsid w:val="00B6002E"/>
    <w:rsid w:val="00B6055E"/>
    <w:rsid w:val="00B62A5C"/>
    <w:rsid w:val="00B6317D"/>
    <w:rsid w:val="00B63299"/>
    <w:rsid w:val="00B71CC5"/>
    <w:rsid w:val="00B7723F"/>
    <w:rsid w:val="00B80534"/>
    <w:rsid w:val="00B8433C"/>
    <w:rsid w:val="00B87491"/>
    <w:rsid w:val="00BA29E9"/>
    <w:rsid w:val="00BA43E6"/>
    <w:rsid w:val="00BA7142"/>
    <w:rsid w:val="00BB14C8"/>
    <w:rsid w:val="00BB237C"/>
    <w:rsid w:val="00BB41A3"/>
    <w:rsid w:val="00BB7E54"/>
    <w:rsid w:val="00BC302E"/>
    <w:rsid w:val="00BC32DC"/>
    <w:rsid w:val="00BC35B6"/>
    <w:rsid w:val="00BD19B0"/>
    <w:rsid w:val="00BD1B51"/>
    <w:rsid w:val="00BD1B9A"/>
    <w:rsid w:val="00BD4596"/>
    <w:rsid w:val="00BD48DA"/>
    <w:rsid w:val="00BD6052"/>
    <w:rsid w:val="00BE1405"/>
    <w:rsid w:val="00BE312D"/>
    <w:rsid w:val="00BE5F3D"/>
    <w:rsid w:val="00BE76BC"/>
    <w:rsid w:val="00BF1C20"/>
    <w:rsid w:val="00BF3ACE"/>
    <w:rsid w:val="00C00E0E"/>
    <w:rsid w:val="00C10578"/>
    <w:rsid w:val="00C135BC"/>
    <w:rsid w:val="00C15C10"/>
    <w:rsid w:val="00C15C95"/>
    <w:rsid w:val="00C1773A"/>
    <w:rsid w:val="00C22A75"/>
    <w:rsid w:val="00C2596A"/>
    <w:rsid w:val="00C27537"/>
    <w:rsid w:val="00C328FE"/>
    <w:rsid w:val="00C33507"/>
    <w:rsid w:val="00C34B5B"/>
    <w:rsid w:val="00C37BB5"/>
    <w:rsid w:val="00C41373"/>
    <w:rsid w:val="00C423B5"/>
    <w:rsid w:val="00C4409D"/>
    <w:rsid w:val="00C44E72"/>
    <w:rsid w:val="00C45A06"/>
    <w:rsid w:val="00C47DCD"/>
    <w:rsid w:val="00C47E5B"/>
    <w:rsid w:val="00C55CBC"/>
    <w:rsid w:val="00C5632F"/>
    <w:rsid w:val="00C60BB4"/>
    <w:rsid w:val="00C61E4B"/>
    <w:rsid w:val="00C64BFF"/>
    <w:rsid w:val="00C704E9"/>
    <w:rsid w:val="00C720E5"/>
    <w:rsid w:val="00C749D6"/>
    <w:rsid w:val="00C74D36"/>
    <w:rsid w:val="00C763C9"/>
    <w:rsid w:val="00C80057"/>
    <w:rsid w:val="00C816E6"/>
    <w:rsid w:val="00C82232"/>
    <w:rsid w:val="00C82913"/>
    <w:rsid w:val="00C847F1"/>
    <w:rsid w:val="00C94757"/>
    <w:rsid w:val="00C95BEC"/>
    <w:rsid w:val="00C972B1"/>
    <w:rsid w:val="00CA0EA6"/>
    <w:rsid w:val="00CA2CCE"/>
    <w:rsid w:val="00CA3637"/>
    <w:rsid w:val="00CA43FD"/>
    <w:rsid w:val="00CA7EF8"/>
    <w:rsid w:val="00CB3C62"/>
    <w:rsid w:val="00CB5F3B"/>
    <w:rsid w:val="00CC0916"/>
    <w:rsid w:val="00CC418B"/>
    <w:rsid w:val="00CC489B"/>
    <w:rsid w:val="00CC6D18"/>
    <w:rsid w:val="00CD2BCD"/>
    <w:rsid w:val="00CD3A4C"/>
    <w:rsid w:val="00CE0C0A"/>
    <w:rsid w:val="00CE0F28"/>
    <w:rsid w:val="00CE10E9"/>
    <w:rsid w:val="00CE2910"/>
    <w:rsid w:val="00CE428A"/>
    <w:rsid w:val="00CE5393"/>
    <w:rsid w:val="00CE6D94"/>
    <w:rsid w:val="00CE6F8C"/>
    <w:rsid w:val="00CF299A"/>
    <w:rsid w:val="00CF36BE"/>
    <w:rsid w:val="00CF6000"/>
    <w:rsid w:val="00D003F3"/>
    <w:rsid w:val="00D031FB"/>
    <w:rsid w:val="00D0364F"/>
    <w:rsid w:val="00D05A26"/>
    <w:rsid w:val="00D06834"/>
    <w:rsid w:val="00D20151"/>
    <w:rsid w:val="00D245CC"/>
    <w:rsid w:val="00D258F9"/>
    <w:rsid w:val="00D308ED"/>
    <w:rsid w:val="00D32AB4"/>
    <w:rsid w:val="00D3377A"/>
    <w:rsid w:val="00D36165"/>
    <w:rsid w:val="00D36D86"/>
    <w:rsid w:val="00D3796D"/>
    <w:rsid w:val="00D428AA"/>
    <w:rsid w:val="00D4595B"/>
    <w:rsid w:val="00D50A34"/>
    <w:rsid w:val="00D53EFA"/>
    <w:rsid w:val="00D60DE8"/>
    <w:rsid w:val="00D72179"/>
    <w:rsid w:val="00D73D66"/>
    <w:rsid w:val="00D73DF0"/>
    <w:rsid w:val="00D80012"/>
    <w:rsid w:val="00D85169"/>
    <w:rsid w:val="00D94A7C"/>
    <w:rsid w:val="00D94B0F"/>
    <w:rsid w:val="00D95896"/>
    <w:rsid w:val="00DA33A1"/>
    <w:rsid w:val="00DA4AC9"/>
    <w:rsid w:val="00DA6438"/>
    <w:rsid w:val="00DB2983"/>
    <w:rsid w:val="00DB57DE"/>
    <w:rsid w:val="00DB6073"/>
    <w:rsid w:val="00DC1257"/>
    <w:rsid w:val="00DC3DC0"/>
    <w:rsid w:val="00DC5B2B"/>
    <w:rsid w:val="00DD0B62"/>
    <w:rsid w:val="00DD2C0E"/>
    <w:rsid w:val="00DD318D"/>
    <w:rsid w:val="00DF2961"/>
    <w:rsid w:val="00DF2E12"/>
    <w:rsid w:val="00DF514A"/>
    <w:rsid w:val="00DF5643"/>
    <w:rsid w:val="00DF6690"/>
    <w:rsid w:val="00DF6804"/>
    <w:rsid w:val="00DF72F6"/>
    <w:rsid w:val="00E0358D"/>
    <w:rsid w:val="00E04323"/>
    <w:rsid w:val="00E070A2"/>
    <w:rsid w:val="00E2287F"/>
    <w:rsid w:val="00E2628F"/>
    <w:rsid w:val="00E2656A"/>
    <w:rsid w:val="00E27EB6"/>
    <w:rsid w:val="00E33592"/>
    <w:rsid w:val="00E34822"/>
    <w:rsid w:val="00E4049A"/>
    <w:rsid w:val="00E412D0"/>
    <w:rsid w:val="00E56322"/>
    <w:rsid w:val="00E60982"/>
    <w:rsid w:val="00E622F7"/>
    <w:rsid w:val="00E62C62"/>
    <w:rsid w:val="00E6468E"/>
    <w:rsid w:val="00E654C1"/>
    <w:rsid w:val="00E65D97"/>
    <w:rsid w:val="00E67F2A"/>
    <w:rsid w:val="00E72A5A"/>
    <w:rsid w:val="00E73354"/>
    <w:rsid w:val="00E761F3"/>
    <w:rsid w:val="00E9242D"/>
    <w:rsid w:val="00EA702B"/>
    <w:rsid w:val="00EB4353"/>
    <w:rsid w:val="00EB5255"/>
    <w:rsid w:val="00EB5C47"/>
    <w:rsid w:val="00EC3FBC"/>
    <w:rsid w:val="00EC574F"/>
    <w:rsid w:val="00ED0639"/>
    <w:rsid w:val="00ED5EBE"/>
    <w:rsid w:val="00ED71E3"/>
    <w:rsid w:val="00EE65FB"/>
    <w:rsid w:val="00EF2D4D"/>
    <w:rsid w:val="00EF4755"/>
    <w:rsid w:val="00EF7135"/>
    <w:rsid w:val="00F00486"/>
    <w:rsid w:val="00F027DB"/>
    <w:rsid w:val="00F110EA"/>
    <w:rsid w:val="00F12418"/>
    <w:rsid w:val="00F12601"/>
    <w:rsid w:val="00F14A7A"/>
    <w:rsid w:val="00F17119"/>
    <w:rsid w:val="00F22985"/>
    <w:rsid w:val="00F26C77"/>
    <w:rsid w:val="00F3383E"/>
    <w:rsid w:val="00F33906"/>
    <w:rsid w:val="00F4508D"/>
    <w:rsid w:val="00F465A7"/>
    <w:rsid w:val="00F47C57"/>
    <w:rsid w:val="00F50B7C"/>
    <w:rsid w:val="00F550E6"/>
    <w:rsid w:val="00F73CCE"/>
    <w:rsid w:val="00F74345"/>
    <w:rsid w:val="00F80A0A"/>
    <w:rsid w:val="00F82B19"/>
    <w:rsid w:val="00F87661"/>
    <w:rsid w:val="00F87BFE"/>
    <w:rsid w:val="00F9212D"/>
    <w:rsid w:val="00F965DA"/>
    <w:rsid w:val="00FA3179"/>
    <w:rsid w:val="00FA406A"/>
    <w:rsid w:val="00FA7D1D"/>
    <w:rsid w:val="00FB1BD9"/>
    <w:rsid w:val="00FB503A"/>
    <w:rsid w:val="00FB516C"/>
    <w:rsid w:val="00FC6D70"/>
    <w:rsid w:val="00FD0236"/>
    <w:rsid w:val="00FD05C7"/>
    <w:rsid w:val="00FD18F4"/>
    <w:rsid w:val="00FD54DB"/>
    <w:rsid w:val="00FD619F"/>
    <w:rsid w:val="00FF2B26"/>
    <w:rsid w:val="01290F7E"/>
    <w:rsid w:val="015D1E09"/>
    <w:rsid w:val="016E439B"/>
    <w:rsid w:val="01B34E22"/>
    <w:rsid w:val="01C314DB"/>
    <w:rsid w:val="01C628A7"/>
    <w:rsid w:val="01D473DA"/>
    <w:rsid w:val="01D95F0B"/>
    <w:rsid w:val="0205411B"/>
    <w:rsid w:val="020A3AD5"/>
    <w:rsid w:val="02140266"/>
    <w:rsid w:val="023F66B6"/>
    <w:rsid w:val="025C29D9"/>
    <w:rsid w:val="02697903"/>
    <w:rsid w:val="02777BFD"/>
    <w:rsid w:val="029C22CE"/>
    <w:rsid w:val="02A15075"/>
    <w:rsid w:val="02AF3174"/>
    <w:rsid w:val="02B6147B"/>
    <w:rsid w:val="02DA5C00"/>
    <w:rsid w:val="02F27C2D"/>
    <w:rsid w:val="02F96569"/>
    <w:rsid w:val="0341020B"/>
    <w:rsid w:val="03641D32"/>
    <w:rsid w:val="03994AFD"/>
    <w:rsid w:val="03B54250"/>
    <w:rsid w:val="03BF2F3D"/>
    <w:rsid w:val="03EA7B21"/>
    <w:rsid w:val="040744CA"/>
    <w:rsid w:val="04835738"/>
    <w:rsid w:val="04C64E6C"/>
    <w:rsid w:val="04EA6B1C"/>
    <w:rsid w:val="05464488"/>
    <w:rsid w:val="059C6B0B"/>
    <w:rsid w:val="05B71C8D"/>
    <w:rsid w:val="05F83EAE"/>
    <w:rsid w:val="05F87771"/>
    <w:rsid w:val="06110369"/>
    <w:rsid w:val="063E7D85"/>
    <w:rsid w:val="067F76F4"/>
    <w:rsid w:val="06D05B2E"/>
    <w:rsid w:val="06F23CF7"/>
    <w:rsid w:val="06F86E33"/>
    <w:rsid w:val="07293586"/>
    <w:rsid w:val="07295285"/>
    <w:rsid w:val="07636392"/>
    <w:rsid w:val="07770C56"/>
    <w:rsid w:val="0795117A"/>
    <w:rsid w:val="079D1FDD"/>
    <w:rsid w:val="07EC1971"/>
    <w:rsid w:val="07F2151D"/>
    <w:rsid w:val="07FB4E2D"/>
    <w:rsid w:val="08144D37"/>
    <w:rsid w:val="08206641"/>
    <w:rsid w:val="082A65ED"/>
    <w:rsid w:val="082E5202"/>
    <w:rsid w:val="08432946"/>
    <w:rsid w:val="085B4271"/>
    <w:rsid w:val="087759DA"/>
    <w:rsid w:val="08BA0844"/>
    <w:rsid w:val="08C07E24"/>
    <w:rsid w:val="08D4742C"/>
    <w:rsid w:val="08E52E6A"/>
    <w:rsid w:val="092217DD"/>
    <w:rsid w:val="09242161"/>
    <w:rsid w:val="093A7294"/>
    <w:rsid w:val="096C123D"/>
    <w:rsid w:val="098456A5"/>
    <w:rsid w:val="09866978"/>
    <w:rsid w:val="0A1736F9"/>
    <w:rsid w:val="0A1F7B28"/>
    <w:rsid w:val="0A263993"/>
    <w:rsid w:val="0A2D3AC2"/>
    <w:rsid w:val="0A426D43"/>
    <w:rsid w:val="0A9B46A5"/>
    <w:rsid w:val="0AA32D27"/>
    <w:rsid w:val="0AA755DF"/>
    <w:rsid w:val="0ADC6C35"/>
    <w:rsid w:val="0AE50C99"/>
    <w:rsid w:val="0AEB33B0"/>
    <w:rsid w:val="0B120D44"/>
    <w:rsid w:val="0B310B66"/>
    <w:rsid w:val="0B651B02"/>
    <w:rsid w:val="0B6E78ED"/>
    <w:rsid w:val="0B7078E0"/>
    <w:rsid w:val="0B765139"/>
    <w:rsid w:val="0B995472"/>
    <w:rsid w:val="0BA56877"/>
    <w:rsid w:val="0BA8707A"/>
    <w:rsid w:val="0BA93258"/>
    <w:rsid w:val="0BBF44C3"/>
    <w:rsid w:val="0BCA5242"/>
    <w:rsid w:val="0BCD1119"/>
    <w:rsid w:val="0BD27BF6"/>
    <w:rsid w:val="0BF24799"/>
    <w:rsid w:val="0C3B3C7D"/>
    <w:rsid w:val="0C742777"/>
    <w:rsid w:val="0CAA1ACF"/>
    <w:rsid w:val="0CAB2EAE"/>
    <w:rsid w:val="0CB469F9"/>
    <w:rsid w:val="0CE916F8"/>
    <w:rsid w:val="0D1D38C2"/>
    <w:rsid w:val="0D4A649E"/>
    <w:rsid w:val="0D5A3367"/>
    <w:rsid w:val="0D621C7D"/>
    <w:rsid w:val="0D84355C"/>
    <w:rsid w:val="0D8F7A7E"/>
    <w:rsid w:val="0D967279"/>
    <w:rsid w:val="0D9E672E"/>
    <w:rsid w:val="0DF57057"/>
    <w:rsid w:val="0DF91E0E"/>
    <w:rsid w:val="0E077E12"/>
    <w:rsid w:val="0E121122"/>
    <w:rsid w:val="0E2A53A8"/>
    <w:rsid w:val="0E73034D"/>
    <w:rsid w:val="0E730FF9"/>
    <w:rsid w:val="0E9A054B"/>
    <w:rsid w:val="0EAA135B"/>
    <w:rsid w:val="0EBF6523"/>
    <w:rsid w:val="0ED30041"/>
    <w:rsid w:val="0EDF42F7"/>
    <w:rsid w:val="0F004B40"/>
    <w:rsid w:val="0F13775A"/>
    <w:rsid w:val="0F3F7F0E"/>
    <w:rsid w:val="0F5F45FE"/>
    <w:rsid w:val="0F6A63E1"/>
    <w:rsid w:val="0F9A112B"/>
    <w:rsid w:val="0FB6432B"/>
    <w:rsid w:val="0FFA5F34"/>
    <w:rsid w:val="10110228"/>
    <w:rsid w:val="10123825"/>
    <w:rsid w:val="10366A76"/>
    <w:rsid w:val="10400D96"/>
    <w:rsid w:val="10654EDE"/>
    <w:rsid w:val="106D2F64"/>
    <w:rsid w:val="10B63710"/>
    <w:rsid w:val="10E40775"/>
    <w:rsid w:val="10F10820"/>
    <w:rsid w:val="111C2F7A"/>
    <w:rsid w:val="11665CA1"/>
    <w:rsid w:val="117D4B05"/>
    <w:rsid w:val="1190311A"/>
    <w:rsid w:val="11923F5B"/>
    <w:rsid w:val="11AA3420"/>
    <w:rsid w:val="11C80D17"/>
    <w:rsid w:val="11CD06B9"/>
    <w:rsid w:val="11D71D48"/>
    <w:rsid w:val="12A367ED"/>
    <w:rsid w:val="12B44556"/>
    <w:rsid w:val="12C35912"/>
    <w:rsid w:val="12D22CF4"/>
    <w:rsid w:val="12EC3374"/>
    <w:rsid w:val="130059ED"/>
    <w:rsid w:val="13167D62"/>
    <w:rsid w:val="13183FE3"/>
    <w:rsid w:val="133F5B2B"/>
    <w:rsid w:val="13427DB4"/>
    <w:rsid w:val="134F1F3F"/>
    <w:rsid w:val="139115F3"/>
    <w:rsid w:val="13947B8B"/>
    <w:rsid w:val="13951726"/>
    <w:rsid w:val="13AF2F6F"/>
    <w:rsid w:val="13CE1647"/>
    <w:rsid w:val="14011A1D"/>
    <w:rsid w:val="141B0BDF"/>
    <w:rsid w:val="14396509"/>
    <w:rsid w:val="14795A57"/>
    <w:rsid w:val="14D233B9"/>
    <w:rsid w:val="14DD2C3C"/>
    <w:rsid w:val="14E909DB"/>
    <w:rsid w:val="154D0B52"/>
    <w:rsid w:val="1561606A"/>
    <w:rsid w:val="159A4AA6"/>
    <w:rsid w:val="15E433A4"/>
    <w:rsid w:val="15EF71C7"/>
    <w:rsid w:val="160752E5"/>
    <w:rsid w:val="16087E1D"/>
    <w:rsid w:val="1650051A"/>
    <w:rsid w:val="1652230F"/>
    <w:rsid w:val="165D20B6"/>
    <w:rsid w:val="167E05D0"/>
    <w:rsid w:val="168D57EA"/>
    <w:rsid w:val="16BE56D5"/>
    <w:rsid w:val="16D43959"/>
    <w:rsid w:val="16E86EC4"/>
    <w:rsid w:val="16EE11A3"/>
    <w:rsid w:val="17131C71"/>
    <w:rsid w:val="172946D1"/>
    <w:rsid w:val="172A4DE7"/>
    <w:rsid w:val="17336A15"/>
    <w:rsid w:val="173727A8"/>
    <w:rsid w:val="173827BF"/>
    <w:rsid w:val="17701D14"/>
    <w:rsid w:val="17735226"/>
    <w:rsid w:val="178C6A30"/>
    <w:rsid w:val="17935082"/>
    <w:rsid w:val="17A13957"/>
    <w:rsid w:val="17F04282"/>
    <w:rsid w:val="18267CA4"/>
    <w:rsid w:val="18291542"/>
    <w:rsid w:val="18546294"/>
    <w:rsid w:val="1856111A"/>
    <w:rsid w:val="189F624C"/>
    <w:rsid w:val="18BE1E07"/>
    <w:rsid w:val="18DD1B27"/>
    <w:rsid w:val="18EF192C"/>
    <w:rsid w:val="18F22749"/>
    <w:rsid w:val="19031D93"/>
    <w:rsid w:val="19062EF1"/>
    <w:rsid w:val="193443CC"/>
    <w:rsid w:val="19377C8F"/>
    <w:rsid w:val="19610FED"/>
    <w:rsid w:val="19614D0C"/>
    <w:rsid w:val="19864B80"/>
    <w:rsid w:val="19C1387A"/>
    <w:rsid w:val="1A0062D3"/>
    <w:rsid w:val="1A1C66C0"/>
    <w:rsid w:val="1A205C1E"/>
    <w:rsid w:val="1A330456"/>
    <w:rsid w:val="1A42393B"/>
    <w:rsid w:val="1A6076B8"/>
    <w:rsid w:val="1A6B4B75"/>
    <w:rsid w:val="1A6D5FE4"/>
    <w:rsid w:val="1A78230D"/>
    <w:rsid w:val="1AAD45DE"/>
    <w:rsid w:val="1AEF06C6"/>
    <w:rsid w:val="1AF75928"/>
    <w:rsid w:val="1B046F80"/>
    <w:rsid w:val="1B17586A"/>
    <w:rsid w:val="1B1E3EF1"/>
    <w:rsid w:val="1B3267B5"/>
    <w:rsid w:val="1B40161D"/>
    <w:rsid w:val="1B441859"/>
    <w:rsid w:val="1B4A0086"/>
    <w:rsid w:val="1B6606B1"/>
    <w:rsid w:val="1B921511"/>
    <w:rsid w:val="1B943177"/>
    <w:rsid w:val="1BE269AA"/>
    <w:rsid w:val="1BF603FD"/>
    <w:rsid w:val="1C1B0628"/>
    <w:rsid w:val="1C204A0A"/>
    <w:rsid w:val="1C3B5CE8"/>
    <w:rsid w:val="1C445A16"/>
    <w:rsid w:val="1C4C1CA3"/>
    <w:rsid w:val="1C5E7925"/>
    <w:rsid w:val="1C970633"/>
    <w:rsid w:val="1CE343B6"/>
    <w:rsid w:val="1CFD070F"/>
    <w:rsid w:val="1D4F1A4B"/>
    <w:rsid w:val="1D5F2A53"/>
    <w:rsid w:val="1D5F6196"/>
    <w:rsid w:val="1D6132A5"/>
    <w:rsid w:val="1D6D75DD"/>
    <w:rsid w:val="1D8E56D5"/>
    <w:rsid w:val="1DDC0E05"/>
    <w:rsid w:val="1E114F52"/>
    <w:rsid w:val="1E2F6E85"/>
    <w:rsid w:val="1E4800BE"/>
    <w:rsid w:val="1E555FE6"/>
    <w:rsid w:val="1E663E28"/>
    <w:rsid w:val="1E6F1C79"/>
    <w:rsid w:val="1E7A43DA"/>
    <w:rsid w:val="1E91332D"/>
    <w:rsid w:val="1EBB4EBE"/>
    <w:rsid w:val="1EC8325D"/>
    <w:rsid w:val="1EE62DD2"/>
    <w:rsid w:val="1EF368B6"/>
    <w:rsid w:val="1EF84900"/>
    <w:rsid w:val="1F002EA7"/>
    <w:rsid w:val="1F0A76B2"/>
    <w:rsid w:val="1F0B3750"/>
    <w:rsid w:val="1F5A6FB2"/>
    <w:rsid w:val="1F657AB9"/>
    <w:rsid w:val="1F7E6617"/>
    <w:rsid w:val="1FE44638"/>
    <w:rsid w:val="1FE7539E"/>
    <w:rsid w:val="1FFB7C68"/>
    <w:rsid w:val="201C4680"/>
    <w:rsid w:val="202E056A"/>
    <w:rsid w:val="20314AE0"/>
    <w:rsid w:val="20671BE0"/>
    <w:rsid w:val="2090477F"/>
    <w:rsid w:val="20963CB8"/>
    <w:rsid w:val="20994D8B"/>
    <w:rsid w:val="209B6D55"/>
    <w:rsid w:val="20A81A1B"/>
    <w:rsid w:val="20B07FB6"/>
    <w:rsid w:val="20B646FB"/>
    <w:rsid w:val="20F805FD"/>
    <w:rsid w:val="21037460"/>
    <w:rsid w:val="21067B13"/>
    <w:rsid w:val="21085104"/>
    <w:rsid w:val="21172856"/>
    <w:rsid w:val="213B74B1"/>
    <w:rsid w:val="214D44F3"/>
    <w:rsid w:val="215A2310"/>
    <w:rsid w:val="219014B5"/>
    <w:rsid w:val="219168A1"/>
    <w:rsid w:val="21A570F4"/>
    <w:rsid w:val="21C31FB1"/>
    <w:rsid w:val="21CB3F90"/>
    <w:rsid w:val="21DE318A"/>
    <w:rsid w:val="21EF5B80"/>
    <w:rsid w:val="2205753C"/>
    <w:rsid w:val="22563A79"/>
    <w:rsid w:val="22567018"/>
    <w:rsid w:val="22576990"/>
    <w:rsid w:val="22904DF6"/>
    <w:rsid w:val="22B10AB2"/>
    <w:rsid w:val="22B8599C"/>
    <w:rsid w:val="22C92647"/>
    <w:rsid w:val="22CC1448"/>
    <w:rsid w:val="22E21CC0"/>
    <w:rsid w:val="22F47480"/>
    <w:rsid w:val="230E380E"/>
    <w:rsid w:val="231E77CA"/>
    <w:rsid w:val="233A0AA7"/>
    <w:rsid w:val="23434FA3"/>
    <w:rsid w:val="234E7D22"/>
    <w:rsid w:val="23771663"/>
    <w:rsid w:val="237B00BF"/>
    <w:rsid w:val="23A9020B"/>
    <w:rsid w:val="23AC5E63"/>
    <w:rsid w:val="23B31D5F"/>
    <w:rsid w:val="23DE1C48"/>
    <w:rsid w:val="23ED1676"/>
    <w:rsid w:val="23F53D3E"/>
    <w:rsid w:val="240210CD"/>
    <w:rsid w:val="242B219E"/>
    <w:rsid w:val="242C50FE"/>
    <w:rsid w:val="249B7324"/>
    <w:rsid w:val="24BF09F7"/>
    <w:rsid w:val="25090731"/>
    <w:rsid w:val="25137326"/>
    <w:rsid w:val="252D53FE"/>
    <w:rsid w:val="25782BFB"/>
    <w:rsid w:val="259339B5"/>
    <w:rsid w:val="25B356A7"/>
    <w:rsid w:val="25EC2D81"/>
    <w:rsid w:val="265C0D35"/>
    <w:rsid w:val="26661404"/>
    <w:rsid w:val="26661BB3"/>
    <w:rsid w:val="26747E2C"/>
    <w:rsid w:val="269505C3"/>
    <w:rsid w:val="26EC20B9"/>
    <w:rsid w:val="26EE0A8E"/>
    <w:rsid w:val="2729330D"/>
    <w:rsid w:val="27380687"/>
    <w:rsid w:val="276D1C63"/>
    <w:rsid w:val="277057A2"/>
    <w:rsid w:val="27717E7D"/>
    <w:rsid w:val="27772CF5"/>
    <w:rsid w:val="27D94994"/>
    <w:rsid w:val="27DD3F0C"/>
    <w:rsid w:val="28A30E9D"/>
    <w:rsid w:val="28E849B7"/>
    <w:rsid w:val="28EF2E48"/>
    <w:rsid w:val="29030676"/>
    <w:rsid w:val="29206EB8"/>
    <w:rsid w:val="2940049A"/>
    <w:rsid w:val="294731A0"/>
    <w:rsid w:val="29595666"/>
    <w:rsid w:val="295959FF"/>
    <w:rsid w:val="295A22B3"/>
    <w:rsid w:val="29826D04"/>
    <w:rsid w:val="29874881"/>
    <w:rsid w:val="29B90E99"/>
    <w:rsid w:val="29E325E0"/>
    <w:rsid w:val="29F21A83"/>
    <w:rsid w:val="2A122183"/>
    <w:rsid w:val="2A3E70CF"/>
    <w:rsid w:val="2A452503"/>
    <w:rsid w:val="2AE41C74"/>
    <w:rsid w:val="2B342280"/>
    <w:rsid w:val="2B3512C8"/>
    <w:rsid w:val="2B4F3221"/>
    <w:rsid w:val="2B8163FE"/>
    <w:rsid w:val="2B962501"/>
    <w:rsid w:val="2BA43521"/>
    <w:rsid w:val="2BA936A8"/>
    <w:rsid w:val="2BCC2A43"/>
    <w:rsid w:val="2BE23A8A"/>
    <w:rsid w:val="2BE51B18"/>
    <w:rsid w:val="2BFC2575"/>
    <w:rsid w:val="2C2C4F63"/>
    <w:rsid w:val="2C315A5A"/>
    <w:rsid w:val="2C4B1C25"/>
    <w:rsid w:val="2C520C10"/>
    <w:rsid w:val="2CA26599"/>
    <w:rsid w:val="2CD81B3C"/>
    <w:rsid w:val="2CE455E0"/>
    <w:rsid w:val="2CF15A5D"/>
    <w:rsid w:val="2D1F071D"/>
    <w:rsid w:val="2D79041E"/>
    <w:rsid w:val="2D9E56F5"/>
    <w:rsid w:val="2DA870C6"/>
    <w:rsid w:val="2DB86DBB"/>
    <w:rsid w:val="2E424315"/>
    <w:rsid w:val="2E4E3659"/>
    <w:rsid w:val="2E667F96"/>
    <w:rsid w:val="2E8226AB"/>
    <w:rsid w:val="2E8452CD"/>
    <w:rsid w:val="2EE10168"/>
    <w:rsid w:val="2EF35FAE"/>
    <w:rsid w:val="2EF53718"/>
    <w:rsid w:val="2F1B12CC"/>
    <w:rsid w:val="2F350375"/>
    <w:rsid w:val="2FD065E6"/>
    <w:rsid w:val="2FD45DE0"/>
    <w:rsid w:val="2FD96870"/>
    <w:rsid w:val="30580BC9"/>
    <w:rsid w:val="305E1890"/>
    <w:rsid w:val="307A6947"/>
    <w:rsid w:val="309D0C28"/>
    <w:rsid w:val="30CB0C54"/>
    <w:rsid w:val="310821E5"/>
    <w:rsid w:val="311741D6"/>
    <w:rsid w:val="311E2ED7"/>
    <w:rsid w:val="31543A83"/>
    <w:rsid w:val="315619EE"/>
    <w:rsid w:val="315C449C"/>
    <w:rsid w:val="31725D63"/>
    <w:rsid w:val="31B82709"/>
    <w:rsid w:val="31D05482"/>
    <w:rsid w:val="31D73294"/>
    <w:rsid w:val="31F90EB1"/>
    <w:rsid w:val="3215767E"/>
    <w:rsid w:val="322C1F03"/>
    <w:rsid w:val="323808A8"/>
    <w:rsid w:val="32400B34"/>
    <w:rsid w:val="325446FE"/>
    <w:rsid w:val="329E6876"/>
    <w:rsid w:val="32BC3287"/>
    <w:rsid w:val="32C90606"/>
    <w:rsid w:val="332D1E10"/>
    <w:rsid w:val="333015F2"/>
    <w:rsid w:val="333B4C38"/>
    <w:rsid w:val="334B6320"/>
    <w:rsid w:val="335029C4"/>
    <w:rsid w:val="336636C6"/>
    <w:rsid w:val="33664FA1"/>
    <w:rsid w:val="337C60A8"/>
    <w:rsid w:val="33CD1249"/>
    <w:rsid w:val="33D934D4"/>
    <w:rsid w:val="33FE2F6A"/>
    <w:rsid w:val="340A0022"/>
    <w:rsid w:val="340E07E5"/>
    <w:rsid w:val="341D2EC6"/>
    <w:rsid w:val="341D304D"/>
    <w:rsid w:val="34235BF7"/>
    <w:rsid w:val="345839B8"/>
    <w:rsid w:val="34E04151"/>
    <w:rsid w:val="34E40873"/>
    <w:rsid w:val="34F12F90"/>
    <w:rsid w:val="350727B3"/>
    <w:rsid w:val="3518701F"/>
    <w:rsid w:val="35672959"/>
    <w:rsid w:val="358C5FA8"/>
    <w:rsid w:val="35977A61"/>
    <w:rsid w:val="35C15DF1"/>
    <w:rsid w:val="35C55672"/>
    <w:rsid w:val="35CD1307"/>
    <w:rsid w:val="35DA3A24"/>
    <w:rsid w:val="35EB79DF"/>
    <w:rsid w:val="35F26085"/>
    <w:rsid w:val="36074A7F"/>
    <w:rsid w:val="36520588"/>
    <w:rsid w:val="36594D05"/>
    <w:rsid w:val="366D7483"/>
    <w:rsid w:val="36923549"/>
    <w:rsid w:val="36B75FBF"/>
    <w:rsid w:val="36BD0C45"/>
    <w:rsid w:val="373C4996"/>
    <w:rsid w:val="375717D0"/>
    <w:rsid w:val="376122E2"/>
    <w:rsid w:val="37704DF0"/>
    <w:rsid w:val="377F4A72"/>
    <w:rsid w:val="37B7226F"/>
    <w:rsid w:val="37DF5322"/>
    <w:rsid w:val="37E00298"/>
    <w:rsid w:val="3832107B"/>
    <w:rsid w:val="383A30A9"/>
    <w:rsid w:val="385815D5"/>
    <w:rsid w:val="387A56B5"/>
    <w:rsid w:val="38B302F9"/>
    <w:rsid w:val="38E6658A"/>
    <w:rsid w:val="38EB32BA"/>
    <w:rsid w:val="38ED4E61"/>
    <w:rsid w:val="38F12CD3"/>
    <w:rsid w:val="38F94775"/>
    <w:rsid w:val="39292EC9"/>
    <w:rsid w:val="392971ED"/>
    <w:rsid w:val="39325651"/>
    <w:rsid w:val="39BB7C75"/>
    <w:rsid w:val="39DC6B31"/>
    <w:rsid w:val="39E82BB3"/>
    <w:rsid w:val="3A2A6A4C"/>
    <w:rsid w:val="3A35170A"/>
    <w:rsid w:val="3A42325F"/>
    <w:rsid w:val="3A430A26"/>
    <w:rsid w:val="3A872856"/>
    <w:rsid w:val="3AA840F1"/>
    <w:rsid w:val="3AC613B6"/>
    <w:rsid w:val="3AD14E21"/>
    <w:rsid w:val="3ADE7DF7"/>
    <w:rsid w:val="3AEB0AE1"/>
    <w:rsid w:val="3B1E43B3"/>
    <w:rsid w:val="3B3763D1"/>
    <w:rsid w:val="3B5F3B17"/>
    <w:rsid w:val="3B824942"/>
    <w:rsid w:val="3B8B3833"/>
    <w:rsid w:val="3BAC7C11"/>
    <w:rsid w:val="3BAE2988"/>
    <w:rsid w:val="3BD63AF9"/>
    <w:rsid w:val="3BD839D9"/>
    <w:rsid w:val="3BED7102"/>
    <w:rsid w:val="3BFA6BCE"/>
    <w:rsid w:val="3C011D0B"/>
    <w:rsid w:val="3C2F6E1E"/>
    <w:rsid w:val="3C33587A"/>
    <w:rsid w:val="3C3F0720"/>
    <w:rsid w:val="3C4B3423"/>
    <w:rsid w:val="3C4B567C"/>
    <w:rsid w:val="3C4F64BA"/>
    <w:rsid w:val="3C53008C"/>
    <w:rsid w:val="3C5E67CE"/>
    <w:rsid w:val="3CA45E91"/>
    <w:rsid w:val="3CBA68AC"/>
    <w:rsid w:val="3CDA245A"/>
    <w:rsid w:val="3CDA447A"/>
    <w:rsid w:val="3CED04E1"/>
    <w:rsid w:val="3CF22D90"/>
    <w:rsid w:val="3CFD5685"/>
    <w:rsid w:val="3D1E06B7"/>
    <w:rsid w:val="3D3C5A02"/>
    <w:rsid w:val="3D432C1D"/>
    <w:rsid w:val="3DAE0849"/>
    <w:rsid w:val="3DBF7193"/>
    <w:rsid w:val="3DCB74F1"/>
    <w:rsid w:val="3DDC7FAA"/>
    <w:rsid w:val="3E09134A"/>
    <w:rsid w:val="3E2B6DB0"/>
    <w:rsid w:val="3E361D8C"/>
    <w:rsid w:val="3E6365DF"/>
    <w:rsid w:val="3E695CB1"/>
    <w:rsid w:val="3ECA4190"/>
    <w:rsid w:val="3ED103C5"/>
    <w:rsid w:val="3ED1159C"/>
    <w:rsid w:val="3EDA0523"/>
    <w:rsid w:val="3EFC1987"/>
    <w:rsid w:val="3F20694C"/>
    <w:rsid w:val="3F2D40E7"/>
    <w:rsid w:val="3F381EE7"/>
    <w:rsid w:val="3F3E5DD6"/>
    <w:rsid w:val="3F631903"/>
    <w:rsid w:val="3F67180B"/>
    <w:rsid w:val="3F946681"/>
    <w:rsid w:val="3F9B70B6"/>
    <w:rsid w:val="3FB765D7"/>
    <w:rsid w:val="3FD34F25"/>
    <w:rsid w:val="3FE45BCB"/>
    <w:rsid w:val="3FF72E92"/>
    <w:rsid w:val="40181D19"/>
    <w:rsid w:val="4026176A"/>
    <w:rsid w:val="402C57D3"/>
    <w:rsid w:val="406D3F6B"/>
    <w:rsid w:val="407857B3"/>
    <w:rsid w:val="407A6407"/>
    <w:rsid w:val="408A37B9"/>
    <w:rsid w:val="41141310"/>
    <w:rsid w:val="413E1955"/>
    <w:rsid w:val="416E7E42"/>
    <w:rsid w:val="41E420AE"/>
    <w:rsid w:val="4200449D"/>
    <w:rsid w:val="420E1270"/>
    <w:rsid w:val="4235045A"/>
    <w:rsid w:val="423A3BCC"/>
    <w:rsid w:val="424E57D2"/>
    <w:rsid w:val="4252528D"/>
    <w:rsid w:val="427B20E5"/>
    <w:rsid w:val="42A47894"/>
    <w:rsid w:val="42B26C49"/>
    <w:rsid w:val="42CF383D"/>
    <w:rsid w:val="42FF0F44"/>
    <w:rsid w:val="433A6FE6"/>
    <w:rsid w:val="43480868"/>
    <w:rsid w:val="4350713C"/>
    <w:rsid w:val="436653E0"/>
    <w:rsid w:val="437031FA"/>
    <w:rsid w:val="43AA3CD0"/>
    <w:rsid w:val="43C4431A"/>
    <w:rsid w:val="43E77A38"/>
    <w:rsid w:val="440B0D0E"/>
    <w:rsid w:val="443D1D4E"/>
    <w:rsid w:val="44445366"/>
    <w:rsid w:val="44562E10"/>
    <w:rsid w:val="4481412B"/>
    <w:rsid w:val="44A65122"/>
    <w:rsid w:val="44B87626"/>
    <w:rsid w:val="44B951CC"/>
    <w:rsid w:val="44CD14E0"/>
    <w:rsid w:val="44F07327"/>
    <w:rsid w:val="44F20B0B"/>
    <w:rsid w:val="452E5F4C"/>
    <w:rsid w:val="45364079"/>
    <w:rsid w:val="45471D32"/>
    <w:rsid w:val="45515A7E"/>
    <w:rsid w:val="45612018"/>
    <w:rsid w:val="458946E9"/>
    <w:rsid w:val="458F0A63"/>
    <w:rsid w:val="45971C39"/>
    <w:rsid w:val="45A47C0E"/>
    <w:rsid w:val="45A72A6E"/>
    <w:rsid w:val="45B93CB0"/>
    <w:rsid w:val="45EC7588"/>
    <w:rsid w:val="46164604"/>
    <w:rsid w:val="462C77F3"/>
    <w:rsid w:val="46446258"/>
    <w:rsid w:val="46577FD6"/>
    <w:rsid w:val="466F1F67"/>
    <w:rsid w:val="467F4C60"/>
    <w:rsid w:val="46A83F87"/>
    <w:rsid w:val="46B226AF"/>
    <w:rsid w:val="46C96777"/>
    <w:rsid w:val="46D955A7"/>
    <w:rsid w:val="46DA595D"/>
    <w:rsid w:val="46F500B9"/>
    <w:rsid w:val="4710374A"/>
    <w:rsid w:val="47133957"/>
    <w:rsid w:val="4737640B"/>
    <w:rsid w:val="47376F28"/>
    <w:rsid w:val="477616E3"/>
    <w:rsid w:val="477914D1"/>
    <w:rsid w:val="47A07E0C"/>
    <w:rsid w:val="480C16A5"/>
    <w:rsid w:val="48680722"/>
    <w:rsid w:val="4870272E"/>
    <w:rsid w:val="48A759E8"/>
    <w:rsid w:val="48B54DD1"/>
    <w:rsid w:val="48B83CCD"/>
    <w:rsid w:val="491E0328"/>
    <w:rsid w:val="49301B95"/>
    <w:rsid w:val="49724D2F"/>
    <w:rsid w:val="498211E9"/>
    <w:rsid w:val="498E143C"/>
    <w:rsid w:val="499C43D0"/>
    <w:rsid w:val="49A57DFA"/>
    <w:rsid w:val="49CB7D62"/>
    <w:rsid w:val="49DC7715"/>
    <w:rsid w:val="49E838E9"/>
    <w:rsid w:val="4A023139"/>
    <w:rsid w:val="4A466452"/>
    <w:rsid w:val="4A7B576F"/>
    <w:rsid w:val="4A931EA9"/>
    <w:rsid w:val="4AA069DA"/>
    <w:rsid w:val="4AAC207E"/>
    <w:rsid w:val="4AB02304"/>
    <w:rsid w:val="4ACC0E35"/>
    <w:rsid w:val="4AD95355"/>
    <w:rsid w:val="4AF561A9"/>
    <w:rsid w:val="4B0610EB"/>
    <w:rsid w:val="4B117116"/>
    <w:rsid w:val="4B4329EA"/>
    <w:rsid w:val="4B4B11F4"/>
    <w:rsid w:val="4B5C51AF"/>
    <w:rsid w:val="4B8E582E"/>
    <w:rsid w:val="4BBE1033"/>
    <w:rsid w:val="4BC7640A"/>
    <w:rsid w:val="4BCF1196"/>
    <w:rsid w:val="4BD5286C"/>
    <w:rsid w:val="4C4A0649"/>
    <w:rsid w:val="4C5A0023"/>
    <w:rsid w:val="4C726BEE"/>
    <w:rsid w:val="4C7E5ECA"/>
    <w:rsid w:val="4C876AA5"/>
    <w:rsid w:val="4C991DE3"/>
    <w:rsid w:val="4C9D5A7F"/>
    <w:rsid w:val="4CAF45EA"/>
    <w:rsid w:val="4CEC5DB1"/>
    <w:rsid w:val="4CF0209D"/>
    <w:rsid w:val="4D0E00FB"/>
    <w:rsid w:val="4D176606"/>
    <w:rsid w:val="4D2C06BA"/>
    <w:rsid w:val="4D447A6A"/>
    <w:rsid w:val="4D496D8C"/>
    <w:rsid w:val="4D720CBA"/>
    <w:rsid w:val="4D737FA6"/>
    <w:rsid w:val="4D7A7B6F"/>
    <w:rsid w:val="4DCD449A"/>
    <w:rsid w:val="4DD35EC3"/>
    <w:rsid w:val="4DEC4FB0"/>
    <w:rsid w:val="4DEE66E3"/>
    <w:rsid w:val="4DF0593A"/>
    <w:rsid w:val="4E075D8A"/>
    <w:rsid w:val="4E2C6271"/>
    <w:rsid w:val="4E3B5550"/>
    <w:rsid w:val="4E742810"/>
    <w:rsid w:val="4E916EE6"/>
    <w:rsid w:val="4E9B5FEF"/>
    <w:rsid w:val="4EA31B96"/>
    <w:rsid w:val="4EB01EED"/>
    <w:rsid w:val="4EC00FAD"/>
    <w:rsid w:val="4EC529A2"/>
    <w:rsid w:val="4F033375"/>
    <w:rsid w:val="4F161B19"/>
    <w:rsid w:val="4F275AD4"/>
    <w:rsid w:val="4F534A42"/>
    <w:rsid w:val="4F642884"/>
    <w:rsid w:val="4F6C1739"/>
    <w:rsid w:val="4F766FF3"/>
    <w:rsid w:val="4F9843DC"/>
    <w:rsid w:val="4FB31116"/>
    <w:rsid w:val="4FC62A8C"/>
    <w:rsid w:val="4FE20F0D"/>
    <w:rsid w:val="4FE33B1E"/>
    <w:rsid w:val="4FE51552"/>
    <w:rsid w:val="4FF534DD"/>
    <w:rsid w:val="4FFF4C77"/>
    <w:rsid w:val="500922B8"/>
    <w:rsid w:val="502B2912"/>
    <w:rsid w:val="50504C4B"/>
    <w:rsid w:val="505B24E3"/>
    <w:rsid w:val="50776590"/>
    <w:rsid w:val="507E16BB"/>
    <w:rsid w:val="508F7D6E"/>
    <w:rsid w:val="509C6E7C"/>
    <w:rsid w:val="50EF4638"/>
    <w:rsid w:val="51142088"/>
    <w:rsid w:val="5126347B"/>
    <w:rsid w:val="5162104E"/>
    <w:rsid w:val="517A7718"/>
    <w:rsid w:val="51A456B5"/>
    <w:rsid w:val="51AE73D5"/>
    <w:rsid w:val="51B8499E"/>
    <w:rsid w:val="51E23FF4"/>
    <w:rsid w:val="528D14FE"/>
    <w:rsid w:val="52972F71"/>
    <w:rsid w:val="52DC6B2E"/>
    <w:rsid w:val="52DF030A"/>
    <w:rsid w:val="52EA2441"/>
    <w:rsid w:val="52EC2E7F"/>
    <w:rsid w:val="53146370"/>
    <w:rsid w:val="53165C44"/>
    <w:rsid w:val="534E19FC"/>
    <w:rsid w:val="53741F9D"/>
    <w:rsid w:val="53A039CC"/>
    <w:rsid w:val="53A1505A"/>
    <w:rsid w:val="53A9217D"/>
    <w:rsid w:val="53B03A77"/>
    <w:rsid w:val="53C1637F"/>
    <w:rsid w:val="53D16910"/>
    <w:rsid w:val="53F07D53"/>
    <w:rsid w:val="54040C99"/>
    <w:rsid w:val="54063E08"/>
    <w:rsid w:val="541F4FCC"/>
    <w:rsid w:val="543437E8"/>
    <w:rsid w:val="5458228C"/>
    <w:rsid w:val="545D2A92"/>
    <w:rsid w:val="546E385E"/>
    <w:rsid w:val="547F5A6B"/>
    <w:rsid w:val="54B95421"/>
    <w:rsid w:val="54C6369A"/>
    <w:rsid w:val="54CE3DE1"/>
    <w:rsid w:val="54F73313"/>
    <w:rsid w:val="54F80955"/>
    <w:rsid w:val="550D751A"/>
    <w:rsid w:val="55301996"/>
    <w:rsid w:val="55434588"/>
    <w:rsid w:val="555170A7"/>
    <w:rsid w:val="5587536D"/>
    <w:rsid w:val="558B4A1E"/>
    <w:rsid w:val="559B174B"/>
    <w:rsid w:val="55A113E7"/>
    <w:rsid w:val="55CE0CF4"/>
    <w:rsid w:val="561539F2"/>
    <w:rsid w:val="561A6B48"/>
    <w:rsid w:val="56772999"/>
    <w:rsid w:val="56790351"/>
    <w:rsid w:val="56817C60"/>
    <w:rsid w:val="56836406"/>
    <w:rsid w:val="569369BB"/>
    <w:rsid w:val="56AB6FEB"/>
    <w:rsid w:val="56B22A9C"/>
    <w:rsid w:val="56C34769"/>
    <w:rsid w:val="56D61D24"/>
    <w:rsid w:val="56D950C4"/>
    <w:rsid w:val="56ED79C0"/>
    <w:rsid w:val="57560D05"/>
    <w:rsid w:val="57B72A76"/>
    <w:rsid w:val="57C3426C"/>
    <w:rsid w:val="57C40C3C"/>
    <w:rsid w:val="57CE1F93"/>
    <w:rsid w:val="581813AF"/>
    <w:rsid w:val="583628E4"/>
    <w:rsid w:val="583F5C3D"/>
    <w:rsid w:val="584A3680"/>
    <w:rsid w:val="587A7044"/>
    <w:rsid w:val="58851AAF"/>
    <w:rsid w:val="588743D1"/>
    <w:rsid w:val="5887701A"/>
    <w:rsid w:val="589F5E76"/>
    <w:rsid w:val="58B232CB"/>
    <w:rsid w:val="58F64FC6"/>
    <w:rsid w:val="591E03AD"/>
    <w:rsid w:val="59356439"/>
    <w:rsid w:val="599E6993"/>
    <w:rsid w:val="59BB2ABD"/>
    <w:rsid w:val="59C0439F"/>
    <w:rsid w:val="59CA4DD4"/>
    <w:rsid w:val="59D625D1"/>
    <w:rsid w:val="5A0031AA"/>
    <w:rsid w:val="5A166948"/>
    <w:rsid w:val="5A43060F"/>
    <w:rsid w:val="5A4D6E45"/>
    <w:rsid w:val="5A533C21"/>
    <w:rsid w:val="5A547D57"/>
    <w:rsid w:val="5A9313D0"/>
    <w:rsid w:val="5A947561"/>
    <w:rsid w:val="5AB6679E"/>
    <w:rsid w:val="5ABE2233"/>
    <w:rsid w:val="5B01367D"/>
    <w:rsid w:val="5B28707C"/>
    <w:rsid w:val="5B2E3854"/>
    <w:rsid w:val="5B3A7BC3"/>
    <w:rsid w:val="5B801D82"/>
    <w:rsid w:val="5BDF5D95"/>
    <w:rsid w:val="5BFE7528"/>
    <w:rsid w:val="5C0249D4"/>
    <w:rsid w:val="5C4B74E0"/>
    <w:rsid w:val="5C9C18B0"/>
    <w:rsid w:val="5CC20BEA"/>
    <w:rsid w:val="5D2C42B6"/>
    <w:rsid w:val="5D981253"/>
    <w:rsid w:val="5DAA4E82"/>
    <w:rsid w:val="5DDD5238"/>
    <w:rsid w:val="5DEC1DCC"/>
    <w:rsid w:val="5E2120F8"/>
    <w:rsid w:val="5E2467F1"/>
    <w:rsid w:val="5E42472B"/>
    <w:rsid w:val="5E69726C"/>
    <w:rsid w:val="5E7C31CE"/>
    <w:rsid w:val="5E982C62"/>
    <w:rsid w:val="5EC34D7E"/>
    <w:rsid w:val="5ECE3ECB"/>
    <w:rsid w:val="5ED82947"/>
    <w:rsid w:val="5F1A2B43"/>
    <w:rsid w:val="5F3405EA"/>
    <w:rsid w:val="5F5D4BFA"/>
    <w:rsid w:val="5F816B3B"/>
    <w:rsid w:val="5F99125F"/>
    <w:rsid w:val="5F9C5723"/>
    <w:rsid w:val="5FA238CE"/>
    <w:rsid w:val="5FB837BB"/>
    <w:rsid w:val="5FE01748"/>
    <w:rsid w:val="5FEB663F"/>
    <w:rsid w:val="600D6620"/>
    <w:rsid w:val="601C60E3"/>
    <w:rsid w:val="603956B2"/>
    <w:rsid w:val="604C7149"/>
    <w:rsid w:val="605B3B6D"/>
    <w:rsid w:val="606832C2"/>
    <w:rsid w:val="60A3109B"/>
    <w:rsid w:val="60CC405A"/>
    <w:rsid w:val="60F31CBA"/>
    <w:rsid w:val="611C2181"/>
    <w:rsid w:val="612C2AD6"/>
    <w:rsid w:val="61462A30"/>
    <w:rsid w:val="61493688"/>
    <w:rsid w:val="61693D2A"/>
    <w:rsid w:val="61695AD8"/>
    <w:rsid w:val="61962AA9"/>
    <w:rsid w:val="61966C20"/>
    <w:rsid w:val="61A07EEB"/>
    <w:rsid w:val="61D03DA9"/>
    <w:rsid w:val="61E138C1"/>
    <w:rsid w:val="61E215D8"/>
    <w:rsid w:val="621B3775"/>
    <w:rsid w:val="62293D65"/>
    <w:rsid w:val="62364782"/>
    <w:rsid w:val="62D17DD9"/>
    <w:rsid w:val="62E36360"/>
    <w:rsid w:val="62E775FD"/>
    <w:rsid w:val="62E864CB"/>
    <w:rsid w:val="63170A4C"/>
    <w:rsid w:val="63212B0F"/>
    <w:rsid w:val="634B3536"/>
    <w:rsid w:val="637349EC"/>
    <w:rsid w:val="6394356A"/>
    <w:rsid w:val="63B514A9"/>
    <w:rsid w:val="63BA0705"/>
    <w:rsid w:val="63C61B2C"/>
    <w:rsid w:val="63D40BE9"/>
    <w:rsid w:val="63F560D2"/>
    <w:rsid w:val="64102431"/>
    <w:rsid w:val="645C7B76"/>
    <w:rsid w:val="64747A20"/>
    <w:rsid w:val="64801AB7"/>
    <w:rsid w:val="64A5243A"/>
    <w:rsid w:val="64A87BFB"/>
    <w:rsid w:val="64F531DE"/>
    <w:rsid w:val="65002087"/>
    <w:rsid w:val="650E1238"/>
    <w:rsid w:val="65373578"/>
    <w:rsid w:val="65404DA2"/>
    <w:rsid w:val="657C3A9D"/>
    <w:rsid w:val="65A45331"/>
    <w:rsid w:val="65B132EE"/>
    <w:rsid w:val="661C039A"/>
    <w:rsid w:val="668A4527"/>
    <w:rsid w:val="66E00EA2"/>
    <w:rsid w:val="670C7B7B"/>
    <w:rsid w:val="671F124A"/>
    <w:rsid w:val="677A33C6"/>
    <w:rsid w:val="67F51C32"/>
    <w:rsid w:val="681E5D31"/>
    <w:rsid w:val="681F6961"/>
    <w:rsid w:val="68416615"/>
    <w:rsid w:val="68610A2F"/>
    <w:rsid w:val="686508B5"/>
    <w:rsid w:val="686A5863"/>
    <w:rsid w:val="68805514"/>
    <w:rsid w:val="68911585"/>
    <w:rsid w:val="68D84F91"/>
    <w:rsid w:val="68E13AEC"/>
    <w:rsid w:val="68E17335"/>
    <w:rsid w:val="68E51EE8"/>
    <w:rsid w:val="6925630C"/>
    <w:rsid w:val="692C3680"/>
    <w:rsid w:val="69316E2F"/>
    <w:rsid w:val="694E2071"/>
    <w:rsid w:val="695F5046"/>
    <w:rsid w:val="69766163"/>
    <w:rsid w:val="697A3B33"/>
    <w:rsid w:val="699975CE"/>
    <w:rsid w:val="69A5514E"/>
    <w:rsid w:val="69A666F4"/>
    <w:rsid w:val="69B13B20"/>
    <w:rsid w:val="69D44760"/>
    <w:rsid w:val="69E95A08"/>
    <w:rsid w:val="69F81C7E"/>
    <w:rsid w:val="6A121AF2"/>
    <w:rsid w:val="6A33374C"/>
    <w:rsid w:val="6A403054"/>
    <w:rsid w:val="6A4170DF"/>
    <w:rsid w:val="6A520EC7"/>
    <w:rsid w:val="6A553A32"/>
    <w:rsid w:val="6A92176C"/>
    <w:rsid w:val="6AEB1110"/>
    <w:rsid w:val="6AF5199F"/>
    <w:rsid w:val="6AF87E20"/>
    <w:rsid w:val="6AF9611F"/>
    <w:rsid w:val="6B0C2230"/>
    <w:rsid w:val="6B322639"/>
    <w:rsid w:val="6B482CFF"/>
    <w:rsid w:val="6B54583B"/>
    <w:rsid w:val="6B845CA2"/>
    <w:rsid w:val="6B961BC0"/>
    <w:rsid w:val="6BAA566B"/>
    <w:rsid w:val="6BBB53B4"/>
    <w:rsid w:val="6BBE56FC"/>
    <w:rsid w:val="6BBF36B1"/>
    <w:rsid w:val="6C111246"/>
    <w:rsid w:val="6C1F3963"/>
    <w:rsid w:val="6C465F43"/>
    <w:rsid w:val="6C5F5FA4"/>
    <w:rsid w:val="6C636C38"/>
    <w:rsid w:val="6C731465"/>
    <w:rsid w:val="6C81461E"/>
    <w:rsid w:val="6C984E84"/>
    <w:rsid w:val="6CBA18DE"/>
    <w:rsid w:val="6D0A2952"/>
    <w:rsid w:val="6D1E1E6D"/>
    <w:rsid w:val="6D4F64CA"/>
    <w:rsid w:val="6D5533B5"/>
    <w:rsid w:val="6D741A8D"/>
    <w:rsid w:val="6D8F2B95"/>
    <w:rsid w:val="6DAA54AF"/>
    <w:rsid w:val="6DB34098"/>
    <w:rsid w:val="6DB545B6"/>
    <w:rsid w:val="6DB948EC"/>
    <w:rsid w:val="6DDD4CB5"/>
    <w:rsid w:val="6DE02FB4"/>
    <w:rsid w:val="6E2434B3"/>
    <w:rsid w:val="6E514CED"/>
    <w:rsid w:val="6E7206C2"/>
    <w:rsid w:val="6E9A19C7"/>
    <w:rsid w:val="6EA77CBF"/>
    <w:rsid w:val="6EB563D5"/>
    <w:rsid w:val="6EC27F6D"/>
    <w:rsid w:val="6ED52966"/>
    <w:rsid w:val="6ED92677"/>
    <w:rsid w:val="6F1B3E80"/>
    <w:rsid w:val="6F225983"/>
    <w:rsid w:val="6F3F0129"/>
    <w:rsid w:val="6F71457E"/>
    <w:rsid w:val="6F7B4728"/>
    <w:rsid w:val="6F8B1310"/>
    <w:rsid w:val="6FB13E3E"/>
    <w:rsid w:val="6FDE7A4A"/>
    <w:rsid w:val="6FF47FCB"/>
    <w:rsid w:val="6FFC5590"/>
    <w:rsid w:val="7015750C"/>
    <w:rsid w:val="701A7D06"/>
    <w:rsid w:val="705054DB"/>
    <w:rsid w:val="706D1DD0"/>
    <w:rsid w:val="70856B87"/>
    <w:rsid w:val="70C76DFD"/>
    <w:rsid w:val="70D527EE"/>
    <w:rsid w:val="710E7E11"/>
    <w:rsid w:val="7111016C"/>
    <w:rsid w:val="7114022F"/>
    <w:rsid w:val="71150480"/>
    <w:rsid w:val="711772FF"/>
    <w:rsid w:val="71337AB6"/>
    <w:rsid w:val="713A303C"/>
    <w:rsid w:val="715B5300"/>
    <w:rsid w:val="71797444"/>
    <w:rsid w:val="71CD31FE"/>
    <w:rsid w:val="71D27F8A"/>
    <w:rsid w:val="71E75574"/>
    <w:rsid w:val="71FC20DE"/>
    <w:rsid w:val="720A29C0"/>
    <w:rsid w:val="72252069"/>
    <w:rsid w:val="7252042A"/>
    <w:rsid w:val="72553024"/>
    <w:rsid w:val="72907369"/>
    <w:rsid w:val="72D6671B"/>
    <w:rsid w:val="72FD7534"/>
    <w:rsid w:val="73122968"/>
    <w:rsid w:val="731B3528"/>
    <w:rsid w:val="731F5D5E"/>
    <w:rsid w:val="734F2B03"/>
    <w:rsid w:val="73532EFF"/>
    <w:rsid w:val="73987622"/>
    <w:rsid w:val="739E4D33"/>
    <w:rsid w:val="73BA55FE"/>
    <w:rsid w:val="73C51AD5"/>
    <w:rsid w:val="73D42865"/>
    <w:rsid w:val="73F43927"/>
    <w:rsid w:val="740873D3"/>
    <w:rsid w:val="741E793C"/>
    <w:rsid w:val="744426B4"/>
    <w:rsid w:val="74554838"/>
    <w:rsid w:val="745E3944"/>
    <w:rsid w:val="7476433D"/>
    <w:rsid w:val="74BA0082"/>
    <w:rsid w:val="74EB5385"/>
    <w:rsid w:val="74F713BC"/>
    <w:rsid w:val="750E146F"/>
    <w:rsid w:val="7523723A"/>
    <w:rsid w:val="75554EEB"/>
    <w:rsid w:val="75ED6880"/>
    <w:rsid w:val="75FE1612"/>
    <w:rsid w:val="76290AF9"/>
    <w:rsid w:val="762D1373"/>
    <w:rsid w:val="7635099D"/>
    <w:rsid w:val="76A340F1"/>
    <w:rsid w:val="76C700A4"/>
    <w:rsid w:val="76D66F2C"/>
    <w:rsid w:val="77090D7D"/>
    <w:rsid w:val="773366A1"/>
    <w:rsid w:val="775D1F5A"/>
    <w:rsid w:val="77762421"/>
    <w:rsid w:val="77B56B1F"/>
    <w:rsid w:val="77F263D0"/>
    <w:rsid w:val="780F09F4"/>
    <w:rsid w:val="783D3FD4"/>
    <w:rsid w:val="784075FD"/>
    <w:rsid w:val="784C1F84"/>
    <w:rsid w:val="785A1755"/>
    <w:rsid w:val="7883527A"/>
    <w:rsid w:val="78A250BD"/>
    <w:rsid w:val="78A90480"/>
    <w:rsid w:val="78B47496"/>
    <w:rsid w:val="78BC6DD2"/>
    <w:rsid w:val="78BD1B01"/>
    <w:rsid w:val="78C22A8A"/>
    <w:rsid w:val="78D14237"/>
    <w:rsid w:val="78E80CAD"/>
    <w:rsid w:val="78F46F9D"/>
    <w:rsid w:val="7925492F"/>
    <w:rsid w:val="7947274B"/>
    <w:rsid w:val="795C61F7"/>
    <w:rsid w:val="79740001"/>
    <w:rsid w:val="799950CA"/>
    <w:rsid w:val="79A15A88"/>
    <w:rsid w:val="79A36D9F"/>
    <w:rsid w:val="7A016D9E"/>
    <w:rsid w:val="7A035633"/>
    <w:rsid w:val="7A364017"/>
    <w:rsid w:val="7A58723F"/>
    <w:rsid w:val="7A621C68"/>
    <w:rsid w:val="7A65732D"/>
    <w:rsid w:val="7A726F30"/>
    <w:rsid w:val="7A8265E1"/>
    <w:rsid w:val="7AC878BC"/>
    <w:rsid w:val="7AF47EDA"/>
    <w:rsid w:val="7B086C4F"/>
    <w:rsid w:val="7B347997"/>
    <w:rsid w:val="7B3D3E06"/>
    <w:rsid w:val="7B5B0730"/>
    <w:rsid w:val="7B5C51BA"/>
    <w:rsid w:val="7B686D42"/>
    <w:rsid w:val="7B841746"/>
    <w:rsid w:val="7B8557BC"/>
    <w:rsid w:val="7B875081"/>
    <w:rsid w:val="7B8E599C"/>
    <w:rsid w:val="7BB22B32"/>
    <w:rsid w:val="7BDE7397"/>
    <w:rsid w:val="7BFA5853"/>
    <w:rsid w:val="7C186D38"/>
    <w:rsid w:val="7C235923"/>
    <w:rsid w:val="7C6C5AC7"/>
    <w:rsid w:val="7CC6544B"/>
    <w:rsid w:val="7CED360A"/>
    <w:rsid w:val="7CFE100A"/>
    <w:rsid w:val="7D004CEF"/>
    <w:rsid w:val="7D011D63"/>
    <w:rsid w:val="7D0239FF"/>
    <w:rsid w:val="7D136216"/>
    <w:rsid w:val="7D272678"/>
    <w:rsid w:val="7D3678A8"/>
    <w:rsid w:val="7D5E40CD"/>
    <w:rsid w:val="7D947C75"/>
    <w:rsid w:val="7DA0242A"/>
    <w:rsid w:val="7DA74A65"/>
    <w:rsid w:val="7DBC1749"/>
    <w:rsid w:val="7DCD56F2"/>
    <w:rsid w:val="7DCF5E83"/>
    <w:rsid w:val="7E505BFE"/>
    <w:rsid w:val="7E5B2E36"/>
    <w:rsid w:val="7E5C23C8"/>
    <w:rsid w:val="7E670CE0"/>
    <w:rsid w:val="7E993837"/>
    <w:rsid w:val="7EC02F35"/>
    <w:rsid w:val="7F001CE7"/>
    <w:rsid w:val="7F0C5FC9"/>
    <w:rsid w:val="7F2D7CEE"/>
    <w:rsid w:val="7F4409BA"/>
    <w:rsid w:val="7F69336E"/>
    <w:rsid w:val="7FE47E50"/>
    <w:rsid w:val="7FFA407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3"/>
    <w:qFormat/>
    <w:uiPriority w:val="0"/>
    <w:pPr>
      <w:keepNext/>
      <w:overflowPunct/>
      <w:snapToGrid/>
      <w:spacing w:line="360" w:lineRule="auto"/>
      <w:ind w:left="0" w:firstLine="0" w:firstLineChars="0"/>
      <w:outlineLvl w:val="0"/>
    </w:pPr>
    <w:rPr>
      <w:rFonts w:ascii="Times New Roman" w:hAnsi="Times New Roman" w:eastAsia="宋体"/>
      <w:b/>
      <w:bCs/>
      <w:color w:val="000000"/>
      <w:kern w:val="44"/>
      <w:sz w:val="30"/>
      <w:szCs w:val="30"/>
    </w:rPr>
  </w:style>
  <w:style w:type="paragraph" w:styleId="4">
    <w:name w:val="heading 2"/>
    <w:basedOn w:val="1"/>
    <w:next w:val="1"/>
    <w:link w:val="150"/>
    <w:qFormat/>
    <w:uiPriority w:val="0"/>
    <w:pPr>
      <w:keepNext/>
      <w:keepLines w:val="0"/>
      <w:adjustRightInd/>
      <w:snapToGrid/>
      <w:spacing w:beforeAutospacing="0" w:afterAutospacing="0" w:line="360" w:lineRule="auto"/>
      <w:ind w:firstLine="0" w:firstLineChars="0"/>
      <w:jc w:val="both"/>
      <w:outlineLvl w:val="1"/>
    </w:pPr>
    <w:rPr>
      <w:rFonts w:ascii="Times New Roman" w:hAnsi="Times New Roman" w:eastAsia="宋体"/>
      <w:b/>
      <w:sz w:val="28"/>
    </w:rPr>
  </w:style>
  <w:style w:type="paragraph" w:styleId="5">
    <w:name w:val="heading 3"/>
    <w:basedOn w:val="1"/>
    <w:next w:val="1"/>
    <w:link w:val="147"/>
    <w:unhideWhenUsed/>
    <w:qFormat/>
    <w:uiPriority w:val="0"/>
    <w:pPr>
      <w:keepNext/>
      <w:keepLines w:val="0"/>
      <w:spacing w:beforeAutospacing="0" w:afterLines="0" w:afterAutospacing="0" w:line="360" w:lineRule="auto"/>
      <w:ind w:firstLine="0" w:firstLineChars="0"/>
      <w:outlineLvl w:val="2"/>
    </w:pPr>
    <w:rPr>
      <w:rFonts w:ascii="Times New Roman" w:hAnsi="Times New Roman" w:eastAsia="宋体"/>
      <w:b/>
      <w:sz w:val="24"/>
    </w:rPr>
  </w:style>
  <w:style w:type="paragraph" w:styleId="6">
    <w:name w:val="heading 4"/>
    <w:basedOn w:val="1"/>
    <w:next w:val="1"/>
    <w:unhideWhenUsed/>
    <w:qFormat/>
    <w:uiPriority w:val="0"/>
    <w:pPr>
      <w:keepNext/>
      <w:keepLines/>
      <w:spacing w:beforeLines="0" w:beforeAutospacing="0" w:afterLines="0" w:afterAutospacing="0" w:line="360" w:lineRule="auto"/>
      <w:ind w:firstLine="1446" w:firstLineChars="200"/>
      <w:outlineLvl w:val="3"/>
    </w:pPr>
    <w:rPr>
      <w:rFonts w:ascii="Times New Roman" w:hAnsi="Times New Roman" w:eastAsia="宋体"/>
      <w:b/>
      <w:sz w:val="24"/>
    </w:rPr>
  </w:style>
  <w:style w:type="character" w:default="1" w:styleId="32">
    <w:name w:val="Default Paragraph Font"/>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47"/>
    <w:qFormat/>
    <w:uiPriority w:val="0"/>
    <w:pPr>
      <w:widowControl/>
      <w:snapToGrid w:val="0"/>
      <w:spacing w:before="60" w:after="160" w:line="259" w:lineRule="auto"/>
      <w:ind w:right="113"/>
    </w:pPr>
    <w:rPr>
      <w:kern w:val="0"/>
      <w:sz w:val="18"/>
      <w:szCs w:val="20"/>
    </w:rPr>
  </w:style>
  <w:style w:type="paragraph" w:styleId="7">
    <w:name w:val="Normal Indent"/>
    <w:basedOn w:val="1"/>
    <w:link w:val="44"/>
    <w:unhideWhenUsed/>
    <w:qFormat/>
    <w:uiPriority w:val="0"/>
    <w:pPr>
      <w:spacing w:beforeLines="50"/>
      <w:ind w:firstLine="200" w:firstLineChars="200"/>
    </w:pPr>
    <w:rPr>
      <w:sz w:val="24"/>
      <w:szCs w:val="22"/>
    </w:rPr>
  </w:style>
  <w:style w:type="paragraph" w:styleId="8">
    <w:name w:val="caption"/>
    <w:basedOn w:val="1"/>
    <w:next w:val="1"/>
    <w:semiHidden/>
    <w:unhideWhenUsed/>
    <w:qFormat/>
    <w:uiPriority w:val="0"/>
    <w:rPr>
      <w:rFonts w:ascii="Arial" w:hAnsi="Arial" w:eastAsia="黑体"/>
      <w:kern w:val="0"/>
      <w:sz w:val="20"/>
      <w:szCs w:val="20"/>
    </w:rPr>
  </w:style>
  <w:style w:type="paragraph" w:styleId="9">
    <w:name w:val="Document Map"/>
    <w:basedOn w:val="1"/>
    <w:link w:val="45"/>
    <w:uiPriority w:val="0"/>
    <w:rPr>
      <w:rFonts w:ascii="宋体"/>
      <w:sz w:val="18"/>
      <w:szCs w:val="18"/>
    </w:rPr>
  </w:style>
  <w:style w:type="paragraph" w:styleId="10">
    <w:name w:val="annotation text"/>
    <w:basedOn w:val="1"/>
    <w:link w:val="46"/>
    <w:qFormat/>
    <w:uiPriority w:val="0"/>
    <w:pPr>
      <w:jc w:val="left"/>
    </w:pPr>
    <w:rPr>
      <w:kern w:val="0"/>
      <w:sz w:val="24"/>
      <w:szCs w:val="20"/>
    </w:rPr>
  </w:style>
  <w:style w:type="paragraph" w:styleId="11">
    <w:name w:val="Body Text Indent"/>
    <w:basedOn w:val="1"/>
    <w:next w:val="12"/>
    <w:link w:val="48"/>
    <w:semiHidden/>
    <w:qFormat/>
    <w:uiPriority w:val="0"/>
    <w:pPr>
      <w:spacing w:after="120"/>
      <w:ind w:left="420" w:leftChars="200"/>
    </w:pPr>
    <w:rPr>
      <w:kern w:val="0"/>
      <w:sz w:val="24"/>
      <w:szCs w:val="20"/>
    </w:rPr>
  </w:style>
  <w:style w:type="paragraph" w:styleId="12">
    <w:name w:val="envelope return"/>
    <w:basedOn w:val="1"/>
    <w:qFormat/>
    <w:uiPriority w:val="0"/>
    <w:pPr>
      <w:snapToGrid w:val="0"/>
    </w:pPr>
    <w:rPr>
      <w:rFonts w:ascii="Arial" w:hAnsi="Arial"/>
    </w:rPr>
  </w:style>
  <w:style w:type="paragraph" w:styleId="13">
    <w:name w:val="toc 3"/>
    <w:basedOn w:val="1"/>
    <w:next w:val="1"/>
    <w:qFormat/>
    <w:uiPriority w:val="0"/>
    <w:pPr>
      <w:ind w:left="840" w:leftChars="400"/>
    </w:pPr>
  </w:style>
  <w:style w:type="paragraph" w:styleId="14">
    <w:name w:val="Plain Text"/>
    <w:basedOn w:val="1"/>
    <w:next w:val="1"/>
    <w:link w:val="49"/>
    <w:semiHidden/>
    <w:unhideWhenUsed/>
    <w:qFormat/>
    <w:uiPriority w:val="0"/>
    <w:pPr>
      <w:spacing w:line="240" w:lineRule="auto"/>
    </w:pPr>
    <w:rPr>
      <w:rFonts w:ascii="宋体" w:hAnsi="Courier New" w:eastAsia="方正仿宋_GB2312"/>
      <w:sz w:val="28"/>
      <w:szCs w:val="20"/>
    </w:rPr>
  </w:style>
  <w:style w:type="paragraph" w:styleId="15">
    <w:name w:val="Date"/>
    <w:basedOn w:val="1"/>
    <w:next w:val="1"/>
    <w:link w:val="50"/>
    <w:uiPriority w:val="0"/>
    <w:pPr>
      <w:ind w:left="100" w:leftChars="2500"/>
    </w:pPr>
    <w:rPr>
      <w:kern w:val="0"/>
      <w:sz w:val="24"/>
      <w:szCs w:val="20"/>
    </w:rPr>
  </w:style>
  <w:style w:type="paragraph" w:styleId="16">
    <w:name w:val="Body Text Indent 2"/>
    <w:basedOn w:val="1"/>
    <w:link w:val="51"/>
    <w:uiPriority w:val="0"/>
    <w:pPr>
      <w:spacing w:after="120" w:line="480" w:lineRule="auto"/>
      <w:ind w:left="420" w:leftChars="200"/>
    </w:pPr>
  </w:style>
  <w:style w:type="paragraph" w:styleId="17">
    <w:name w:val="Balloon Text"/>
    <w:basedOn w:val="1"/>
    <w:link w:val="52"/>
    <w:uiPriority w:val="0"/>
    <w:rPr>
      <w:kern w:val="0"/>
      <w:sz w:val="18"/>
      <w:szCs w:val="20"/>
    </w:rPr>
  </w:style>
  <w:style w:type="paragraph" w:styleId="18">
    <w:name w:val="footer"/>
    <w:basedOn w:val="1"/>
    <w:link w:val="53"/>
    <w:unhideWhenUsed/>
    <w:qFormat/>
    <w:uiPriority w:val="99"/>
    <w:pPr>
      <w:tabs>
        <w:tab w:val="center" w:pos="4153"/>
        <w:tab w:val="right" w:pos="8306"/>
      </w:tabs>
      <w:snapToGrid w:val="0"/>
      <w:jc w:val="left"/>
    </w:pPr>
    <w:rPr>
      <w:kern w:val="0"/>
      <w:sz w:val="18"/>
      <w:szCs w:val="20"/>
    </w:rPr>
  </w:style>
  <w:style w:type="paragraph" w:styleId="19">
    <w:name w:val="header"/>
    <w:basedOn w:val="1"/>
    <w:link w:val="54"/>
    <w:qFormat/>
    <w:uiPriority w:val="0"/>
    <w:pPr>
      <w:pBdr>
        <w:bottom w:val="single" w:color="auto" w:sz="6" w:space="1"/>
      </w:pBdr>
      <w:tabs>
        <w:tab w:val="center" w:pos="4153"/>
        <w:tab w:val="right" w:pos="8306"/>
      </w:tabs>
      <w:snapToGrid w:val="0"/>
      <w:jc w:val="center"/>
    </w:pPr>
    <w:rPr>
      <w:kern w:val="0"/>
      <w:sz w:val="18"/>
      <w:szCs w:val="20"/>
    </w:rPr>
  </w:style>
  <w:style w:type="paragraph" w:styleId="20">
    <w:name w:val="toc 1"/>
    <w:basedOn w:val="1"/>
    <w:next w:val="1"/>
    <w:qFormat/>
    <w:uiPriority w:val="0"/>
    <w:pPr>
      <w:tabs>
        <w:tab w:val="right" w:leader="dot" w:pos="8302"/>
      </w:tabs>
      <w:spacing w:line="432" w:lineRule="auto"/>
      <w:jc w:val="center"/>
    </w:pPr>
    <w:rPr>
      <w:rFonts w:eastAsia="宋体"/>
      <w:b/>
      <w:snapToGrid w:val="0"/>
      <w:sz w:val="24"/>
    </w:rPr>
  </w:style>
  <w:style w:type="paragraph" w:styleId="21">
    <w:name w:val="List"/>
    <w:basedOn w:val="1"/>
    <w:uiPriority w:val="0"/>
    <w:pPr>
      <w:contextualSpacing/>
      <w:jc w:val="center"/>
    </w:pPr>
    <w:rPr>
      <w:rFonts w:ascii="Times New Roman" w:hAnsi="Times New Roman" w:eastAsia="宋体" w:cs="Times New Roman"/>
    </w:rPr>
  </w:style>
  <w:style w:type="paragraph" w:styleId="22">
    <w:name w:val="Body Text Indent 3"/>
    <w:basedOn w:val="1"/>
    <w:link w:val="55"/>
    <w:uiPriority w:val="0"/>
    <w:pPr>
      <w:spacing w:after="120"/>
      <w:ind w:left="420" w:leftChars="200"/>
    </w:pPr>
    <w:rPr>
      <w:sz w:val="16"/>
      <w:szCs w:val="16"/>
    </w:rPr>
  </w:style>
  <w:style w:type="paragraph" w:styleId="23">
    <w:name w:val="toc 2"/>
    <w:basedOn w:val="1"/>
    <w:next w:val="1"/>
    <w:qFormat/>
    <w:uiPriority w:val="0"/>
    <w:pPr>
      <w:ind w:left="420" w:leftChars="200"/>
    </w:pPr>
  </w:style>
  <w:style w:type="paragraph" w:styleId="24">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5">
    <w:name w:val="Normal (Web)"/>
    <w:basedOn w:val="1"/>
    <w:link w:val="56"/>
    <w:uiPriority w:val="0"/>
    <w:pPr>
      <w:widowControl/>
      <w:spacing w:before="100" w:beforeAutospacing="1" w:after="100" w:afterAutospacing="1"/>
      <w:jc w:val="left"/>
    </w:pPr>
    <w:rPr>
      <w:rFonts w:ascii="宋体" w:hAnsi="宋体"/>
      <w:kern w:val="0"/>
      <w:sz w:val="24"/>
      <w:szCs w:val="20"/>
    </w:rPr>
  </w:style>
  <w:style w:type="paragraph" w:styleId="26">
    <w:name w:val="Title"/>
    <w:basedOn w:val="1"/>
    <w:qFormat/>
    <w:uiPriority w:val="0"/>
    <w:pPr>
      <w:spacing w:before="240" w:after="60"/>
      <w:jc w:val="center"/>
      <w:outlineLvl w:val="0"/>
    </w:pPr>
    <w:rPr>
      <w:rFonts w:ascii="Arial" w:hAnsi="Arial" w:cs="Arial"/>
      <w:b/>
      <w:bCs/>
      <w:szCs w:val="32"/>
    </w:rPr>
  </w:style>
  <w:style w:type="paragraph" w:styleId="27">
    <w:name w:val="annotation subject"/>
    <w:basedOn w:val="10"/>
    <w:next w:val="10"/>
    <w:link w:val="57"/>
    <w:uiPriority w:val="0"/>
    <w:rPr>
      <w:b/>
      <w:kern w:val="2"/>
    </w:rPr>
  </w:style>
  <w:style w:type="paragraph" w:styleId="28">
    <w:name w:val="Body Text First Indent"/>
    <w:basedOn w:val="2"/>
    <w:next w:val="1"/>
    <w:link w:val="58"/>
    <w:qFormat/>
    <w:uiPriority w:val="0"/>
    <w:pPr>
      <w:widowControl w:val="0"/>
      <w:snapToGrid/>
      <w:spacing w:before="0" w:after="120" w:line="240" w:lineRule="auto"/>
      <w:ind w:right="0" w:firstLine="420" w:firstLineChars="100"/>
    </w:pPr>
    <w:rPr>
      <w:kern w:val="2"/>
      <w:sz w:val="21"/>
      <w:szCs w:val="24"/>
    </w:rPr>
  </w:style>
  <w:style w:type="paragraph" w:styleId="29">
    <w:name w:val="Body Text First Indent 2"/>
    <w:basedOn w:val="11"/>
    <w:link w:val="59"/>
    <w:qFormat/>
    <w:uiPriority w:val="0"/>
    <w:pPr>
      <w:spacing w:line="240" w:lineRule="auto"/>
      <w:ind w:firstLine="420" w:firstLineChars="200"/>
    </w:pPr>
    <w:rPr>
      <w:kern w:val="2"/>
      <w:sz w:val="21"/>
      <w:szCs w:val="24"/>
    </w:rPr>
  </w:style>
  <w:style w:type="table" w:styleId="31">
    <w:name w:val="Table Grid"/>
    <w:basedOn w:val="30"/>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0"/>
    <w:rPr>
      <w:b/>
    </w:rPr>
  </w:style>
  <w:style w:type="character" w:styleId="34">
    <w:name w:val="page number"/>
    <w:uiPriority w:val="0"/>
  </w:style>
  <w:style w:type="character" w:styleId="35">
    <w:name w:val="FollowedHyperlink"/>
    <w:qFormat/>
    <w:uiPriority w:val="0"/>
    <w:rPr>
      <w:rFonts w:hint="eastAsia" w:ascii="微软雅黑" w:hAnsi="微软雅黑" w:eastAsia="微软雅黑" w:cs="微软雅黑"/>
      <w:color w:val="000000"/>
      <w:u w:val="none"/>
    </w:rPr>
  </w:style>
  <w:style w:type="character" w:styleId="36">
    <w:name w:val="Emphasis"/>
    <w:qFormat/>
    <w:uiPriority w:val="0"/>
    <w:rPr>
      <w:rFonts w:ascii="Times New Roman" w:hAnsi="Times New Roman" w:eastAsia="宋体" w:cs="Times New Roman"/>
      <w:i/>
    </w:rPr>
  </w:style>
  <w:style w:type="character" w:styleId="37">
    <w:name w:val="HTML Definition"/>
    <w:qFormat/>
    <w:uiPriority w:val="0"/>
  </w:style>
  <w:style w:type="character" w:styleId="38">
    <w:name w:val="HTML Variable"/>
    <w:qFormat/>
    <w:uiPriority w:val="0"/>
  </w:style>
  <w:style w:type="character" w:styleId="39">
    <w:name w:val="Hyperlink"/>
    <w:basedOn w:val="32"/>
    <w:unhideWhenUsed/>
    <w:qFormat/>
    <w:uiPriority w:val="99"/>
    <w:rPr>
      <w:rFonts w:hint="eastAsia" w:ascii="微软雅黑" w:hAnsi="微软雅黑" w:eastAsia="微软雅黑" w:cs="微软雅黑"/>
      <w:color w:val="000000"/>
      <w:u w:val="none"/>
    </w:rPr>
  </w:style>
  <w:style w:type="character" w:styleId="40">
    <w:name w:val="HTML Code"/>
    <w:qFormat/>
    <w:uiPriority w:val="0"/>
    <w:rPr>
      <w:rFonts w:ascii="Courier New" w:hAnsi="Courier New"/>
      <w:sz w:val="20"/>
    </w:rPr>
  </w:style>
  <w:style w:type="character" w:styleId="41">
    <w:name w:val="annotation reference"/>
    <w:basedOn w:val="32"/>
    <w:qFormat/>
    <w:uiPriority w:val="0"/>
    <w:rPr>
      <w:sz w:val="21"/>
    </w:rPr>
  </w:style>
  <w:style w:type="character" w:styleId="42">
    <w:name w:val="HTML Cite"/>
    <w:qFormat/>
    <w:uiPriority w:val="0"/>
  </w:style>
  <w:style w:type="character" w:customStyle="1" w:styleId="43">
    <w:name w:val="标题 1 字符"/>
    <w:link w:val="3"/>
    <w:qFormat/>
    <w:uiPriority w:val="9"/>
    <w:rPr>
      <w:rFonts w:ascii="Times New Roman" w:hAnsi="Times New Roman" w:eastAsia="宋体"/>
      <w:b/>
      <w:bCs/>
      <w:color w:val="000000"/>
      <w:kern w:val="44"/>
      <w:sz w:val="30"/>
      <w:szCs w:val="30"/>
    </w:rPr>
  </w:style>
  <w:style w:type="character" w:customStyle="1" w:styleId="44">
    <w:name w:val="正文缩进 字符"/>
    <w:link w:val="7"/>
    <w:qFormat/>
    <w:locked/>
    <w:uiPriority w:val="0"/>
    <w:rPr>
      <w:kern w:val="2"/>
      <w:sz w:val="24"/>
      <w:szCs w:val="22"/>
    </w:rPr>
  </w:style>
  <w:style w:type="character" w:customStyle="1" w:styleId="45">
    <w:name w:val="文档结构图 字符"/>
    <w:link w:val="9"/>
    <w:qFormat/>
    <w:uiPriority w:val="0"/>
    <w:rPr>
      <w:rFonts w:ascii="宋体"/>
      <w:kern w:val="2"/>
      <w:sz w:val="18"/>
      <w:szCs w:val="18"/>
    </w:rPr>
  </w:style>
  <w:style w:type="character" w:customStyle="1" w:styleId="46">
    <w:name w:val="批注文字 字符"/>
    <w:basedOn w:val="32"/>
    <w:link w:val="10"/>
    <w:qFormat/>
    <w:locked/>
    <w:uiPriority w:val="0"/>
    <w:rPr>
      <w:rFonts w:ascii="Times New Roman" w:hAnsi="Times New Roman" w:eastAsia="宋体"/>
      <w:sz w:val="24"/>
    </w:rPr>
  </w:style>
  <w:style w:type="character" w:customStyle="1" w:styleId="47">
    <w:name w:val="正文文本 字符"/>
    <w:basedOn w:val="32"/>
    <w:link w:val="2"/>
    <w:qFormat/>
    <w:locked/>
    <w:uiPriority w:val="0"/>
    <w:rPr>
      <w:sz w:val="18"/>
    </w:rPr>
  </w:style>
  <w:style w:type="character" w:customStyle="1" w:styleId="48">
    <w:name w:val="正文文本缩进 字符"/>
    <w:basedOn w:val="32"/>
    <w:link w:val="11"/>
    <w:semiHidden/>
    <w:qFormat/>
    <w:locked/>
    <w:uiPriority w:val="0"/>
    <w:rPr>
      <w:rFonts w:ascii="Times New Roman" w:hAnsi="Times New Roman" w:eastAsia="宋体"/>
      <w:sz w:val="24"/>
    </w:rPr>
  </w:style>
  <w:style w:type="character" w:customStyle="1" w:styleId="49">
    <w:name w:val="纯文本 字符"/>
    <w:basedOn w:val="32"/>
    <w:link w:val="14"/>
    <w:qFormat/>
    <w:locked/>
    <w:uiPriority w:val="0"/>
    <w:rPr>
      <w:rFonts w:ascii="宋体" w:hAnsi="Courier New" w:eastAsia="方正仿宋_GB2312"/>
      <w:kern w:val="2"/>
      <w:sz w:val="28"/>
    </w:rPr>
  </w:style>
  <w:style w:type="character" w:customStyle="1" w:styleId="50">
    <w:name w:val="日期 字符1"/>
    <w:link w:val="15"/>
    <w:qFormat/>
    <w:locked/>
    <w:uiPriority w:val="0"/>
    <w:rPr>
      <w:rFonts w:ascii="Times New Roman" w:hAnsi="Times New Roman" w:eastAsia="宋体"/>
      <w:sz w:val="24"/>
    </w:rPr>
  </w:style>
  <w:style w:type="character" w:customStyle="1" w:styleId="51">
    <w:name w:val="正文文本缩进 2 字符"/>
    <w:link w:val="16"/>
    <w:qFormat/>
    <w:uiPriority w:val="0"/>
    <w:rPr>
      <w:kern w:val="2"/>
      <w:sz w:val="21"/>
      <w:szCs w:val="24"/>
    </w:rPr>
  </w:style>
  <w:style w:type="character" w:customStyle="1" w:styleId="52">
    <w:name w:val="批注框文本 字符"/>
    <w:basedOn w:val="32"/>
    <w:link w:val="17"/>
    <w:semiHidden/>
    <w:qFormat/>
    <w:locked/>
    <w:uiPriority w:val="0"/>
    <w:rPr>
      <w:rFonts w:ascii="Times New Roman" w:hAnsi="Times New Roman" w:eastAsia="宋体"/>
      <w:sz w:val="18"/>
    </w:rPr>
  </w:style>
  <w:style w:type="character" w:customStyle="1" w:styleId="53">
    <w:name w:val="页脚 字符1"/>
    <w:link w:val="18"/>
    <w:qFormat/>
    <w:locked/>
    <w:uiPriority w:val="99"/>
    <w:rPr>
      <w:sz w:val="18"/>
    </w:rPr>
  </w:style>
  <w:style w:type="character" w:customStyle="1" w:styleId="54">
    <w:name w:val="页眉 字符"/>
    <w:basedOn w:val="32"/>
    <w:link w:val="19"/>
    <w:qFormat/>
    <w:locked/>
    <w:uiPriority w:val="0"/>
    <w:rPr>
      <w:sz w:val="18"/>
    </w:rPr>
  </w:style>
  <w:style w:type="character" w:customStyle="1" w:styleId="55">
    <w:name w:val="正文文本缩进 3 字符"/>
    <w:link w:val="22"/>
    <w:qFormat/>
    <w:uiPriority w:val="0"/>
    <w:rPr>
      <w:kern w:val="2"/>
      <w:sz w:val="16"/>
      <w:szCs w:val="16"/>
    </w:rPr>
  </w:style>
  <w:style w:type="character" w:customStyle="1" w:styleId="56">
    <w:name w:val="普通(网站) 字符"/>
    <w:basedOn w:val="32"/>
    <w:link w:val="25"/>
    <w:qFormat/>
    <w:locked/>
    <w:uiPriority w:val="0"/>
    <w:rPr>
      <w:rFonts w:ascii="宋体" w:hAnsi="宋体" w:eastAsia="宋体"/>
      <w:sz w:val="24"/>
    </w:rPr>
  </w:style>
  <w:style w:type="character" w:customStyle="1" w:styleId="57">
    <w:name w:val="批注主题 字符"/>
    <w:basedOn w:val="46"/>
    <w:link w:val="27"/>
    <w:semiHidden/>
    <w:qFormat/>
    <w:locked/>
    <w:uiPriority w:val="0"/>
    <w:rPr>
      <w:rFonts w:ascii="Times New Roman" w:hAnsi="Times New Roman" w:eastAsia="宋体"/>
      <w:b/>
      <w:kern w:val="2"/>
      <w:sz w:val="24"/>
    </w:rPr>
  </w:style>
  <w:style w:type="character" w:customStyle="1" w:styleId="58">
    <w:name w:val="正文文本首行缩进 字符"/>
    <w:link w:val="28"/>
    <w:qFormat/>
    <w:uiPriority w:val="0"/>
    <w:rPr>
      <w:kern w:val="2"/>
      <w:sz w:val="21"/>
      <w:szCs w:val="24"/>
    </w:rPr>
  </w:style>
  <w:style w:type="character" w:customStyle="1" w:styleId="59">
    <w:name w:val="正文文本首行缩进 2 字符"/>
    <w:basedOn w:val="48"/>
    <w:link w:val="29"/>
    <w:qFormat/>
    <w:locked/>
    <w:uiPriority w:val="0"/>
    <w:rPr>
      <w:rFonts w:ascii="Times New Roman" w:hAnsi="Times New Roman" w:eastAsia="宋体"/>
      <w:kern w:val="2"/>
      <w:sz w:val="21"/>
      <w:szCs w:val="24"/>
    </w:rPr>
  </w:style>
  <w:style w:type="paragraph" w:customStyle="1" w:styleId="60">
    <w:name w:val="样式 正文文本缩进 + 行距: 1.5 倍行距"/>
    <w:basedOn w:val="1"/>
    <w:qFormat/>
    <w:uiPriority w:val="0"/>
    <w:pPr>
      <w:spacing w:after="120"/>
      <w:ind w:left="90" w:leftChars="32" w:firstLine="560"/>
    </w:pPr>
  </w:style>
  <w:style w:type="paragraph" w:customStyle="1" w:styleId="61">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character" w:customStyle="1" w:styleId="62">
    <w:name w:val="页脚 字符"/>
    <w:qFormat/>
    <w:uiPriority w:val="99"/>
  </w:style>
  <w:style w:type="character" w:customStyle="1" w:styleId="63">
    <w:name w:val="正文文本 字符1"/>
    <w:semiHidden/>
    <w:qFormat/>
    <w:uiPriority w:val="0"/>
    <w:rPr>
      <w:rFonts w:ascii="Times New Roman" w:hAnsi="Times New Roman" w:eastAsia="宋体"/>
      <w:sz w:val="24"/>
    </w:rPr>
  </w:style>
  <w:style w:type="character" w:customStyle="1" w:styleId="64">
    <w:name w:val="表格 Char"/>
    <w:link w:val="65"/>
    <w:qFormat/>
    <w:locked/>
    <w:uiPriority w:val="0"/>
    <w:rPr>
      <w:rFonts w:ascii="宋体"/>
      <w:sz w:val="21"/>
    </w:rPr>
  </w:style>
  <w:style w:type="paragraph" w:customStyle="1" w:styleId="65">
    <w:name w:val="表格"/>
    <w:basedOn w:val="7"/>
    <w:link w:val="64"/>
    <w:qFormat/>
    <w:uiPriority w:val="0"/>
    <w:pPr>
      <w:adjustRightInd w:val="0"/>
      <w:snapToGrid w:val="0"/>
      <w:spacing w:beforeLines="10" w:afterLines="10" w:line="259" w:lineRule="auto"/>
      <w:jc w:val="center"/>
    </w:pPr>
    <w:rPr>
      <w:rFonts w:ascii="宋体"/>
      <w:kern w:val="0"/>
      <w:szCs w:val="20"/>
    </w:rPr>
  </w:style>
  <w:style w:type="character" w:customStyle="1" w:styleId="66">
    <w:name w:val="日期 字符"/>
    <w:semiHidden/>
    <w:qFormat/>
    <w:uiPriority w:val="0"/>
    <w:rPr>
      <w:rFonts w:ascii="Times New Roman" w:hAnsi="Times New Roman" w:eastAsia="宋体"/>
      <w:sz w:val="24"/>
    </w:rPr>
  </w:style>
  <w:style w:type="character" w:customStyle="1" w:styleId="67">
    <w:name w:val="批注文字 字符1"/>
    <w:semiHidden/>
    <w:qFormat/>
    <w:uiPriority w:val="0"/>
    <w:rPr>
      <w:rFonts w:ascii="Times New Roman" w:hAnsi="Times New Roman" w:eastAsia="宋体"/>
      <w:sz w:val="24"/>
    </w:rPr>
  </w:style>
  <w:style w:type="paragraph" w:customStyle="1" w:styleId="68">
    <w:name w:val="正文_10"/>
    <w:qFormat/>
    <w:uiPriority w:val="0"/>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69">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70">
    <w:name w:val="Default"/>
    <w:basedOn w:val="71"/>
    <w:qFormat/>
    <w:uiPriority w:val="0"/>
    <w:pPr>
      <w:widowControl w:val="0"/>
      <w:autoSpaceDE w:val="0"/>
      <w:autoSpaceDN w:val="0"/>
      <w:adjustRightInd w:val="0"/>
      <w:spacing w:line="360" w:lineRule="auto"/>
      <w:jc w:val="center"/>
    </w:pPr>
    <w:rPr>
      <w:rFonts w:ascii="宋体" w:hAnsi="宋体" w:cs="宋体"/>
      <w:color w:val="000000"/>
      <w:sz w:val="24"/>
      <w:szCs w:val="24"/>
      <w:lang w:val="en-US" w:eastAsia="zh-CN" w:bidi="ar-SA"/>
    </w:rPr>
  </w:style>
  <w:style w:type="paragraph" w:customStyle="1" w:styleId="71">
    <w:name w:val="纯文本1"/>
    <w:basedOn w:val="1"/>
    <w:qFormat/>
    <w:uiPriority w:val="0"/>
    <w:pPr>
      <w:adjustRightInd w:val="0"/>
    </w:pPr>
    <w:rPr>
      <w:rFonts w:ascii="宋体" w:hAnsi="Courier New"/>
      <w:szCs w:val="20"/>
    </w:rPr>
  </w:style>
  <w:style w:type="paragraph" w:customStyle="1" w:styleId="72">
    <w:name w:val="表格内容"/>
    <w:basedOn w:val="1"/>
    <w:qFormat/>
    <w:uiPriority w:val="0"/>
    <w:pPr>
      <w:autoSpaceDE w:val="0"/>
      <w:autoSpaceDN w:val="0"/>
      <w:adjustRightInd w:val="0"/>
      <w:spacing w:line="240" w:lineRule="exact"/>
      <w:jc w:val="left"/>
      <w:outlineLvl w:val="7"/>
    </w:pPr>
    <w:rPr>
      <w:kern w:val="0"/>
      <w:sz w:val="24"/>
    </w:rPr>
  </w:style>
  <w:style w:type="paragraph" w:customStyle="1" w:styleId="73">
    <w:name w:val="标题三"/>
    <w:basedOn w:val="1"/>
    <w:qFormat/>
    <w:uiPriority w:val="99"/>
    <w:pPr>
      <w:adjustRightInd w:val="0"/>
      <w:spacing w:line="360" w:lineRule="auto"/>
      <w:ind w:firstLine="176"/>
      <w:jc w:val="left"/>
      <w:outlineLvl w:val="2"/>
    </w:pPr>
    <w:rPr>
      <w:b/>
      <w:kern w:val="0"/>
      <w:sz w:val="30"/>
    </w:rPr>
  </w:style>
  <w:style w:type="paragraph" w:customStyle="1" w:styleId="74">
    <w:name w:val="正文 New New New"/>
    <w:qFormat/>
    <w:uiPriority w:val="0"/>
    <w:pPr>
      <w:widowControl w:val="0"/>
      <w:jc w:val="both"/>
    </w:pPr>
    <w:rPr>
      <w:rFonts w:ascii="Calibri" w:hAnsi="Calibri" w:eastAsia="宋体" w:cs="Times New Roman"/>
      <w:kern w:val="2"/>
      <w:sz w:val="21"/>
      <w:lang w:val="en-US" w:eastAsia="zh-CN" w:bidi="ar-SA"/>
    </w:rPr>
  </w:style>
  <w:style w:type="character" w:customStyle="1" w:styleId="75">
    <w:name w:val="表头 Char"/>
    <w:link w:val="76"/>
    <w:qFormat/>
    <w:locked/>
    <w:uiPriority w:val="0"/>
    <w:rPr>
      <w:b/>
      <w:color w:val="FF0000"/>
      <w:sz w:val="24"/>
      <w:szCs w:val="24"/>
    </w:rPr>
  </w:style>
  <w:style w:type="paragraph" w:customStyle="1" w:styleId="76">
    <w:name w:val="表头"/>
    <w:basedOn w:val="21"/>
    <w:next w:val="1"/>
    <w:link w:val="75"/>
    <w:qFormat/>
    <w:uiPriority w:val="0"/>
    <w:pPr>
      <w:widowControl/>
      <w:jc w:val="center"/>
    </w:pPr>
    <w:rPr>
      <w:b/>
      <w:color w:val="FF0000"/>
      <w:kern w:val="0"/>
      <w:sz w:val="24"/>
    </w:rPr>
  </w:style>
  <w:style w:type="character" w:customStyle="1" w:styleId="77">
    <w:name w:val="表题 Char Char"/>
    <w:link w:val="78"/>
    <w:qFormat/>
    <w:locked/>
    <w:uiPriority w:val="0"/>
    <w:rPr>
      <w:color w:val="000000"/>
      <w:sz w:val="24"/>
      <w:szCs w:val="24"/>
    </w:rPr>
  </w:style>
  <w:style w:type="paragraph" w:customStyle="1" w:styleId="78">
    <w:name w:val="表题"/>
    <w:basedOn w:val="1"/>
    <w:link w:val="77"/>
    <w:qFormat/>
    <w:uiPriority w:val="0"/>
    <w:pPr>
      <w:tabs>
        <w:tab w:val="left" w:pos="720"/>
      </w:tabs>
      <w:adjustRightInd w:val="0"/>
      <w:snapToGrid w:val="0"/>
      <w:spacing w:line="280" w:lineRule="exact"/>
      <w:ind w:left="-105" w:leftChars="-50" w:right="-105" w:rightChars="-50"/>
      <w:jc w:val="center"/>
    </w:pPr>
    <w:rPr>
      <w:color w:val="000000"/>
      <w:kern w:val="0"/>
      <w:sz w:val="24"/>
    </w:rPr>
  </w:style>
  <w:style w:type="character" w:customStyle="1" w:styleId="79">
    <w:name w:val="纯文本 Char"/>
    <w:qFormat/>
    <w:uiPriority w:val="0"/>
    <w:rPr>
      <w:rFonts w:ascii="宋体" w:hAnsi="Courier New" w:cs="Courier New"/>
      <w:kern w:val="2"/>
      <w:sz w:val="21"/>
      <w:szCs w:val="21"/>
    </w:rPr>
  </w:style>
  <w:style w:type="character" w:customStyle="1" w:styleId="80">
    <w:name w:val="正文首行缩进 2 Char"/>
    <w:qFormat/>
    <w:uiPriority w:val="0"/>
    <w:rPr>
      <w:rFonts w:ascii="Times New Roman" w:hAnsi="Times New Roman" w:eastAsia="宋体"/>
      <w:kern w:val="2"/>
      <w:sz w:val="21"/>
      <w:szCs w:val="24"/>
    </w:rPr>
  </w:style>
  <w:style w:type="paragraph" w:customStyle="1" w:styleId="81">
    <w:name w:val="正文A"/>
    <w:qFormat/>
    <w:uiPriority w:val="0"/>
    <w:pPr>
      <w:widowControl w:val="0"/>
      <w:tabs>
        <w:tab w:val="left" w:pos="0"/>
      </w:tabs>
      <w:adjustRightInd w:val="0"/>
      <w:snapToGrid w:val="0"/>
      <w:spacing w:line="360" w:lineRule="auto"/>
      <w:ind w:firstLine="200" w:firstLineChars="200"/>
      <w:jc w:val="both"/>
    </w:pPr>
    <w:rPr>
      <w:rFonts w:ascii="Times New Roman" w:hAnsi="Times New Roman" w:eastAsia="宋体" w:cs="Times New Roman"/>
      <w:sz w:val="24"/>
      <w:lang w:val="en-US" w:eastAsia="zh-CN" w:bidi="ar-SA"/>
    </w:rPr>
  </w:style>
  <w:style w:type="character" w:customStyle="1" w:styleId="82">
    <w:name w:val="_Style 81"/>
    <w:unhideWhenUsed/>
    <w:qFormat/>
    <w:uiPriority w:val="99"/>
    <w:rPr>
      <w:color w:val="605E5C"/>
      <w:shd w:val="clear" w:color="auto" w:fill="E1DFDD"/>
    </w:rPr>
  </w:style>
  <w:style w:type="character" w:customStyle="1" w:styleId="83">
    <w:name w:val="正文上标 Char"/>
    <w:link w:val="84"/>
    <w:qFormat/>
    <w:uiPriority w:val="0"/>
    <w:rPr>
      <w:rFonts w:ascii="Times New Roman" w:hAnsi="Times New Roman"/>
      <w:bCs/>
      <w:color w:val="auto"/>
      <w:kern w:val="44"/>
      <w:sz w:val="24"/>
      <w:szCs w:val="30"/>
      <w:vertAlign w:val="superscript"/>
    </w:rPr>
  </w:style>
  <w:style w:type="paragraph" w:customStyle="1" w:styleId="84">
    <w:name w:val="正文上标"/>
    <w:basedOn w:val="1"/>
    <w:link w:val="83"/>
    <w:qFormat/>
    <w:uiPriority w:val="0"/>
    <w:pPr>
      <w:keepNext/>
      <w:overflowPunct w:val="0"/>
      <w:adjustRightInd w:val="0"/>
      <w:snapToGrid w:val="0"/>
      <w:ind w:firstLine="0" w:firstLineChars="0"/>
      <w:jc w:val="left"/>
      <w:outlineLvl w:val="9"/>
    </w:pPr>
    <w:rPr>
      <w:rFonts w:ascii="Times New Roman" w:hAnsi="Times New Roman"/>
      <w:bCs/>
      <w:color w:val="auto"/>
      <w:kern w:val="44"/>
      <w:sz w:val="24"/>
      <w:szCs w:val="30"/>
      <w:vertAlign w:val="superscript"/>
    </w:rPr>
  </w:style>
  <w:style w:type="paragraph" w:customStyle="1" w:styleId="85">
    <w:name w:val="gf正文"/>
    <w:basedOn w:val="1"/>
    <w:qFormat/>
    <w:uiPriority w:val="0"/>
    <w:pPr>
      <w:adjustRightInd w:val="0"/>
      <w:snapToGrid w:val="0"/>
      <w:spacing w:line="520" w:lineRule="exact"/>
      <w:ind w:firstLine="200" w:firstLineChars="200"/>
    </w:pPr>
    <w:rPr>
      <w:iCs/>
      <w:sz w:val="24"/>
    </w:rPr>
  </w:style>
  <w:style w:type="paragraph" w:customStyle="1" w:styleId="86">
    <w:name w:val="图表标题"/>
    <w:basedOn w:val="1"/>
    <w:qFormat/>
    <w:uiPriority w:val="0"/>
    <w:pPr>
      <w:autoSpaceDE w:val="0"/>
      <w:autoSpaceDN w:val="0"/>
      <w:adjustRightInd w:val="0"/>
      <w:snapToGrid w:val="0"/>
      <w:spacing w:line="240" w:lineRule="auto"/>
      <w:ind w:firstLine="0" w:firstLineChars="0"/>
      <w:jc w:val="center"/>
    </w:pPr>
    <w:rPr>
      <w:rFonts w:hint="eastAsia" w:cs="宋体"/>
      <w:b/>
      <w:kern w:val="0"/>
      <w:sz w:val="24"/>
      <w:szCs w:val="21"/>
    </w:rPr>
  </w:style>
  <w:style w:type="paragraph" w:customStyle="1" w:styleId="87">
    <w:name w:val="表内1"/>
    <w:basedOn w:val="1"/>
    <w:qFormat/>
    <w:uiPriority w:val="0"/>
    <w:pPr>
      <w:autoSpaceDE w:val="0"/>
      <w:autoSpaceDN w:val="0"/>
      <w:adjustRightInd w:val="0"/>
      <w:snapToGrid w:val="0"/>
      <w:spacing w:line="240" w:lineRule="auto"/>
      <w:ind w:firstLine="0" w:firstLineChars="0"/>
      <w:jc w:val="both"/>
    </w:pPr>
    <w:rPr>
      <w:rFonts w:cs="宋体"/>
      <w:spacing w:val="20"/>
      <w:kern w:val="0"/>
      <w:sz w:val="21"/>
      <w:szCs w:val="21"/>
    </w:rPr>
  </w:style>
  <w:style w:type="character" w:customStyle="1" w:styleId="88">
    <w:name w:val="NormalCharacter"/>
    <w:qFormat/>
    <w:uiPriority w:val="0"/>
  </w:style>
  <w:style w:type="character" w:customStyle="1" w:styleId="89">
    <w:name w:val="图表上标 Char"/>
    <w:link w:val="90"/>
    <w:qFormat/>
    <w:uiPriority w:val="0"/>
    <w:rPr>
      <w:rFonts w:ascii="Times New Roman" w:hAnsi="Times New Roman"/>
      <w:color w:val="auto"/>
      <w:spacing w:val="23"/>
      <w:kern w:val="0"/>
      <w:sz w:val="21"/>
      <w:szCs w:val="21"/>
      <w:vertAlign w:val="superscript"/>
    </w:rPr>
  </w:style>
  <w:style w:type="paragraph" w:customStyle="1" w:styleId="90">
    <w:name w:val="图表上标"/>
    <w:basedOn w:val="1"/>
    <w:link w:val="89"/>
    <w:qFormat/>
    <w:uiPriority w:val="0"/>
    <w:pPr>
      <w:autoSpaceDE w:val="0"/>
      <w:autoSpaceDN w:val="0"/>
      <w:adjustRightInd w:val="0"/>
      <w:snapToGrid w:val="0"/>
      <w:spacing w:line="240" w:lineRule="auto"/>
      <w:ind w:firstLine="0" w:firstLineChars="0"/>
      <w:jc w:val="center"/>
    </w:pPr>
    <w:rPr>
      <w:rFonts w:ascii="Times New Roman" w:hAnsi="Times New Roman"/>
      <w:color w:val="auto"/>
      <w:spacing w:val="23"/>
      <w:kern w:val="0"/>
      <w:sz w:val="21"/>
      <w:szCs w:val="21"/>
      <w:vertAlign w:val="superscript"/>
    </w:rPr>
  </w:style>
  <w:style w:type="table" w:customStyle="1" w:styleId="91">
    <w:name w:val="Table Normal"/>
    <w:unhideWhenUsed/>
    <w:qFormat/>
    <w:uiPriority w:val="2"/>
    <w:pPr>
      <w:widowControl w:val="0"/>
      <w:autoSpaceDE w:val="0"/>
      <w:autoSpaceDN w:val="0"/>
    </w:pPr>
    <w:rPr>
      <w:sz w:val="22"/>
      <w:lang w:val="en-US" w:eastAsia="en-US" w:bidi="ar-SA"/>
    </w:rPr>
    <w:tblPr>
      <w:tblCellMar>
        <w:top w:w="0" w:type="dxa"/>
        <w:left w:w="0" w:type="dxa"/>
        <w:bottom w:w="0" w:type="dxa"/>
        <w:right w:w="0" w:type="dxa"/>
      </w:tblCellMar>
    </w:tblPr>
  </w:style>
  <w:style w:type="paragraph" w:customStyle="1" w:styleId="92">
    <w:name w:val="Table Paragraph"/>
    <w:basedOn w:val="1"/>
    <w:qFormat/>
    <w:uiPriority w:val="1"/>
    <w:pPr>
      <w:autoSpaceDE w:val="0"/>
      <w:autoSpaceDN w:val="0"/>
      <w:adjustRightInd w:val="0"/>
      <w:jc w:val="left"/>
    </w:pPr>
    <w:rPr>
      <w:rFonts w:eastAsia="宋体"/>
      <w:kern w:val="0"/>
      <w:sz w:val="24"/>
    </w:rPr>
  </w:style>
  <w:style w:type="paragraph" w:customStyle="1" w:styleId="93">
    <w:name w:val="样式 样式 正文缩进s4 + 首行缩进:  2 字符 + 首行缩进:  2 字符"/>
    <w:basedOn w:val="1"/>
    <w:qFormat/>
    <w:uiPriority w:val="0"/>
    <w:rPr>
      <w:rFonts w:ascii="宋体" w:hAnsi="宋体" w:eastAsia="宋体" w:cs="Times New Roman"/>
      <w:sz w:val="24"/>
    </w:rPr>
  </w:style>
  <w:style w:type="paragraph" w:customStyle="1" w:styleId="94">
    <w:name w:val="表头."/>
    <w:basedOn w:val="1"/>
    <w:qFormat/>
    <w:uiPriority w:val="0"/>
    <w:pPr>
      <w:spacing w:before="60" w:after="60" w:line="380" w:lineRule="exact"/>
      <w:jc w:val="center"/>
    </w:pPr>
    <w:rPr>
      <w:rFonts w:cs="宋体"/>
      <w:b/>
      <w:bCs/>
      <w:sz w:val="24"/>
      <w:szCs w:val="20"/>
    </w:rPr>
  </w:style>
  <w:style w:type="paragraph" w:customStyle="1" w:styleId="95">
    <w:name w:val="正文（报告表）_"/>
    <w:basedOn w:val="1"/>
    <w:qFormat/>
    <w:uiPriority w:val="0"/>
    <w:pPr>
      <w:spacing w:line="400" w:lineRule="atLeast"/>
      <w:ind w:firstLine="200" w:firstLineChars="200"/>
    </w:pPr>
    <w:rPr>
      <w:sz w:val="24"/>
    </w:rPr>
  </w:style>
  <w:style w:type="paragraph" w:customStyle="1" w:styleId="96">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7">
    <w:name w:val="font41"/>
    <w:basedOn w:val="32"/>
    <w:qFormat/>
    <w:uiPriority w:val="0"/>
    <w:rPr>
      <w:rFonts w:hint="eastAsia" w:ascii="宋体" w:hAnsi="宋体" w:eastAsia="宋体" w:cs="宋体"/>
      <w:b/>
      <w:color w:val="000000"/>
      <w:kern w:val="0"/>
      <w:sz w:val="21"/>
      <w:szCs w:val="21"/>
      <w:u w:val="none"/>
      <w:lang w:eastAsia="en-US"/>
    </w:rPr>
  </w:style>
  <w:style w:type="character" w:customStyle="1" w:styleId="98">
    <w:name w:val="font61"/>
    <w:basedOn w:val="32"/>
    <w:qFormat/>
    <w:uiPriority w:val="0"/>
    <w:rPr>
      <w:rFonts w:hint="eastAsia" w:ascii="宋体" w:hAnsi="宋体" w:eastAsia="宋体" w:cs="宋体"/>
      <w:color w:val="000000"/>
      <w:sz w:val="20"/>
      <w:szCs w:val="20"/>
      <w:u w:val="none"/>
    </w:rPr>
  </w:style>
  <w:style w:type="paragraph" w:customStyle="1" w:styleId="99">
    <w:name w:val="正文（标准）"/>
    <w:basedOn w:val="1"/>
    <w:next w:val="1"/>
    <w:semiHidden/>
    <w:qFormat/>
    <w:uiPriority w:val="99"/>
    <w:pPr>
      <w:ind w:firstLine="525"/>
    </w:pPr>
    <w:rPr>
      <w:rFonts w:ascii="宋体" w:hAnsi="宋体"/>
    </w:rPr>
  </w:style>
  <w:style w:type="paragraph" w:customStyle="1" w:styleId="100">
    <w:name w:val="列出段落1"/>
    <w:basedOn w:val="1"/>
    <w:qFormat/>
    <w:uiPriority w:val="0"/>
    <w:pPr>
      <w:widowControl/>
      <w:spacing w:before="100" w:beforeAutospacing="1" w:after="100" w:afterAutospacing="1" w:line="60" w:lineRule="auto"/>
      <w:ind w:firstLine="420" w:firstLineChars="200"/>
      <w:jc w:val="left"/>
    </w:pPr>
    <w:rPr>
      <w:bCs/>
      <w:kern w:val="0"/>
    </w:rPr>
  </w:style>
  <w:style w:type="paragraph" w:customStyle="1" w:styleId="101">
    <w:name w:val="p0"/>
    <w:basedOn w:val="1"/>
    <w:qFormat/>
    <w:uiPriority w:val="0"/>
    <w:pPr>
      <w:widowControl/>
    </w:pPr>
    <w:rPr>
      <w:rFonts w:ascii="Times New Roman" w:hAnsi="Times New Roman"/>
      <w:kern w:val="0"/>
      <w:szCs w:val="21"/>
    </w:rPr>
  </w:style>
  <w:style w:type="paragraph" w:customStyle="1" w:styleId="102">
    <w:name w:val="正文1"/>
    <w:basedOn w:val="1"/>
    <w:qFormat/>
    <w:uiPriority w:val="0"/>
    <w:pPr>
      <w:widowControl/>
      <w:spacing w:line="360" w:lineRule="auto"/>
      <w:ind w:firstLine="200" w:firstLineChars="200"/>
      <w:jc w:val="left"/>
    </w:pPr>
    <w:rPr>
      <w:kern w:val="0"/>
      <w:sz w:val="24"/>
    </w:rPr>
  </w:style>
  <w:style w:type="paragraph" w:styleId="103">
    <w:name w:val="List Paragraph"/>
    <w:basedOn w:val="1"/>
    <w:qFormat/>
    <w:uiPriority w:val="34"/>
    <w:pPr>
      <w:ind w:firstLine="420"/>
    </w:pPr>
  </w:style>
  <w:style w:type="paragraph" w:customStyle="1" w:styleId="104">
    <w:name w:val="列表段落1"/>
    <w:basedOn w:val="1"/>
    <w:qFormat/>
    <w:uiPriority w:val="0"/>
    <w:pPr>
      <w:widowControl/>
      <w:spacing w:before="100" w:beforeAutospacing="1" w:after="100" w:afterAutospacing="1" w:line="60" w:lineRule="auto"/>
      <w:ind w:firstLine="420" w:firstLineChars="200"/>
      <w:jc w:val="left"/>
    </w:pPr>
    <w:rPr>
      <w:bCs/>
      <w:kern w:val="0"/>
    </w:rPr>
  </w:style>
  <w:style w:type="paragraph" w:customStyle="1" w:styleId="105">
    <w:name w:val="样式 正文（首行缩进两字） + 首行缩进:  2 字符"/>
    <w:basedOn w:val="7"/>
    <w:qFormat/>
    <w:uiPriority w:val="0"/>
    <w:pPr>
      <w:spacing w:line="360" w:lineRule="auto"/>
      <w:ind w:firstLine="616"/>
    </w:pPr>
    <w:rPr>
      <w:kern w:val="0"/>
      <w:szCs w:val="20"/>
    </w:rPr>
  </w:style>
  <w:style w:type="paragraph" w:customStyle="1" w:styleId="106">
    <w:name w:val="文本正文"/>
    <w:basedOn w:val="1"/>
    <w:next w:val="1"/>
    <w:qFormat/>
    <w:uiPriority w:val="0"/>
    <w:pPr>
      <w:snapToGrid/>
      <w:spacing w:line="288" w:lineRule="auto"/>
      <w:ind w:firstLine="200"/>
    </w:pPr>
    <w:rPr>
      <w:rFonts w:hint="default"/>
      <w:sz w:val="28"/>
    </w:rPr>
  </w:style>
  <w:style w:type="character" w:customStyle="1" w:styleId="107">
    <w:name w:val="nth-child(1)"/>
    <w:qFormat/>
    <w:uiPriority w:val="0"/>
    <w:rPr>
      <w:color w:val="4D4D4D"/>
    </w:rPr>
  </w:style>
  <w:style w:type="character" w:customStyle="1" w:styleId="108">
    <w:name w:val="nth-child(1)1"/>
    <w:qFormat/>
    <w:uiPriority w:val="0"/>
    <w:rPr>
      <w:color w:val="4D4D4D"/>
    </w:rPr>
  </w:style>
  <w:style w:type="character" w:customStyle="1" w:styleId="109">
    <w:name w:val="nth-child(1)2"/>
    <w:qFormat/>
    <w:uiPriority w:val="0"/>
  </w:style>
  <w:style w:type="character" w:customStyle="1" w:styleId="110">
    <w:name w:val="zwxxgk_bnt6"/>
    <w:qFormat/>
    <w:uiPriority w:val="0"/>
  </w:style>
  <w:style w:type="character" w:customStyle="1" w:styleId="111">
    <w:name w:val="zwxxgk_bnt61"/>
    <w:qFormat/>
    <w:uiPriority w:val="0"/>
  </w:style>
  <w:style w:type="character" w:customStyle="1" w:styleId="112">
    <w:name w:val="zwxxgk_bnt62"/>
    <w:qFormat/>
    <w:uiPriority w:val="0"/>
  </w:style>
  <w:style w:type="character" w:customStyle="1" w:styleId="113">
    <w:name w:val="zwxxgk_bnt5"/>
    <w:qFormat/>
    <w:uiPriority w:val="0"/>
  </w:style>
  <w:style w:type="character" w:customStyle="1" w:styleId="114">
    <w:name w:val="zwxxgk_bnt51"/>
    <w:qFormat/>
    <w:uiPriority w:val="0"/>
  </w:style>
  <w:style w:type="character" w:customStyle="1" w:styleId="115">
    <w:name w:val="zwxxgk_bnt52"/>
    <w:qFormat/>
    <w:uiPriority w:val="0"/>
  </w:style>
  <w:style w:type="character" w:customStyle="1" w:styleId="116">
    <w:name w:val="on"/>
    <w:qFormat/>
    <w:uiPriority w:val="0"/>
  </w:style>
  <w:style w:type="character" w:customStyle="1" w:styleId="117">
    <w:name w:val="zwxxgk_bnt7"/>
    <w:qFormat/>
    <w:uiPriority w:val="0"/>
  </w:style>
  <w:style w:type="character" w:customStyle="1" w:styleId="118">
    <w:name w:val="zwxxgk_bnt71"/>
    <w:qFormat/>
    <w:uiPriority w:val="0"/>
  </w:style>
  <w:style w:type="character" w:customStyle="1" w:styleId="119">
    <w:name w:val="nth-child(2)"/>
    <w:qFormat/>
    <w:uiPriority w:val="0"/>
    <w:rPr>
      <w:color w:val="B2B2B2"/>
      <w:sz w:val="24"/>
      <w:szCs w:val="24"/>
    </w:rPr>
  </w:style>
  <w:style w:type="character" w:customStyle="1" w:styleId="120">
    <w:name w:val="nth-child(2)1"/>
    <w:qFormat/>
    <w:uiPriority w:val="0"/>
    <w:rPr>
      <w:color w:val="B2B2B2"/>
      <w:sz w:val="24"/>
      <w:szCs w:val="24"/>
    </w:rPr>
  </w:style>
  <w:style w:type="paragraph" w:customStyle="1" w:styleId="121">
    <w:name w:val="表文字-A版"/>
    <w:next w:val="1"/>
    <w:qFormat/>
    <w:uiPriority w:val="0"/>
    <w:pPr>
      <w:widowControl w:val="0"/>
      <w:spacing w:before="40" w:after="40"/>
      <w:jc w:val="center"/>
    </w:pPr>
    <w:rPr>
      <w:rFonts w:ascii="Times New Roman" w:hAnsi="Times New Roman" w:eastAsia="宋体" w:cs="Arial"/>
      <w:kern w:val="2"/>
      <w:sz w:val="21"/>
      <w:szCs w:val="24"/>
      <w:lang w:val="en-US" w:eastAsia="zh-CN" w:bidi="ar-SA"/>
    </w:rPr>
  </w:style>
  <w:style w:type="paragraph" w:styleId="122">
    <w:name w:val="No Spacing"/>
    <w:basedOn w:val="1"/>
    <w:qFormat/>
    <w:uiPriority w:val="0"/>
    <w:pPr>
      <w:adjustRightInd w:val="0"/>
      <w:snapToGrid w:val="0"/>
      <w:spacing w:line="240" w:lineRule="auto"/>
      <w:ind w:firstLine="0" w:firstLineChars="0"/>
      <w:jc w:val="center"/>
    </w:pPr>
    <w:rPr>
      <w:snapToGrid w:val="0"/>
      <w:kern w:val="0"/>
      <w:sz w:val="18"/>
    </w:rPr>
  </w:style>
  <w:style w:type="paragraph" w:customStyle="1" w:styleId="123">
    <w:name w:val="!论文表格（Ctrl+B）"/>
    <w:basedOn w:val="1"/>
    <w:next w:val="1"/>
    <w:qFormat/>
    <w:uiPriority w:val="0"/>
    <w:pPr>
      <w:jc w:val="center"/>
    </w:pPr>
    <w:rPr>
      <w:szCs w:val="21"/>
    </w:rPr>
  </w:style>
  <w:style w:type="character" w:customStyle="1" w:styleId="124">
    <w:name w:val="font51"/>
    <w:basedOn w:val="32"/>
    <w:qFormat/>
    <w:uiPriority w:val="0"/>
    <w:rPr>
      <w:rFonts w:ascii="宋体" w:hAnsi="宋体" w:eastAsia="宋体" w:cs="宋体"/>
      <w:color w:val="000000"/>
      <w:sz w:val="20"/>
      <w:szCs w:val="20"/>
      <w:u w:val="none"/>
    </w:rPr>
  </w:style>
  <w:style w:type="character" w:customStyle="1" w:styleId="125">
    <w:name w:val="font71"/>
    <w:basedOn w:val="32"/>
    <w:qFormat/>
    <w:uiPriority w:val="0"/>
    <w:rPr>
      <w:rFonts w:ascii="宋体" w:hAnsi="宋体" w:eastAsia="宋体" w:cs="宋体"/>
      <w:b/>
      <w:bCs/>
      <w:color w:val="000000"/>
      <w:sz w:val="14"/>
      <w:szCs w:val="14"/>
      <w:u w:val="none"/>
    </w:rPr>
  </w:style>
  <w:style w:type="paragraph" w:customStyle="1" w:styleId="126">
    <w:name w:val="Table Text"/>
    <w:basedOn w:val="1"/>
    <w:semiHidden/>
    <w:qFormat/>
    <w:uiPriority w:val="0"/>
    <w:rPr>
      <w:rFonts w:ascii="宋体" w:hAnsi="宋体" w:eastAsia="宋体" w:cs="宋体"/>
      <w:sz w:val="20"/>
      <w:szCs w:val="20"/>
      <w:lang w:val="en-US" w:eastAsia="en-US" w:bidi="ar-SA"/>
    </w:rPr>
  </w:style>
  <w:style w:type="paragraph" w:customStyle="1" w:styleId="127">
    <w:name w:val="0正文"/>
    <w:basedOn w:val="1"/>
    <w:qFormat/>
    <w:uiPriority w:val="0"/>
    <w:pPr>
      <w:widowControl/>
      <w:adjustRightInd w:val="0"/>
      <w:snapToGrid w:val="0"/>
      <w:ind w:firstLine="560"/>
    </w:pPr>
    <w:rPr>
      <w:rFonts w:eastAsia="宋体"/>
      <w:kern w:val="0"/>
      <w:sz w:val="28"/>
      <w:szCs w:val="28"/>
    </w:rPr>
  </w:style>
  <w:style w:type="paragraph" w:customStyle="1" w:styleId="128">
    <w:name w:val="正文改"/>
    <w:basedOn w:val="1"/>
    <w:qFormat/>
    <w:uiPriority w:val="0"/>
    <w:pPr>
      <w:spacing w:line="360" w:lineRule="auto"/>
      <w:ind w:left="100" w:leftChars="100" w:right="240" w:rightChars="100" w:firstLine="480" w:firstLineChars="200"/>
    </w:pPr>
    <w:rPr>
      <w:rFonts w:ascii="Times New Roman" w:hAnsi="宋体" w:cs="Times New Roman"/>
      <w:sz w:val="24"/>
      <w:szCs w:val="24"/>
    </w:rPr>
  </w:style>
  <w:style w:type="character" w:customStyle="1" w:styleId="129">
    <w:name w:val="font21"/>
    <w:basedOn w:val="32"/>
    <w:qFormat/>
    <w:uiPriority w:val="0"/>
    <w:rPr>
      <w:rFonts w:hint="default" w:ascii="Times New Roman" w:hAnsi="Times New Roman" w:cs="Times New Roman"/>
      <w:color w:val="000000"/>
      <w:sz w:val="21"/>
      <w:szCs w:val="21"/>
      <w:u w:val="none"/>
    </w:rPr>
  </w:style>
  <w:style w:type="character" w:customStyle="1" w:styleId="130">
    <w:name w:val="font11"/>
    <w:basedOn w:val="32"/>
    <w:qFormat/>
    <w:uiPriority w:val="0"/>
    <w:rPr>
      <w:rFonts w:hint="eastAsia" w:ascii="宋体" w:hAnsi="宋体" w:eastAsia="宋体" w:cs="宋体"/>
      <w:color w:val="000000"/>
      <w:sz w:val="21"/>
      <w:szCs w:val="21"/>
      <w:u w:val="none"/>
    </w:rPr>
  </w:style>
  <w:style w:type="table" w:customStyle="1" w:styleId="131">
    <w:name w:val="网格型2"/>
    <w:basedOn w:val="3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2">
    <w:name w:val="font31"/>
    <w:basedOn w:val="32"/>
    <w:qFormat/>
    <w:uiPriority w:val="0"/>
    <w:rPr>
      <w:rFonts w:hint="eastAsia" w:ascii="宋体" w:hAnsi="宋体" w:eastAsia="宋体" w:cs="宋体"/>
      <w:color w:val="000000"/>
      <w:sz w:val="20"/>
      <w:szCs w:val="20"/>
      <w:u w:val="none"/>
    </w:rPr>
  </w:style>
  <w:style w:type="table" w:customStyle="1" w:styleId="133">
    <w:name w:val="网格型11"/>
    <w:basedOn w:val="3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4">
    <w:name w:val="拉丁名书写 Char"/>
    <w:basedOn w:val="32"/>
    <w:link w:val="135"/>
    <w:qFormat/>
    <w:uiPriority w:val="0"/>
    <w:rPr>
      <w:rFonts w:ascii="Times New Roman" w:hAnsi="Times New Roman" w:eastAsia="宋体" w:cs="Times New Roman"/>
      <w:i/>
      <w:sz w:val="24"/>
      <w:szCs w:val="24"/>
    </w:rPr>
  </w:style>
  <w:style w:type="paragraph" w:customStyle="1" w:styleId="135">
    <w:name w:val="拉丁名书写"/>
    <w:basedOn w:val="1"/>
    <w:link w:val="134"/>
    <w:qFormat/>
    <w:uiPriority w:val="0"/>
    <w:pPr>
      <w:spacing w:line="360" w:lineRule="auto"/>
      <w:ind w:left="200" w:leftChars="200" w:firstLine="480" w:firstLineChars="200"/>
      <w:jc w:val="left"/>
    </w:pPr>
    <w:rPr>
      <w:rFonts w:ascii="Times New Roman" w:hAnsi="Times New Roman" w:eastAsia="宋体" w:cs="Times New Roman"/>
      <w:i/>
      <w:sz w:val="24"/>
      <w:szCs w:val="24"/>
    </w:rPr>
  </w:style>
  <w:style w:type="paragraph" w:customStyle="1" w:styleId="136">
    <w:name w:val="wj样式 + 首行缩进:  2 字符"/>
    <w:basedOn w:val="1"/>
    <w:next w:val="1"/>
    <w:qFormat/>
    <w:uiPriority w:val="0"/>
    <w:pPr>
      <w:widowControl/>
      <w:ind w:firstLine="536"/>
    </w:pPr>
    <w:rPr>
      <w:rFonts w:eastAsia="宋体" w:cs="宋体"/>
      <w:spacing w:val="14"/>
      <w:szCs w:val="20"/>
    </w:rPr>
  </w:style>
  <w:style w:type="paragraph" w:customStyle="1" w:styleId="137">
    <w:name w:val="BC-表名"/>
    <w:basedOn w:val="1"/>
    <w:qFormat/>
    <w:uiPriority w:val="0"/>
    <w:pPr>
      <w:spacing w:line="240" w:lineRule="auto"/>
      <w:ind w:firstLine="0" w:firstLineChars="0"/>
      <w:jc w:val="center"/>
    </w:pPr>
    <w:rPr>
      <w:b/>
      <w:kern w:val="10"/>
      <w:sz w:val="21"/>
    </w:rPr>
  </w:style>
  <w:style w:type="paragraph" w:customStyle="1" w:styleId="138">
    <w:name w:val="BC-表格文字"/>
    <w:basedOn w:val="1"/>
    <w:next w:val="1"/>
    <w:qFormat/>
    <w:uiPriority w:val="0"/>
    <w:pPr>
      <w:spacing w:line="240" w:lineRule="auto"/>
      <w:ind w:firstLine="0" w:firstLineChars="0"/>
      <w:jc w:val="center"/>
    </w:pPr>
    <w:rPr>
      <w:sz w:val="21"/>
      <w:szCs w:val="21"/>
    </w:rPr>
  </w:style>
  <w:style w:type="paragraph" w:customStyle="1" w:styleId="139">
    <w:name w:val="1正文"/>
    <w:basedOn w:val="1"/>
    <w:qFormat/>
    <w:uiPriority w:val="0"/>
    <w:pPr>
      <w:spacing w:after="0"/>
      <w:ind w:firstLine="196" w:firstLineChars="196"/>
    </w:pPr>
    <w:rPr>
      <w:rFonts w:ascii="Calibri" w:hAnsi="Calibri" w:eastAsia="宋体" w:cs="Times New Roman"/>
      <w:szCs w:val="30"/>
    </w:rPr>
  </w:style>
  <w:style w:type="paragraph" w:customStyle="1" w:styleId="140">
    <w:name w:val="表中文字-下闸蓄水专题"/>
    <w:next w:val="1"/>
    <w:qFormat/>
    <w:uiPriority w:val="0"/>
    <w:pPr>
      <w:widowControl w:val="0"/>
      <w:spacing w:before="40" w:after="40"/>
      <w:jc w:val="center"/>
    </w:pPr>
    <w:rPr>
      <w:rFonts w:ascii="Times New Roman" w:hAnsi="Times New Roman" w:eastAsia="宋体" w:cs="Arial"/>
      <w:kern w:val="2"/>
      <w:sz w:val="21"/>
      <w:szCs w:val="24"/>
      <w:lang w:val="en-US" w:eastAsia="zh-CN" w:bidi="ar-SA"/>
    </w:rPr>
  </w:style>
  <w:style w:type="paragraph" w:customStyle="1" w:styleId="141">
    <w:name w:val="引言二级条标题"/>
    <w:next w:val="142"/>
    <w:qFormat/>
    <w:uiPriority w:val="0"/>
    <w:pPr>
      <w:widowControl w:val="0"/>
      <w:tabs>
        <w:tab w:val="left" w:pos="360"/>
        <w:tab w:val="left" w:pos="1996"/>
      </w:tabs>
      <w:ind w:left="1996" w:hanging="720"/>
      <w:jc w:val="both"/>
    </w:pPr>
    <w:rPr>
      <w:rFonts w:ascii="Times New Roman" w:hAnsi="Times New Roman" w:eastAsia="黑体" w:cs="Times New Roman"/>
      <w:b/>
      <w:kern w:val="2"/>
      <w:sz w:val="21"/>
      <w:szCs w:val="24"/>
      <w:lang w:val="en-US" w:eastAsia="zh-CN" w:bidi="ar-SA"/>
    </w:rPr>
  </w:style>
  <w:style w:type="paragraph" w:customStyle="1" w:styleId="142">
    <w:name w:val="段"/>
    <w:semiHidden/>
    <w:qFormat/>
    <w:uiPriority w:val="0"/>
    <w:pPr>
      <w:autoSpaceDE w:val="0"/>
      <w:autoSpaceDN w:val="0"/>
      <w:ind w:firstLine="200" w:firstLineChars="200"/>
      <w:jc w:val="both"/>
    </w:pPr>
    <w:rPr>
      <w:rFonts w:ascii="宋体" w:hAnsi="Calibri" w:eastAsia="宋体" w:cs="Times New Roman"/>
      <w:sz w:val="21"/>
      <w:szCs w:val="22"/>
      <w:lang w:val="en-US" w:eastAsia="zh-CN" w:bidi="ar-SA"/>
    </w:rPr>
  </w:style>
  <w:style w:type="paragraph" w:customStyle="1" w:styleId="143">
    <w:name w:val="ky表格"/>
    <w:basedOn w:val="1"/>
    <w:qFormat/>
    <w:uiPriority w:val="0"/>
    <w:pPr>
      <w:spacing w:line="240" w:lineRule="auto"/>
      <w:jc w:val="center"/>
    </w:pPr>
    <w:rPr>
      <w:rFonts w:ascii="Times New Roman" w:hAnsi="Times New Roman" w:eastAsia="宋体" w:cs="Times New Roman"/>
      <w:sz w:val="24"/>
    </w:rPr>
  </w:style>
  <w:style w:type="character" w:customStyle="1" w:styleId="144">
    <w:name w:val="fontstyle01"/>
    <w:basedOn w:val="32"/>
    <w:qFormat/>
    <w:uiPriority w:val="0"/>
    <w:rPr>
      <w:rFonts w:hint="eastAsia" w:ascii="宋体" w:hAnsi="宋体" w:eastAsia="宋体" w:cs="Times New Roman"/>
      <w:color w:val="000000"/>
      <w:sz w:val="24"/>
      <w:szCs w:val="24"/>
    </w:rPr>
  </w:style>
  <w:style w:type="character" w:customStyle="1" w:styleId="145">
    <w:name w:val="fontstyle21"/>
    <w:basedOn w:val="32"/>
    <w:qFormat/>
    <w:uiPriority w:val="0"/>
    <w:rPr>
      <w:rFonts w:hint="default" w:ascii="Good Times" w:hAnsi="Good Times" w:eastAsia="Good Times" w:cs="Good Times"/>
      <w:color w:val="000000"/>
      <w:sz w:val="24"/>
      <w:szCs w:val="24"/>
    </w:rPr>
  </w:style>
  <w:style w:type="character" w:customStyle="1" w:styleId="146">
    <w:name w:val="_Style 2"/>
    <w:basedOn w:val="32"/>
    <w:qFormat/>
    <w:uiPriority w:val="0"/>
    <w:rPr>
      <w:rFonts w:hint="eastAsia" w:ascii="黑体" w:hAnsi="宋体" w:eastAsia="黑体" w:cs="黑体"/>
      <w:iCs/>
      <w:color w:val="auto"/>
      <w:sz w:val="24"/>
    </w:rPr>
  </w:style>
  <w:style w:type="character" w:customStyle="1" w:styleId="147">
    <w:name w:val="标题 3 字符"/>
    <w:basedOn w:val="32"/>
    <w:link w:val="5"/>
    <w:qFormat/>
    <w:uiPriority w:val="0"/>
    <w:rPr>
      <w:rFonts w:ascii="Times New Roman" w:hAnsi="Times New Roman" w:eastAsia="宋体" w:cs="Times New Roman"/>
      <w:b/>
      <w:sz w:val="24"/>
    </w:rPr>
  </w:style>
  <w:style w:type="paragraph" w:customStyle="1" w:styleId="148">
    <w:name w:val="WPSOffice手动目录 1"/>
    <w:qFormat/>
    <w:uiPriority w:val="0"/>
    <w:rPr>
      <w:rFonts w:ascii="Times New Roman" w:hAnsi="Times New Roman" w:eastAsia="宋体" w:cs="Times New Roman"/>
      <w:lang w:val="en-US" w:eastAsia="zh-CN" w:bidi="ar-SA"/>
    </w:rPr>
  </w:style>
  <w:style w:type="paragraph" w:customStyle="1" w:styleId="149">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150">
    <w:name w:val="标题 2 字符"/>
    <w:basedOn w:val="32"/>
    <w:link w:val="4"/>
    <w:qFormat/>
    <w:uiPriority w:val="0"/>
    <w:rPr>
      <w:rFonts w:ascii="Times New Roman" w:hAnsi="Times New Roman" w:eastAsia="宋体" w:cs="Times New Roman"/>
      <w:b/>
      <w:sz w:val="28"/>
    </w:rPr>
  </w:style>
  <w:style w:type="character" w:customStyle="1" w:styleId="151">
    <w:name w:val="a表格内容 字符"/>
    <w:basedOn w:val="32"/>
    <w:link w:val="152"/>
    <w:qFormat/>
    <w:uiPriority w:val="0"/>
    <w:rPr>
      <w:rFonts w:ascii="Times New Roman" w:hAnsi="Times New Roman" w:eastAsia="宋体" w:cs="Times New Roman"/>
      <w:color w:val="000000"/>
      <w:szCs w:val="21"/>
    </w:rPr>
  </w:style>
  <w:style w:type="paragraph" w:customStyle="1" w:styleId="152">
    <w:name w:val="a表格内容"/>
    <w:basedOn w:val="1"/>
    <w:link w:val="151"/>
    <w:qFormat/>
    <w:uiPriority w:val="0"/>
    <w:pPr>
      <w:widowControl/>
      <w:spacing w:line="240" w:lineRule="auto"/>
      <w:jc w:val="center"/>
    </w:pPr>
    <w:rPr>
      <w:rFonts w:ascii="Times New Roman" w:hAnsi="Times New Roman" w:eastAsia="宋体" w:cs="Times New Roman"/>
      <w:color w:val="000000"/>
      <w:szCs w:val="21"/>
    </w:rPr>
  </w:style>
  <w:style w:type="paragraph" w:customStyle="1" w:styleId="153">
    <w:name w:val="msolistparagraph"/>
    <w:basedOn w:val="1"/>
    <w:qFormat/>
    <w:uiPriority w:val="0"/>
    <w:pPr>
      <w:spacing w:line="360" w:lineRule="auto"/>
      <w:ind w:firstLine="420" w:firstLineChars="200"/>
    </w:pPr>
    <w:rPr>
      <w:rFonts w:ascii="Times New Roman" w:hAnsi="Times New Roman" w:eastAsia="宋体" w:cs="Times New Roman"/>
      <w:sz w:val="24"/>
      <w:szCs w:val="20"/>
    </w:rPr>
  </w:style>
  <w:style w:type="character" w:customStyle="1" w:styleId="154">
    <w:name w:val="ky表格 字符"/>
    <w:basedOn w:val="32"/>
    <w:qFormat/>
    <w:uiPriority w:val="0"/>
    <w:rPr>
      <w:rFonts w:ascii="Times New Roman" w:hAnsi="Times New Roman" w:eastAsia="宋体" w:cs="Times New Roman"/>
      <w:sz w:val="24"/>
      <w:szCs w:val="24"/>
    </w:rPr>
  </w:style>
  <w:style w:type="paragraph" w:customStyle="1" w:styleId="155">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56">
    <w:name w:val="报告正文"/>
    <w:basedOn w:val="1"/>
    <w:qFormat/>
    <w:uiPriority w:val="0"/>
    <w:pPr>
      <w:widowControl/>
      <w:adjustRightInd w:val="0"/>
      <w:snapToGrid w:val="0"/>
      <w:spacing w:line="360" w:lineRule="auto"/>
      <w:ind w:firstLine="1044" w:firstLineChars="200"/>
      <w:jc w:val="left"/>
    </w:pPr>
    <w:rPr>
      <w:rFonts w:ascii="Times New Roman" w:hAnsi="Times New Roman" w:eastAsia="宋体" w:cs="Times New Roman"/>
      <w:kern w:val="0"/>
      <w:sz w:val="24"/>
      <w:szCs w:val="20"/>
    </w:rPr>
  </w:style>
  <w:style w:type="paragraph" w:customStyle="1" w:styleId="157">
    <w:name w:val="Default1"/>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58">
    <w:name w:val="表格文字"/>
    <w:basedOn w:val="1"/>
    <w:next w:val="1"/>
    <w:autoRedefine/>
    <w:qFormat/>
    <w:uiPriority w:val="0"/>
    <w:pPr>
      <w:snapToGrid w:val="0"/>
      <w:spacing w:after="0" w:line="360" w:lineRule="exact"/>
      <w:ind w:firstLine="0" w:firstLineChars="0"/>
      <w:jc w:val="center"/>
    </w:pPr>
    <w:rPr>
      <w:rFonts w:ascii="Calibri" w:hAnsi="Calibri" w:eastAsia="宋体" w:cs="Times New Roman"/>
      <w:kern w:val="0"/>
      <w:sz w:val="24"/>
      <w:szCs w:val="24"/>
    </w:rPr>
  </w:style>
  <w:style w:type="character" w:customStyle="1" w:styleId="159">
    <w:name w:val="标题 3 Char"/>
    <w:autoRedefine/>
    <w:qFormat/>
    <w:uiPriority w:val="0"/>
    <w:rPr>
      <w:rFonts w:ascii="Times New Roman" w:hAnsi="Times New Roman" w:eastAsia="宋体" w:cs="Times New Roman"/>
      <w:b/>
      <w:kern w:val="2"/>
      <w:sz w:val="21"/>
      <w:lang w:val="en-US" w:eastAsia="zh-CN" w:bidi="ar-SA"/>
    </w:rPr>
  </w:style>
  <w:style w:type="table" w:customStyle="1" w:styleId="160">
    <w:name w:val="网格型1"/>
    <w:basedOn w:val="30"/>
    <w:qFormat/>
    <w:uiPriority w:val="39"/>
    <w:rPr>
      <w:rFonts w:ascii="等线" w:hAnsi="等线" w:eastAsia="等线"/>
      <w:kern w:val="2"/>
      <w:sz w:val="22"/>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1.xml"/><Relationship Id="rId98" Type="http://schemas.openxmlformats.org/officeDocument/2006/relationships/image" Target="media/image79.png"/><Relationship Id="rId97" Type="http://schemas.openxmlformats.org/officeDocument/2006/relationships/image" Target="media/image78.png"/><Relationship Id="rId96" Type="http://schemas.openxmlformats.org/officeDocument/2006/relationships/image" Target="media/image77.png"/><Relationship Id="rId95" Type="http://schemas.openxmlformats.org/officeDocument/2006/relationships/image" Target="media/image76.tiff"/><Relationship Id="rId94" Type="http://schemas.openxmlformats.org/officeDocument/2006/relationships/image" Target="media/image75.jpeg"/><Relationship Id="rId93" Type="http://schemas.openxmlformats.org/officeDocument/2006/relationships/image" Target="media/image74.wmf"/><Relationship Id="rId92" Type="http://schemas.openxmlformats.org/officeDocument/2006/relationships/image" Target="media/image73.wmf"/><Relationship Id="rId91" Type="http://schemas.openxmlformats.org/officeDocument/2006/relationships/image" Target="media/image72.wmf"/><Relationship Id="rId90" Type="http://schemas.openxmlformats.org/officeDocument/2006/relationships/image" Target="media/image71.wmf"/><Relationship Id="rId9" Type="http://schemas.openxmlformats.org/officeDocument/2006/relationships/footer" Target="footer4.xml"/><Relationship Id="rId89" Type="http://schemas.openxmlformats.org/officeDocument/2006/relationships/image" Target="media/image70.wmf"/><Relationship Id="rId88" Type="http://schemas.openxmlformats.org/officeDocument/2006/relationships/image" Target="media/image69.wmf"/><Relationship Id="rId87" Type="http://schemas.openxmlformats.org/officeDocument/2006/relationships/image" Target="media/image68.jpeg"/><Relationship Id="rId86" Type="http://schemas.openxmlformats.org/officeDocument/2006/relationships/image" Target="media/image67.jpeg"/><Relationship Id="rId85" Type="http://schemas.openxmlformats.org/officeDocument/2006/relationships/image" Target="media/image66.jpeg"/><Relationship Id="rId84" Type="http://schemas.openxmlformats.org/officeDocument/2006/relationships/image" Target="media/image65.jpeg"/><Relationship Id="rId83" Type="http://schemas.openxmlformats.org/officeDocument/2006/relationships/image" Target="media/image64.jpeg"/><Relationship Id="rId82" Type="http://schemas.openxmlformats.org/officeDocument/2006/relationships/image" Target="media/image63.jpeg"/><Relationship Id="rId81" Type="http://schemas.openxmlformats.org/officeDocument/2006/relationships/image" Target="media/image62.jpeg"/><Relationship Id="rId80" Type="http://schemas.openxmlformats.org/officeDocument/2006/relationships/image" Target="media/image61.jpeg"/><Relationship Id="rId8" Type="http://schemas.openxmlformats.org/officeDocument/2006/relationships/footer" Target="footer3.xml"/><Relationship Id="rId79" Type="http://schemas.openxmlformats.org/officeDocument/2006/relationships/image" Target="media/image60.jpeg"/><Relationship Id="rId78" Type="http://schemas.openxmlformats.org/officeDocument/2006/relationships/image" Target="media/image59.jpeg"/><Relationship Id="rId77" Type="http://schemas.openxmlformats.org/officeDocument/2006/relationships/image" Target="media/image58.jpeg"/><Relationship Id="rId76" Type="http://schemas.openxmlformats.org/officeDocument/2006/relationships/image" Target="media/image57.png"/><Relationship Id="rId75" Type="http://schemas.openxmlformats.org/officeDocument/2006/relationships/image" Target="media/image56.png"/><Relationship Id="rId74" Type="http://schemas.openxmlformats.org/officeDocument/2006/relationships/image" Target="media/image55.png"/><Relationship Id="rId73" Type="http://schemas.openxmlformats.org/officeDocument/2006/relationships/image" Target="media/image54.png"/><Relationship Id="rId72" Type="http://schemas.openxmlformats.org/officeDocument/2006/relationships/image" Target="media/image53.png"/><Relationship Id="rId71" Type="http://schemas.openxmlformats.org/officeDocument/2006/relationships/image" Target="media/image52.png"/><Relationship Id="rId70" Type="http://schemas.openxmlformats.org/officeDocument/2006/relationships/image" Target="media/image51.png"/><Relationship Id="rId7" Type="http://schemas.openxmlformats.org/officeDocument/2006/relationships/footer" Target="footer2.xml"/><Relationship Id="rId69" Type="http://schemas.openxmlformats.org/officeDocument/2006/relationships/image" Target="media/image50.png"/><Relationship Id="rId68" Type="http://schemas.openxmlformats.org/officeDocument/2006/relationships/image" Target="media/image49.png"/><Relationship Id="rId67" Type="http://schemas.openxmlformats.org/officeDocument/2006/relationships/image" Target="media/image48.png"/><Relationship Id="rId66" Type="http://schemas.openxmlformats.org/officeDocument/2006/relationships/image" Target="media/image47.png"/><Relationship Id="rId65" Type="http://schemas.openxmlformats.org/officeDocument/2006/relationships/image" Target="media/image46.png"/><Relationship Id="rId64" Type="http://schemas.openxmlformats.org/officeDocument/2006/relationships/image" Target="media/image45.png"/><Relationship Id="rId63" Type="http://schemas.openxmlformats.org/officeDocument/2006/relationships/image" Target="media/image44.png"/><Relationship Id="rId62" Type="http://schemas.openxmlformats.org/officeDocument/2006/relationships/image" Target="media/image43.png"/><Relationship Id="rId61" Type="http://schemas.openxmlformats.org/officeDocument/2006/relationships/image" Target="media/image42.png"/><Relationship Id="rId60" Type="http://schemas.openxmlformats.org/officeDocument/2006/relationships/image" Target="media/image41.png"/><Relationship Id="rId6" Type="http://schemas.openxmlformats.org/officeDocument/2006/relationships/footer" Target="footer1.xml"/><Relationship Id="rId59" Type="http://schemas.openxmlformats.org/officeDocument/2006/relationships/image" Target="media/image40.png"/><Relationship Id="rId58" Type="http://schemas.openxmlformats.org/officeDocument/2006/relationships/image" Target="media/image39.jpeg"/><Relationship Id="rId57" Type="http://schemas.openxmlformats.org/officeDocument/2006/relationships/image" Target="media/image38.png"/><Relationship Id="rId56" Type="http://schemas.openxmlformats.org/officeDocument/2006/relationships/image" Target="media/image37.png"/><Relationship Id="rId55" Type="http://schemas.openxmlformats.org/officeDocument/2006/relationships/image" Target="media/image36.png"/><Relationship Id="rId54" Type="http://schemas.openxmlformats.org/officeDocument/2006/relationships/image" Target="media/image35.png"/><Relationship Id="rId53" Type="http://schemas.openxmlformats.org/officeDocument/2006/relationships/image" Target="media/image34.png"/><Relationship Id="rId52" Type="http://schemas.openxmlformats.org/officeDocument/2006/relationships/image" Target="media/image33.png"/><Relationship Id="rId51" Type="http://schemas.openxmlformats.org/officeDocument/2006/relationships/image" Target="media/image32.png"/><Relationship Id="rId50" Type="http://schemas.openxmlformats.org/officeDocument/2006/relationships/image" Target="media/image31.png"/><Relationship Id="rId5" Type="http://schemas.openxmlformats.org/officeDocument/2006/relationships/header" Target="header1.xml"/><Relationship Id="rId49" Type="http://schemas.openxmlformats.org/officeDocument/2006/relationships/image" Target="media/image30.png"/><Relationship Id="rId48" Type="http://schemas.openxmlformats.org/officeDocument/2006/relationships/image" Target="media/image29.jpeg"/><Relationship Id="rId47" Type="http://schemas.openxmlformats.org/officeDocument/2006/relationships/image" Target="media/image28.jpeg"/><Relationship Id="rId46" Type="http://schemas.openxmlformats.org/officeDocument/2006/relationships/image" Target="media/image27.png"/><Relationship Id="rId45" Type="http://schemas.openxmlformats.org/officeDocument/2006/relationships/image" Target="media/image26.png"/><Relationship Id="rId44" Type="http://schemas.openxmlformats.org/officeDocument/2006/relationships/image" Target="media/image25.png"/><Relationship Id="rId43" Type="http://schemas.openxmlformats.org/officeDocument/2006/relationships/image" Target="media/image24.png"/><Relationship Id="rId42" Type="http://schemas.openxmlformats.org/officeDocument/2006/relationships/image" Target="media/image23.png"/><Relationship Id="rId41" Type="http://schemas.openxmlformats.org/officeDocument/2006/relationships/image" Target="media/image22.png"/><Relationship Id="rId40" Type="http://schemas.openxmlformats.org/officeDocument/2006/relationships/oleObject" Target="embeddings/oleObject3.bin"/><Relationship Id="rId4" Type="http://schemas.openxmlformats.org/officeDocument/2006/relationships/endnotes" Target="endnotes.xml"/><Relationship Id="rId39" Type="http://schemas.openxmlformats.org/officeDocument/2006/relationships/image" Target="media/image21.png"/><Relationship Id="rId38" Type="http://schemas.openxmlformats.org/officeDocument/2006/relationships/image" Target="media/image20.png"/><Relationship Id="rId37" Type="http://schemas.openxmlformats.org/officeDocument/2006/relationships/image" Target="media/image19.emf"/><Relationship Id="rId36" Type="http://schemas.openxmlformats.org/officeDocument/2006/relationships/oleObject" Target="embeddings/oleObject2.bin"/><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image" Target="media/image15.jpe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footnotes" Target="footnotes.xml"/><Relationship Id="rId29" Type="http://schemas.openxmlformats.org/officeDocument/2006/relationships/image" Target="media/image12.emf"/><Relationship Id="rId28" Type="http://schemas.openxmlformats.org/officeDocument/2006/relationships/oleObject" Target="embeddings/oleObject1.bin"/><Relationship Id="rId27" Type="http://schemas.openxmlformats.org/officeDocument/2006/relationships/image" Target="media/image11.pn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jpeg"/><Relationship Id="rId22" Type="http://schemas.openxmlformats.org/officeDocument/2006/relationships/image" Target="media/image6.jpeg"/><Relationship Id="rId21" Type="http://schemas.openxmlformats.org/officeDocument/2006/relationships/image" Target="media/image5.jpe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2.xml"/><Relationship Id="rId101" Type="http://schemas.openxmlformats.org/officeDocument/2006/relationships/fontTable" Target="fontTable.xml"/><Relationship Id="rId100" Type="http://schemas.openxmlformats.org/officeDocument/2006/relationships/numbering" Target="numbering.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264</Pages>
  <Words>208</Words>
  <Characters>228</Characters>
  <Lines>8892</Lines>
  <Paragraphs>9880</Paragraphs>
  <TotalTime>29</TotalTime>
  <ScaleCrop>false</ScaleCrop>
  <LinksUpToDate>false</LinksUpToDate>
  <CharactersWithSpaces>316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nothing </cp:lastModifiedBy>
  <cp:lastPrinted>2023-08-02T06:36:00Z</cp:lastPrinted>
  <dcterms:modified xsi:type="dcterms:W3CDTF">2026-10-14T04:22:06Z</dcterms:modified>
  <dc:title>附件2</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3E02553CF475458EB6BB794F3BD06AED_13</vt:lpwstr>
  </property>
  <property fmtid="{D5CDD505-2E9C-101B-9397-08002B2CF9AE}" pid="4" name="KSOTemplateDocerSaveRecord">
    <vt:lpwstr>eyJoZGlkIjoiNDgxNmUzZWUyMDQ1MDZiNDQ2YTEwYjgwZDAzYjJiNmQiLCJ1c2VySWQiOiI0ODkyNjc2NzIifQ==</vt:lpwstr>
  </property>
</Properties>
</file>