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2E6E6376">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1D8569AF">
            <w:pPr>
              <w:widowControl/>
              <w:spacing w:line="280" w:lineRule="exact"/>
              <w:jc w:val="left"/>
              <w:rPr>
                <w:rFonts w:ascii="宋体"/>
                <w:kern w:val="0"/>
                <w:sz w:val="24"/>
                <w:szCs w:val="24"/>
              </w:rPr>
            </w:pPr>
            <w:bookmarkStart w:id="0" w:name="_GoBack"/>
            <w:bookmarkEnd w:id="0"/>
            <w:r>
              <w:rPr>
                <w:rFonts w:hint="eastAsia" w:ascii="宋体"/>
                <w:sz w:val="24"/>
                <w:szCs w:val="24"/>
              </w:rPr>
              <w:t xml:space="preserve"> </w:t>
            </w:r>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4937C58A">
            <w:pPr>
              <w:widowControl/>
              <w:spacing w:line="280" w:lineRule="exact"/>
              <w:jc w:val="left"/>
              <w:rPr>
                <w:rFonts w:hint="eastAsia" w:ascii="Times New Roman" w:hAnsi="Times New Roman"/>
                <w:sz w:val="24"/>
                <w:szCs w:val="24"/>
              </w:rPr>
            </w:pPr>
            <w:r>
              <w:rPr>
                <w:rFonts w:hint="eastAsia" w:ascii="Times New Roman" w:hAnsi="Times New Roman"/>
                <w:sz w:val="24"/>
                <w:szCs w:val="24"/>
              </w:rPr>
              <w:t>云南曲煤焦化实业发展有限公司集装箱堆场提质改造项目</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557EA87A">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5B3ECEF6">
            <w:pPr>
              <w:widowControl/>
              <w:spacing w:line="280" w:lineRule="exact"/>
              <w:jc w:val="left"/>
              <w:rPr>
                <w:rFonts w:hint="eastAsia" w:ascii="Times New Roman" w:hAnsi="Times New Roman"/>
                <w:sz w:val="24"/>
                <w:szCs w:val="24"/>
              </w:rPr>
            </w:pPr>
            <w:r>
              <w:rPr>
                <w:rFonts w:hint="eastAsia" w:ascii="Times New Roman" w:hAnsi="Times New Roman"/>
                <w:sz w:val="24"/>
                <w:szCs w:val="24"/>
              </w:rPr>
              <w:t>曲靖市</w:t>
            </w:r>
            <w:r>
              <w:rPr>
                <w:rFonts w:hint="eastAsia" w:ascii="Times New Roman" w:hAnsi="Times New Roman"/>
                <w:sz w:val="24"/>
                <w:szCs w:val="24"/>
                <w:lang w:eastAsia="zh-CN"/>
              </w:rPr>
              <w:t>沾益</w:t>
            </w:r>
            <w:r>
              <w:rPr>
                <w:rFonts w:hint="eastAsia" w:ascii="Times New Roman" w:hAnsi="Times New Roman"/>
                <w:sz w:val="24"/>
                <w:szCs w:val="24"/>
              </w:rPr>
              <w:t>区</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30375919">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7FAC3FEA">
            <w:pPr>
              <w:widowControl/>
              <w:spacing w:line="280" w:lineRule="exact"/>
              <w:jc w:val="center"/>
              <w:rPr>
                <w:rFonts w:hint="eastAsia" w:ascii="Times New Roman" w:hAnsi="Times New Roman"/>
                <w:sz w:val="24"/>
                <w:szCs w:val="24"/>
              </w:rPr>
            </w:pPr>
            <w:r>
              <w:rPr>
                <w:rFonts w:hint="eastAsia" w:ascii="Times New Roman" w:hAnsi="Times New Roman"/>
                <w:sz w:val="24"/>
                <w:szCs w:val="24"/>
              </w:rPr>
              <w:t>云南曲煤焦化实业发展有限公司</w:t>
            </w:r>
          </w:p>
        </w:tc>
      </w:tr>
      <w:tr w14:paraId="0C28C87D">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285487F0">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001E7694">
            <w:pPr>
              <w:widowControl/>
              <w:spacing w:line="280" w:lineRule="exact"/>
              <w:jc w:val="center"/>
              <w:rPr>
                <w:rFonts w:hint="eastAsia" w:ascii="宋体" w:hAnsi="宋体" w:eastAsia="宋体" w:cs="华文仿宋"/>
                <w:kern w:val="0"/>
                <w:sz w:val="24"/>
                <w:szCs w:val="24"/>
                <w:lang w:eastAsia="zh-CN"/>
              </w:rPr>
            </w:pPr>
            <w:r>
              <w:rPr>
                <w:rFonts w:hint="eastAsia" w:ascii="Times New Roman" w:hAnsi="Times New Roman"/>
                <w:sz w:val="24"/>
                <w:szCs w:val="24"/>
                <w:lang w:val="en-US" w:eastAsia="zh-CN"/>
              </w:rPr>
              <w:t>报告书</w:t>
            </w:r>
          </w:p>
        </w:tc>
        <w:tc>
          <w:tcPr>
            <w:tcW w:w="1276" w:type="dxa"/>
            <w:tcBorders>
              <w:top w:val="nil"/>
              <w:left w:val="nil"/>
              <w:bottom w:val="single" w:color="auto" w:sz="4" w:space="0"/>
              <w:right w:val="single" w:color="auto" w:sz="4" w:space="0"/>
            </w:tcBorders>
            <w:shd w:val="clear" w:color="auto" w:fill="C0C0C0"/>
            <w:vAlign w:val="center"/>
          </w:tcPr>
          <w:p w14:paraId="63FD5744">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70CD292A">
            <w:pPr>
              <w:widowControl/>
              <w:spacing w:line="280" w:lineRule="exact"/>
              <w:jc w:val="center"/>
              <w:rPr>
                <w:rFonts w:hint="default" w:ascii="宋体" w:eastAsia="方正仿宋_GBK"/>
                <w:kern w:val="0"/>
                <w:sz w:val="24"/>
                <w:szCs w:val="24"/>
                <w:lang w:val="en-US" w:eastAsia="zh-CN"/>
              </w:rPr>
            </w:pPr>
            <w:r>
              <w:rPr>
                <w:rFonts w:hint="eastAsia" w:ascii="宋体"/>
                <w:kern w:val="0"/>
                <w:sz w:val="24"/>
                <w:szCs w:val="24"/>
                <w:lang w:val="en-US" w:eastAsia="zh-CN"/>
              </w:rPr>
              <w:t>昆明阳光恒业环境工程有限公司</w:t>
            </w:r>
          </w:p>
        </w:tc>
      </w:tr>
      <w:tr w14:paraId="45D43C84">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017439E">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6CBE06D0">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DC6E0C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sz w:val="24"/>
                <w:szCs w:val="24"/>
              </w:rPr>
            </w:pPr>
            <w:r>
              <w:rPr>
                <w:rFonts w:hint="eastAsia" w:ascii="Times New Roman" w:hAnsi="Times New Roman"/>
                <w:sz w:val="24"/>
                <w:szCs w:val="24"/>
              </w:rPr>
              <w:t>新建工程：本项目设计运量为250万吨/年，投资估算为8418万元。新建2条尽头式货物线，配套货物线集装箱堆场2处、占地面积50600m2，增加电动正面吊2台、重型叉车1台、100t动态轨道衡（带超偏载功能）1台、2台汽车衡及检箱平台。将原有的4号到发线改建为集装箱货物线（贯通式）。另设有充电大棚、视频监控、计量、照明、排水等设施。</w:t>
            </w:r>
          </w:p>
          <w:p w14:paraId="143A24B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Times New Roman" w:hAnsi="Times New Roman" w:cs="Times New Roman"/>
                <w:sz w:val="24"/>
                <w:szCs w:val="24"/>
              </w:rPr>
              <w:t>依托工程</w:t>
            </w:r>
            <w:r>
              <w:rPr>
                <w:rFonts w:hint="eastAsia" w:ascii="Times New Roman" w:hAnsi="Times New Roman" w:cs="Times New Roman"/>
                <w:sz w:val="24"/>
                <w:szCs w:val="24"/>
                <w:lang w:eastAsia="zh-CN"/>
              </w:rPr>
              <w:t>：</w:t>
            </w:r>
            <w:r>
              <w:rPr>
                <w:rFonts w:hint="eastAsia" w:ascii="Times New Roman" w:hAnsi="Times New Roman"/>
                <w:sz w:val="24"/>
                <w:szCs w:val="24"/>
              </w:rPr>
              <w:t>将原有曲煤焦化专用铁路线现有到发4条货运线改为集装箱到发兼货物线（只改用途性质，不施工），本项目新修建H1道及H2道连接曲煤焦化专用铁路线现有到发4条货运线，使用曲煤焦化专用铁路既有自备机车2台，1台为DF</w:t>
            </w:r>
            <w:r>
              <w:rPr>
                <w:rFonts w:hint="eastAsia" w:ascii="Times New Roman" w:hAnsi="Times New Roman"/>
                <w:sz w:val="24"/>
                <w:szCs w:val="24"/>
                <w:vertAlign w:val="subscript"/>
              </w:rPr>
              <w:t>5D</w:t>
            </w:r>
            <w:r>
              <w:rPr>
                <w:rFonts w:hint="eastAsia" w:ascii="Times New Roman" w:hAnsi="Times New Roman"/>
                <w:sz w:val="24"/>
                <w:szCs w:val="24"/>
              </w:rPr>
              <w:t>、一台为DF</w:t>
            </w:r>
            <w:r>
              <w:rPr>
                <w:rFonts w:hint="eastAsia" w:ascii="Times New Roman" w:hAnsi="Times New Roman"/>
                <w:sz w:val="24"/>
                <w:szCs w:val="24"/>
                <w:vertAlign w:val="subscript"/>
              </w:rPr>
              <w:t>10D</w:t>
            </w:r>
            <w:r>
              <w:rPr>
                <w:rFonts w:hint="eastAsia" w:ascii="Times New Roman" w:hAnsi="Times New Roman"/>
                <w:sz w:val="24"/>
                <w:szCs w:val="24"/>
              </w:rPr>
              <w:t>。</w:t>
            </w:r>
          </w:p>
        </w:tc>
      </w:tr>
      <w:tr w14:paraId="088DA8D9">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AD5ADA0">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6AD1242C">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27153EF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一、施工期：</w:t>
            </w:r>
          </w:p>
          <w:p w14:paraId="60134BE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一）生态影响：施工期对生态环境影响和破坏的途径主要是主体工程占用和分割土地，改变土地利用性质，破坏了地表植被和地形、地貌，在一定时段和一定区域将造成水土流失，还会对评价区的动植物生长、分布、栖息和活动产生一定不利的影响；</w:t>
            </w:r>
          </w:p>
          <w:p w14:paraId="2F6DC0D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（二）废气：主要为施工扬尘、施工机械和运输车辆燃油排放的尾气以及施工焊接烟尘等；</w:t>
            </w:r>
          </w:p>
          <w:p w14:paraId="6E09C12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（三）废水：主要为建筑施工废水和施工人员生活污水；</w:t>
            </w:r>
          </w:p>
          <w:p w14:paraId="100B0DD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（四）噪声：主要来自构建筑施工、施工车辆运输、装修等施工过程；</w:t>
            </w:r>
          </w:p>
          <w:p w14:paraId="657809D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（五）固废：主要为施工人员生活垃圾、建筑垃圾、土石方。</w:t>
            </w:r>
          </w:p>
          <w:p w14:paraId="68218C6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二、运营期：</w:t>
            </w:r>
          </w:p>
          <w:p w14:paraId="6847765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（一）废气：主要是内燃机废气、装卸扬尘、运输车辆尾气以及道路扬尘等；</w:t>
            </w:r>
          </w:p>
          <w:p w14:paraId="18166F3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（二）废水：主要为办公生活废水；</w:t>
            </w:r>
          </w:p>
          <w:p w14:paraId="168473BE">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（三）噪声：主要是列车运行过程中机车牵引噪声，机车、车辆与轨道相互作用产生的轮轨噪声；机车鸣笛噪声；货车交通运输噪声；装卸区噪声等；</w:t>
            </w:r>
          </w:p>
          <w:p w14:paraId="3B78BBB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Times New Roman" w:hAnsi="Times New Roman" w:cs="Times New Roman"/>
                <w:sz w:val="24"/>
                <w:szCs w:val="24"/>
                <w:lang w:val="en-US" w:eastAsia="zh-CN"/>
              </w:rPr>
              <w:t>（四）固废：主要是生活垃圾、含油抹布、手套、废矿物油及废矿物油桶。</w:t>
            </w:r>
          </w:p>
        </w:tc>
      </w:tr>
      <w:tr w14:paraId="77157C98">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730556A">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4D28A8A1">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3DAC1D2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cs="Times New Roman"/>
                <w:b/>
                <w:bCs/>
                <w:kern w:val="0"/>
                <w:sz w:val="24"/>
                <w:szCs w:val="24"/>
                <w:lang w:val="en-US" w:eastAsia="zh-CN"/>
              </w:rPr>
            </w:pPr>
            <w:r>
              <w:rPr>
                <w:rFonts w:hint="eastAsia" w:ascii="宋体" w:hAnsi="宋体" w:cs="Times New Roman"/>
                <w:b/>
                <w:bCs/>
                <w:kern w:val="0"/>
                <w:sz w:val="24"/>
                <w:szCs w:val="24"/>
                <w:lang w:val="en-US" w:eastAsia="zh-CN"/>
              </w:rPr>
              <w:t>一、</w:t>
            </w:r>
            <w:r>
              <w:rPr>
                <w:rFonts w:hint="default" w:ascii="宋体" w:hAnsi="宋体" w:cs="Times New Roman"/>
                <w:b/>
                <w:bCs/>
                <w:kern w:val="0"/>
                <w:sz w:val="24"/>
                <w:szCs w:val="24"/>
                <w:lang w:val="en-US" w:eastAsia="zh-CN"/>
              </w:rPr>
              <w:t>施工期</w:t>
            </w:r>
            <w:r>
              <w:rPr>
                <w:rFonts w:hint="eastAsia" w:ascii="宋体" w:hAnsi="宋体" w:cs="Times New Roman"/>
                <w:b/>
                <w:bCs/>
                <w:kern w:val="0"/>
                <w:sz w:val="24"/>
                <w:szCs w:val="24"/>
                <w:lang w:val="en-US" w:eastAsia="zh-CN"/>
              </w:rPr>
              <w:t>：</w:t>
            </w:r>
          </w:p>
          <w:p w14:paraId="77AE166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b/>
                <w:bCs/>
                <w:sz w:val="24"/>
                <w:lang w:val="en-US" w:eastAsia="zh-CN"/>
              </w:rPr>
            </w:pPr>
            <w:r>
              <w:rPr>
                <w:rFonts w:hint="eastAsia"/>
                <w:b/>
                <w:bCs/>
                <w:sz w:val="24"/>
                <w:lang w:eastAsia="zh-CN"/>
              </w:rPr>
              <w:t>（</w:t>
            </w:r>
            <w:r>
              <w:rPr>
                <w:rFonts w:hint="eastAsia"/>
                <w:b/>
                <w:bCs/>
                <w:sz w:val="24"/>
                <w:lang w:val="en-US" w:eastAsia="zh-CN"/>
              </w:rPr>
              <w:t>一</w:t>
            </w:r>
            <w:r>
              <w:rPr>
                <w:rFonts w:hint="eastAsia"/>
                <w:b/>
                <w:bCs/>
                <w:sz w:val="24"/>
                <w:lang w:eastAsia="zh-CN"/>
              </w:rPr>
              <w:t>）</w:t>
            </w:r>
            <w:r>
              <w:rPr>
                <w:rFonts w:hint="eastAsia"/>
                <w:b/>
                <w:bCs/>
                <w:sz w:val="24"/>
                <w:lang w:val="en-US" w:eastAsia="zh-CN"/>
              </w:rPr>
              <w:t>废气：</w:t>
            </w:r>
          </w:p>
          <w:p w14:paraId="75DC830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sz w:val="24"/>
                <w:lang w:val="en-US" w:eastAsia="zh-CN"/>
              </w:rPr>
            </w:pPr>
            <w:r>
              <w:rPr>
                <w:rFonts w:hint="eastAsia"/>
                <w:sz w:val="24"/>
                <w:lang w:val="en-US" w:eastAsia="zh-CN"/>
              </w:rPr>
              <w:t>1.土方开挖、运输和填筑等施工过程，辅以洒水降尘，进出工地的运输车辆应采用密闭车斗或用篷布遮盖，运输车辆已严格按照规定的行车路线和时间进行物料的输送；</w:t>
            </w:r>
          </w:p>
          <w:p w14:paraId="32A7767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sz w:val="24"/>
                <w:lang w:val="en-US" w:eastAsia="zh-CN"/>
              </w:rPr>
            </w:pPr>
            <w:r>
              <w:rPr>
                <w:rFonts w:hint="eastAsia"/>
                <w:sz w:val="24"/>
                <w:lang w:val="en-US" w:eastAsia="zh-CN"/>
              </w:rPr>
              <w:t>2.施工过程中使用水泥、砂石、涂料、铺装材料等易产生扬尘的建筑材料，采取密闭存储、厂界四周设置堆砌围墙、采用防尘布覆盖；</w:t>
            </w:r>
          </w:p>
          <w:p w14:paraId="3287F71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sz w:val="24"/>
                <w:lang w:val="en-US" w:eastAsia="zh-CN"/>
              </w:rPr>
            </w:pPr>
            <w:r>
              <w:rPr>
                <w:rFonts w:hint="eastAsia"/>
                <w:sz w:val="24"/>
                <w:lang w:val="en-US" w:eastAsia="zh-CN"/>
              </w:rPr>
              <w:t>3.进出工地的物料、渣土、垃圾运输车辆，采用密闭车斗，并保证物料不遗撒外漏，设置车辆清洗池，保证车辆不带泥土驶出工地；</w:t>
            </w:r>
          </w:p>
          <w:p w14:paraId="0FDB6CD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sz w:val="24"/>
                <w:lang w:val="en-US" w:eastAsia="zh-CN"/>
              </w:rPr>
            </w:pPr>
            <w:r>
              <w:rPr>
                <w:rFonts w:hint="eastAsia"/>
                <w:sz w:val="24"/>
                <w:lang w:val="en-US" w:eastAsia="zh-CN"/>
              </w:rPr>
              <w:t>4.当施工过程中遇到干燥、易起尘的工程作业时，洒水抑尘，尽量缩短起尘操作时间，遇到风力较大天气时应停止作业。</w:t>
            </w:r>
          </w:p>
          <w:p w14:paraId="7409162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sz w:val="24"/>
                <w:lang w:val="en-US" w:eastAsia="zh-CN"/>
              </w:rPr>
            </w:pPr>
            <w:r>
              <w:rPr>
                <w:rFonts w:hint="eastAsia" w:cs="Times New Roman"/>
                <w:b/>
                <w:bCs/>
                <w:sz w:val="24"/>
                <w:lang w:eastAsia="zh-CN"/>
              </w:rPr>
              <w:t>（</w:t>
            </w:r>
            <w:r>
              <w:rPr>
                <w:rFonts w:hint="eastAsia" w:cs="Times New Roman"/>
                <w:b/>
                <w:bCs/>
                <w:sz w:val="24"/>
                <w:lang w:val="en-US" w:eastAsia="zh-CN"/>
              </w:rPr>
              <w:t>二</w:t>
            </w:r>
            <w:r>
              <w:rPr>
                <w:rFonts w:hint="eastAsia" w:cs="Times New Roman"/>
                <w:b/>
                <w:bCs/>
                <w:sz w:val="24"/>
                <w:lang w:eastAsia="zh-CN"/>
              </w:rPr>
              <w:t>）</w:t>
            </w:r>
            <w:r>
              <w:rPr>
                <w:rFonts w:hint="eastAsia" w:cs="Times New Roman"/>
                <w:b/>
                <w:bCs/>
                <w:sz w:val="24"/>
                <w:lang w:val="en-US" w:eastAsia="zh-CN"/>
              </w:rPr>
              <w:t>废水：</w:t>
            </w:r>
          </w:p>
          <w:p w14:paraId="2876C96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cs="Times New Roman"/>
                <w:sz w:val="24"/>
                <w:lang w:val="en-US" w:eastAsia="zh-CN"/>
              </w:rPr>
            </w:pPr>
            <w:r>
              <w:rPr>
                <w:rFonts w:hint="eastAsia" w:cs="Times New Roman"/>
                <w:sz w:val="24"/>
                <w:lang w:val="en-US" w:eastAsia="zh-CN"/>
              </w:rPr>
              <w:t>在装卸区地势低洼处设置了1个2m3的临时沉淀池，建筑施工废水和员工清洗生活废水经临时沉淀池沉淀处理后，回用于施工过程、车辆冲洗及场地洒水降尘等。</w:t>
            </w:r>
          </w:p>
          <w:p w14:paraId="14616C6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eastAsia="zh-CN"/>
              </w:rPr>
              <w:t>（</w:t>
            </w:r>
            <w:r>
              <w:rPr>
                <w:rFonts w:hint="eastAsia" w:cs="Times New Roman"/>
                <w:b/>
                <w:bCs/>
                <w:sz w:val="24"/>
                <w:lang w:val="en-US" w:eastAsia="zh-CN"/>
              </w:rPr>
              <w:t>三</w:t>
            </w:r>
            <w:r>
              <w:rPr>
                <w:rFonts w:hint="eastAsia" w:cs="Times New Roman"/>
                <w:b/>
                <w:bCs/>
                <w:sz w:val="24"/>
                <w:lang w:eastAsia="zh-CN"/>
              </w:rPr>
              <w:t>）</w:t>
            </w:r>
            <w:r>
              <w:rPr>
                <w:rFonts w:hint="eastAsia" w:cs="Times New Roman"/>
                <w:b/>
                <w:bCs/>
                <w:sz w:val="24"/>
                <w:lang w:val="en-US" w:eastAsia="zh-CN"/>
              </w:rPr>
              <w:t>噪声：</w:t>
            </w:r>
          </w:p>
          <w:p w14:paraId="14420F9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1.</w:t>
            </w:r>
            <w:r>
              <w:rPr>
                <w:rFonts w:hint="eastAsia" w:cs="Times New Roman"/>
                <w:sz w:val="24"/>
                <w:lang w:eastAsia="zh-CN"/>
              </w:rPr>
              <w:t>合理布局施工现场，不在同一地点安排大量动力机械设备，将高噪声级机械置于地块较中间的位置；</w:t>
            </w:r>
          </w:p>
          <w:p w14:paraId="2813DCC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2.</w:t>
            </w:r>
            <w:r>
              <w:rPr>
                <w:rFonts w:hint="eastAsia" w:cs="Times New Roman"/>
                <w:sz w:val="24"/>
                <w:lang w:eastAsia="zh-CN"/>
              </w:rPr>
              <w:t>合理安排施工时间，制定施工计划时，避免高噪声设备同时施工；禁止夜间进行过施工；</w:t>
            </w:r>
          </w:p>
          <w:p w14:paraId="58513C6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3.</w:t>
            </w:r>
            <w:r>
              <w:rPr>
                <w:rFonts w:hint="eastAsia" w:cs="Times New Roman"/>
                <w:sz w:val="24"/>
                <w:lang w:eastAsia="zh-CN"/>
              </w:rPr>
              <w:t>施工机械选型时选用低噪声的设备，对动力机械设备进行定期维修、养护，在设备用完后或不用时采取立即关闭的措施；</w:t>
            </w:r>
          </w:p>
          <w:p w14:paraId="092FF4D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4.</w:t>
            </w:r>
            <w:r>
              <w:rPr>
                <w:rFonts w:hint="eastAsia" w:cs="Times New Roman"/>
                <w:sz w:val="24"/>
                <w:lang w:eastAsia="zh-CN"/>
              </w:rPr>
              <w:t>加强施工机械的维护保养，避免由于设备性能差而使机械噪声增大的现象发生。运输车辆进入现场应减速、减少鸣笛等。</w:t>
            </w:r>
          </w:p>
          <w:p w14:paraId="172AEDB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eastAsia="zh-CN"/>
              </w:rPr>
              <w:t>（</w:t>
            </w:r>
            <w:r>
              <w:rPr>
                <w:rFonts w:hint="eastAsia" w:cs="Times New Roman"/>
                <w:b/>
                <w:bCs/>
                <w:sz w:val="24"/>
                <w:lang w:val="en-US" w:eastAsia="zh-CN"/>
              </w:rPr>
              <w:t>四</w:t>
            </w:r>
            <w:r>
              <w:rPr>
                <w:rFonts w:hint="eastAsia" w:cs="Times New Roman"/>
                <w:b/>
                <w:bCs/>
                <w:sz w:val="24"/>
                <w:lang w:eastAsia="zh-CN"/>
              </w:rPr>
              <w:t>）</w:t>
            </w:r>
            <w:r>
              <w:rPr>
                <w:rFonts w:hint="eastAsia" w:cs="Times New Roman"/>
                <w:b/>
                <w:bCs/>
                <w:sz w:val="24"/>
                <w:lang w:val="en-US" w:eastAsia="zh-CN"/>
              </w:rPr>
              <w:t>固废：</w:t>
            </w:r>
          </w:p>
          <w:p w14:paraId="6A55D37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1.</w:t>
            </w:r>
            <w:r>
              <w:rPr>
                <w:rFonts w:hint="eastAsia" w:cs="Times New Roman"/>
                <w:sz w:val="24"/>
                <w:lang w:eastAsia="zh-CN"/>
              </w:rPr>
              <w:t>在施工营地设置垃圾桶，施工期间产生的生活垃圾经垃圾桶收集后，运往园区环卫部门指定地点，交由了环卫部门统一处置；</w:t>
            </w:r>
          </w:p>
          <w:p w14:paraId="422F65D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2.</w:t>
            </w:r>
            <w:r>
              <w:rPr>
                <w:rFonts w:hint="eastAsia" w:cs="Times New Roman"/>
                <w:sz w:val="24"/>
                <w:lang w:eastAsia="zh-CN"/>
              </w:rPr>
              <w:t>建筑垃圾分类收集后外售给废品回收站，不可利用的部分清运至园区指定地点处置；</w:t>
            </w:r>
          </w:p>
          <w:p w14:paraId="7C94BD0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val="en-US" w:eastAsia="zh-CN"/>
              </w:rPr>
              <w:t>3.</w:t>
            </w:r>
            <w:r>
              <w:rPr>
                <w:rFonts w:hint="eastAsia" w:cs="Times New Roman"/>
                <w:sz w:val="24"/>
                <w:lang w:eastAsia="zh-CN"/>
              </w:rPr>
              <w:t>施工开挖产生的土石方全部回填。</w:t>
            </w:r>
          </w:p>
          <w:p w14:paraId="63A1F12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eastAsia="zh-CN"/>
              </w:rPr>
              <w:t>（</w:t>
            </w:r>
            <w:r>
              <w:rPr>
                <w:rFonts w:hint="eastAsia" w:cs="Times New Roman"/>
                <w:b/>
                <w:bCs/>
                <w:sz w:val="24"/>
                <w:lang w:val="en-US" w:eastAsia="zh-CN"/>
              </w:rPr>
              <w:t>五</w:t>
            </w:r>
            <w:r>
              <w:rPr>
                <w:rFonts w:hint="eastAsia" w:cs="Times New Roman"/>
                <w:b/>
                <w:bCs/>
                <w:sz w:val="24"/>
                <w:lang w:eastAsia="zh-CN"/>
              </w:rPr>
              <w:t>）</w:t>
            </w:r>
            <w:r>
              <w:rPr>
                <w:rFonts w:hint="eastAsia" w:cs="Times New Roman"/>
                <w:b/>
                <w:bCs/>
                <w:sz w:val="24"/>
                <w:lang w:val="en-US" w:eastAsia="zh-CN"/>
              </w:rPr>
              <w:t>生态环境：</w:t>
            </w:r>
          </w:p>
          <w:p w14:paraId="1943680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eastAsia="zh-CN"/>
              </w:rPr>
            </w:pPr>
            <w:r>
              <w:rPr>
                <w:rFonts w:hint="eastAsia" w:cs="Times New Roman"/>
                <w:sz w:val="24"/>
                <w:lang w:eastAsia="zh-CN"/>
              </w:rPr>
              <w:t>加强施工管理和环境宣传教育，对施工人员进行环境教育及有关法律法规的宣传教育及培训；加强施工人员管理；合理安排施工工序、施工机械，严格按照了施工规范进行操作。</w:t>
            </w:r>
          </w:p>
          <w:p w14:paraId="359B607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val="en-US" w:eastAsia="zh-CN"/>
              </w:rPr>
              <w:t>一、运营期：</w:t>
            </w:r>
          </w:p>
          <w:p w14:paraId="5537906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sz w:val="24"/>
                <w:lang w:val="en-US" w:eastAsia="zh-CN"/>
              </w:rPr>
            </w:pPr>
            <w:r>
              <w:rPr>
                <w:rFonts w:hint="eastAsia" w:cs="Times New Roman"/>
                <w:b/>
                <w:bCs/>
                <w:sz w:val="24"/>
                <w:lang w:eastAsia="zh-CN"/>
              </w:rPr>
              <w:t>（</w:t>
            </w:r>
            <w:r>
              <w:rPr>
                <w:rFonts w:hint="eastAsia" w:cs="Times New Roman"/>
                <w:b/>
                <w:bCs/>
                <w:sz w:val="24"/>
                <w:lang w:val="en-US" w:eastAsia="zh-CN"/>
              </w:rPr>
              <w:t>一</w:t>
            </w:r>
            <w:r>
              <w:rPr>
                <w:rFonts w:hint="eastAsia" w:cs="Times New Roman"/>
                <w:b/>
                <w:bCs/>
                <w:sz w:val="24"/>
                <w:lang w:eastAsia="zh-CN"/>
              </w:rPr>
              <w:t>）</w:t>
            </w:r>
            <w:r>
              <w:rPr>
                <w:rFonts w:hint="eastAsia" w:cs="Times New Roman"/>
                <w:b/>
                <w:bCs/>
                <w:sz w:val="24"/>
                <w:lang w:val="en-US" w:eastAsia="zh-CN"/>
              </w:rPr>
              <w:t>废气:</w:t>
            </w:r>
          </w:p>
          <w:p w14:paraId="7396976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1.加强对设备及内燃机车车辆的维护，使之处于良好运行状态；</w:t>
            </w:r>
          </w:p>
          <w:p w14:paraId="34A30E7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2.货车采用经审核合格的燃油运输车辆，尾气污染物可达标排放，且项目装卸场地较为宽阔，经过自然通风、大气稀释扩散，绿化吸收后对周边环境影响较小；</w:t>
            </w:r>
          </w:p>
          <w:p w14:paraId="1832E78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3.运输道路晴天早、晚各洒水降尘 1 次，并由专人定期清扫道路。</w:t>
            </w:r>
          </w:p>
          <w:p w14:paraId="2032149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val="en-US" w:eastAsia="zh-CN"/>
              </w:rPr>
              <w:t>（二）废水：</w:t>
            </w:r>
          </w:p>
          <w:p w14:paraId="4534A00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1.初期雨水经雨水沟收集，排入项目区初期雨水收集池沉淀处理后回用于项目区绿化、洒水降尘，回用不完的由曲煤内部清运至铁路卸煤区洒水降尘；</w:t>
            </w:r>
          </w:p>
          <w:p w14:paraId="3CEA9A2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2.生活废水排入化粪池处理后委托环卫部门清运处置。</w:t>
            </w:r>
          </w:p>
          <w:p w14:paraId="0A02A8C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val="en-US" w:eastAsia="zh-CN"/>
              </w:rPr>
              <w:t>（三）噪声：</w:t>
            </w:r>
          </w:p>
          <w:p w14:paraId="369C346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1.采用安装强指向性风笛装置；</w:t>
            </w:r>
          </w:p>
          <w:p w14:paraId="39F9529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2.严格控制鸣笛时长，尽量采用短鸣笛；</w:t>
            </w:r>
          </w:p>
          <w:p w14:paraId="0CFAAAA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3.加强日常管理和保养，定期进行轨道打磨和旋轮等，使线路在较佳的线路条件下运行，降低噪声；</w:t>
            </w:r>
          </w:p>
          <w:p w14:paraId="139CE26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4.运营期管理单位应加强对沿线敏感点的噪声监测，根据监测结果及时增补、完善措施；</w:t>
            </w:r>
          </w:p>
          <w:p w14:paraId="3F3B750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5.合理规划运输时间，货物运输尽量安排在白天进行。</w:t>
            </w:r>
          </w:p>
          <w:p w14:paraId="4B72CA9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sz w:val="24"/>
                <w:lang w:val="en-US" w:eastAsia="zh-CN"/>
              </w:rPr>
            </w:pPr>
            <w:r>
              <w:rPr>
                <w:rFonts w:hint="eastAsia" w:cs="Times New Roman"/>
                <w:b/>
                <w:bCs/>
                <w:sz w:val="24"/>
                <w:lang w:val="en-US" w:eastAsia="zh-CN"/>
              </w:rPr>
              <w:t>（四）固废：</w:t>
            </w:r>
          </w:p>
          <w:p w14:paraId="10D788B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1.项目运营期产生的生活垃圾由垃圾桶收集后专人定期清运至园区指定垃圾收集点，委托环卫部门统一清运处置；</w:t>
            </w:r>
          </w:p>
          <w:p w14:paraId="276D268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2.化粪池污泥委托环卫部门定期清掏处置；</w:t>
            </w:r>
          </w:p>
          <w:p w14:paraId="296C7C3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3.项目废机油、废抹布、手套收集后暂存于危险废物暂存间，委托有资质的单位清运处置。</w:t>
            </w:r>
          </w:p>
          <w:p w14:paraId="5FFB302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cs="Times New Roman"/>
                <w:b/>
                <w:bCs/>
                <w:sz w:val="24"/>
                <w:lang w:val="en-US" w:eastAsia="zh-CN"/>
              </w:rPr>
            </w:pPr>
            <w:r>
              <w:rPr>
                <w:rFonts w:hint="eastAsia" w:cs="Times New Roman"/>
                <w:b/>
                <w:bCs/>
                <w:sz w:val="24"/>
                <w:lang w:val="en-US" w:eastAsia="zh-CN"/>
              </w:rPr>
              <w:t>（五）地下水及土壤：</w:t>
            </w:r>
          </w:p>
          <w:p w14:paraId="23DD8B5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采取源头控制措施，分区防控措施，建立项目区地下水长期跟踪监控体系，事故后处置措施。</w:t>
            </w:r>
          </w:p>
          <w:p w14:paraId="6DA0365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sz w:val="24"/>
                <w:lang w:val="en-US" w:eastAsia="zh-CN"/>
              </w:rPr>
            </w:pPr>
            <w:r>
              <w:rPr>
                <w:rFonts w:hint="eastAsia" w:cs="Times New Roman"/>
                <w:b/>
                <w:bCs/>
                <w:sz w:val="24"/>
                <w:lang w:val="en-US" w:eastAsia="zh-CN"/>
              </w:rPr>
              <w:t>（六）生态环境：</w:t>
            </w:r>
          </w:p>
          <w:p w14:paraId="68D0FEA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1.在工程建设完成后，对路基两侧采用优选种植乡土树种、草种的植物防护措施进行绿化；</w:t>
            </w:r>
          </w:p>
          <w:p w14:paraId="7426E5A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2.竣工后应及时对临时占地生态恢复工作进行检查，真正使临时占地达到恢复原有的土地利用类型的目的；</w:t>
            </w:r>
          </w:p>
          <w:p w14:paraId="2986852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3.装卸场应加强绿化工程，采用带状绿化，乔灌木结合的方式，降低装卸场车辆运输扬尘影响，改善生态环境。</w:t>
            </w:r>
          </w:p>
          <w:p w14:paraId="09F3BF3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sz w:val="24"/>
                <w:lang w:val="en-US" w:eastAsia="zh-CN"/>
              </w:rPr>
            </w:pPr>
            <w:r>
              <w:rPr>
                <w:rFonts w:hint="eastAsia" w:cs="Times New Roman"/>
                <w:b/>
                <w:bCs/>
                <w:sz w:val="24"/>
                <w:lang w:val="en-US" w:eastAsia="zh-CN"/>
              </w:rPr>
              <w:t>（七）环境风险：</w:t>
            </w:r>
          </w:p>
          <w:p w14:paraId="6FC779E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sz w:val="24"/>
                <w:lang w:val="en-US" w:eastAsia="zh-CN"/>
              </w:rPr>
            </w:pPr>
            <w:r>
              <w:rPr>
                <w:rFonts w:hint="eastAsia" w:cs="Times New Roman"/>
                <w:sz w:val="24"/>
                <w:lang w:val="en-US" w:eastAsia="zh-CN"/>
              </w:rPr>
              <w:t>1.按照要求编制应急预案，并报当地行政主管部门进行备案；</w:t>
            </w:r>
          </w:p>
          <w:p w14:paraId="57E74B3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sz w:val="24"/>
                <w:lang w:val="en-US" w:eastAsia="zh-CN"/>
              </w:rPr>
            </w:pPr>
            <w:r>
              <w:rPr>
                <w:rFonts w:hint="eastAsia" w:cs="Times New Roman"/>
                <w:sz w:val="24"/>
                <w:lang w:val="en-US" w:eastAsia="zh-CN"/>
              </w:rPr>
              <w:t xml:space="preserve">   2.发生环境污染事故后应立即向生产调度室，说明事故发生地点及部位，并积极采取一切有效措施减少泄漏或想办法切断泄漏源，并启动应急预案。</w:t>
            </w:r>
          </w:p>
        </w:tc>
      </w:tr>
      <w:tr w14:paraId="7F1660CA">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6646DF2">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5330ABFA">
        <w:tblPrEx>
          <w:tblCellMar>
            <w:top w:w="0" w:type="dxa"/>
            <w:left w:w="108" w:type="dxa"/>
            <w:bottom w:w="0" w:type="dxa"/>
            <w:right w:w="108" w:type="dxa"/>
          </w:tblCellMar>
        </w:tblPrEx>
        <w:trPr>
          <w:trHeight w:val="784"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FEEC31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pPr>
            <w:r>
              <w:rPr>
                <w:rFonts w:hint="eastAsia" w:cs="Times New Roman"/>
                <w:sz w:val="24"/>
                <w:lang w:val="en-US" w:eastAsia="zh-CN"/>
              </w:rPr>
              <w:t>建设单位于2026年2月13日在曲靖市当地公共媒体网站“曲靖信息网”进行了第一次环境影响评价信息公示，2026年4月3日至2026年4月17日，在曲靖信息网进行了环境影响报告书（征求意见稿）的公示，分别于2026年4月3日、4月10日在云南信息报进行了两期报纸公示，2026年4月10日在项目所在地、兴源社区进行了征求意见稿现场张贴公示，2026年8月20日，在自有网站云煤集团云南曲煤焦化实业发展有限公司网站上进行了报批前公示。公示期间未收到公众反馈意见</w:t>
            </w:r>
            <w:r>
              <w:rPr>
                <w:rFonts w:hint="eastAsia" w:ascii="Times New Roman" w:hAnsi="Times New Roman"/>
                <w:sz w:val="24"/>
                <w:szCs w:val="24"/>
                <w:lang w:val="en-US" w:eastAsia="zh-CN"/>
              </w:rPr>
              <w:t>。</w:t>
            </w:r>
          </w:p>
        </w:tc>
      </w:tr>
      <w:tr w14:paraId="44773E70">
        <w:tblPrEx>
          <w:tblCellMar>
            <w:top w:w="0" w:type="dxa"/>
            <w:left w:w="108" w:type="dxa"/>
            <w:bottom w:w="0" w:type="dxa"/>
            <w:right w:w="108" w:type="dxa"/>
          </w:tblCellMar>
        </w:tblPrEx>
        <w:trPr>
          <w:trHeight w:val="429"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3CDF5342">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2EFC629B">
            <w:pPr>
              <w:pStyle w:val="7"/>
              <w:ind w:firstLine="480" w:firstLineChars="200"/>
            </w:pPr>
            <w:r>
              <w:rPr>
                <w:rFonts w:hint="eastAsia" w:ascii="Calibri" w:hAnsi="Calibri" w:eastAsia="方正仿宋_GBK" w:cs="Times New Roman"/>
                <w:snapToGrid/>
                <w:kern w:val="32"/>
                <w:sz w:val="24"/>
                <w:szCs w:val="32"/>
                <w:lang w:val="en-US" w:eastAsia="zh-CN" w:bidi="ar-SA"/>
              </w:rPr>
              <w:t>信息公开说明。</w:t>
            </w:r>
          </w:p>
        </w:tc>
      </w:tr>
      <w:tr w14:paraId="3D890382">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06A54C2A">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78F79AED">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306A2A7-626C-4DA3-942F-AC214CDC908A}"/>
  </w:font>
  <w:font w:name="方正仿宋_GBK">
    <w:panose1 w:val="03000509000000000000"/>
    <w:charset w:val="86"/>
    <w:family w:val="script"/>
    <w:pitch w:val="default"/>
    <w:sig w:usb0="00000001" w:usb1="080E0000" w:usb2="00000000" w:usb3="00000000" w:csb0="00040000" w:csb1="00000000"/>
    <w:embedRegular r:id="rId2" w:fontKey="{1F94AED3-37B3-4903-A8AD-0104263A6614}"/>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3" w:fontKey="{8EE45D8F-08A3-4B9A-951B-515B9C473DFA}"/>
  </w:font>
  <w:font w:name="WPSEMBED5">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81E3E37"/>
    <w:rsid w:val="0870623F"/>
    <w:rsid w:val="0E7539A2"/>
    <w:rsid w:val="13B34670"/>
    <w:rsid w:val="17FC2877"/>
    <w:rsid w:val="1A3C46BC"/>
    <w:rsid w:val="1B020E5E"/>
    <w:rsid w:val="1C8733A0"/>
    <w:rsid w:val="201D4921"/>
    <w:rsid w:val="20547DB6"/>
    <w:rsid w:val="21602F6F"/>
    <w:rsid w:val="22862C6A"/>
    <w:rsid w:val="23313E73"/>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2E26FF"/>
    <w:rsid w:val="3C272C37"/>
    <w:rsid w:val="3D9C18A1"/>
    <w:rsid w:val="3EDD372A"/>
    <w:rsid w:val="4155672C"/>
    <w:rsid w:val="426C2071"/>
    <w:rsid w:val="43BD5ED1"/>
    <w:rsid w:val="449625B7"/>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951367"/>
    <w:rsid w:val="5F257633"/>
    <w:rsid w:val="60EA0DC0"/>
    <w:rsid w:val="614E3CA3"/>
    <w:rsid w:val="64CE0A00"/>
    <w:rsid w:val="66336F03"/>
    <w:rsid w:val="66B00A67"/>
    <w:rsid w:val="6AB93F9D"/>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32"/>
      <w:sz w:val="32"/>
      <w:szCs w:val="32"/>
      <w:lang w:val="en-US" w:eastAsia="zh-CN" w:bidi="ar-SA"/>
    </w:rPr>
  </w:style>
  <w:style w:type="paragraph" w:styleId="4">
    <w:name w:val="heading 2"/>
    <w:basedOn w:val="1"/>
    <w:next w:val="1"/>
    <w:link w:val="24"/>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5">
    <w:name w:val="heading 3"/>
    <w:basedOn w:val="1"/>
    <w:next w:val="1"/>
    <w:link w:val="19"/>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6">
    <w:name w:val="heading 4"/>
    <w:basedOn w:val="1"/>
    <w:next w:val="1"/>
    <w:link w:val="22"/>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3"/>
    <w:next w:val="3"/>
    <w:qFormat/>
    <w:uiPriority w:val="1"/>
    <w:rPr>
      <w:sz w:val="24"/>
      <w:szCs w:val="24"/>
    </w:rPr>
  </w:style>
  <w:style w:type="paragraph" w:styleId="3">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paragraph" w:styleId="7">
    <w:name w:val="Plain Text"/>
    <w:basedOn w:val="1"/>
    <w:qFormat/>
    <w:uiPriority w:val="0"/>
    <w:rPr>
      <w:rFonts w:ascii="宋体"/>
      <w:snapToGrid w:val="0"/>
      <w:kern w:val="0"/>
      <w:szCs w:val="20"/>
    </w:rPr>
  </w:style>
  <w:style w:type="paragraph" w:styleId="8">
    <w:name w:val="footer"/>
    <w:basedOn w:val="1"/>
    <w:link w:val="23"/>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jc w:val="left"/>
    </w:pPr>
    <w:rPr>
      <w:rFonts w:eastAsia="宋体"/>
      <w:kern w:val="0"/>
      <w:sz w:val="24"/>
    </w:r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paragraph" w:customStyle="1" w:styleId="15">
    <w:name w:val="Default"/>
    <w:basedOn w:val="16"/>
    <w:next w:val="1"/>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6">
    <w:name w:val="纯文本1"/>
    <w:basedOn w:val="1"/>
    <w:qFormat/>
    <w:uiPriority w:val="0"/>
    <w:pPr>
      <w:suppressAutoHyphens/>
    </w:pPr>
    <w:rPr>
      <w:rFonts w:ascii="宋体" w:hAnsi="宋体" w:eastAsia="宋体" w:cs="Times New Roman"/>
      <w:kern w:val="1"/>
      <w:sz w:val="28"/>
      <w:lang w:eastAsia="ar-SA"/>
    </w:rPr>
  </w:style>
  <w:style w:type="paragraph" w:customStyle="1" w:styleId="17">
    <w:name w:val="Normal Indent1"/>
    <w:basedOn w:val="1"/>
    <w:next w:val="1"/>
    <w:qFormat/>
    <w:uiPriority w:val="99"/>
    <w:pPr>
      <w:ind w:firstLine="420"/>
    </w:pPr>
  </w:style>
  <w:style w:type="paragraph" w:customStyle="1" w:styleId="18">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19">
    <w:name w:val="标题 3 字符"/>
    <w:link w:val="5"/>
    <w:qFormat/>
    <w:uiPriority w:val="0"/>
    <w:rPr>
      <w:rFonts w:eastAsia="楷体_GB2312"/>
      <w:b/>
      <w:bCs/>
      <w:color w:val="000000"/>
      <w:kern w:val="2"/>
      <w:sz w:val="28"/>
      <w:szCs w:val="28"/>
    </w:rPr>
  </w:style>
  <w:style w:type="character" w:customStyle="1" w:styleId="20">
    <w:name w:val="标题 3 Char"/>
    <w:semiHidden/>
    <w:qFormat/>
    <w:uiPriority w:val="0"/>
    <w:rPr>
      <w:rFonts w:ascii="Calibri" w:hAnsi="Calibri" w:eastAsia="方正仿宋_GBK"/>
      <w:b/>
      <w:bCs/>
      <w:kern w:val="32"/>
      <w:sz w:val="32"/>
      <w:szCs w:val="32"/>
    </w:rPr>
  </w:style>
  <w:style w:type="character" w:customStyle="1" w:styleId="21">
    <w:name w:val="页眉 字符"/>
    <w:link w:val="9"/>
    <w:qFormat/>
    <w:uiPriority w:val="0"/>
    <w:rPr>
      <w:rFonts w:ascii="Calibri" w:hAnsi="Calibri" w:eastAsia="方正仿宋_GBK"/>
      <w:kern w:val="32"/>
      <w:sz w:val="18"/>
      <w:szCs w:val="18"/>
    </w:rPr>
  </w:style>
  <w:style w:type="character" w:customStyle="1" w:styleId="22">
    <w:name w:val="标题 4 字符"/>
    <w:link w:val="6"/>
    <w:qFormat/>
    <w:uiPriority w:val="0"/>
    <w:rPr>
      <w:rFonts w:ascii="Arial" w:hAnsi="Arial" w:eastAsia="黑体"/>
      <w:b/>
      <w:bCs/>
      <w:kern w:val="2"/>
      <w:sz w:val="28"/>
      <w:szCs w:val="28"/>
    </w:rPr>
  </w:style>
  <w:style w:type="character" w:customStyle="1" w:styleId="23">
    <w:name w:val="页脚 字符"/>
    <w:link w:val="8"/>
    <w:qFormat/>
    <w:uiPriority w:val="0"/>
    <w:rPr>
      <w:rFonts w:ascii="Calibri" w:hAnsi="Calibri" w:eastAsia="方正仿宋_GBK"/>
      <w:kern w:val="32"/>
      <w:sz w:val="18"/>
      <w:szCs w:val="18"/>
    </w:rPr>
  </w:style>
  <w:style w:type="character" w:customStyle="1" w:styleId="24">
    <w:name w:val="标题 2 字符"/>
    <w:link w:val="4"/>
    <w:qFormat/>
    <w:uiPriority w:val="0"/>
    <w:rPr>
      <w:rFonts w:eastAsia="宋体"/>
      <w:b/>
      <w:sz w:val="24"/>
      <w:szCs w:val="24"/>
    </w:rPr>
  </w:style>
  <w:style w:type="character" w:customStyle="1" w:styleId="25">
    <w:name w:val="标题 4 Char"/>
    <w:semiHidden/>
    <w:qFormat/>
    <w:uiPriority w:val="0"/>
    <w:rPr>
      <w:rFonts w:ascii="Cambria" w:hAnsi="Cambria" w:eastAsia="宋体" w:cs="Times New Roman"/>
      <w:b/>
      <w:bCs/>
      <w:kern w:val="32"/>
      <w:sz w:val="28"/>
      <w:szCs w:val="28"/>
    </w:rPr>
  </w:style>
  <w:style w:type="character" w:customStyle="1" w:styleId="26">
    <w:name w:val="正文 旺源文字段落 Char"/>
    <w:link w:val="27"/>
    <w:qFormat/>
    <w:uiPriority w:val="0"/>
    <w:rPr>
      <w:rFonts w:ascii="宋体" w:hAnsi="宋体" w:cs="宋体"/>
      <w:kern w:val="24"/>
      <w:sz w:val="24"/>
      <w:szCs w:val="24"/>
    </w:rPr>
  </w:style>
  <w:style w:type="paragraph" w:customStyle="1" w:styleId="27">
    <w:name w:val="正文 旺源文字段落"/>
    <w:basedOn w:val="1"/>
    <w:link w:val="26"/>
    <w:qFormat/>
    <w:uiPriority w:val="0"/>
    <w:pPr>
      <w:spacing w:line="500" w:lineRule="exact"/>
      <w:ind w:firstLine="420"/>
    </w:pPr>
    <w:rPr>
      <w:rFonts w:ascii="宋体" w:hAnsi="宋体" w:eastAsia="宋体"/>
      <w:kern w:val="24"/>
      <w:sz w:val="24"/>
      <w:szCs w:val="24"/>
    </w:rPr>
  </w:style>
  <w:style w:type="paragraph" w:customStyle="1" w:styleId="28">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29">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0">
    <w:name w:val="Table Text"/>
    <w:basedOn w:val="1"/>
    <w:semiHidden/>
    <w:qFormat/>
    <w:uiPriority w:val="0"/>
    <w:rPr>
      <w:rFonts w:ascii="宋体" w:hAnsi="宋体" w:eastAsia="宋体" w:cs="宋体"/>
      <w:sz w:val="21"/>
      <w:szCs w:val="21"/>
      <w:lang w:val="en-US" w:eastAsia="en-US" w:bidi="ar-SA"/>
    </w:rPr>
  </w:style>
  <w:style w:type="paragraph" w:customStyle="1" w:styleId="31">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2">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3">
    <w:name w:val="【正文】"/>
    <w:basedOn w:val="1"/>
    <w:qFormat/>
    <w:uiPriority w:val="0"/>
    <w:rPr>
      <w:rFonts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1033</Words>
  <Characters>1089</Characters>
  <Lines>97</Lines>
  <Paragraphs>85</Paragraphs>
  <TotalTime>23</TotalTime>
  <ScaleCrop>false</ScaleCrop>
  <LinksUpToDate>false</LinksUpToDate>
  <CharactersWithSpaces>1091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2026-10-10T07:13:36Z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0E8BC3EF25DD479E904427CD562911D2_13</vt:lpwstr>
  </property>
  <property fmtid="{D5CDD505-2E9C-101B-9397-08002B2CF9AE}" pid="4" name="KSOTemplateDocerSaveRecord">
    <vt:lpwstr>eyJoZGlkIjoiYTA0OTFiNTllN2E3YTc2MDc5ZTIwYTg0ZjFlZjFlMWQiLCJ1c2VySWQiOiIzNzMyMDUyODEifQ==</vt:lpwstr>
  </property>
</Properties>
</file>