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9255A">
      <w:pPr>
        <w:keepNext w:val="0"/>
        <w:keepLines w:val="0"/>
        <w:pageBreakBefore w:val="0"/>
        <w:kinsoku/>
        <w:wordWrap/>
        <w:overflowPunct/>
        <w:topLinePunct w:val="0"/>
        <w:autoSpaceDE/>
        <w:autoSpaceDN/>
        <w:bidi w:val="0"/>
        <w:adjustRightInd/>
        <w:snapToGrid/>
        <w:spacing w:line="276" w:lineRule="auto"/>
        <w:jc w:val="center"/>
        <w:textAlignment w:val="auto"/>
        <w:rPr>
          <w:rFonts w:hint="eastAsia" w:ascii="黑体" w:hAnsi="黑体" w:eastAsia="黑体"/>
          <w:b/>
          <w:bCs/>
          <w:color w:val="auto"/>
          <w:sz w:val="24"/>
          <w:szCs w:val="24"/>
          <w:lang w:val="en-US" w:eastAsia="zh-CN"/>
        </w:rPr>
      </w:pPr>
    </w:p>
    <w:p w14:paraId="5A907F71">
      <w:pPr>
        <w:ind w:left="0" w:leftChars="0" w:firstLine="0" w:firstLineChars="0"/>
        <w:jc w:val="both"/>
        <w:rPr>
          <w:rFonts w:hint="eastAsia" w:ascii="方正小标宋_GBK" w:hAnsi="方正小标宋_GBK" w:eastAsia="方正小标宋_GBK" w:cs="方正小标宋_GBK"/>
          <w:b w:val="0"/>
          <w:bCs w:val="0"/>
          <w:color w:val="auto"/>
          <w:sz w:val="44"/>
          <w:szCs w:val="44"/>
        </w:rPr>
      </w:pPr>
      <w:bookmarkStart w:id="0" w:name="_Toc13359"/>
      <w:r>
        <w:rPr>
          <w:rFonts w:hint="eastAsia" w:ascii="方正小标宋_GBK" w:hAnsi="方正小标宋_GBK" w:eastAsia="方正小标宋_GBK" w:cs="方正小标宋_GBK"/>
          <w:b w:val="0"/>
          <w:bCs w:val="0"/>
          <w:color w:val="auto"/>
          <w:sz w:val="44"/>
          <w:szCs w:val="44"/>
          <w:lang w:eastAsia="zh-CN"/>
        </w:rPr>
        <w:t>《</w:t>
      </w:r>
      <w:r>
        <w:rPr>
          <w:rFonts w:hint="eastAsia" w:ascii="方正小标宋_GBK" w:hAnsi="方正小标宋_GBK" w:eastAsia="方正小标宋_GBK" w:cs="方正小标宋_GBK"/>
          <w:b w:val="0"/>
          <w:bCs w:val="0"/>
          <w:color w:val="auto"/>
          <w:sz w:val="44"/>
          <w:szCs w:val="44"/>
        </w:rPr>
        <w:t>曲靖市民政社会福利设施国土空间规划</w:t>
      </w:r>
    </w:p>
    <w:p w14:paraId="2322DE2F">
      <w:pPr>
        <w:jc w:val="center"/>
        <w:rPr>
          <w:rFonts w:hint="eastAsia" w:ascii="方正小标宋_GBK" w:hAnsi="方正小标宋_GBK" w:eastAsia="方正小标宋_GBK" w:cs="方正小标宋_GBK"/>
          <w:b w:val="0"/>
          <w:bCs w:val="0"/>
          <w:color w:val="auto"/>
          <w:sz w:val="44"/>
          <w:szCs w:val="44"/>
          <w:lang w:val="en-US" w:eastAsia="zh-CN"/>
        </w:rPr>
      </w:pPr>
      <w:r>
        <w:rPr>
          <w:rFonts w:hint="eastAsia" w:ascii="方正小标宋_GBK" w:hAnsi="方正小标宋_GBK" w:eastAsia="方正小标宋_GBK" w:cs="方正小标宋_GBK"/>
          <w:b w:val="0"/>
          <w:bCs w:val="0"/>
          <w:color w:val="auto"/>
          <w:sz w:val="44"/>
          <w:szCs w:val="44"/>
        </w:rPr>
        <w:t>（202</w:t>
      </w:r>
      <w:r>
        <w:rPr>
          <w:rFonts w:hint="eastAsia" w:ascii="方正小标宋_GBK" w:hAnsi="方正小标宋_GBK" w:eastAsia="方正小标宋_GBK" w:cs="方正小标宋_GBK"/>
          <w:b w:val="0"/>
          <w:bCs w:val="0"/>
          <w:color w:val="auto"/>
          <w:sz w:val="44"/>
          <w:szCs w:val="44"/>
          <w:lang w:val="en-US" w:eastAsia="zh-CN"/>
        </w:rPr>
        <w:t>1—</w:t>
      </w:r>
      <w:r>
        <w:rPr>
          <w:rFonts w:hint="eastAsia" w:ascii="方正小标宋_GBK" w:hAnsi="方正小标宋_GBK" w:eastAsia="方正小标宋_GBK" w:cs="方正小标宋_GBK"/>
          <w:b w:val="0"/>
          <w:bCs w:val="0"/>
          <w:color w:val="auto"/>
          <w:sz w:val="44"/>
          <w:szCs w:val="44"/>
        </w:rPr>
        <w:t>2035年）</w:t>
      </w:r>
      <w:r>
        <w:rPr>
          <w:rFonts w:hint="eastAsia" w:ascii="方正小标宋_GBK" w:hAnsi="方正小标宋_GBK" w:eastAsia="方正小标宋_GBK" w:cs="方正小标宋_GBK"/>
          <w:b w:val="0"/>
          <w:bCs w:val="0"/>
          <w:color w:val="auto"/>
          <w:sz w:val="44"/>
          <w:szCs w:val="44"/>
          <w:lang w:eastAsia="zh-CN"/>
        </w:rPr>
        <w:t>》</w:t>
      </w:r>
      <w:r>
        <w:rPr>
          <w:rFonts w:hint="eastAsia" w:ascii="方正小标宋_GBK" w:hAnsi="方正小标宋_GBK" w:eastAsia="方正小标宋_GBK" w:cs="方正小标宋_GBK"/>
          <w:b w:val="0"/>
          <w:bCs w:val="0"/>
          <w:color w:val="auto"/>
          <w:sz w:val="44"/>
          <w:szCs w:val="44"/>
          <w:lang w:val="en-US" w:eastAsia="zh-CN"/>
        </w:rPr>
        <w:t>（报审稿）</w:t>
      </w:r>
    </w:p>
    <w:p w14:paraId="4DA656C1">
      <w:pPr>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240" w:lineRule="auto"/>
        <w:ind w:firstLine="420" w:firstLineChars="200"/>
        <w:textAlignment w:val="auto"/>
        <w:rPr>
          <w:rFonts w:hint="eastAsia" w:ascii="方正仿宋_GBK" w:hAnsi="方正仿宋_GBK" w:eastAsia="方正仿宋_GBK" w:cs="方正仿宋_GBK"/>
          <w:b w:val="0"/>
          <w:bCs/>
          <w:sz w:val="21"/>
          <w:szCs w:val="21"/>
          <w:lang w:val="en-US" w:eastAsia="zh-CN"/>
        </w:rPr>
      </w:pPr>
    </w:p>
    <w:bookmarkEnd w:id="0"/>
    <w:p w14:paraId="1B072D86">
      <w:pPr>
        <w:numPr>
          <w:ilvl w:val="0"/>
          <w:numId w:val="1"/>
        </w:numPr>
        <w:ind w:left="0" w:leftChars="0" w:firstLine="0" w:firstLineChars="0"/>
        <w:rPr>
          <w:color w:val="auto"/>
        </w:rPr>
      </w:pPr>
      <w:bookmarkStart w:id="1" w:name="_Toc31476"/>
      <w:r>
        <w:rPr>
          <w:rFonts w:hint="eastAsia"/>
          <w:color w:val="auto"/>
          <w:lang w:eastAsia="zh-CN"/>
        </w:rPr>
        <w:t>总则</w:t>
      </w:r>
      <w:bookmarkEnd w:id="1"/>
    </w:p>
    <w:p w14:paraId="288FCF1E">
      <w:pPr>
        <w:numPr>
          <w:ilvl w:val="0"/>
          <w:numId w:val="2"/>
        </w:numPr>
        <w:bidi w:val="0"/>
        <w:rPr>
          <w:rFonts w:hint="eastAsia"/>
          <w:color w:val="auto"/>
          <w:lang w:val="en-US" w:eastAsia="zh-CN"/>
        </w:rPr>
      </w:pPr>
      <w:bookmarkStart w:id="2" w:name="_Toc23790"/>
      <w:r>
        <w:rPr>
          <w:rFonts w:hint="eastAsia"/>
          <w:color w:val="auto"/>
          <w:lang w:val="en-US" w:eastAsia="zh-CN"/>
        </w:rPr>
        <w:t>编制目的</w:t>
      </w:r>
      <w:bookmarkEnd w:id="2"/>
    </w:p>
    <w:p w14:paraId="6EC30CB8">
      <w:pPr>
        <w:bidi w:val="0"/>
        <w:rPr>
          <w:rFonts w:hint="eastAsia" w:cs="Times New Roman"/>
          <w:color w:val="auto"/>
          <w:lang w:val="en-US" w:eastAsia="zh-CN"/>
        </w:rPr>
      </w:pPr>
      <w:r>
        <w:rPr>
          <w:rFonts w:hint="eastAsia" w:cs="Times New Roman"/>
          <w:color w:val="auto"/>
          <w:lang w:val="en-US" w:eastAsia="zh-CN"/>
        </w:rPr>
        <w:t>紧紧围绕实现第二个百年奋斗目标，全面深化体制机制改革，巩固完善民政公共服务设施网络，建设配套完备、服务专业的民政福利设施体系，使民政福利事业在社会主义和谐社会建设中的基础性作用进一步发挥。全面建成覆盖全民、城乡统筹、权责清晰、保障适度、可持续的多层次社会保障体系，保障群众基本生活，不断满足人民日益增长的美好生活需要，形成有效的社会治理、良好的社会秩序。</w:t>
      </w:r>
    </w:p>
    <w:p w14:paraId="36051C73">
      <w:pPr>
        <w:numPr>
          <w:ilvl w:val="0"/>
          <w:numId w:val="2"/>
        </w:numPr>
        <w:bidi w:val="0"/>
        <w:ind w:firstLine="0"/>
        <w:rPr>
          <w:rFonts w:hint="eastAsia" w:ascii="Arial" w:hAnsi="Arial" w:cs="Times New Roman"/>
          <w:b/>
          <w:color w:val="auto"/>
          <w:lang w:val="en-US" w:eastAsia="zh-CN"/>
        </w:rPr>
      </w:pPr>
      <w:bookmarkStart w:id="3" w:name="_Toc22721"/>
      <w:r>
        <w:rPr>
          <w:rFonts w:hint="eastAsia" w:ascii="Arial" w:hAnsi="Arial" w:cs="Times New Roman"/>
          <w:b/>
          <w:color w:val="auto"/>
          <w:lang w:val="en-US" w:eastAsia="zh-CN"/>
        </w:rPr>
        <w:t>规划范围</w:t>
      </w:r>
      <w:bookmarkEnd w:id="3"/>
    </w:p>
    <w:p w14:paraId="6635CE26">
      <w:pPr>
        <w:pageBreakBefore w:val="0"/>
        <w:widowControl w:val="0"/>
        <w:kinsoku/>
        <w:wordWrap/>
        <w:overflowPunct/>
        <w:topLinePunct w:val="0"/>
        <w:autoSpaceDE/>
        <w:autoSpaceDN/>
        <w:bidi w:val="0"/>
        <w:adjustRightInd/>
        <w:snapToGrid/>
        <w:ind w:firstLine="420" w:firstLineChars="200"/>
        <w:textAlignment w:val="auto"/>
        <w:rPr>
          <w:rFonts w:hint="eastAsia" w:cs="Times New Roman"/>
          <w:color w:val="auto"/>
          <w:u w:val="single"/>
          <w:lang w:val="en-US" w:eastAsia="zh-CN"/>
        </w:rPr>
      </w:pPr>
      <w:r>
        <w:rPr>
          <w:rFonts w:hint="eastAsia" w:cs="Times New Roman"/>
          <w:color w:val="auto"/>
          <w:u w:val="single"/>
          <w:lang w:val="en-US" w:eastAsia="zh-CN"/>
        </w:rPr>
        <w:t>本规划范围分为市域和中心城区两个层次，其中中心城区主要包括麒麟区、沾益区、马龙区、曲靖市国家级经济技术开发区的绕城高速范围以内区域。市域主要包括宣威市、富源县、罗平县、师宗县、陆良县、会泽县和麒麟区、沾益区、马龙区、曲靖市国家级经济技术开发区的绕城高速范围以外区域。</w:t>
      </w:r>
    </w:p>
    <w:p w14:paraId="206C80F7">
      <w:pPr>
        <w:ind w:firstLine="560"/>
        <w:rPr>
          <w:rFonts w:hint="eastAsia" w:cs="Times New Roman"/>
          <w:color w:val="auto"/>
          <w:lang w:val="en-US" w:eastAsia="zh-CN"/>
        </w:rPr>
      </w:pPr>
      <w:r>
        <w:rPr>
          <w:rFonts w:hint="eastAsia" w:cs="Times New Roman"/>
          <w:color w:val="auto"/>
          <w:lang w:val="en-US" w:eastAsia="zh-CN"/>
        </w:rPr>
        <w:t>其中，市域层面提出民政社会福利设施建设的总体要求和建设规模。中心城区层面为本规划重点，主要落实各类社会福利设施的空间布局和建设标准。</w:t>
      </w:r>
    </w:p>
    <w:p w14:paraId="2800BCE3">
      <w:pPr>
        <w:numPr>
          <w:ilvl w:val="0"/>
          <w:numId w:val="2"/>
        </w:numPr>
        <w:bidi w:val="0"/>
        <w:ind w:firstLine="0"/>
        <w:rPr>
          <w:rFonts w:hint="eastAsia" w:ascii="Arial" w:hAnsi="Arial" w:cs="Times New Roman"/>
          <w:b/>
          <w:color w:val="auto"/>
          <w:lang w:val="en-US" w:eastAsia="zh-CN"/>
        </w:rPr>
      </w:pPr>
      <w:bookmarkStart w:id="4" w:name="_Toc692"/>
      <w:r>
        <w:rPr>
          <w:rFonts w:hint="eastAsia" w:ascii="Arial" w:hAnsi="Arial" w:cs="Times New Roman"/>
          <w:b/>
          <w:color w:val="auto"/>
          <w:lang w:val="en-US" w:eastAsia="zh-CN"/>
        </w:rPr>
        <w:t>规划期限</w:t>
      </w:r>
      <w:bookmarkEnd w:id="4"/>
    </w:p>
    <w:p w14:paraId="390C8638">
      <w:pPr>
        <w:ind w:firstLine="560"/>
        <w:rPr>
          <w:color w:val="auto"/>
          <w:u w:val="single"/>
        </w:rPr>
      </w:pPr>
      <w:r>
        <w:rPr>
          <w:rFonts w:hint="eastAsia" w:cs="Times New Roman"/>
          <w:color w:val="auto"/>
          <w:u w:val="single"/>
          <w:lang w:val="en-US" w:eastAsia="zh-CN"/>
        </w:rPr>
        <w:t>规划期限衔接《曲靖市国土空间总体规划（2021—2035年）》，规划近期年为2025年，规划远期年为2035年，远景展望至2050年。</w:t>
      </w:r>
    </w:p>
    <w:p w14:paraId="4240E5D9">
      <w:pPr>
        <w:numPr>
          <w:ilvl w:val="0"/>
          <w:numId w:val="2"/>
        </w:numPr>
        <w:bidi w:val="0"/>
        <w:ind w:firstLine="0"/>
        <w:rPr>
          <w:rFonts w:hint="eastAsia" w:ascii="Arial" w:hAnsi="Arial" w:cs="Times New Roman"/>
          <w:b/>
          <w:color w:val="auto"/>
          <w:lang w:val="en-US" w:eastAsia="zh-CN"/>
        </w:rPr>
      </w:pPr>
      <w:bookmarkStart w:id="5" w:name="_Toc25733"/>
      <w:r>
        <w:rPr>
          <w:rFonts w:hint="eastAsia" w:ascii="Arial" w:hAnsi="Arial" w:cs="Times New Roman"/>
          <w:b/>
          <w:color w:val="auto"/>
          <w:lang w:val="en-US" w:eastAsia="zh-CN"/>
        </w:rPr>
        <w:t>规划对象</w:t>
      </w:r>
      <w:bookmarkEnd w:id="5"/>
    </w:p>
    <w:p w14:paraId="7A9C6B11">
      <w:pPr>
        <w:pageBreakBefore w:val="0"/>
        <w:widowControl w:val="0"/>
        <w:kinsoku/>
        <w:wordWrap/>
        <w:overflowPunct/>
        <w:topLinePunct w:val="0"/>
        <w:autoSpaceDE/>
        <w:autoSpaceDN/>
        <w:bidi w:val="0"/>
        <w:adjustRightInd/>
        <w:snapToGrid/>
        <w:ind w:firstLine="420" w:firstLineChars="200"/>
        <w:textAlignment w:val="auto"/>
        <w:rPr>
          <w:rFonts w:hint="eastAsia" w:cs="Times New Roman"/>
          <w:color w:val="auto"/>
          <w:lang w:val="en-US" w:eastAsia="zh-CN"/>
        </w:rPr>
      </w:pPr>
      <w:r>
        <w:rPr>
          <w:rFonts w:hint="eastAsia" w:cs="Times New Roman"/>
          <w:color w:val="auto"/>
          <w:lang w:val="en-US" w:eastAsia="zh-CN"/>
        </w:rPr>
        <w:t>对象为：全市人民群众基础性、普惠性民政服务设施，重点突出对老、少、孤、残、贫等提供兜底保障的公益性公共服务设施。主要包括殡葬服务设施、养老服务设施、社会救助设施和儿童福利设施。</w:t>
      </w:r>
    </w:p>
    <w:p w14:paraId="3329E5AA">
      <w:pPr>
        <w:pageBreakBefore w:val="0"/>
        <w:widowControl w:val="0"/>
        <w:kinsoku/>
        <w:wordWrap/>
        <w:overflowPunct/>
        <w:topLinePunct w:val="0"/>
        <w:autoSpaceDE/>
        <w:autoSpaceDN/>
        <w:bidi w:val="0"/>
        <w:adjustRightInd/>
        <w:snapToGrid/>
        <w:ind w:firstLine="420" w:firstLineChars="200"/>
        <w:textAlignment w:val="auto"/>
        <w:rPr>
          <w:rFonts w:hint="eastAsia" w:ascii="方正仿宋_GBK" w:hAnsi="方正仿宋_GBK" w:eastAsia="方正仿宋_GBK" w:cs="方正仿宋_GBK"/>
          <w:b w:val="0"/>
          <w:bCs w:val="0"/>
          <w:color w:val="auto"/>
          <w:sz w:val="32"/>
          <w:szCs w:val="32"/>
          <w:lang w:val="en-US" w:eastAsia="zh-CN"/>
        </w:rPr>
      </w:pPr>
      <w:r>
        <w:rPr>
          <w:rFonts w:hint="eastAsia" w:cs="Times New Roman"/>
          <w:color w:val="auto"/>
          <w:lang w:val="en-US" w:eastAsia="zh-CN"/>
        </w:rPr>
        <w:t>规划重点为：中心城区绕城高速范围以内社会福利设施的规划布局和空间落位。</w:t>
      </w:r>
    </w:p>
    <w:p w14:paraId="40BA19BE">
      <w:pPr>
        <w:numPr>
          <w:ilvl w:val="0"/>
          <w:numId w:val="2"/>
        </w:numPr>
        <w:bidi w:val="0"/>
        <w:ind w:firstLine="0"/>
        <w:rPr>
          <w:rFonts w:hint="eastAsia" w:ascii="Arial" w:hAnsi="Arial" w:cs="Times New Roman"/>
          <w:b/>
          <w:color w:val="auto"/>
          <w:lang w:val="en-US" w:eastAsia="zh-CN"/>
        </w:rPr>
      </w:pPr>
      <w:bookmarkStart w:id="6" w:name="_Toc14408"/>
      <w:r>
        <w:rPr>
          <w:rFonts w:hint="eastAsia" w:ascii="Arial" w:hAnsi="Arial" w:cs="Times New Roman"/>
          <w:b/>
          <w:color w:val="auto"/>
          <w:lang w:val="en-US" w:eastAsia="zh-CN"/>
        </w:rPr>
        <w:t>规划原则</w:t>
      </w:r>
      <w:bookmarkEnd w:id="6"/>
    </w:p>
    <w:p w14:paraId="300584BC">
      <w:pPr>
        <w:pageBreakBefore w:val="0"/>
        <w:widowControl w:val="0"/>
        <w:numPr>
          <w:ilvl w:val="0"/>
          <w:numId w:val="3"/>
        </w:numPr>
        <w:kinsoku/>
        <w:wordWrap/>
        <w:overflowPunct/>
        <w:topLinePunct w:val="0"/>
        <w:autoSpaceDE/>
        <w:autoSpaceDN/>
        <w:bidi w:val="0"/>
        <w:adjustRightInd/>
        <w:snapToGrid/>
        <w:ind w:firstLine="422" w:firstLineChars="200"/>
        <w:textAlignment w:val="auto"/>
        <w:outlineLvl w:val="9"/>
        <w:rPr>
          <w:rFonts w:hint="eastAsia" w:cs="Times New Roman"/>
          <w:b/>
          <w:color w:val="auto"/>
          <w:lang w:val="en-US" w:eastAsia="zh-CN"/>
        </w:rPr>
      </w:pPr>
      <w:r>
        <w:rPr>
          <w:rFonts w:hint="eastAsia" w:cs="Times New Roman"/>
          <w:b/>
          <w:color w:val="auto"/>
          <w:lang w:val="en-US" w:eastAsia="zh-CN"/>
        </w:rPr>
        <w:t>坚持保障民生、服务社会</w:t>
      </w:r>
    </w:p>
    <w:p w14:paraId="334BCBD5">
      <w:pPr>
        <w:pageBreakBefore w:val="0"/>
        <w:widowControl w:val="0"/>
        <w:kinsoku/>
        <w:wordWrap/>
        <w:overflowPunct/>
        <w:topLinePunct w:val="0"/>
        <w:autoSpaceDE/>
        <w:autoSpaceDN/>
        <w:bidi w:val="0"/>
        <w:adjustRightInd/>
        <w:snapToGrid/>
        <w:ind w:firstLine="420" w:firstLineChars="200"/>
        <w:textAlignment w:val="auto"/>
        <w:outlineLvl w:val="9"/>
        <w:rPr>
          <w:rFonts w:hint="eastAsia" w:cs="Times New Roman"/>
          <w:color w:val="auto"/>
          <w:lang w:val="en-US" w:eastAsia="zh-CN"/>
        </w:rPr>
      </w:pPr>
      <w:r>
        <w:rPr>
          <w:rFonts w:hint="eastAsia" w:cs="Times New Roman"/>
          <w:color w:val="auto"/>
          <w:lang w:val="en-US" w:eastAsia="zh-CN"/>
        </w:rPr>
        <w:t>紧紧围绕国民经济和社会发展全局，以基本公共服务均等化为目标，致力于发展社会服务，建设服务型民政，认真做好养老服务、社会救助、城乡社区治理、社会事务服务管理等各项工作，努力推动为民解困、为民服务由特定型向适度普惠型发展，促进改革发展成果惠及全体人民。</w:t>
      </w:r>
    </w:p>
    <w:p w14:paraId="01C49488">
      <w:pPr>
        <w:pageBreakBefore w:val="0"/>
        <w:widowControl w:val="0"/>
        <w:numPr>
          <w:ilvl w:val="0"/>
          <w:numId w:val="3"/>
        </w:numPr>
        <w:kinsoku/>
        <w:wordWrap/>
        <w:overflowPunct/>
        <w:topLinePunct w:val="0"/>
        <w:autoSpaceDE/>
        <w:autoSpaceDN/>
        <w:bidi w:val="0"/>
        <w:adjustRightInd/>
        <w:snapToGrid/>
        <w:ind w:firstLine="422" w:firstLineChars="200"/>
        <w:textAlignment w:val="auto"/>
        <w:outlineLvl w:val="9"/>
        <w:rPr>
          <w:rFonts w:hint="eastAsia" w:cs="Times New Roman"/>
          <w:b/>
          <w:color w:val="auto"/>
          <w:lang w:val="en-US" w:eastAsia="zh-CN"/>
        </w:rPr>
      </w:pPr>
      <w:r>
        <w:rPr>
          <w:rFonts w:hint="eastAsia" w:cs="Times New Roman"/>
          <w:b/>
          <w:color w:val="auto"/>
          <w:lang w:val="en-US" w:eastAsia="zh-CN"/>
        </w:rPr>
        <w:t>坚持统筹兼顾、突出重点</w:t>
      </w:r>
    </w:p>
    <w:p w14:paraId="4D5344BE">
      <w:pPr>
        <w:pageBreakBefore w:val="0"/>
        <w:widowControl w:val="0"/>
        <w:kinsoku/>
        <w:wordWrap/>
        <w:overflowPunct/>
        <w:topLinePunct w:val="0"/>
        <w:autoSpaceDE/>
        <w:autoSpaceDN/>
        <w:bidi w:val="0"/>
        <w:adjustRightInd/>
        <w:snapToGrid/>
        <w:ind w:firstLine="420" w:firstLineChars="200"/>
        <w:textAlignment w:val="auto"/>
        <w:outlineLvl w:val="9"/>
        <w:rPr>
          <w:rFonts w:hint="eastAsia" w:cs="Times New Roman"/>
          <w:color w:val="auto"/>
          <w:lang w:val="en-US" w:eastAsia="zh-CN"/>
        </w:rPr>
      </w:pPr>
      <w:r>
        <w:rPr>
          <w:rFonts w:hint="eastAsia" w:cs="Times New Roman"/>
          <w:color w:val="auto"/>
          <w:lang w:val="en-US" w:eastAsia="zh-CN"/>
        </w:rPr>
        <w:t>坚持统筹整合与重点突破相结合，更加突出保障和改善民生这个主题，强化基本社会服务这个重点，盯住基层社会治理这个难点，加快民政基础设施建设，建设法治民政、阳光民政、信息化民政，努力提高民政工作整体水平。</w:t>
      </w:r>
    </w:p>
    <w:p w14:paraId="489299BA">
      <w:pPr>
        <w:pageBreakBefore w:val="0"/>
        <w:widowControl w:val="0"/>
        <w:numPr>
          <w:ilvl w:val="0"/>
          <w:numId w:val="3"/>
        </w:numPr>
        <w:kinsoku/>
        <w:wordWrap/>
        <w:overflowPunct/>
        <w:topLinePunct w:val="0"/>
        <w:autoSpaceDE/>
        <w:autoSpaceDN/>
        <w:bidi w:val="0"/>
        <w:adjustRightInd/>
        <w:snapToGrid/>
        <w:ind w:firstLine="422" w:firstLineChars="200"/>
        <w:textAlignment w:val="auto"/>
        <w:outlineLvl w:val="9"/>
        <w:rPr>
          <w:rFonts w:hint="eastAsia" w:cs="Times New Roman"/>
          <w:b/>
          <w:color w:val="auto"/>
          <w:lang w:val="en-US" w:eastAsia="zh-CN"/>
        </w:rPr>
      </w:pPr>
      <w:r>
        <w:rPr>
          <w:rFonts w:hint="eastAsia" w:cs="Times New Roman"/>
          <w:b/>
          <w:color w:val="auto"/>
          <w:lang w:val="en-US" w:eastAsia="zh-CN"/>
        </w:rPr>
        <w:t>坚持政府主导、社会参与</w:t>
      </w:r>
    </w:p>
    <w:p w14:paraId="1E2DCD96">
      <w:pPr>
        <w:pageBreakBefore w:val="0"/>
        <w:widowControl w:val="0"/>
        <w:kinsoku/>
        <w:wordWrap/>
        <w:overflowPunct/>
        <w:topLinePunct w:val="0"/>
        <w:autoSpaceDE/>
        <w:autoSpaceDN/>
        <w:bidi w:val="0"/>
        <w:adjustRightInd/>
        <w:snapToGrid/>
        <w:ind w:firstLine="420" w:firstLineChars="200"/>
        <w:textAlignment w:val="auto"/>
        <w:outlineLvl w:val="9"/>
        <w:rPr>
          <w:rFonts w:hint="eastAsia" w:cs="Times New Roman"/>
          <w:color w:val="auto"/>
          <w:lang w:val="en-US" w:eastAsia="zh-CN"/>
        </w:rPr>
      </w:pPr>
      <w:r>
        <w:rPr>
          <w:rFonts w:hint="eastAsia" w:cs="Times New Roman"/>
          <w:color w:val="auto"/>
          <w:lang w:val="en-US" w:eastAsia="zh-CN"/>
        </w:rPr>
        <w:t>强化社会服务的主体意识和责任意识，发挥主导作用，切实履行好决策、规划、组织和监管的职能。加强规范和引导，动员社会力量提供社会公共服务，充分发挥市场和社会的作用，满足广大群众多样化、多层次和不断变化的服务需求。</w:t>
      </w:r>
    </w:p>
    <w:p w14:paraId="4EA0EC5E">
      <w:pPr>
        <w:pageBreakBefore w:val="0"/>
        <w:widowControl w:val="0"/>
        <w:numPr>
          <w:ilvl w:val="0"/>
          <w:numId w:val="3"/>
        </w:numPr>
        <w:kinsoku/>
        <w:wordWrap/>
        <w:overflowPunct/>
        <w:topLinePunct w:val="0"/>
        <w:autoSpaceDE/>
        <w:autoSpaceDN/>
        <w:bidi w:val="0"/>
        <w:adjustRightInd/>
        <w:snapToGrid/>
        <w:ind w:firstLine="422" w:firstLineChars="200"/>
        <w:textAlignment w:val="auto"/>
        <w:outlineLvl w:val="9"/>
        <w:rPr>
          <w:rFonts w:hint="eastAsia" w:cs="Times New Roman"/>
          <w:b/>
          <w:color w:val="auto"/>
          <w:lang w:val="en-US" w:eastAsia="zh-CN"/>
        </w:rPr>
      </w:pPr>
      <w:r>
        <w:rPr>
          <w:rFonts w:hint="eastAsia" w:cs="Times New Roman"/>
          <w:b/>
          <w:color w:val="auto"/>
          <w:lang w:val="en-US" w:eastAsia="zh-CN"/>
        </w:rPr>
        <w:t>坚持依法行政，改革创新</w:t>
      </w:r>
    </w:p>
    <w:p w14:paraId="73F4498A">
      <w:pPr>
        <w:pageBreakBefore w:val="0"/>
        <w:widowControl w:val="0"/>
        <w:kinsoku/>
        <w:wordWrap/>
        <w:overflowPunct/>
        <w:topLinePunct w:val="0"/>
        <w:autoSpaceDE/>
        <w:autoSpaceDN/>
        <w:bidi w:val="0"/>
        <w:adjustRightInd/>
        <w:snapToGrid/>
        <w:ind w:firstLine="420" w:firstLineChars="200"/>
        <w:textAlignment w:val="auto"/>
        <w:outlineLvl w:val="9"/>
        <w:rPr>
          <w:rFonts w:hint="eastAsia" w:cs="Times New Roman"/>
          <w:color w:val="auto"/>
          <w:lang w:val="en-US" w:eastAsia="zh-CN"/>
        </w:rPr>
      </w:pPr>
      <w:r>
        <w:rPr>
          <w:rFonts w:hint="eastAsia" w:cs="Times New Roman"/>
          <w:color w:val="auto"/>
          <w:lang w:val="en-US" w:eastAsia="zh-CN"/>
        </w:rPr>
        <w:t>按照法定职责必须为、法无授权不可为的要求，依法全面履行民政部门职能，切实做好保障和改善民生、创新社会治理体制机制等方面工作，解决好人民群众最关心最直接最现实的利益问题。</w:t>
      </w:r>
    </w:p>
    <w:p w14:paraId="762F6AC5">
      <w:pPr>
        <w:numPr>
          <w:ilvl w:val="0"/>
          <w:numId w:val="2"/>
        </w:numPr>
        <w:bidi w:val="0"/>
        <w:ind w:firstLine="0"/>
        <w:rPr>
          <w:rFonts w:hint="eastAsia" w:ascii="Arial" w:hAnsi="Arial" w:cs="Times New Roman"/>
          <w:b/>
          <w:color w:val="auto"/>
          <w:lang w:val="en-US" w:eastAsia="zh-CN"/>
        </w:rPr>
      </w:pPr>
      <w:bookmarkStart w:id="7" w:name="_Toc18633"/>
      <w:r>
        <w:rPr>
          <w:rFonts w:hint="eastAsia" w:ascii="Arial" w:hAnsi="Arial" w:cs="Times New Roman"/>
          <w:b/>
          <w:color w:val="auto"/>
          <w:lang w:val="en-US" w:eastAsia="zh-CN"/>
        </w:rPr>
        <w:t>规划依据</w:t>
      </w:r>
      <w:bookmarkEnd w:id="7"/>
    </w:p>
    <w:p w14:paraId="3713B764">
      <w:pPr>
        <w:ind w:firstLine="560"/>
        <w:rPr>
          <w:rFonts w:hint="eastAsia" w:cs="Times New Roman"/>
          <w:color w:val="auto"/>
        </w:rPr>
      </w:pPr>
      <w:r>
        <w:rPr>
          <w:rFonts w:hint="eastAsia" w:cs="Times New Roman"/>
          <w:color w:val="auto"/>
          <w:lang w:val="en-US" w:eastAsia="zh-CN"/>
        </w:rPr>
        <w:t>1.</w:t>
      </w:r>
      <w:r>
        <w:rPr>
          <w:rFonts w:hint="eastAsia" w:cs="Times New Roman"/>
          <w:color w:val="auto"/>
        </w:rPr>
        <w:t>《中华人民共和国城乡规划法》（2008，2019年修正）；</w:t>
      </w:r>
    </w:p>
    <w:p w14:paraId="4742A727">
      <w:pPr>
        <w:ind w:firstLine="560"/>
        <w:rPr>
          <w:rFonts w:hint="eastAsia" w:cs="Times New Roman"/>
          <w:color w:val="auto"/>
        </w:rPr>
      </w:pPr>
      <w:r>
        <w:rPr>
          <w:rFonts w:hint="eastAsia" w:cs="Times New Roman"/>
          <w:color w:val="auto"/>
          <w:lang w:val="en-US" w:eastAsia="zh-CN"/>
        </w:rPr>
        <w:t>2.</w:t>
      </w:r>
      <w:r>
        <w:rPr>
          <w:rFonts w:hint="eastAsia" w:cs="Times New Roman"/>
          <w:color w:val="auto"/>
        </w:rPr>
        <w:t>《中华人民共和国</w:t>
      </w:r>
      <w:r>
        <w:rPr>
          <w:rFonts w:hint="eastAsia" w:cs="Times New Roman"/>
          <w:color w:val="auto"/>
          <w:lang w:eastAsia="zh-CN"/>
        </w:rPr>
        <w:t>土地管理</w:t>
      </w:r>
      <w:r>
        <w:rPr>
          <w:rFonts w:hint="eastAsia" w:cs="Times New Roman"/>
          <w:color w:val="auto"/>
        </w:rPr>
        <w:t>法》（2019年修正）；</w:t>
      </w:r>
    </w:p>
    <w:p w14:paraId="34CFB616">
      <w:pPr>
        <w:ind w:firstLine="560"/>
        <w:rPr>
          <w:rFonts w:hint="eastAsia" w:cs="Times New Roman"/>
          <w:color w:val="auto"/>
        </w:rPr>
      </w:pPr>
      <w:r>
        <w:rPr>
          <w:rFonts w:hint="eastAsia" w:cs="Times New Roman"/>
          <w:color w:val="auto"/>
          <w:lang w:val="en-US" w:eastAsia="zh-CN"/>
        </w:rPr>
        <w:t>3.</w:t>
      </w:r>
      <w:r>
        <w:rPr>
          <w:rFonts w:hint="eastAsia" w:cs="Times New Roman"/>
          <w:color w:val="auto"/>
        </w:rPr>
        <w:t>《城市规划编制办法》（2006年）；</w:t>
      </w:r>
    </w:p>
    <w:p w14:paraId="6ACB080C">
      <w:pPr>
        <w:ind w:firstLine="560"/>
        <w:rPr>
          <w:rFonts w:hint="eastAsia" w:cs="Times New Roman"/>
          <w:color w:val="auto"/>
        </w:rPr>
      </w:pPr>
      <w:r>
        <w:rPr>
          <w:rFonts w:hint="eastAsia" w:cs="Times New Roman"/>
          <w:color w:val="auto"/>
          <w:lang w:val="en-US" w:eastAsia="zh-CN"/>
        </w:rPr>
        <w:t>4.</w:t>
      </w:r>
      <w:r>
        <w:rPr>
          <w:rFonts w:hint="eastAsia" w:cs="Times New Roman"/>
          <w:color w:val="auto"/>
        </w:rPr>
        <w:t>《城市用地分类与规划建设用地标准》（GB50137-2011）；</w:t>
      </w:r>
    </w:p>
    <w:p w14:paraId="2978DEFC">
      <w:pPr>
        <w:ind w:firstLine="560"/>
        <w:rPr>
          <w:rFonts w:hint="eastAsia" w:cs="Times New Roman"/>
          <w:color w:val="auto"/>
        </w:rPr>
      </w:pPr>
      <w:r>
        <w:rPr>
          <w:rFonts w:hint="eastAsia" w:cs="Times New Roman"/>
          <w:color w:val="auto"/>
          <w:lang w:val="en-US" w:eastAsia="zh-CN"/>
        </w:rPr>
        <w:t>5.</w:t>
      </w:r>
      <w:r>
        <w:rPr>
          <w:rFonts w:hint="eastAsia" w:cs="Times New Roman"/>
          <w:color w:val="auto"/>
        </w:rPr>
        <w:t>《城市公共设施规划规范》（GB50442-2008）；</w:t>
      </w:r>
    </w:p>
    <w:p w14:paraId="607FD9B0">
      <w:pPr>
        <w:ind w:firstLine="560"/>
        <w:rPr>
          <w:rFonts w:hint="eastAsia" w:cs="Times New Roman"/>
          <w:color w:val="auto"/>
        </w:rPr>
      </w:pPr>
      <w:r>
        <w:rPr>
          <w:rFonts w:hint="eastAsia" w:cs="Times New Roman"/>
          <w:color w:val="auto"/>
          <w:lang w:val="en-US" w:eastAsia="zh-CN"/>
        </w:rPr>
        <w:t>6.</w:t>
      </w:r>
      <w:r>
        <w:rPr>
          <w:rFonts w:hint="eastAsia" w:cs="Times New Roman"/>
          <w:color w:val="auto"/>
        </w:rPr>
        <w:t>《国家新型城镇化规划（2014</w:t>
      </w:r>
      <w:r>
        <w:rPr>
          <w:rFonts w:hint="eastAsia" w:cs="Times New Roman"/>
          <w:color w:val="auto"/>
          <w:lang w:eastAsia="zh-CN"/>
        </w:rPr>
        <w:t>—</w:t>
      </w:r>
      <w:r>
        <w:rPr>
          <w:rFonts w:hint="eastAsia" w:cs="Times New Roman"/>
          <w:color w:val="auto"/>
        </w:rPr>
        <w:t>2020年）》；</w:t>
      </w:r>
    </w:p>
    <w:p w14:paraId="669CBD46">
      <w:pPr>
        <w:ind w:firstLine="560"/>
        <w:rPr>
          <w:rFonts w:hint="eastAsia" w:cs="Times New Roman"/>
          <w:color w:val="auto"/>
        </w:rPr>
      </w:pPr>
      <w:r>
        <w:rPr>
          <w:rFonts w:hint="eastAsia" w:cs="Times New Roman"/>
          <w:color w:val="auto"/>
          <w:lang w:val="en-US" w:eastAsia="zh-CN"/>
        </w:rPr>
        <w:t>7.</w:t>
      </w:r>
      <w:r>
        <w:rPr>
          <w:rFonts w:hint="eastAsia" w:cs="Times New Roman"/>
          <w:color w:val="auto"/>
        </w:rPr>
        <w:t>《云南省城乡规划条例》（2013年）；</w:t>
      </w:r>
    </w:p>
    <w:p w14:paraId="5F2E043B">
      <w:pPr>
        <w:ind w:firstLine="560"/>
        <w:rPr>
          <w:rFonts w:hint="eastAsia" w:cs="Times New Roman"/>
          <w:color w:val="auto"/>
        </w:rPr>
      </w:pPr>
      <w:r>
        <w:rPr>
          <w:rFonts w:hint="eastAsia" w:cs="Times New Roman"/>
          <w:color w:val="auto"/>
          <w:lang w:val="en-US" w:eastAsia="zh-CN"/>
        </w:rPr>
        <w:t>8.</w:t>
      </w:r>
      <w:r>
        <w:rPr>
          <w:rFonts w:hint="eastAsia" w:cs="Times New Roman"/>
          <w:color w:val="auto"/>
        </w:rPr>
        <w:t>《云南省公共服务设施规划标准（公示稿）》；</w:t>
      </w:r>
    </w:p>
    <w:p w14:paraId="6263A986">
      <w:pPr>
        <w:ind w:firstLine="560"/>
        <w:rPr>
          <w:rFonts w:hint="eastAsia" w:cs="Times New Roman"/>
          <w:color w:val="auto"/>
        </w:rPr>
      </w:pPr>
      <w:r>
        <w:rPr>
          <w:rFonts w:hint="eastAsia" w:cs="Times New Roman"/>
          <w:color w:val="auto"/>
        </w:rPr>
        <w:t>9.《城镇老年人设施规划规范》（GB50437-2007，2018年版）；</w:t>
      </w:r>
    </w:p>
    <w:p w14:paraId="3D420AD8">
      <w:pPr>
        <w:ind w:firstLine="560"/>
        <w:rPr>
          <w:rFonts w:hint="eastAsia" w:cs="Times New Roman"/>
          <w:color w:val="auto"/>
        </w:rPr>
      </w:pPr>
      <w:r>
        <w:rPr>
          <w:rFonts w:hint="eastAsia" w:cs="Times New Roman"/>
          <w:color w:val="auto"/>
        </w:rPr>
        <w:t>10.《老年人照料设施建筑设计标准》（JGJ450-2018）；</w:t>
      </w:r>
    </w:p>
    <w:p w14:paraId="104BECA3">
      <w:pPr>
        <w:ind w:firstLine="560"/>
        <w:rPr>
          <w:rFonts w:hint="eastAsia" w:cs="Times New Roman"/>
          <w:color w:val="auto"/>
        </w:rPr>
      </w:pPr>
      <w:r>
        <w:rPr>
          <w:rFonts w:hint="eastAsia" w:cs="Times New Roman"/>
          <w:color w:val="auto"/>
        </w:rPr>
        <w:t>11.《城市居住区规划设计标准》（GB50180-2018）；</w:t>
      </w:r>
    </w:p>
    <w:p w14:paraId="7A2D8AA7">
      <w:pPr>
        <w:ind w:firstLine="560"/>
        <w:rPr>
          <w:rFonts w:hint="eastAsia" w:cs="Times New Roman"/>
          <w:color w:val="auto"/>
        </w:rPr>
      </w:pPr>
      <w:r>
        <w:rPr>
          <w:rFonts w:hint="eastAsia" w:cs="Times New Roman"/>
          <w:color w:val="auto"/>
        </w:rPr>
        <w:t>12.《老年人居住建筑设计标准》（GB50340-2016）；</w:t>
      </w:r>
    </w:p>
    <w:p w14:paraId="30EAF333">
      <w:pPr>
        <w:ind w:firstLine="560"/>
        <w:rPr>
          <w:rFonts w:hint="eastAsia" w:cs="Times New Roman"/>
          <w:color w:val="auto"/>
        </w:rPr>
      </w:pPr>
      <w:r>
        <w:rPr>
          <w:rFonts w:hint="eastAsia" w:cs="Times New Roman"/>
          <w:color w:val="auto"/>
        </w:rPr>
        <w:t>13.《老年养护院建设标准》（建标144-2010）；</w:t>
      </w:r>
    </w:p>
    <w:p w14:paraId="422999F3">
      <w:pPr>
        <w:ind w:firstLine="560"/>
        <w:rPr>
          <w:rFonts w:hint="eastAsia" w:cs="Times New Roman"/>
          <w:color w:val="auto"/>
        </w:rPr>
      </w:pPr>
      <w:r>
        <w:rPr>
          <w:rFonts w:hint="eastAsia" w:cs="Times New Roman"/>
          <w:color w:val="auto"/>
        </w:rPr>
        <w:t>14.《社区老年人日间照料中心建设标准》（建标143-2010）；</w:t>
      </w:r>
    </w:p>
    <w:p w14:paraId="2763D049">
      <w:pPr>
        <w:ind w:firstLine="560"/>
        <w:rPr>
          <w:rFonts w:hint="eastAsia" w:cs="Times New Roman"/>
          <w:color w:val="auto"/>
        </w:rPr>
      </w:pPr>
      <w:r>
        <w:rPr>
          <w:rFonts w:hint="eastAsia" w:cs="Times New Roman"/>
          <w:color w:val="auto"/>
        </w:rPr>
        <w:t>15.《儿童福利院建设标准》（建标 145-2010）；</w:t>
      </w:r>
    </w:p>
    <w:p w14:paraId="2192A0C1">
      <w:pPr>
        <w:ind w:firstLine="560"/>
        <w:rPr>
          <w:rFonts w:hint="eastAsia" w:cs="Times New Roman"/>
          <w:color w:val="auto"/>
        </w:rPr>
      </w:pPr>
      <w:r>
        <w:rPr>
          <w:rFonts w:hint="eastAsia" w:cs="Times New Roman"/>
          <w:color w:val="auto"/>
        </w:rPr>
        <w:t>16.《城市公益性公墓建设标准》（建标182-2017）；</w:t>
      </w:r>
    </w:p>
    <w:p w14:paraId="37BC8F01">
      <w:pPr>
        <w:ind w:firstLine="560"/>
        <w:rPr>
          <w:rFonts w:hint="eastAsia" w:cs="Times New Roman"/>
          <w:color w:val="auto"/>
        </w:rPr>
      </w:pPr>
      <w:r>
        <w:rPr>
          <w:rFonts w:hint="eastAsia" w:cs="Times New Roman"/>
          <w:color w:val="auto"/>
        </w:rPr>
        <w:t>17.《殡仪馆建设标准》（建标181-2017）。</w:t>
      </w:r>
    </w:p>
    <w:p w14:paraId="64232679">
      <w:pPr>
        <w:ind w:firstLine="560"/>
        <w:rPr>
          <w:rFonts w:hint="eastAsia" w:cs="Times New Roman"/>
          <w:color w:val="auto"/>
        </w:rPr>
      </w:pPr>
      <w:r>
        <w:rPr>
          <w:rFonts w:hint="eastAsia" w:cs="Times New Roman"/>
          <w:color w:val="auto"/>
        </w:rPr>
        <w:t>1</w:t>
      </w:r>
      <w:r>
        <w:rPr>
          <w:rFonts w:hint="eastAsia" w:cs="Times New Roman"/>
          <w:color w:val="auto"/>
          <w:lang w:val="en-US" w:eastAsia="zh-CN"/>
        </w:rPr>
        <w:t>8</w:t>
      </w:r>
      <w:r>
        <w:rPr>
          <w:rFonts w:hint="eastAsia" w:cs="Times New Roman"/>
          <w:color w:val="auto"/>
        </w:rPr>
        <w:t>.</w:t>
      </w:r>
      <w:r>
        <w:rPr>
          <w:rFonts w:hint="eastAsia" w:cs="Times New Roman"/>
          <w:color w:val="auto"/>
          <w:lang w:eastAsia="zh-CN"/>
        </w:rPr>
        <w:t>《中共中央 国务院</w:t>
      </w:r>
      <w:r>
        <w:rPr>
          <w:rFonts w:hint="eastAsia" w:cs="Times New Roman"/>
          <w:color w:val="auto"/>
        </w:rPr>
        <w:t>关于建立国土空间规划体系并监督实施的若干意见》（中发〔2019〕18号）；</w:t>
      </w:r>
    </w:p>
    <w:p w14:paraId="0EBEA8E3">
      <w:pPr>
        <w:ind w:firstLine="560"/>
        <w:rPr>
          <w:rFonts w:hint="eastAsia" w:cs="Times New Roman"/>
          <w:color w:val="auto"/>
        </w:rPr>
      </w:pPr>
      <w:r>
        <w:rPr>
          <w:rFonts w:hint="eastAsia" w:cs="Times New Roman"/>
          <w:color w:val="auto"/>
          <w:lang w:val="en-US" w:eastAsia="zh-CN"/>
        </w:rPr>
        <w:t>19.</w:t>
      </w:r>
      <w:r>
        <w:rPr>
          <w:rFonts w:hint="eastAsia" w:cs="Times New Roman"/>
          <w:color w:val="auto"/>
        </w:rPr>
        <w:t>中共中央 国务院关于深化养老服务改革发展的意见</w:t>
      </w:r>
      <w:r>
        <w:rPr>
          <w:rFonts w:hint="eastAsia" w:cs="Times New Roman"/>
          <w:color w:val="auto"/>
          <w:lang w:eastAsia="zh-CN"/>
        </w:rPr>
        <w:t>；</w:t>
      </w:r>
    </w:p>
    <w:p w14:paraId="47B525F7">
      <w:pPr>
        <w:ind w:firstLine="560"/>
        <w:rPr>
          <w:rFonts w:hint="eastAsia" w:cs="Times New Roman"/>
          <w:color w:val="auto"/>
        </w:rPr>
      </w:pPr>
      <w:r>
        <w:rPr>
          <w:rFonts w:hint="eastAsia" w:cs="Times New Roman"/>
          <w:color w:val="auto"/>
          <w:lang w:val="en-US" w:eastAsia="zh-CN"/>
        </w:rPr>
        <w:t>20</w:t>
      </w:r>
      <w:r>
        <w:rPr>
          <w:rFonts w:hint="eastAsia" w:cs="Times New Roman"/>
          <w:color w:val="auto"/>
        </w:rPr>
        <w:t>.《住房和城乡建设部等部门关于开展城市居住社区建设补短板行动的意见》（建科规〔2020〕7号）；</w:t>
      </w:r>
    </w:p>
    <w:p w14:paraId="629ADB32">
      <w:pPr>
        <w:ind w:firstLine="560"/>
        <w:rPr>
          <w:rFonts w:hint="eastAsia" w:cs="Times New Roman"/>
          <w:color w:val="auto"/>
        </w:rPr>
      </w:pPr>
      <w:r>
        <w:rPr>
          <w:rFonts w:hint="eastAsia" w:cs="Times New Roman"/>
          <w:color w:val="auto"/>
          <w:lang w:val="en-US" w:eastAsia="zh-CN"/>
        </w:rPr>
        <w:t>21</w:t>
      </w:r>
      <w:r>
        <w:rPr>
          <w:rFonts w:hint="eastAsia" w:cs="Times New Roman"/>
          <w:color w:val="auto"/>
        </w:rPr>
        <w:t>.《云南省人民政府关于进一步加强城乡规划工作的意见》（云政发〔2015〕51号）；</w:t>
      </w:r>
    </w:p>
    <w:p w14:paraId="551CA658">
      <w:pPr>
        <w:ind w:firstLine="560"/>
        <w:rPr>
          <w:rFonts w:hint="default" w:cs="Times New Roman"/>
          <w:color w:val="auto"/>
        </w:rPr>
      </w:pPr>
      <w:r>
        <w:rPr>
          <w:rFonts w:hint="eastAsia" w:cs="Times New Roman"/>
          <w:color w:val="auto"/>
          <w:lang w:val="en-US" w:eastAsia="zh-CN"/>
        </w:rPr>
        <w:t>22</w:t>
      </w:r>
      <w:r>
        <w:rPr>
          <w:rFonts w:hint="eastAsia" w:cs="Times New Roman"/>
          <w:color w:val="auto"/>
        </w:rPr>
        <w:t>.《云南省人民政府办公厅关于全面放开养老服务市场提升养老服务质量</w:t>
      </w:r>
      <w:r>
        <w:rPr>
          <w:rFonts w:hint="default" w:cs="Times New Roman"/>
          <w:color w:val="auto"/>
        </w:rPr>
        <w:t>的实施意见》（云政办规〔2018〕5号）；</w:t>
      </w:r>
    </w:p>
    <w:p w14:paraId="6E27178D">
      <w:pPr>
        <w:ind w:firstLine="560"/>
        <w:rPr>
          <w:rFonts w:hint="eastAsia" w:cs="Times New Roman"/>
          <w:color w:val="auto"/>
        </w:rPr>
      </w:pPr>
      <w:r>
        <w:rPr>
          <w:rFonts w:hint="eastAsia" w:cs="Times New Roman"/>
          <w:color w:val="auto"/>
          <w:lang w:val="en-US" w:eastAsia="zh-CN"/>
        </w:rPr>
        <w:t>23.《云南省人民政府</w:t>
      </w:r>
      <w:r>
        <w:rPr>
          <w:rFonts w:hint="default" w:cs="Times New Roman"/>
          <w:color w:val="auto"/>
        </w:rPr>
        <w:t>关于印发</w:t>
      </w:r>
      <w:r>
        <w:rPr>
          <w:rFonts w:hint="eastAsia" w:cs="Times New Roman"/>
          <w:color w:val="auto"/>
          <w:lang w:eastAsia="zh-CN"/>
        </w:rPr>
        <w:t>〈云南省</w:t>
      </w:r>
      <w:r>
        <w:rPr>
          <w:rFonts w:hint="default" w:cs="Times New Roman"/>
          <w:color w:val="auto"/>
        </w:rPr>
        <w:t>“十四五”老龄事业发展和养老服务体系规划</w:t>
      </w:r>
      <w:r>
        <w:rPr>
          <w:rFonts w:hint="eastAsia" w:cs="Times New Roman"/>
          <w:color w:val="auto"/>
          <w:lang w:eastAsia="zh-CN"/>
        </w:rPr>
        <w:t>〉的</w:t>
      </w:r>
      <w:r>
        <w:rPr>
          <w:rFonts w:hint="default" w:cs="Times New Roman"/>
          <w:color w:val="auto"/>
        </w:rPr>
        <w:t>通知</w:t>
      </w:r>
      <w:r>
        <w:rPr>
          <w:rFonts w:hint="eastAsia" w:cs="Times New Roman"/>
          <w:color w:val="auto"/>
          <w:lang w:eastAsia="zh-CN"/>
        </w:rPr>
        <w:t>；</w:t>
      </w:r>
    </w:p>
    <w:p w14:paraId="258A76F7">
      <w:pPr>
        <w:ind w:firstLine="560"/>
        <w:rPr>
          <w:rFonts w:hint="eastAsia" w:cs="Times New Roman"/>
          <w:color w:val="auto"/>
        </w:rPr>
      </w:pPr>
      <w:r>
        <w:rPr>
          <w:rFonts w:hint="eastAsia" w:cs="Times New Roman"/>
          <w:color w:val="auto"/>
          <w:lang w:val="en-US" w:eastAsia="zh-CN"/>
        </w:rPr>
        <w:t>24.《云南省推进养老服务高质量发展三年行动方案（2024—2026年）》；</w:t>
      </w:r>
    </w:p>
    <w:p w14:paraId="22990A13">
      <w:pPr>
        <w:ind w:firstLine="560"/>
        <w:rPr>
          <w:rFonts w:hint="eastAsia" w:cs="Times New Roman"/>
          <w:color w:val="auto"/>
          <w:lang w:eastAsia="zh-CN"/>
        </w:rPr>
      </w:pPr>
      <w:r>
        <w:rPr>
          <w:rFonts w:hint="eastAsia" w:cs="Times New Roman"/>
          <w:color w:val="auto"/>
          <w:lang w:val="en-US" w:eastAsia="zh-CN"/>
        </w:rPr>
        <w:t>25.</w:t>
      </w:r>
      <w:r>
        <w:rPr>
          <w:rFonts w:hint="eastAsia" w:cs="Times New Roman"/>
          <w:color w:val="auto"/>
        </w:rPr>
        <w:t>《云南省社会救助实施办法</w:t>
      </w:r>
      <w:r>
        <w:rPr>
          <w:rFonts w:hint="eastAsia" w:cs="Times New Roman"/>
          <w:color w:val="auto"/>
          <w:lang w:eastAsia="zh-CN"/>
        </w:rPr>
        <w:t>》的</w:t>
      </w:r>
      <w:r>
        <w:rPr>
          <w:rFonts w:hint="eastAsia" w:cs="Times New Roman"/>
          <w:color w:val="auto"/>
        </w:rPr>
        <w:t>通知（云政发〔2014〕65号）</w:t>
      </w:r>
      <w:r>
        <w:rPr>
          <w:rFonts w:hint="eastAsia" w:cs="Times New Roman"/>
          <w:color w:val="auto"/>
          <w:lang w:eastAsia="zh-CN"/>
        </w:rPr>
        <w:t>；</w:t>
      </w:r>
    </w:p>
    <w:p w14:paraId="2822F789">
      <w:pPr>
        <w:ind w:firstLine="560"/>
        <w:rPr>
          <w:rFonts w:hint="eastAsia" w:cs="Times New Roman"/>
          <w:color w:val="auto"/>
          <w:lang w:val="en-US" w:eastAsia="zh-CN"/>
        </w:rPr>
      </w:pPr>
      <w:r>
        <w:rPr>
          <w:rFonts w:hint="eastAsia" w:cs="Times New Roman"/>
          <w:color w:val="auto"/>
          <w:lang w:val="en-US" w:eastAsia="zh-CN"/>
        </w:rPr>
        <w:t>26.《曲靖国民经济和社会发展“十四五”规划》；</w:t>
      </w:r>
    </w:p>
    <w:p w14:paraId="404E7DA6">
      <w:pPr>
        <w:ind w:firstLine="560"/>
        <w:rPr>
          <w:rFonts w:hint="eastAsia" w:cs="Times New Roman"/>
          <w:color w:val="auto"/>
          <w:lang w:val="en-US" w:eastAsia="zh-CN"/>
        </w:rPr>
      </w:pPr>
      <w:r>
        <w:rPr>
          <w:rFonts w:hint="eastAsia" w:cs="Times New Roman"/>
          <w:color w:val="auto"/>
          <w:lang w:val="en-US" w:eastAsia="zh-CN"/>
        </w:rPr>
        <w:t>27.《关于进一步健全农村留守儿童和困境儿童关爱服务体系的意见》（民发〔2019〕34号）；</w:t>
      </w:r>
    </w:p>
    <w:p w14:paraId="162B0486">
      <w:pPr>
        <w:ind w:firstLine="560"/>
        <w:rPr>
          <w:rFonts w:hint="eastAsia" w:cs="Times New Roman"/>
          <w:color w:val="auto"/>
          <w:lang w:val="en-US" w:eastAsia="zh-CN"/>
        </w:rPr>
      </w:pPr>
      <w:r>
        <w:rPr>
          <w:rFonts w:hint="eastAsia" w:cs="Times New Roman"/>
          <w:color w:val="auto"/>
          <w:lang w:val="en-US" w:eastAsia="zh-CN"/>
        </w:rPr>
        <w:t>28.《民政部 自然资源部关于加强养老服务设施布局规划编制工作的通知》；</w:t>
      </w:r>
    </w:p>
    <w:p w14:paraId="4BA9227A">
      <w:pPr>
        <w:ind w:firstLine="560"/>
        <w:rPr>
          <w:rFonts w:hint="eastAsia" w:cs="Times New Roman"/>
          <w:color w:val="auto"/>
          <w:lang w:val="en-US" w:eastAsia="zh-CN"/>
        </w:rPr>
      </w:pPr>
      <w:r>
        <w:rPr>
          <w:rFonts w:hint="eastAsia" w:cs="Times New Roman"/>
          <w:color w:val="auto"/>
          <w:lang w:val="en-US" w:eastAsia="zh-CN"/>
        </w:rPr>
        <w:t>29.《养老服务设施布局规划编制技术指南（试行）》。</w:t>
      </w:r>
    </w:p>
    <w:p w14:paraId="59EDCFE1">
      <w:pPr>
        <w:numPr>
          <w:ilvl w:val="0"/>
          <w:numId w:val="1"/>
        </w:numPr>
        <w:ind w:left="0" w:leftChars="0" w:firstLine="0" w:firstLineChars="0"/>
        <w:rPr>
          <w:color w:val="auto"/>
        </w:rPr>
      </w:pPr>
      <w:bookmarkStart w:id="8" w:name="_Toc19862"/>
      <w:r>
        <w:rPr>
          <w:rFonts w:hint="eastAsia"/>
          <w:color w:val="auto"/>
          <w:lang w:eastAsia="zh-CN"/>
        </w:rPr>
        <w:t>规划目标及</w:t>
      </w:r>
      <w:r>
        <w:rPr>
          <w:rFonts w:hint="eastAsia"/>
          <w:color w:val="auto"/>
          <w:lang w:val="en-US" w:eastAsia="zh-CN"/>
        </w:rPr>
        <w:t>指标</w:t>
      </w:r>
      <w:r>
        <w:rPr>
          <w:rFonts w:hint="eastAsia"/>
          <w:color w:val="auto"/>
          <w:lang w:eastAsia="zh-CN"/>
        </w:rPr>
        <w:t>体系</w:t>
      </w:r>
      <w:bookmarkEnd w:id="8"/>
    </w:p>
    <w:p w14:paraId="7F2C150A">
      <w:pPr>
        <w:numPr>
          <w:ilvl w:val="0"/>
          <w:numId w:val="2"/>
        </w:numPr>
        <w:bidi w:val="0"/>
        <w:ind w:firstLine="0"/>
        <w:rPr>
          <w:rFonts w:hint="eastAsia" w:ascii="Arial" w:hAnsi="Arial" w:cs="Times New Roman"/>
          <w:b/>
          <w:color w:val="auto"/>
          <w:lang w:val="en-US" w:eastAsia="zh-CN"/>
        </w:rPr>
      </w:pPr>
      <w:bookmarkStart w:id="9" w:name="_Toc20271"/>
      <w:r>
        <w:rPr>
          <w:rFonts w:hint="eastAsia" w:ascii="Arial" w:hAnsi="Arial" w:cs="Times New Roman"/>
          <w:b/>
          <w:color w:val="auto"/>
          <w:lang w:val="en-US" w:eastAsia="zh-CN"/>
        </w:rPr>
        <w:t>规划总体目标</w:t>
      </w:r>
      <w:bookmarkEnd w:id="9"/>
    </w:p>
    <w:p w14:paraId="7CEA6F8A">
      <w:pPr>
        <w:bidi w:val="0"/>
        <w:rPr>
          <w:color w:val="auto"/>
        </w:rPr>
      </w:pPr>
      <w:r>
        <w:rPr>
          <w:rFonts w:hint="eastAsia"/>
          <w:color w:val="auto"/>
        </w:rPr>
        <w:t>以“便民、利民、为民”为出发点，健全社会福利设施体系，推动城乡社会福利设施均衡化发展，实</w:t>
      </w:r>
      <w:r>
        <w:rPr>
          <w:rFonts w:hint="eastAsia" w:cs="Times New Roman"/>
          <w:color w:val="auto"/>
        </w:rPr>
        <w:t>现社会福利设施的高水平供给。实现“民政管理</w:t>
      </w:r>
      <w:r>
        <w:rPr>
          <w:rFonts w:hint="eastAsia" w:cs="Times New Roman"/>
          <w:color w:val="auto"/>
          <w:lang w:eastAsia="zh-CN"/>
        </w:rPr>
        <w:t>法治化</w:t>
      </w:r>
      <w:r>
        <w:rPr>
          <w:rFonts w:hint="eastAsia" w:cs="Times New Roman"/>
          <w:color w:val="auto"/>
        </w:rPr>
        <w:t>、工作手段现代化、民政事业社会化、民政服务网络化和公共服务均等化”的总体目标</w:t>
      </w:r>
      <w:r>
        <w:rPr>
          <w:rFonts w:hint="eastAsia" w:cs="Times New Roman"/>
          <w:color w:val="auto"/>
          <w:lang w:eastAsia="zh-CN"/>
        </w:rPr>
        <w:t>；</w:t>
      </w:r>
      <w:r>
        <w:rPr>
          <w:rFonts w:hint="eastAsia" w:cs="Times New Roman"/>
          <w:color w:val="auto"/>
        </w:rPr>
        <w:t>健全分级分类普惠可及、覆盖城乡、持续发展的养老服务体系，加强老年健康促进，推动养老服务扩容提质，进一步激发养老事业和养老产业发展活力，更好满足老年人多层次多样化养老服务需求。</w:t>
      </w:r>
    </w:p>
    <w:p w14:paraId="50628359">
      <w:pPr>
        <w:numPr>
          <w:ilvl w:val="0"/>
          <w:numId w:val="2"/>
        </w:numPr>
        <w:bidi w:val="0"/>
        <w:ind w:firstLine="0"/>
        <w:rPr>
          <w:rFonts w:hint="eastAsia" w:ascii="Arial" w:hAnsi="Arial" w:cs="Times New Roman"/>
          <w:b/>
          <w:color w:val="auto"/>
          <w:lang w:val="en-US" w:eastAsia="zh-CN"/>
        </w:rPr>
      </w:pPr>
      <w:bookmarkStart w:id="10" w:name="_Toc16788"/>
      <w:r>
        <w:rPr>
          <w:rFonts w:hint="eastAsia" w:ascii="Arial" w:hAnsi="Arial" w:cs="Times New Roman"/>
          <w:b/>
          <w:color w:val="auto"/>
          <w:lang w:val="en-US" w:eastAsia="zh-CN"/>
        </w:rPr>
        <w:t>规划指标</w:t>
      </w:r>
      <w:bookmarkEnd w:id="10"/>
    </w:p>
    <w:p w14:paraId="176C96BB">
      <w:pPr>
        <w:bidi w:val="0"/>
        <w:jc w:val="center"/>
        <w:rPr>
          <w:rFonts w:hint="eastAsia" w:cs="Times New Roman"/>
          <w:color w:val="auto"/>
          <w:lang w:val="en-US" w:eastAsia="zh-CN"/>
        </w:rPr>
      </w:pPr>
      <w:r>
        <w:rPr>
          <w:rFonts w:hint="eastAsia" w:cs="Times New Roman"/>
          <w:color w:val="auto"/>
          <w:lang w:val="en-US" w:eastAsia="zh-CN"/>
        </w:rPr>
        <w:t>表2-1民政社会福利设施规划指标表</w:t>
      </w:r>
    </w:p>
    <w:tbl>
      <w:tblPr>
        <w:tblStyle w:val="2"/>
        <w:tblW w:w="83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2"/>
        <w:gridCol w:w="822"/>
        <w:gridCol w:w="1756"/>
        <w:gridCol w:w="822"/>
        <w:gridCol w:w="1076"/>
        <w:gridCol w:w="1179"/>
        <w:gridCol w:w="882"/>
        <w:gridCol w:w="999"/>
      </w:tblGrid>
      <w:tr w14:paraId="717D1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822" w:type="dxa"/>
            <w:vMerge w:val="restart"/>
            <w:tcBorders>
              <w:top w:val="single" w:color="000000" w:sz="4" w:space="0"/>
              <w:left w:val="single" w:color="000000" w:sz="4" w:space="0"/>
              <w:bottom w:val="single" w:color="000000" w:sz="4" w:space="0"/>
              <w:right w:val="single" w:color="000000" w:sz="4" w:space="0"/>
            </w:tcBorders>
            <w:noWrap w:val="0"/>
            <w:vAlign w:val="center"/>
          </w:tcPr>
          <w:p w14:paraId="6BCA1467">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类别</w:t>
            </w:r>
          </w:p>
        </w:tc>
        <w:tc>
          <w:tcPr>
            <w:tcW w:w="257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1BBE9B">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指标</w:t>
            </w:r>
          </w:p>
        </w:tc>
        <w:tc>
          <w:tcPr>
            <w:tcW w:w="822" w:type="dxa"/>
            <w:vMerge w:val="restart"/>
            <w:tcBorders>
              <w:top w:val="single" w:color="000000" w:sz="4" w:space="0"/>
              <w:left w:val="single" w:color="000000" w:sz="4" w:space="0"/>
              <w:bottom w:val="single" w:color="000000" w:sz="4" w:space="0"/>
              <w:right w:val="single" w:color="000000" w:sz="4" w:space="0"/>
            </w:tcBorders>
            <w:noWrap w:val="0"/>
            <w:vAlign w:val="center"/>
          </w:tcPr>
          <w:p w14:paraId="48E18DDE">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单位</w:t>
            </w:r>
          </w:p>
        </w:tc>
        <w:tc>
          <w:tcPr>
            <w:tcW w:w="3137" w:type="dxa"/>
            <w:gridSpan w:val="3"/>
            <w:tcBorders>
              <w:top w:val="single" w:color="000000" w:sz="4" w:space="0"/>
              <w:left w:val="single" w:color="000000" w:sz="4" w:space="0"/>
              <w:bottom w:val="single" w:color="000000" w:sz="4" w:space="0"/>
              <w:right w:val="single" w:color="000000" w:sz="4" w:space="0"/>
            </w:tcBorders>
            <w:noWrap w:val="0"/>
            <w:vAlign w:val="center"/>
          </w:tcPr>
          <w:p w14:paraId="791D6CD5">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指标值</w:t>
            </w:r>
          </w:p>
        </w:tc>
        <w:tc>
          <w:tcPr>
            <w:tcW w:w="999" w:type="dxa"/>
            <w:vMerge w:val="restart"/>
            <w:tcBorders>
              <w:top w:val="single" w:color="000000" w:sz="4" w:space="0"/>
              <w:left w:val="single" w:color="000000" w:sz="4" w:space="0"/>
              <w:bottom w:val="single" w:color="000000" w:sz="4" w:space="0"/>
              <w:right w:val="single" w:color="000000" w:sz="4" w:space="0"/>
            </w:tcBorders>
            <w:noWrap w:val="0"/>
            <w:vAlign w:val="center"/>
          </w:tcPr>
          <w:p w14:paraId="7C1EDF98">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指标类型说明</w:t>
            </w:r>
          </w:p>
        </w:tc>
      </w:tr>
      <w:tr w14:paraId="1E636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B1B977">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c>
          <w:tcPr>
            <w:tcW w:w="257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39AB2F">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c>
          <w:tcPr>
            <w:tcW w:w="8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130056">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1314E948">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现状2020年</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3909214C">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近期2025年</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153F88C2">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远期2035年</w:t>
            </w:r>
          </w:p>
        </w:tc>
        <w:tc>
          <w:tcPr>
            <w:tcW w:w="99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7D1BF0">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r>
      <w:tr w14:paraId="75EE6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22" w:type="dxa"/>
            <w:vMerge w:val="restart"/>
            <w:tcBorders>
              <w:top w:val="single" w:color="000000" w:sz="4" w:space="0"/>
              <w:left w:val="single" w:color="000000" w:sz="4" w:space="0"/>
              <w:bottom w:val="single" w:color="000000" w:sz="4" w:space="0"/>
              <w:right w:val="single" w:color="000000" w:sz="4" w:space="0"/>
            </w:tcBorders>
            <w:noWrap w:val="0"/>
            <w:vAlign w:val="center"/>
          </w:tcPr>
          <w:p w14:paraId="05D6ACA0">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养老服务设施</w:t>
            </w:r>
          </w:p>
        </w:tc>
        <w:tc>
          <w:tcPr>
            <w:tcW w:w="2578" w:type="dxa"/>
            <w:gridSpan w:val="2"/>
            <w:tcBorders>
              <w:top w:val="single" w:color="000000" w:sz="4" w:space="0"/>
              <w:left w:val="single" w:color="000000" w:sz="4" w:space="0"/>
              <w:bottom w:val="single" w:color="000000" w:sz="4" w:space="0"/>
              <w:right w:val="single" w:color="000000" w:sz="4" w:space="0"/>
            </w:tcBorders>
            <w:noWrap w:val="0"/>
            <w:vAlign w:val="center"/>
          </w:tcPr>
          <w:p w14:paraId="0E6AE836">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千名老人拥有床位数</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69705DD6">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张</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1A9101E1">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val="en-US" w:bidi="ar"/>
              </w:rPr>
            </w:pPr>
            <w:r>
              <w:rPr>
                <w:rFonts w:hint="eastAsia" w:ascii="宋体" w:hAnsi="宋体" w:eastAsia="宋体" w:cs="宋体"/>
                <w:color w:val="auto"/>
                <w:kern w:val="0"/>
                <w:sz w:val="24"/>
                <w:szCs w:val="24"/>
                <w:lang w:val="en-US" w:eastAsia="zh-CN" w:bidi="ar"/>
              </w:rPr>
              <w:t>18.79</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6F9072DC">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val="en-US" w:bidi="ar"/>
              </w:rPr>
            </w:pPr>
            <w:r>
              <w:rPr>
                <w:rFonts w:hint="eastAsia" w:ascii="宋体" w:hAnsi="宋体" w:eastAsia="宋体" w:cs="宋体"/>
                <w:color w:val="auto"/>
                <w:kern w:val="0"/>
                <w:sz w:val="24"/>
                <w:szCs w:val="24"/>
                <w:lang w:val="en-US" w:eastAsia="zh-CN" w:bidi="ar"/>
              </w:rPr>
              <w:t>≥25</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385B7E67">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≥40</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14:paraId="54CB069F">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预期性</w:t>
            </w:r>
          </w:p>
        </w:tc>
      </w:tr>
      <w:tr w14:paraId="22A15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2" w:hRule="atLeast"/>
        </w:trPr>
        <w:tc>
          <w:tcPr>
            <w:tcW w:w="8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C89D0">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04F6330F">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其中</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5C413BAC">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机构养老服务设施护理型床位占比</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05D9FF15">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52A504D6">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30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2C3C4466">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val="en-US" w:bidi="ar"/>
              </w:rPr>
            </w:pPr>
            <w:r>
              <w:rPr>
                <w:rFonts w:hint="eastAsia" w:ascii="宋体" w:hAnsi="宋体" w:eastAsia="宋体" w:cs="宋体"/>
                <w:color w:val="auto"/>
                <w:kern w:val="0"/>
                <w:sz w:val="24"/>
                <w:szCs w:val="24"/>
                <w:lang w:val="en-US" w:eastAsia="zh-CN" w:bidi="ar"/>
              </w:rPr>
              <w:t>≥55</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6F67F871">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≥80</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14:paraId="0ED4CA5D">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预期性</w:t>
            </w:r>
          </w:p>
        </w:tc>
      </w:tr>
      <w:tr w14:paraId="1162C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65645">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c>
          <w:tcPr>
            <w:tcW w:w="2578" w:type="dxa"/>
            <w:gridSpan w:val="2"/>
            <w:tcBorders>
              <w:top w:val="single" w:color="000000" w:sz="4" w:space="0"/>
              <w:left w:val="single" w:color="000000" w:sz="4" w:space="0"/>
              <w:bottom w:val="single" w:color="000000" w:sz="4" w:space="0"/>
              <w:right w:val="single" w:color="000000" w:sz="4" w:space="0"/>
            </w:tcBorders>
            <w:noWrap w:val="0"/>
            <w:vAlign w:val="center"/>
          </w:tcPr>
          <w:p w14:paraId="546892BC">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市级失智老年人照护服务机构</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5E7FA810">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座</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7EC3AD91">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049CE902">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2716717A">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14:paraId="045A1477">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预期性</w:t>
            </w:r>
          </w:p>
        </w:tc>
      </w:tr>
      <w:tr w14:paraId="295D9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8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83AAD1">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c>
          <w:tcPr>
            <w:tcW w:w="2578" w:type="dxa"/>
            <w:gridSpan w:val="2"/>
            <w:tcBorders>
              <w:top w:val="single" w:color="000000" w:sz="4" w:space="0"/>
              <w:left w:val="single" w:color="000000" w:sz="4" w:space="0"/>
              <w:bottom w:val="single" w:color="000000" w:sz="4" w:space="0"/>
              <w:right w:val="single" w:color="000000" w:sz="4" w:space="0"/>
            </w:tcBorders>
            <w:noWrap w:val="0"/>
            <w:vAlign w:val="center"/>
          </w:tcPr>
          <w:p w14:paraId="29A53BCC">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县级失能照护机构覆盖率</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143B6BB0">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065AE41F">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207A9E82">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793BEFFA">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14:paraId="653B2C22">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预期性</w:t>
            </w:r>
          </w:p>
        </w:tc>
      </w:tr>
      <w:tr w14:paraId="63B65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084F01">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c>
          <w:tcPr>
            <w:tcW w:w="2578" w:type="dxa"/>
            <w:gridSpan w:val="2"/>
            <w:tcBorders>
              <w:top w:val="single" w:color="000000" w:sz="4" w:space="0"/>
              <w:left w:val="single" w:color="000000" w:sz="4" w:space="0"/>
              <w:bottom w:val="single" w:color="000000" w:sz="4" w:space="0"/>
              <w:right w:val="single" w:color="000000" w:sz="4" w:space="0"/>
            </w:tcBorders>
            <w:noWrap w:val="0"/>
            <w:vAlign w:val="center"/>
          </w:tcPr>
          <w:p w14:paraId="789A861A">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中心城区街道区域养老服务中心覆盖率</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34508463">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3969F768">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25BE4904">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val="en-US" w:bidi="ar"/>
              </w:rPr>
            </w:pPr>
            <w:r>
              <w:rPr>
                <w:rFonts w:hint="eastAsia" w:ascii="宋体" w:hAnsi="宋体" w:eastAsia="宋体" w:cs="宋体"/>
                <w:color w:val="auto"/>
                <w:kern w:val="0"/>
                <w:sz w:val="24"/>
                <w:szCs w:val="24"/>
                <w:lang w:val="en-US" w:eastAsia="zh-CN" w:bidi="ar"/>
              </w:rPr>
              <w:t>60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4554D5BC">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14:paraId="5F5DE880">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预期性</w:t>
            </w:r>
          </w:p>
        </w:tc>
      </w:tr>
      <w:tr w14:paraId="2B680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4362F4">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c>
          <w:tcPr>
            <w:tcW w:w="2578" w:type="dxa"/>
            <w:gridSpan w:val="2"/>
            <w:tcBorders>
              <w:top w:val="single" w:color="000000" w:sz="4" w:space="0"/>
              <w:left w:val="single" w:color="000000" w:sz="4" w:space="0"/>
              <w:bottom w:val="single" w:color="000000" w:sz="4" w:space="0"/>
              <w:right w:val="single" w:color="000000" w:sz="4" w:space="0"/>
            </w:tcBorders>
            <w:noWrap w:val="0"/>
            <w:vAlign w:val="center"/>
          </w:tcPr>
          <w:p w14:paraId="71A92957">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乡镇区域养老服务中心覆盖率</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46FBACFA">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6743FDA0">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4B77EFF5">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val="en-US" w:bidi="ar"/>
              </w:rPr>
            </w:pPr>
            <w:r>
              <w:rPr>
                <w:rFonts w:hint="eastAsia" w:ascii="宋体" w:hAnsi="宋体" w:eastAsia="宋体" w:cs="宋体"/>
                <w:color w:val="auto"/>
                <w:kern w:val="0"/>
                <w:sz w:val="24"/>
                <w:szCs w:val="24"/>
                <w:lang w:val="en-US" w:eastAsia="zh-CN" w:bidi="ar"/>
              </w:rPr>
              <w:t>40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0B569B70">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14:paraId="5BC84D02">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r>
      <w:tr w14:paraId="199A9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D4D2CC">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c>
          <w:tcPr>
            <w:tcW w:w="2578" w:type="dxa"/>
            <w:gridSpan w:val="2"/>
            <w:tcBorders>
              <w:top w:val="single" w:color="000000" w:sz="4" w:space="0"/>
              <w:left w:val="single" w:color="000000" w:sz="4" w:space="0"/>
              <w:bottom w:val="single" w:color="000000" w:sz="4" w:space="0"/>
              <w:right w:val="single" w:color="000000" w:sz="4" w:space="0"/>
            </w:tcBorders>
            <w:noWrap w:val="0"/>
            <w:vAlign w:val="center"/>
          </w:tcPr>
          <w:p w14:paraId="0AD0E534">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社区居家养老服务设施覆盖率</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6AD4C546">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2A553F9A">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27.41</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2816CD61">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90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2ABE0528">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14:paraId="3C904EF3">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预期性</w:t>
            </w:r>
          </w:p>
        </w:tc>
      </w:tr>
      <w:tr w14:paraId="44E33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43B8AB">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c>
          <w:tcPr>
            <w:tcW w:w="2578" w:type="dxa"/>
            <w:gridSpan w:val="2"/>
            <w:tcBorders>
              <w:top w:val="single" w:color="000000" w:sz="4" w:space="0"/>
              <w:left w:val="single" w:color="000000" w:sz="4" w:space="0"/>
              <w:bottom w:val="single" w:color="000000" w:sz="4" w:space="0"/>
              <w:right w:val="single" w:color="000000" w:sz="4" w:space="0"/>
            </w:tcBorders>
            <w:noWrap w:val="0"/>
            <w:vAlign w:val="center"/>
          </w:tcPr>
          <w:p w14:paraId="11343E41">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村庄居家养老服务设施覆盖率</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72C6B11F">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41453BA1">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3.7</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25954562">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50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069951E4">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80</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14:paraId="152F8887">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预期性</w:t>
            </w:r>
          </w:p>
        </w:tc>
      </w:tr>
      <w:tr w14:paraId="341C5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22" w:type="dxa"/>
            <w:vMerge w:val="restart"/>
            <w:tcBorders>
              <w:top w:val="single" w:color="000000" w:sz="4" w:space="0"/>
              <w:left w:val="single" w:color="000000" w:sz="4" w:space="0"/>
              <w:bottom w:val="single" w:color="000000" w:sz="4" w:space="0"/>
              <w:right w:val="single" w:color="000000" w:sz="4" w:space="0"/>
            </w:tcBorders>
            <w:noWrap w:val="0"/>
            <w:vAlign w:val="center"/>
          </w:tcPr>
          <w:p w14:paraId="2D2A77D7">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儿童福利设施</w:t>
            </w:r>
          </w:p>
        </w:tc>
        <w:tc>
          <w:tcPr>
            <w:tcW w:w="2578" w:type="dxa"/>
            <w:gridSpan w:val="2"/>
            <w:tcBorders>
              <w:top w:val="single" w:color="000000" w:sz="4" w:space="0"/>
              <w:left w:val="single" w:color="000000" w:sz="4" w:space="0"/>
              <w:bottom w:val="single" w:color="000000" w:sz="4" w:space="0"/>
              <w:right w:val="single" w:color="000000" w:sz="4" w:space="0"/>
            </w:tcBorders>
            <w:noWrap w:val="0"/>
            <w:vAlign w:val="center"/>
          </w:tcPr>
          <w:p w14:paraId="1460AD98">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县级儿童福利院覆盖率</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5C8F21F1">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481165FD">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6785A8E0">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12426AB5">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val="en-US" w:bidi="ar"/>
              </w:rPr>
            </w:pPr>
            <w:r>
              <w:rPr>
                <w:rFonts w:hint="eastAsia" w:ascii="宋体" w:hAnsi="宋体" w:eastAsia="宋体" w:cs="宋体"/>
                <w:color w:val="auto"/>
                <w:kern w:val="0"/>
                <w:sz w:val="24"/>
                <w:szCs w:val="24"/>
                <w:lang w:val="en-US" w:eastAsia="zh-CN" w:bidi="ar"/>
              </w:rPr>
              <w:t>50</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14:paraId="2530BC25">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预期性</w:t>
            </w:r>
          </w:p>
        </w:tc>
      </w:tr>
      <w:tr w14:paraId="62690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8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CE8DFA">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c>
          <w:tcPr>
            <w:tcW w:w="2578" w:type="dxa"/>
            <w:gridSpan w:val="2"/>
            <w:tcBorders>
              <w:top w:val="single" w:color="000000" w:sz="4" w:space="0"/>
              <w:left w:val="single" w:color="000000" w:sz="4" w:space="0"/>
              <w:bottom w:val="single" w:color="000000" w:sz="4" w:space="0"/>
              <w:right w:val="single" w:color="000000" w:sz="4" w:space="0"/>
            </w:tcBorders>
            <w:noWrap w:val="0"/>
            <w:vAlign w:val="center"/>
          </w:tcPr>
          <w:p w14:paraId="30CDF2AA">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村（社区）儿童之家覆盖率</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448F6F4B">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20CFFA09">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340B72F7">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01F079BA">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14:paraId="429A0B91">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预期性</w:t>
            </w:r>
          </w:p>
        </w:tc>
      </w:tr>
      <w:tr w14:paraId="023A0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trPr>
        <w:tc>
          <w:tcPr>
            <w:tcW w:w="822" w:type="dxa"/>
            <w:tcBorders>
              <w:top w:val="single" w:color="000000" w:sz="4" w:space="0"/>
              <w:left w:val="single" w:color="000000" w:sz="4" w:space="0"/>
              <w:bottom w:val="single" w:color="000000" w:sz="4" w:space="0"/>
              <w:right w:val="single" w:color="000000" w:sz="4" w:space="0"/>
            </w:tcBorders>
            <w:noWrap w:val="0"/>
            <w:vAlign w:val="center"/>
          </w:tcPr>
          <w:p w14:paraId="6C5CBB4F">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社会救助设施</w:t>
            </w:r>
          </w:p>
        </w:tc>
        <w:tc>
          <w:tcPr>
            <w:tcW w:w="2578" w:type="dxa"/>
            <w:gridSpan w:val="2"/>
            <w:tcBorders>
              <w:top w:val="single" w:color="000000" w:sz="4" w:space="0"/>
              <w:left w:val="single" w:color="000000" w:sz="4" w:space="0"/>
              <w:bottom w:val="single" w:color="000000" w:sz="4" w:space="0"/>
              <w:right w:val="single" w:color="000000" w:sz="4" w:space="0"/>
            </w:tcBorders>
            <w:noWrap w:val="0"/>
            <w:vAlign w:val="center"/>
          </w:tcPr>
          <w:p w14:paraId="0A5739B4">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县级救助站覆盖率</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44166707">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317B5ABF">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42F0196C">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2A8C3BCC">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14:paraId="0B3AA518">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约束性</w:t>
            </w:r>
          </w:p>
        </w:tc>
      </w:tr>
      <w:tr w14:paraId="6AF7E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822" w:type="dxa"/>
            <w:vMerge w:val="restart"/>
            <w:tcBorders>
              <w:top w:val="single" w:color="000000" w:sz="4" w:space="0"/>
              <w:left w:val="single" w:color="000000" w:sz="4" w:space="0"/>
              <w:bottom w:val="single" w:color="000000" w:sz="4" w:space="0"/>
              <w:right w:val="single" w:color="000000" w:sz="4" w:space="0"/>
            </w:tcBorders>
            <w:noWrap w:val="0"/>
            <w:vAlign w:val="center"/>
          </w:tcPr>
          <w:p w14:paraId="48ED1274">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殡葬设施</w:t>
            </w:r>
          </w:p>
        </w:tc>
        <w:tc>
          <w:tcPr>
            <w:tcW w:w="2578" w:type="dxa"/>
            <w:gridSpan w:val="2"/>
            <w:tcBorders>
              <w:top w:val="single" w:color="000000" w:sz="4" w:space="0"/>
              <w:left w:val="single" w:color="000000" w:sz="4" w:space="0"/>
              <w:bottom w:val="single" w:color="000000" w:sz="4" w:space="0"/>
              <w:right w:val="single" w:color="000000" w:sz="4" w:space="0"/>
            </w:tcBorders>
            <w:noWrap w:val="0"/>
            <w:vAlign w:val="center"/>
          </w:tcPr>
          <w:p w14:paraId="299C5C97">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殡仪馆覆盖率</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6FF42485">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4CC52CB8">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2AE00BD7">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4E0A5DF8">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14:paraId="5AD88207">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约束性</w:t>
            </w:r>
          </w:p>
        </w:tc>
      </w:tr>
      <w:tr w14:paraId="4ABA3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8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CBFB9">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c>
          <w:tcPr>
            <w:tcW w:w="2578" w:type="dxa"/>
            <w:gridSpan w:val="2"/>
            <w:tcBorders>
              <w:top w:val="single" w:color="000000" w:sz="4" w:space="0"/>
              <w:left w:val="single" w:color="000000" w:sz="4" w:space="0"/>
              <w:bottom w:val="single" w:color="000000" w:sz="4" w:space="0"/>
              <w:right w:val="single" w:color="000000" w:sz="4" w:space="0"/>
            </w:tcBorders>
            <w:noWrap w:val="0"/>
            <w:vAlign w:val="center"/>
          </w:tcPr>
          <w:p w14:paraId="604C91E4">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城市公益性公墓覆盖率</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4CF52D4D">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69D32B97">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0</w:t>
            </w: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7EAFB7A0">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val="en-US" w:bidi="ar"/>
              </w:rPr>
            </w:pPr>
            <w:r>
              <w:rPr>
                <w:rFonts w:hint="eastAsia" w:ascii="宋体" w:hAnsi="宋体" w:eastAsia="宋体" w:cs="宋体"/>
                <w:color w:val="auto"/>
                <w:kern w:val="0"/>
                <w:sz w:val="24"/>
                <w:szCs w:val="24"/>
                <w:lang w:val="en-US" w:eastAsia="zh-CN" w:bidi="ar"/>
              </w:rPr>
              <w:t>50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3145BB18">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14:paraId="5E2D7E26">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约束性</w:t>
            </w:r>
          </w:p>
        </w:tc>
      </w:tr>
      <w:tr w14:paraId="772FD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82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D4F340">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c>
          <w:tcPr>
            <w:tcW w:w="2578" w:type="dxa"/>
            <w:gridSpan w:val="2"/>
            <w:tcBorders>
              <w:top w:val="single" w:color="000000" w:sz="4" w:space="0"/>
              <w:left w:val="single" w:color="000000" w:sz="4" w:space="0"/>
              <w:bottom w:val="single" w:color="000000" w:sz="4" w:space="0"/>
              <w:right w:val="single" w:color="000000" w:sz="4" w:space="0"/>
            </w:tcBorders>
            <w:noWrap w:val="0"/>
            <w:vAlign w:val="center"/>
          </w:tcPr>
          <w:p w14:paraId="55590FCE">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农村公益性公墓覆盖率</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14:paraId="126A024F">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10C92FDB">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p>
        </w:tc>
        <w:tc>
          <w:tcPr>
            <w:tcW w:w="1179" w:type="dxa"/>
            <w:tcBorders>
              <w:top w:val="single" w:color="000000" w:sz="4" w:space="0"/>
              <w:left w:val="single" w:color="000000" w:sz="4" w:space="0"/>
              <w:bottom w:val="single" w:color="000000" w:sz="4" w:space="0"/>
              <w:right w:val="single" w:color="000000" w:sz="4" w:space="0"/>
            </w:tcBorders>
            <w:noWrap w:val="0"/>
            <w:vAlign w:val="center"/>
          </w:tcPr>
          <w:p w14:paraId="6AB81489">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201870C5">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100</w:t>
            </w:r>
          </w:p>
        </w:tc>
        <w:tc>
          <w:tcPr>
            <w:tcW w:w="999" w:type="dxa"/>
            <w:tcBorders>
              <w:top w:val="single" w:color="000000" w:sz="4" w:space="0"/>
              <w:left w:val="single" w:color="000000" w:sz="4" w:space="0"/>
              <w:bottom w:val="single" w:color="000000" w:sz="4" w:space="0"/>
              <w:right w:val="single" w:color="000000" w:sz="4" w:space="0"/>
            </w:tcBorders>
            <w:noWrap w:val="0"/>
            <w:vAlign w:val="center"/>
          </w:tcPr>
          <w:p w14:paraId="42731AD2">
            <w:pPr>
              <w:pageBreakBefore w:val="0"/>
              <w:widowControl/>
              <w:kinsoku/>
              <w:wordWrap/>
              <w:overflowPunct/>
              <w:topLinePunct w:val="0"/>
              <w:autoSpaceDE/>
              <w:autoSpaceDN/>
              <w:bidi w:val="0"/>
              <w:adjustRightInd/>
              <w:snapToGrid/>
              <w:spacing w:line="280" w:lineRule="exact"/>
              <w:ind w:left="0" w:leftChars="0"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val="en-US" w:eastAsia="zh-CN" w:bidi="ar"/>
              </w:rPr>
              <w:t>预期性</w:t>
            </w:r>
          </w:p>
        </w:tc>
      </w:tr>
    </w:tbl>
    <w:p w14:paraId="614DC2FA">
      <w:pPr>
        <w:bidi w:val="0"/>
        <w:jc w:val="center"/>
        <w:rPr>
          <w:rFonts w:hint="eastAsia" w:cs="Times New Roman"/>
          <w:color w:val="auto"/>
          <w:lang w:val="en-US" w:eastAsia="zh-CN"/>
        </w:rPr>
      </w:pPr>
    </w:p>
    <w:p w14:paraId="42E77432">
      <w:pPr>
        <w:numPr>
          <w:ilvl w:val="0"/>
          <w:numId w:val="1"/>
        </w:numPr>
        <w:ind w:left="0" w:leftChars="0" w:firstLine="0" w:firstLineChars="0"/>
        <w:rPr>
          <w:color w:val="auto"/>
        </w:rPr>
      </w:pPr>
      <w:r>
        <w:rPr>
          <w:rFonts w:hint="eastAsia" w:cs="Times New Roman"/>
          <w:color w:val="auto"/>
          <w:lang w:val="en-US" w:eastAsia="zh-CN"/>
        </w:rPr>
        <w:br w:type="page"/>
      </w:r>
      <w:bookmarkStart w:id="11" w:name="_Toc20294"/>
      <w:r>
        <w:rPr>
          <w:rFonts w:hint="eastAsia" w:cs="Times New Roman"/>
          <w:color w:val="auto"/>
          <w:lang w:val="en-US" w:eastAsia="zh-CN"/>
        </w:rPr>
        <w:t>养老服务设施规划</w:t>
      </w:r>
      <w:bookmarkEnd w:id="11"/>
    </w:p>
    <w:p w14:paraId="325889DF">
      <w:pPr>
        <w:numPr>
          <w:ilvl w:val="0"/>
          <w:numId w:val="2"/>
        </w:numPr>
        <w:bidi w:val="0"/>
        <w:ind w:firstLine="0"/>
        <w:rPr>
          <w:rFonts w:hint="eastAsia" w:ascii="Arial" w:hAnsi="Arial" w:cs="Times New Roman"/>
          <w:b/>
          <w:color w:val="auto"/>
          <w:lang w:val="en-US" w:eastAsia="zh-CN"/>
        </w:rPr>
      </w:pPr>
      <w:bookmarkStart w:id="12" w:name="_Toc22592"/>
      <w:r>
        <w:rPr>
          <w:rFonts w:hint="eastAsia" w:cs="Times New Roman"/>
          <w:b/>
          <w:color w:val="auto"/>
          <w:lang w:val="en-US" w:eastAsia="zh-CN"/>
        </w:rPr>
        <w:t>老年人口及养老服务设施现状分析</w:t>
      </w:r>
      <w:bookmarkEnd w:id="12"/>
    </w:p>
    <w:p w14:paraId="6F01BD9E">
      <w:pPr>
        <w:numPr>
          <w:ilvl w:val="0"/>
          <w:numId w:val="4"/>
        </w:numPr>
        <w:bidi w:val="0"/>
        <w:rPr>
          <w:rFonts w:hint="eastAsia" w:cs="Times New Roman"/>
          <w:b/>
          <w:bCs/>
          <w:color w:val="auto"/>
          <w:sz w:val="32"/>
          <w:szCs w:val="24"/>
          <w:lang w:val="en-US" w:eastAsia="zh-CN"/>
        </w:rPr>
      </w:pPr>
      <w:r>
        <w:rPr>
          <w:rFonts w:hint="eastAsia" w:cs="Times New Roman"/>
          <w:b/>
          <w:bCs/>
          <w:color w:val="auto"/>
          <w:sz w:val="32"/>
          <w:szCs w:val="24"/>
          <w:lang w:val="en-US" w:eastAsia="zh-CN"/>
        </w:rPr>
        <w:t>全市老年人口现状</w:t>
      </w:r>
    </w:p>
    <w:p w14:paraId="7911989D">
      <w:pPr>
        <w:bidi w:val="0"/>
        <w:rPr>
          <w:rFonts w:hint="eastAsia" w:cs="Times New Roman"/>
          <w:color w:val="auto"/>
          <w:lang w:val="en-US" w:eastAsia="zh-CN"/>
        </w:rPr>
      </w:pPr>
      <w:r>
        <w:rPr>
          <w:rFonts w:hint="eastAsia" w:cs="Times New Roman"/>
          <w:color w:val="auto"/>
          <w:lang w:val="en-US" w:eastAsia="zh-CN"/>
        </w:rPr>
        <w:t>根据第七次全国人口普查数据，全市常住人口576.58 万人，60周岁以上的老年人86.04万，根据公安部门统计数据，2020年全市户籍人口663.8万人，60周岁以上的老年人87.31万。自2020年以来，曲靖市老年人口以年均2.04%的增速增加，人口老龄化、空巢化、高龄化形势严峻。截至</w:t>
      </w:r>
      <w:r>
        <w:rPr>
          <w:rFonts w:hint="eastAsia"/>
          <w:color w:val="auto"/>
          <w:highlight w:val="none"/>
          <w:lang w:val="en-US" w:eastAsia="zh-CN"/>
        </w:rPr>
        <w:t>2025</w:t>
      </w:r>
      <w:r>
        <w:rPr>
          <w:rFonts w:hint="eastAsia"/>
          <w:color w:val="auto"/>
          <w:highlight w:val="none"/>
        </w:rPr>
        <w:t>年底，60周岁以上的户籍老年人</w:t>
      </w:r>
      <w:r>
        <w:rPr>
          <w:rFonts w:hint="eastAsia"/>
          <w:color w:val="auto"/>
          <w:highlight w:val="none"/>
          <w:lang w:val="en-US" w:eastAsia="zh-CN"/>
        </w:rPr>
        <w:t>111.70</w:t>
      </w:r>
      <w:r>
        <w:rPr>
          <w:rFonts w:hint="eastAsia"/>
          <w:color w:val="auto"/>
          <w:highlight w:val="none"/>
        </w:rPr>
        <w:t>万，占全市户籍人口总数的</w:t>
      </w:r>
      <w:r>
        <w:rPr>
          <w:rFonts w:hint="eastAsia"/>
          <w:color w:val="auto"/>
          <w:highlight w:val="none"/>
          <w:lang w:val="en-US" w:eastAsia="zh-CN"/>
        </w:rPr>
        <w:t>16.51</w:t>
      </w:r>
      <w:r>
        <w:rPr>
          <w:rFonts w:hint="eastAsia"/>
          <w:color w:val="auto"/>
          <w:highlight w:val="none"/>
        </w:rPr>
        <w:t>%</w:t>
      </w:r>
      <w:r>
        <w:rPr>
          <w:rFonts w:hint="eastAsia" w:cs="Times New Roman"/>
          <w:color w:val="auto"/>
          <w:lang w:val="en-US" w:eastAsia="zh-CN"/>
        </w:rPr>
        <w:t>。</w:t>
      </w:r>
    </w:p>
    <w:p w14:paraId="18736F0F">
      <w:pPr>
        <w:numPr>
          <w:ilvl w:val="0"/>
          <w:numId w:val="4"/>
        </w:numPr>
        <w:bidi w:val="0"/>
        <w:rPr>
          <w:rFonts w:hint="eastAsia" w:cs="Times New Roman"/>
          <w:b/>
          <w:bCs/>
          <w:color w:val="auto"/>
          <w:sz w:val="32"/>
          <w:szCs w:val="24"/>
          <w:lang w:val="en-US" w:eastAsia="zh-CN"/>
        </w:rPr>
      </w:pPr>
      <w:r>
        <w:rPr>
          <w:rFonts w:hint="eastAsia" w:cs="Times New Roman"/>
          <w:b/>
          <w:bCs/>
          <w:color w:val="auto"/>
          <w:sz w:val="32"/>
          <w:szCs w:val="24"/>
          <w:lang w:val="en-US" w:eastAsia="zh-CN"/>
        </w:rPr>
        <w:t>全市养老服务设施现状</w:t>
      </w:r>
    </w:p>
    <w:p w14:paraId="37F345FD">
      <w:pPr>
        <w:ind w:firstLine="560"/>
        <w:rPr>
          <w:color w:val="auto"/>
        </w:rPr>
      </w:pPr>
      <w:r>
        <w:rPr>
          <w:color w:val="auto"/>
        </w:rPr>
        <w:t>截至</w:t>
      </w:r>
      <w:r>
        <w:rPr>
          <w:rFonts w:hint="eastAsia"/>
          <w:color w:val="auto"/>
          <w:lang w:eastAsia="zh-CN"/>
        </w:rPr>
        <w:t>202</w:t>
      </w:r>
      <w:r>
        <w:rPr>
          <w:rFonts w:hint="eastAsia"/>
          <w:color w:val="auto"/>
          <w:lang w:val="en-US" w:eastAsia="zh-CN"/>
        </w:rPr>
        <w:t>5</w:t>
      </w:r>
      <w:r>
        <w:rPr>
          <w:color w:val="auto"/>
        </w:rPr>
        <w:t>年底，</w:t>
      </w:r>
      <w:r>
        <w:rPr>
          <w:rFonts w:hint="eastAsia"/>
          <w:color w:val="auto"/>
        </w:rPr>
        <w:t>曲靖</w:t>
      </w:r>
      <w:r>
        <w:rPr>
          <w:color w:val="auto"/>
        </w:rPr>
        <w:t>市共有各类养老</w:t>
      </w:r>
      <w:r>
        <w:rPr>
          <w:rFonts w:hint="eastAsia"/>
          <w:color w:val="auto"/>
          <w:lang w:val="en-US" w:eastAsia="zh-CN"/>
        </w:rPr>
        <w:t>服务设施777</w:t>
      </w:r>
      <w:r>
        <w:rPr>
          <w:rFonts w:hint="eastAsia"/>
          <w:color w:val="auto"/>
        </w:rPr>
        <w:t>所</w:t>
      </w:r>
      <w:r>
        <w:rPr>
          <w:rFonts w:hint="eastAsia"/>
          <w:color w:val="auto"/>
          <w:lang w:eastAsia="zh-CN"/>
        </w:rPr>
        <w:t>（</w:t>
      </w:r>
      <w:r>
        <w:rPr>
          <w:rFonts w:hint="eastAsia"/>
          <w:color w:val="auto"/>
          <w:lang w:val="en-US" w:eastAsia="zh-CN"/>
        </w:rPr>
        <w:t>个</w:t>
      </w:r>
      <w:r>
        <w:rPr>
          <w:rFonts w:hint="eastAsia"/>
          <w:color w:val="auto"/>
          <w:lang w:eastAsia="zh-CN"/>
        </w:rPr>
        <w:t>）</w:t>
      </w:r>
      <w:r>
        <w:rPr>
          <w:rFonts w:hint="eastAsia"/>
          <w:color w:val="auto"/>
        </w:rPr>
        <w:t>，养老床位</w:t>
      </w:r>
      <w:r>
        <w:rPr>
          <w:rFonts w:hint="eastAsia"/>
          <w:color w:val="auto"/>
          <w:lang w:val="en-US" w:eastAsia="zh-CN"/>
        </w:rPr>
        <w:t>20983</w:t>
      </w:r>
      <w:r>
        <w:rPr>
          <w:rFonts w:hint="eastAsia"/>
          <w:color w:val="auto"/>
        </w:rPr>
        <w:t>张</w:t>
      </w:r>
      <w:r>
        <w:rPr>
          <w:rFonts w:hint="eastAsia"/>
          <w:color w:val="auto"/>
          <w:lang w:eastAsia="zh-CN"/>
        </w:rPr>
        <w:t>（</w:t>
      </w:r>
      <w:r>
        <w:rPr>
          <w:rFonts w:hint="eastAsia"/>
          <w:color w:val="auto"/>
          <w:lang w:val="en-US" w:eastAsia="zh-CN"/>
        </w:rPr>
        <w:t>2020年为17444张</w:t>
      </w:r>
      <w:r>
        <w:rPr>
          <w:rFonts w:hint="eastAsia"/>
          <w:color w:val="auto"/>
          <w:lang w:eastAsia="zh-CN"/>
        </w:rPr>
        <w:t>）</w:t>
      </w:r>
      <w:r>
        <w:rPr>
          <w:rFonts w:hint="eastAsia"/>
          <w:color w:val="auto"/>
        </w:rPr>
        <w:t>，</w:t>
      </w:r>
      <w:r>
        <w:rPr>
          <w:color w:val="auto"/>
        </w:rPr>
        <w:t>每千名老年人拥有养老机构床位</w:t>
      </w:r>
      <w:r>
        <w:rPr>
          <w:rFonts w:hint="eastAsia"/>
          <w:color w:val="auto"/>
          <w:lang w:val="en-US" w:eastAsia="zh-CN"/>
        </w:rPr>
        <w:t>18.79</w:t>
      </w:r>
      <w:r>
        <w:rPr>
          <w:color w:val="auto"/>
        </w:rPr>
        <w:t>张</w:t>
      </w:r>
      <w:r>
        <w:rPr>
          <w:rFonts w:hint="eastAsia"/>
          <w:color w:val="auto"/>
          <w:lang w:eastAsia="zh-CN"/>
        </w:rPr>
        <w:t>，</w:t>
      </w:r>
      <w:r>
        <w:rPr>
          <w:rFonts w:hint="eastAsia"/>
          <w:color w:val="auto"/>
          <w:lang w:val="en-US" w:eastAsia="zh-CN"/>
        </w:rPr>
        <w:t>相较于2020年的</w:t>
      </w:r>
      <w:r>
        <w:rPr>
          <w:rFonts w:hint="eastAsia"/>
          <w:color w:val="auto"/>
        </w:rPr>
        <w:t>19.78</w:t>
      </w:r>
      <w:r>
        <w:rPr>
          <w:color w:val="auto"/>
        </w:rPr>
        <w:t>张</w:t>
      </w:r>
      <w:r>
        <w:rPr>
          <w:rFonts w:hint="eastAsia"/>
          <w:color w:val="auto"/>
          <w:lang w:val="en-US" w:eastAsia="zh-CN"/>
        </w:rPr>
        <w:t>略有降低，说明养老床位建设速度跟不上老年人口增长速度</w:t>
      </w:r>
      <w:r>
        <w:rPr>
          <w:color w:val="auto"/>
        </w:rPr>
        <w:t>。</w:t>
      </w:r>
      <w:r>
        <w:rPr>
          <w:rFonts w:hint="eastAsia"/>
          <w:color w:val="auto"/>
          <w:lang w:eastAsia="zh-CN"/>
        </w:rPr>
        <w:t>机构养老服务设施</w:t>
      </w:r>
      <w:r>
        <w:rPr>
          <w:rFonts w:hint="eastAsia"/>
          <w:color w:val="auto"/>
          <w:lang w:val="en-US" w:eastAsia="zh-CN"/>
        </w:rPr>
        <w:t>102个</w:t>
      </w:r>
      <w:r>
        <w:rPr>
          <w:color w:val="auto"/>
        </w:rPr>
        <w:t>，养老床位</w:t>
      </w:r>
      <w:r>
        <w:rPr>
          <w:rFonts w:hint="eastAsia"/>
          <w:color w:val="auto"/>
          <w:lang w:val="en-US" w:eastAsia="zh-CN"/>
        </w:rPr>
        <w:t>10415张（2020年为</w:t>
      </w:r>
      <w:r>
        <w:rPr>
          <w:color w:val="auto"/>
        </w:rPr>
        <w:t>12954张</w:t>
      </w:r>
      <w:r>
        <w:rPr>
          <w:rFonts w:hint="eastAsia"/>
          <w:color w:val="auto"/>
          <w:lang w:val="en-US" w:eastAsia="zh-CN"/>
        </w:rPr>
        <w:t>）</w:t>
      </w:r>
      <w:r>
        <w:rPr>
          <w:rFonts w:hint="eastAsia"/>
          <w:color w:val="auto"/>
          <w:lang w:eastAsia="zh-CN"/>
        </w:rPr>
        <w:t>，</w:t>
      </w:r>
      <w:r>
        <w:rPr>
          <w:rFonts w:hint="eastAsia"/>
          <w:color w:val="auto"/>
          <w:lang w:val="en-US" w:eastAsia="zh-CN"/>
        </w:rPr>
        <w:t>其中</w:t>
      </w:r>
      <w:r>
        <w:rPr>
          <w:color w:val="auto"/>
        </w:rPr>
        <w:t>公办机构</w:t>
      </w:r>
      <w:r>
        <w:rPr>
          <w:rFonts w:hint="eastAsia"/>
          <w:color w:val="auto"/>
        </w:rPr>
        <w:t>养老</w:t>
      </w:r>
      <w:r>
        <w:rPr>
          <w:rFonts w:hint="eastAsia"/>
          <w:color w:val="auto"/>
          <w:lang w:val="en-US" w:eastAsia="zh-CN"/>
        </w:rPr>
        <w:t>设施80</w:t>
      </w:r>
      <w:r>
        <w:rPr>
          <w:color w:val="auto"/>
        </w:rPr>
        <w:t>所，养老床位</w:t>
      </w:r>
      <w:r>
        <w:rPr>
          <w:rFonts w:hint="eastAsia"/>
          <w:color w:val="auto"/>
          <w:lang w:val="en-US" w:eastAsia="zh-CN"/>
        </w:rPr>
        <w:t>8161</w:t>
      </w:r>
      <w:r>
        <w:rPr>
          <w:color w:val="auto"/>
        </w:rPr>
        <w:t>张；社会力量兴办养老机构22所、养老床位</w:t>
      </w:r>
      <w:r>
        <w:rPr>
          <w:rFonts w:hint="eastAsia"/>
          <w:color w:val="auto"/>
          <w:lang w:val="en-US" w:eastAsia="zh-CN"/>
        </w:rPr>
        <w:t>2254</w:t>
      </w:r>
      <w:r>
        <w:rPr>
          <w:color w:val="auto"/>
        </w:rPr>
        <w:t>张，</w:t>
      </w:r>
      <w:r>
        <w:rPr>
          <w:rFonts w:hint="eastAsia"/>
          <w:color w:val="auto"/>
          <w:lang w:val="en-US" w:eastAsia="zh-CN"/>
        </w:rPr>
        <w:t>村（</w:t>
      </w:r>
      <w:r>
        <w:rPr>
          <w:color w:val="auto"/>
        </w:rPr>
        <w:t>社区</w:t>
      </w:r>
      <w:r>
        <w:rPr>
          <w:rFonts w:hint="eastAsia"/>
          <w:color w:val="auto"/>
          <w:lang w:val="en-US" w:eastAsia="zh-CN"/>
        </w:rPr>
        <w:t>）</w:t>
      </w:r>
      <w:r>
        <w:rPr>
          <w:color w:val="auto"/>
        </w:rPr>
        <w:t>居家养老服务</w:t>
      </w:r>
      <w:r>
        <w:rPr>
          <w:rFonts w:hint="eastAsia"/>
          <w:color w:val="auto"/>
          <w:lang w:val="en-US" w:eastAsia="zh-CN"/>
        </w:rPr>
        <w:t>设施675</w:t>
      </w:r>
      <w:r>
        <w:rPr>
          <w:rFonts w:hint="eastAsia"/>
          <w:color w:val="auto"/>
        </w:rPr>
        <w:t>个</w:t>
      </w:r>
      <w:r>
        <w:rPr>
          <w:color w:val="auto"/>
        </w:rPr>
        <w:t>、床位</w:t>
      </w:r>
      <w:r>
        <w:rPr>
          <w:rFonts w:hint="eastAsia"/>
          <w:color w:val="auto"/>
          <w:lang w:val="en-US" w:eastAsia="zh-CN"/>
        </w:rPr>
        <w:t>10568</w:t>
      </w:r>
      <w:r>
        <w:rPr>
          <w:color w:val="auto"/>
        </w:rPr>
        <w:t>张</w:t>
      </w:r>
      <w:r>
        <w:rPr>
          <w:rFonts w:hint="eastAsia"/>
          <w:color w:val="auto"/>
        </w:rPr>
        <w:t>。</w:t>
      </w:r>
      <w:r>
        <w:rPr>
          <w:color w:val="auto"/>
        </w:rPr>
        <w:t>（数据来源：</w:t>
      </w:r>
      <w:r>
        <w:rPr>
          <w:rFonts w:hint="eastAsia"/>
          <w:color w:val="auto"/>
        </w:rPr>
        <w:t>曲靖市民政局</w:t>
      </w:r>
      <w:r>
        <w:rPr>
          <w:color w:val="auto"/>
        </w:rPr>
        <w:t>）</w:t>
      </w:r>
    </w:p>
    <w:p w14:paraId="39CE4913">
      <w:pPr>
        <w:numPr>
          <w:ilvl w:val="0"/>
          <w:numId w:val="4"/>
        </w:numPr>
        <w:bidi w:val="0"/>
        <w:rPr>
          <w:rFonts w:hint="eastAsia" w:cs="Times New Roman"/>
          <w:b/>
          <w:bCs/>
          <w:color w:val="auto"/>
          <w:sz w:val="32"/>
          <w:szCs w:val="24"/>
          <w:lang w:val="en-US" w:eastAsia="zh-CN"/>
        </w:rPr>
      </w:pPr>
      <w:r>
        <w:rPr>
          <w:rFonts w:hint="eastAsia" w:cs="Times New Roman"/>
          <w:b/>
          <w:bCs/>
          <w:color w:val="auto"/>
          <w:sz w:val="32"/>
          <w:szCs w:val="24"/>
          <w:lang w:val="en-US" w:eastAsia="zh-CN"/>
        </w:rPr>
        <w:t>中心城区养老服务设施现状</w:t>
      </w:r>
    </w:p>
    <w:p w14:paraId="67DEE082">
      <w:pPr>
        <w:bidi w:val="0"/>
        <w:rPr>
          <w:rFonts w:hint="default" w:eastAsia="新宋体" w:cs="Times New Roman"/>
          <w:color w:val="auto"/>
          <w:lang w:val="en-US" w:eastAsia="zh-CN"/>
        </w:rPr>
      </w:pPr>
      <w:r>
        <w:rPr>
          <w:rFonts w:hint="eastAsia" w:cs="Times New Roman"/>
          <w:color w:val="auto"/>
          <w:lang w:val="en-US" w:eastAsia="zh-CN"/>
        </w:rPr>
        <w:t>截至2025年11月，曲靖市中心城区（绕城高速以内）共有养老床位3340张。</w:t>
      </w:r>
      <w:r>
        <w:rPr>
          <w:rFonts w:hint="eastAsia" w:cs="Times New Roman"/>
          <w:b/>
          <w:bCs/>
          <w:color w:val="auto"/>
          <w:lang w:val="en-US" w:eastAsia="zh-CN"/>
        </w:rPr>
        <w:t>公办机构养老服务设施</w:t>
      </w:r>
      <w:r>
        <w:rPr>
          <w:rFonts w:hint="eastAsia"/>
          <w:color w:val="auto"/>
          <w:lang w:val="en-US" w:eastAsia="zh-CN"/>
        </w:rPr>
        <w:t>10</w:t>
      </w:r>
      <w:r>
        <w:rPr>
          <w:color w:val="auto"/>
        </w:rPr>
        <w:t>所</w:t>
      </w:r>
      <w:r>
        <w:rPr>
          <w:rFonts w:hint="eastAsia"/>
          <w:color w:val="auto"/>
          <w:lang w:eastAsia="zh-CN"/>
        </w:rPr>
        <w:t>，床位</w:t>
      </w:r>
      <w:r>
        <w:rPr>
          <w:rFonts w:hint="eastAsia"/>
          <w:color w:val="auto"/>
          <w:lang w:val="en-US" w:eastAsia="zh-CN"/>
        </w:rPr>
        <w:t>944</w:t>
      </w:r>
      <w:r>
        <w:rPr>
          <w:color w:val="auto"/>
        </w:rPr>
        <w:t>张</w:t>
      </w:r>
      <w:r>
        <w:rPr>
          <w:rFonts w:hint="eastAsia"/>
          <w:color w:val="auto"/>
          <w:lang w:eastAsia="zh-CN"/>
        </w:rPr>
        <w:t>。</w:t>
      </w:r>
      <w:r>
        <w:rPr>
          <w:color w:val="auto"/>
        </w:rPr>
        <w:t>其中</w:t>
      </w:r>
      <w:r>
        <w:rPr>
          <w:rFonts w:hint="eastAsia"/>
          <w:color w:val="auto"/>
          <w:lang w:eastAsia="zh-CN"/>
        </w:rPr>
        <w:t>，</w:t>
      </w:r>
      <w:r>
        <w:rPr>
          <w:color w:val="auto"/>
        </w:rPr>
        <w:t>市级</w:t>
      </w:r>
      <w:r>
        <w:rPr>
          <w:rFonts w:hint="eastAsia"/>
          <w:color w:val="auto"/>
          <w:lang w:eastAsia="zh-CN"/>
        </w:rPr>
        <w:t>机构养老服务设施</w:t>
      </w:r>
      <w:r>
        <w:rPr>
          <w:color w:val="auto"/>
        </w:rPr>
        <w:t>共</w:t>
      </w:r>
      <w:r>
        <w:rPr>
          <w:rFonts w:hint="eastAsia"/>
          <w:color w:val="auto"/>
        </w:rPr>
        <w:t>1</w:t>
      </w:r>
      <w:r>
        <w:rPr>
          <w:color w:val="auto"/>
        </w:rPr>
        <w:t>所</w:t>
      </w:r>
      <w:r>
        <w:rPr>
          <w:rFonts w:hint="eastAsia"/>
          <w:color w:val="auto"/>
          <w:lang w:eastAsia="zh-CN"/>
        </w:rPr>
        <w:t>，床位</w:t>
      </w:r>
      <w:r>
        <w:rPr>
          <w:rFonts w:hint="eastAsia"/>
          <w:color w:val="auto"/>
          <w:lang w:val="en-US" w:eastAsia="zh-CN"/>
        </w:rPr>
        <w:t>215</w:t>
      </w:r>
      <w:r>
        <w:rPr>
          <w:color w:val="auto"/>
        </w:rPr>
        <w:t>张，</w:t>
      </w:r>
      <w:r>
        <w:rPr>
          <w:rFonts w:hint="eastAsia"/>
          <w:color w:val="auto"/>
        </w:rPr>
        <w:t>位于</w:t>
      </w:r>
      <w:r>
        <w:rPr>
          <w:color w:val="auto"/>
        </w:rPr>
        <w:t>沾益区</w:t>
      </w:r>
      <w:r>
        <w:rPr>
          <w:rFonts w:hint="eastAsia"/>
          <w:color w:val="auto"/>
          <w:lang w:eastAsia="zh-CN"/>
        </w:rPr>
        <w:t>；县级机构养老服务设施</w:t>
      </w:r>
      <w:r>
        <w:rPr>
          <w:color w:val="auto"/>
        </w:rPr>
        <w:t>共5所</w:t>
      </w:r>
      <w:r>
        <w:rPr>
          <w:rFonts w:hint="eastAsia"/>
          <w:color w:val="auto"/>
          <w:lang w:eastAsia="zh-CN"/>
        </w:rPr>
        <w:t>，床位</w:t>
      </w:r>
      <w:r>
        <w:rPr>
          <w:rFonts w:hint="eastAsia"/>
          <w:color w:val="auto"/>
          <w:lang w:val="en-US" w:eastAsia="zh-CN"/>
        </w:rPr>
        <w:t>476</w:t>
      </w:r>
      <w:r>
        <w:rPr>
          <w:color w:val="auto"/>
        </w:rPr>
        <w:t>张，</w:t>
      </w:r>
      <w:r>
        <w:rPr>
          <w:rFonts w:hint="eastAsia"/>
          <w:color w:val="auto"/>
          <w:lang w:eastAsia="zh-CN"/>
        </w:rPr>
        <w:t>其中麒麟区</w:t>
      </w:r>
      <w:r>
        <w:rPr>
          <w:color w:val="auto"/>
        </w:rPr>
        <w:t>1所、沾益区</w:t>
      </w:r>
      <w:r>
        <w:rPr>
          <w:rFonts w:hint="eastAsia"/>
          <w:color w:val="auto"/>
        </w:rPr>
        <w:t>2</w:t>
      </w:r>
      <w:r>
        <w:rPr>
          <w:color w:val="auto"/>
        </w:rPr>
        <w:t>所</w:t>
      </w:r>
      <w:r>
        <w:rPr>
          <w:rFonts w:hint="eastAsia"/>
          <w:color w:val="auto"/>
        </w:rPr>
        <w:t>、马龙区1所、</w:t>
      </w:r>
      <w:r>
        <w:rPr>
          <w:color w:val="auto"/>
        </w:rPr>
        <w:t>经开区1所</w:t>
      </w:r>
      <w:r>
        <w:rPr>
          <w:rFonts w:hint="eastAsia"/>
          <w:color w:val="auto"/>
        </w:rPr>
        <w:t>。</w:t>
      </w:r>
      <w:r>
        <w:rPr>
          <w:rFonts w:hint="eastAsia"/>
          <w:color w:val="auto"/>
          <w:lang w:eastAsia="zh-CN"/>
        </w:rPr>
        <w:t>乡镇（街道）级</w:t>
      </w:r>
      <w:r>
        <w:rPr>
          <w:rFonts w:hint="eastAsia"/>
          <w:color w:val="auto"/>
          <w:lang w:val="en-US" w:eastAsia="zh-CN"/>
        </w:rPr>
        <w:t>4</w:t>
      </w:r>
      <w:r>
        <w:rPr>
          <w:color w:val="auto"/>
        </w:rPr>
        <w:t>所床位253张。</w:t>
      </w:r>
      <w:r>
        <w:rPr>
          <w:rFonts w:hint="eastAsia"/>
          <w:b/>
          <w:bCs/>
          <w:color w:val="auto"/>
        </w:rPr>
        <w:t>民办</w:t>
      </w:r>
      <w:r>
        <w:rPr>
          <w:rFonts w:hint="eastAsia"/>
          <w:b/>
          <w:bCs/>
          <w:color w:val="auto"/>
          <w:lang w:eastAsia="zh-CN"/>
        </w:rPr>
        <w:t>机构养老服务设施</w:t>
      </w:r>
      <w:r>
        <w:rPr>
          <w:rFonts w:hint="eastAsia"/>
          <w:color w:val="auto"/>
          <w:lang w:val="en-US" w:eastAsia="zh-CN"/>
        </w:rPr>
        <w:t>16</w:t>
      </w:r>
      <w:r>
        <w:rPr>
          <w:color w:val="auto"/>
        </w:rPr>
        <w:t>所床位</w:t>
      </w:r>
      <w:r>
        <w:rPr>
          <w:rFonts w:hint="eastAsia"/>
          <w:color w:val="auto"/>
          <w:lang w:val="en-US" w:eastAsia="zh-CN"/>
        </w:rPr>
        <w:t>1283</w:t>
      </w:r>
      <w:r>
        <w:rPr>
          <w:color w:val="auto"/>
        </w:rPr>
        <w:t>张，</w:t>
      </w:r>
      <w:r>
        <w:rPr>
          <w:rFonts w:hint="eastAsia"/>
          <w:color w:val="auto"/>
        </w:rPr>
        <w:t>其中：</w:t>
      </w:r>
      <w:r>
        <w:rPr>
          <w:color w:val="auto"/>
        </w:rPr>
        <w:t>麒麟区</w:t>
      </w:r>
      <w:r>
        <w:rPr>
          <w:rFonts w:hint="eastAsia"/>
          <w:color w:val="auto"/>
          <w:lang w:val="en-US" w:eastAsia="zh-CN"/>
        </w:rPr>
        <w:t>15</w:t>
      </w:r>
      <w:r>
        <w:rPr>
          <w:color w:val="auto"/>
        </w:rPr>
        <w:t>所</w:t>
      </w:r>
      <w:r>
        <w:rPr>
          <w:rFonts w:hint="eastAsia"/>
          <w:color w:val="auto"/>
        </w:rPr>
        <w:t>床位</w:t>
      </w:r>
      <w:r>
        <w:rPr>
          <w:rFonts w:hint="eastAsia"/>
          <w:color w:val="auto"/>
          <w:lang w:val="en-US" w:eastAsia="zh-CN"/>
        </w:rPr>
        <w:t>1147</w:t>
      </w:r>
      <w:r>
        <w:rPr>
          <w:rFonts w:hint="eastAsia"/>
          <w:color w:val="auto"/>
        </w:rPr>
        <w:t>张</w:t>
      </w:r>
      <w:r>
        <w:rPr>
          <w:color w:val="auto"/>
        </w:rPr>
        <w:t>、沾益区</w:t>
      </w:r>
      <w:r>
        <w:rPr>
          <w:rFonts w:hint="eastAsia"/>
          <w:color w:val="auto"/>
          <w:lang w:val="en-US" w:eastAsia="zh-CN"/>
        </w:rPr>
        <w:t>1</w:t>
      </w:r>
      <w:r>
        <w:rPr>
          <w:color w:val="auto"/>
        </w:rPr>
        <w:t>所</w:t>
      </w:r>
      <w:r>
        <w:rPr>
          <w:rFonts w:hint="eastAsia"/>
          <w:color w:val="auto"/>
        </w:rPr>
        <w:t>床位</w:t>
      </w:r>
      <w:r>
        <w:rPr>
          <w:rFonts w:hint="eastAsia"/>
          <w:color w:val="auto"/>
          <w:lang w:val="en-US" w:eastAsia="zh-CN"/>
        </w:rPr>
        <w:t>136</w:t>
      </w:r>
      <w:r>
        <w:rPr>
          <w:rFonts w:hint="eastAsia"/>
          <w:color w:val="auto"/>
        </w:rPr>
        <w:t>张</w:t>
      </w:r>
      <w:r>
        <w:rPr>
          <w:color w:val="auto"/>
        </w:rPr>
        <w:t>。</w:t>
      </w:r>
      <w:r>
        <w:rPr>
          <w:rFonts w:hint="eastAsia"/>
          <w:b/>
          <w:bCs/>
          <w:color w:val="auto"/>
          <w:lang w:val="en-US" w:eastAsia="zh-CN"/>
        </w:rPr>
        <w:t>社区</w:t>
      </w:r>
      <w:r>
        <w:rPr>
          <w:rFonts w:hint="eastAsia"/>
          <w:b/>
          <w:bCs/>
          <w:color w:val="auto"/>
        </w:rPr>
        <w:t>养老服务设施</w:t>
      </w:r>
      <w:r>
        <w:rPr>
          <w:rFonts w:hint="eastAsia"/>
          <w:color w:val="auto"/>
          <w:lang w:val="en-US" w:eastAsia="zh-CN"/>
        </w:rPr>
        <w:t>68</w:t>
      </w:r>
      <w:r>
        <w:rPr>
          <w:rFonts w:hint="eastAsia"/>
          <w:color w:val="auto"/>
        </w:rPr>
        <w:t>所，床位</w:t>
      </w:r>
      <w:r>
        <w:rPr>
          <w:rFonts w:hint="eastAsia"/>
          <w:color w:val="auto"/>
          <w:lang w:val="en-US" w:eastAsia="zh-CN"/>
        </w:rPr>
        <w:t>1113</w:t>
      </w:r>
      <w:r>
        <w:rPr>
          <w:rFonts w:hint="eastAsia"/>
          <w:color w:val="auto"/>
        </w:rPr>
        <w:t>张</w:t>
      </w:r>
      <w:r>
        <w:rPr>
          <w:rFonts w:hint="eastAsia"/>
          <w:color w:val="auto"/>
          <w:lang w:eastAsia="zh-CN"/>
        </w:rPr>
        <w:t>，</w:t>
      </w:r>
      <w:r>
        <w:rPr>
          <w:rFonts w:hint="eastAsia"/>
          <w:color w:val="auto"/>
          <w:lang w:val="en-US" w:eastAsia="zh-CN"/>
        </w:rPr>
        <w:t>其中街道区域养老服务中心7所，床位341张，35个社区养老服务设施设置有养老床位772张，26所社区养老设施未设置床位</w:t>
      </w:r>
      <w:r>
        <w:rPr>
          <w:rFonts w:hint="eastAsia"/>
          <w:color w:val="auto"/>
          <w:lang w:eastAsia="zh-CN"/>
        </w:rPr>
        <w:t>。</w:t>
      </w:r>
    </w:p>
    <w:p w14:paraId="0DB97B47">
      <w:pPr>
        <w:numPr>
          <w:ilvl w:val="0"/>
          <w:numId w:val="2"/>
        </w:numPr>
        <w:bidi w:val="0"/>
        <w:ind w:firstLine="0"/>
        <w:rPr>
          <w:rFonts w:hint="eastAsia" w:ascii="Arial" w:hAnsi="Arial" w:cs="Times New Roman"/>
          <w:b/>
          <w:color w:val="auto"/>
          <w:lang w:val="en-US" w:eastAsia="zh-CN"/>
        </w:rPr>
      </w:pPr>
      <w:bookmarkStart w:id="13" w:name="_Toc17684"/>
      <w:r>
        <w:rPr>
          <w:rFonts w:hint="eastAsia" w:cs="Times New Roman"/>
          <w:b/>
          <w:color w:val="auto"/>
          <w:lang w:val="en-US" w:eastAsia="zh-CN"/>
        </w:rPr>
        <w:t>老年人口预测</w:t>
      </w:r>
      <w:bookmarkEnd w:id="13"/>
    </w:p>
    <w:p w14:paraId="1197DA6A">
      <w:pPr>
        <w:numPr>
          <w:ilvl w:val="0"/>
          <w:numId w:val="5"/>
        </w:numPr>
        <w:bidi w:val="0"/>
        <w:rPr>
          <w:rFonts w:hint="eastAsia" w:cs="Times New Roman"/>
          <w:b/>
          <w:bCs/>
          <w:color w:val="auto"/>
          <w:sz w:val="32"/>
          <w:szCs w:val="24"/>
          <w:lang w:val="en-US" w:eastAsia="zh-CN"/>
        </w:rPr>
      </w:pPr>
      <w:r>
        <w:rPr>
          <w:rFonts w:hint="eastAsia" w:cs="Times New Roman"/>
          <w:b/>
          <w:bCs/>
          <w:color w:val="auto"/>
          <w:sz w:val="32"/>
          <w:szCs w:val="24"/>
          <w:lang w:val="en-US" w:eastAsia="zh-CN"/>
        </w:rPr>
        <w:t>全市老年人口预测</w:t>
      </w:r>
    </w:p>
    <w:p w14:paraId="6A291C38">
      <w:pPr>
        <w:ind w:firstLine="560"/>
        <w:rPr>
          <w:rFonts w:hint="eastAsia"/>
          <w:color w:val="auto"/>
          <w:lang w:val="en-US" w:eastAsia="zh-CN"/>
        </w:rPr>
      </w:pPr>
      <w:r>
        <w:rPr>
          <w:rFonts w:hint="eastAsia" w:ascii="微软雅黑" w:hAnsi="微软雅黑" w:cs="Times New Roman"/>
          <w:color w:val="auto"/>
          <w:lang w:val="en-US" w:eastAsia="zh-CN"/>
        </w:rPr>
        <w:t>2025年底，全市老年人口为111.70万人，全市老年化率为16.51%，</w:t>
      </w:r>
      <w:r>
        <w:rPr>
          <w:rFonts w:hint="eastAsia"/>
          <w:color w:val="auto"/>
          <w:lang w:val="en-US" w:eastAsia="zh-CN"/>
        </w:rPr>
        <w:t>根据户籍人口平移法预测，</w:t>
      </w:r>
      <w:r>
        <w:rPr>
          <w:rFonts w:hint="eastAsia"/>
          <w:color w:val="auto"/>
        </w:rPr>
        <w:t>至</w:t>
      </w:r>
      <w:r>
        <w:rPr>
          <w:rFonts w:hint="eastAsia"/>
          <w:color w:val="auto"/>
          <w:lang w:val="en-US" w:eastAsia="zh-CN"/>
        </w:rPr>
        <w:t>2035年全市60岁以上老年人口为166.75万人，老年化率为24.60%</w:t>
      </w:r>
      <w:r>
        <w:rPr>
          <w:rFonts w:hint="eastAsia"/>
          <w:color w:val="auto"/>
          <w:lang w:eastAsia="zh-CN"/>
        </w:rPr>
        <w:t>。</w:t>
      </w:r>
      <w:r>
        <w:rPr>
          <w:rFonts w:hint="eastAsia"/>
          <w:color w:val="auto"/>
          <w:lang w:val="en-US" w:eastAsia="zh-CN"/>
        </w:rPr>
        <w:t>按照目前延迟退休政策，加之医疗水平的逐步提高，2035年需要考虑照护的老年人口建议按照65岁进行考虑，老年化率为16.14%，老年化率水平不高。但至2050年老年化率（65岁以上）将达到26.42%，特别是中心城区老年化率将超30%以上，空间规划必须结合生活服务半径考虑养老服务设施用地的预留。</w:t>
      </w:r>
    </w:p>
    <w:p w14:paraId="046AB4DD">
      <w:pPr>
        <w:numPr>
          <w:ilvl w:val="0"/>
          <w:numId w:val="5"/>
        </w:numPr>
        <w:bidi w:val="0"/>
        <w:rPr>
          <w:rFonts w:hint="eastAsia" w:cs="Times New Roman"/>
          <w:b/>
          <w:bCs/>
          <w:color w:val="auto"/>
          <w:sz w:val="32"/>
          <w:szCs w:val="24"/>
          <w:lang w:val="en-US" w:eastAsia="zh-CN"/>
        </w:rPr>
      </w:pPr>
      <w:r>
        <w:rPr>
          <w:rFonts w:hint="eastAsia" w:cs="Times New Roman"/>
          <w:b/>
          <w:bCs/>
          <w:color w:val="auto"/>
          <w:sz w:val="32"/>
          <w:szCs w:val="24"/>
          <w:lang w:val="en-US" w:eastAsia="zh-CN"/>
        </w:rPr>
        <w:t>中心城区老年人口预测</w:t>
      </w:r>
    </w:p>
    <w:p w14:paraId="6F12D2FA">
      <w:pPr>
        <w:bidi w:val="0"/>
        <w:rPr>
          <w:rFonts w:hint="eastAsia"/>
          <w:color w:val="auto"/>
          <w:lang w:val="en-US" w:eastAsia="zh-CN"/>
        </w:rPr>
      </w:pPr>
      <w:r>
        <w:rPr>
          <w:rFonts w:hint="eastAsia"/>
          <w:color w:val="auto"/>
          <w:lang w:val="en-US" w:eastAsia="zh-CN"/>
        </w:rPr>
        <w:t>综合考虑全国老龄化形势，以及中心城区康养产业的发展，预计2025年中心城区老龄化率为18%，老年人口为21.6万人，2035年中心城区老龄化率20%，老年人口为36万人。</w:t>
      </w:r>
    </w:p>
    <w:p w14:paraId="6D4911DB">
      <w:pPr>
        <w:numPr>
          <w:ilvl w:val="0"/>
          <w:numId w:val="2"/>
        </w:numPr>
        <w:bidi w:val="0"/>
        <w:ind w:firstLine="0"/>
        <w:rPr>
          <w:rFonts w:hint="eastAsia" w:ascii="Arial" w:hAnsi="Arial" w:cs="Times New Roman"/>
          <w:b/>
          <w:color w:val="auto"/>
          <w:lang w:val="en-US" w:eastAsia="zh-CN"/>
        </w:rPr>
      </w:pPr>
      <w:bookmarkStart w:id="14" w:name="_Toc19837"/>
      <w:r>
        <w:rPr>
          <w:rFonts w:hint="eastAsia" w:cs="Times New Roman"/>
          <w:b/>
          <w:color w:val="auto"/>
          <w:lang w:val="en-US" w:eastAsia="zh-CN"/>
        </w:rPr>
        <w:t>养老服务设施规划体系</w:t>
      </w:r>
      <w:bookmarkEnd w:id="14"/>
    </w:p>
    <w:p w14:paraId="58512864">
      <w:pPr>
        <w:bidi w:val="0"/>
        <w:rPr>
          <w:rFonts w:hint="eastAsia"/>
          <w:color w:val="auto"/>
          <w:lang w:val="en-US" w:eastAsia="zh-CN"/>
        </w:rPr>
      </w:pPr>
      <w:r>
        <w:rPr>
          <w:rFonts w:hint="default" w:cs="Times New Roman"/>
          <w:color w:val="auto"/>
          <w:lang w:val="en-US" w:eastAsia="zh-CN"/>
        </w:rPr>
        <w:t>按照国家、省、市养老服务政策要求，</w:t>
      </w:r>
      <w:r>
        <w:rPr>
          <w:rFonts w:hint="eastAsia"/>
          <w:color w:val="auto"/>
          <w:lang w:val="en-US" w:eastAsia="zh-CN"/>
        </w:rPr>
        <w:t>根据《云南省公共服务设施配置标准》，</w:t>
      </w:r>
      <w:r>
        <w:rPr>
          <w:rFonts w:hint="default" w:cs="Times New Roman"/>
          <w:color w:val="auto"/>
          <w:lang w:val="en-US" w:eastAsia="zh-CN"/>
        </w:rPr>
        <w:t>结合</w:t>
      </w:r>
      <w:r>
        <w:rPr>
          <w:rFonts w:hint="eastAsia" w:cs="Times New Roman"/>
          <w:color w:val="auto"/>
          <w:lang w:val="en-US" w:eastAsia="zh-CN"/>
        </w:rPr>
        <w:t>曲靖</w:t>
      </w:r>
      <w:r>
        <w:rPr>
          <w:rFonts w:hint="default" w:cs="Times New Roman"/>
          <w:color w:val="auto"/>
          <w:lang w:val="en-US" w:eastAsia="zh-CN"/>
        </w:rPr>
        <w:t>市养老服务设施现状情况，本</w:t>
      </w:r>
      <w:r>
        <w:rPr>
          <w:rFonts w:hint="eastAsia" w:cs="Times New Roman"/>
          <w:color w:val="auto"/>
          <w:lang w:val="en-US" w:eastAsia="zh-CN"/>
        </w:rPr>
        <w:t>规划</w:t>
      </w:r>
      <w:r>
        <w:rPr>
          <w:rFonts w:hint="default" w:cs="Times New Roman"/>
          <w:color w:val="auto"/>
          <w:lang w:val="en-US" w:eastAsia="zh-CN"/>
        </w:rPr>
        <w:t>将养老服务设施划分为</w:t>
      </w:r>
      <w:r>
        <w:rPr>
          <w:rFonts w:hint="eastAsia"/>
          <w:color w:val="auto"/>
          <w:lang w:val="en-US" w:eastAsia="zh-CN"/>
        </w:rPr>
        <w:t>“两类四级”，“两类”即机构养老服务设施、居家养老服务设施，“四级”即市级、县级、乡镇（街道）级、村（社区）级。</w:t>
      </w:r>
    </w:p>
    <w:p w14:paraId="4FF08CF8">
      <w:pPr>
        <w:bidi w:val="0"/>
        <w:rPr>
          <w:rFonts w:hint="default" w:cs="Times New Roman"/>
          <w:color w:val="auto"/>
          <w:lang w:val="en-US" w:eastAsia="zh-CN"/>
        </w:rPr>
      </w:pPr>
      <w:r>
        <w:rPr>
          <w:rFonts w:hint="default" w:cs="Times New Roman"/>
          <w:color w:val="auto"/>
          <w:lang w:val="en-US" w:eastAsia="zh-CN"/>
        </w:rPr>
        <w:t>机构养老设施指依法办理登记，为老年人提供全日集中住宿和照料护理服务，床位数</w:t>
      </w:r>
      <w:r>
        <w:rPr>
          <w:rFonts w:hint="eastAsia" w:cs="Times New Roman"/>
          <w:color w:val="auto"/>
          <w:lang w:val="en-US" w:eastAsia="zh-CN"/>
        </w:rPr>
        <w:t>10</w:t>
      </w:r>
      <w:r>
        <w:rPr>
          <w:rFonts w:hint="default" w:cs="Times New Roman"/>
          <w:color w:val="auto"/>
          <w:lang w:val="en-US" w:eastAsia="zh-CN"/>
        </w:rPr>
        <w:t>张以上的设施</w:t>
      </w:r>
      <w:r>
        <w:rPr>
          <w:rFonts w:hint="eastAsia" w:cs="Times New Roman"/>
          <w:color w:val="auto"/>
          <w:lang w:val="en-US" w:eastAsia="zh-CN"/>
        </w:rPr>
        <w:t>，</w:t>
      </w:r>
      <w:r>
        <w:rPr>
          <w:rFonts w:hint="default" w:cs="Times New Roman"/>
          <w:color w:val="auto"/>
          <w:lang w:val="en-US" w:eastAsia="zh-CN"/>
        </w:rPr>
        <w:t>分为</w:t>
      </w:r>
      <w:bookmarkStart w:id="15" w:name="OLE_LINK1"/>
      <w:r>
        <w:rPr>
          <w:rFonts w:hint="default" w:cs="Times New Roman"/>
          <w:color w:val="auto"/>
          <w:lang w:val="en-US" w:eastAsia="zh-CN"/>
        </w:rPr>
        <w:t>市级、区（市、县）级和街道（乡镇）级</w:t>
      </w:r>
      <w:bookmarkEnd w:id="15"/>
      <w:r>
        <w:rPr>
          <w:rFonts w:hint="default" w:cs="Times New Roman"/>
          <w:color w:val="auto"/>
          <w:lang w:val="en-US" w:eastAsia="zh-CN"/>
        </w:rPr>
        <w:t>，</w:t>
      </w:r>
      <w:r>
        <w:rPr>
          <w:rFonts w:hint="eastAsia" w:cs="Times New Roman"/>
          <w:color w:val="auto"/>
          <w:lang w:val="en-US" w:eastAsia="zh-CN"/>
        </w:rPr>
        <w:t>公办机构养老设施和民办机构养老设施两类，其中</w:t>
      </w:r>
      <w:r>
        <w:rPr>
          <w:rFonts w:hint="default" w:cs="Times New Roman"/>
          <w:color w:val="auto"/>
          <w:lang w:val="en-US" w:eastAsia="zh-CN"/>
        </w:rPr>
        <w:t>区（市、县）级机构养老设施</w:t>
      </w:r>
      <w:r>
        <w:rPr>
          <w:rFonts w:hint="eastAsia" w:cs="Times New Roman"/>
          <w:color w:val="auto"/>
          <w:lang w:val="en-US" w:eastAsia="zh-CN"/>
        </w:rPr>
        <w:t>需独立或联合建设</w:t>
      </w:r>
      <w:r>
        <w:rPr>
          <w:rFonts w:hint="default" w:cs="Times New Roman"/>
          <w:color w:val="auto"/>
          <w:lang w:val="en-US" w:eastAsia="zh-CN"/>
        </w:rPr>
        <w:t>失能照护机构</w:t>
      </w:r>
      <w:r>
        <w:rPr>
          <w:rFonts w:hint="eastAsia" w:cs="Times New Roman"/>
          <w:color w:val="auto"/>
          <w:lang w:val="en-US" w:eastAsia="zh-CN"/>
        </w:rPr>
        <w:t>。</w:t>
      </w:r>
    </w:p>
    <w:p w14:paraId="30173E93">
      <w:pPr>
        <w:bidi w:val="0"/>
        <w:rPr>
          <w:rFonts w:hint="default" w:ascii="Times New Roman" w:hAnsi="Times New Roman" w:eastAsia="仿宋_GB2312" w:cs="Times New Roman"/>
          <w:color w:val="auto"/>
          <w:kern w:val="0"/>
          <w:sz w:val="24"/>
          <w:szCs w:val="24"/>
        </w:rPr>
      </w:pPr>
      <w:r>
        <w:rPr>
          <w:rFonts w:hint="default" w:cs="Times New Roman"/>
          <w:color w:val="auto"/>
          <w:lang w:val="en-US" w:eastAsia="zh-CN"/>
        </w:rPr>
        <w:t>居家养老设施指重点为居家老人提供生活服务、保健康复、文体娱乐以及辅助服务的设施</w:t>
      </w:r>
      <w:r>
        <w:rPr>
          <w:rFonts w:hint="eastAsia" w:cs="Times New Roman"/>
          <w:color w:val="auto"/>
          <w:lang w:val="en-US" w:eastAsia="zh-CN"/>
        </w:rPr>
        <w:t>，</w:t>
      </w:r>
      <w:r>
        <w:rPr>
          <w:rFonts w:hint="default" w:cs="Times New Roman"/>
          <w:color w:val="auto"/>
          <w:lang w:val="en-US" w:eastAsia="zh-CN"/>
        </w:rPr>
        <w:t>分为</w:t>
      </w:r>
      <w:r>
        <w:rPr>
          <w:rFonts w:hint="eastAsia"/>
          <w:color w:val="auto"/>
          <w:lang w:val="en-US" w:eastAsia="zh-CN"/>
        </w:rPr>
        <w:t>乡镇（街道）级区域养老服务中心和</w:t>
      </w:r>
      <w:r>
        <w:rPr>
          <w:rFonts w:hint="default" w:cs="Times New Roman"/>
          <w:color w:val="auto"/>
          <w:lang w:val="en-US" w:eastAsia="zh-CN"/>
        </w:rPr>
        <w:t>社区（乡村）级居家养老设施（居家养老服务中心、互助养老服务站、日间照料中心等）。</w:t>
      </w:r>
    </w:p>
    <w:p w14:paraId="453EB249">
      <w:pPr>
        <w:numPr>
          <w:ilvl w:val="0"/>
          <w:numId w:val="2"/>
        </w:numPr>
        <w:bidi w:val="0"/>
        <w:ind w:firstLine="0"/>
        <w:rPr>
          <w:rFonts w:hint="eastAsia" w:ascii="Arial" w:hAnsi="Arial" w:cs="Times New Roman"/>
          <w:b/>
          <w:color w:val="auto"/>
          <w:lang w:val="en-US" w:eastAsia="zh-CN"/>
        </w:rPr>
      </w:pPr>
      <w:bookmarkStart w:id="16" w:name="_Toc21764"/>
      <w:r>
        <w:rPr>
          <w:rFonts w:hint="eastAsia" w:cs="Times New Roman"/>
          <w:b/>
          <w:color w:val="auto"/>
          <w:lang w:val="en-US" w:eastAsia="zh-CN"/>
        </w:rPr>
        <w:t>养老服务设施建设标准</w:t>
      </w:r>
      <w:bookmarkEnd w:id="16"/>
    </w:p>
    <w:p w14:paraId="135CFBAB">
      <w:pPr>
        <w:numPr>
          <w:ilvl w:val="0"/>
          <w:numId w:val="6"/>
        </w:numPr>
        <w:ind w:left="0" w:leftChars="0" w:firstLine="560"/>
        <w:rPr>
          <w:rFonts w:hint="default" w:cs="Times New Roman"/>
          <w:color w:val="auto"/>
          <w:u w:val="single"/>
          <w:lang w:val="en-US" w:eastAsia="zh-CN"/>
        </w:rPr>
      </w:pPr>
      <w:r>
        <w:rPr>
          <w:rFonts w:hint="eastAsia" w:cs="Times New Roman"/>
          <w:color w:val="auto"/>
          <w:u w:val="none"/>
          <w:lang w:val="en-US" w:eastAsia="zh-CN"/>
        </w:rPr>
        <w:t>根据《自然资源部关于加强规划和用地保障促进养老服务发展的意见》《云南省推进养老服务高质量发展三年行动方案（2024—2026年）》要求，结合曲靖</w:t>
      </w:r>
      <w:r>
        <w:rPr>
          <w:rFonts w:hint="default" w:cs="Times New Roman"/>
          <w:color w:val="auto"/>
          <w:u w:val="none"/>
          <w:lang w:val="en-US" w:eastAsia="zh-CN"/>
        </w:rPr>
        <w:t>市经济社会发展水平、人口老龄化发展趋势、老年人口分布和养老服务需求等状况，</w:t>
      </w:r>
      <w:r>
        <w:rPr>
          <w:rFonts w:hint="eastAsia" w:cs="Times New Roman"/>
          <w:color w:val="auto"/>
          <w:u w:val="single"/>
          <w:lang w:val="en-US" w:eastAsia="zh-CN"/>
        </w:rPr>
        <w:t>规划按照</w:t>
      </w:r>
      <w:r>
        <w:rPr>
          <w:rFonts w:hint="default" w:cs="Times New Roman"/>
          <w:color w:val="auto"/>
          <w:u w:val="single"/>
          <w:lang w:val="en-US" w:eastAsia="zh-CN"/>
        </w:rPr>
        <w:t>人均（常住人口）养老服务设施用地面积不少于0.</w:t>
      </w:r>
      <w:r>
        <w:rPr>
          <w:rFonts w:hint="eastAsia" w:cs="Times New Roman"/>
          <w:color w:val="auto"/>
          <w:u w:val="single"/>
          <w:lang w:val="en-US" w:eastAsia="zh-CN"/>
        </w:rPr>
        <w:t>1</w:t>
      </w:r>
      <w:r>
        <w:rPr>
          <w:rFonts w:hint="default" w:cs="Times New Roman"/>
          <w:color w:val="auto"/>
          <w:u w:val="single"/>
          <w:lang w:val="en-US" w:eastAsia="zh-CN"/>
        </w:rPr>
        <w:t>平方米的标准设置养老服务设施。</w:t>
      </w:r>
    </w:p>
    <w:p w14:paraId="0CABB136">
      <w:pPr>
        <w:numPr>
          <w:ilvl w:val="0"/>
          <w:numId w:val="6"/>
        </w:numPr>
        <w:ind w:left="0" w:leftChars="0" w:firstLine="420" w:firstLineChars="200"/>
        <w:rPr>
          <w:rFonts w:hint="eastAsia"/>
          <w:color w:val="auto"/>
          <w:lang w:val="en-US" w:eastAsia="zh-CN"/>
        </w:rPr>
      </w:pPr>
      <w:r>
        <w:rPr>
          <w:rFonts w:hint="eastAsia" w:ascii="微软雅黑" w:hAnsi="微软雅黑" w:cs="微软雅黑"/>
          <w:color w:val="auto"/>
          <w:u w:val="single"/>
          <w:lang w:val="en-US" w:eastAsia="zh-CN"/>
        </w:rPr>
        <w:t>落实新建小区配套养老服务设施“四同步”要求，新建住宅小区每百户配套25平方米以上养老服务设施，老小区以城市更新和老旧小区改造等项目为依托，每百户配套20平方米以上养老服务设施。</w:t>
      </w:r>
    </w:p>
    <w:p w14:paraId="40F3BA2F">
      <w:pPr>
        <w:bidi w:val="0"/>
        <w:rPr>
          <w:rFonts w:hint="eastAsia" w:cs="Times New Roman"/>
          <w:color w:val="auto"/>
        </w:rPr>
      </w:pPr>
      <w:r>
        <w:rPr>
          <w:rFonts w:hint="eastAsia"/>
          <w:b w:val="0"/>
          <w:bCs w:val="0"/>
          <w:color w:val="auto"/>
          <w:lang w:val="en-US" w:eastAsia="zh-CN"/>
        </w:rPr>
        <w:t>3.养老服务设施配建标准。</w:t>
      </w:r>
      <w:r>
        <w:rPr>
          <w:rFonts w:hint="eastAsia" w:cs="Times New Roman"/>
          <w:color w:val="auto"/>
        </w:rPr>
        <w:t>以老年人口规模预测、千人指标和结合曲靖市实际情况作为养老机构配套设施规模配置原则。</w:t>
      </w:r>
    </w:p>
    <w:p w14:paraId="0B30BF6B">
      <w:pPr>
        <w:bidi w:val="0"/>
        <w:rPr>
          <w:rFonts w:hint="eastAsia" w:cs="Times New Roman"/>
          <w:color w:val="auto"/>
          <w:u w:val="single"/>
          <w:lang w:val="en-US" w:eastAsia="zh-CN"/>
        </w:rPr>
      </w:pPr>
      <w:r>
        <w:rPr>
          <w:rFonts w:hint="eastAsia" w:cs="Times New Roman"/>
          <w:color w:val="auto"/>
          <w:u w:val="single"/>
          <w:lang w:val="en-US" w:eastAsia="zh-CN"/>
        </w:rPr>
        <w:t>床位规模：一般市级300-500床、区级150-300床，街道级为100-150床，最小规模不宜低于100床，超过500床应设置管理分区。</w:t>
      </w:r>
    </w:p>
    <w:p w14:paraId="35960DC4">
      <w:pPr>
        <w:bidi w:val="0"/>
        <w:rPr>
          <w:rFonts w:hint="eastAsia" w:cs="Times New Roman"/>
          <w:color w:val="auto"/>
          <w:u w:val="single"/>
          <w:lang w:val="en-US" w:eastAsia="zh-CN"/>
        </w:rPr>
      </w:pPr>
      <w:r>
        <w:rPr>
          <w:rFonts w:hint="eastAsia" w:cs="Times New Roman"/>
          <w:color w:val="auto"/>
          <w:u w:val="single"/>
          <w:lang w:val="en-US" w:eastAsia="zh-CN"/>
        </w:rPr>
        <w:t>床均用地面积：一般为30-45 平方米，市、区级可选高值。</w:t>
      </w:r>
    </w:p>
    <w:p w14:paraId="54E6E897">
      <w:pPr>
        <w:bidi w:val="0"/>
        <w:rPr>
          <w:rFonts w:hint="eastAsia" w:cs="Times New Roman"/>
          <w:color w:val="auto"/>
          <w:u w:val="single"/>
          <w:lang w:val="en-US" w:eastAsia="zh-CN"/>
        </w:rPr>
      </w:pPr>
      <w:r>
        <w:rPr>
          <w:rFonts w:hint="eastAsia" w:cs="Times New Roman"/>
          <w:color w:val="auto"/>
          <w:u w:val="single"/>
          <w:lang w:val="en-US" w:eastAsia="zh-CN"/>
        </w:rPr>
        <w:t>床均建筑面积：一般为30-45平方米，特殊地区或特殊设施的床均建筑面积可适当放宽。</w:t>
      </w:r>
    </w:p>
    <w:p w14:paraId="14461988">
      <w:pPr>
        <w:ind w:firstLine="560"/>
        <w:rPr>
          <w:rFonts w:hint="default" w:cs="Times New Roman"/>
          <w:color w:val="auto"/>
          <w:lang w:eastAsia="zh-CN"/>
        </w:rPr>
      </w:pPr>
      <w:r>
        <w:rPr>
          <w:rFonts w:hint="eastAsia" w:cs="Times New Roman"/>
          <w:color w:val="auto"/>
          <w:lang w:val="en-US" w:eastAsia="zh-CN"/>
        </w:rPr>
        <w:t>容积率：</w:t>
      </w:r>
      <w:r>
        <w:rPr>
          <w:rFonts w:hint="default" w:cs="Times New Roman"/>
          <w:color w:val="auto"/>
          <w:lang w:eastAsia="zh-CN"/>
        </w:rPr>
        <w:t>本着集约和高效利用土地的原则，在保证养老</w:t>
      </w:r>
      <w:r>
        <w:rPr>
          <w:rFonts w:hint="default" w:cs="Times New Roman"/>
          <w:color w:val="auto"/>
          <w:lang w:val="en-US" w:eastAsia="zh-CN"/>
        </w:rPr>
        <w:t>服务</w:t>
      </w:r>
      <w:r>
        <w:rPr>
          <w:rFonts w:hint="default" w:cs="Times New Roman"/>
          <w:color w:val="auto"/>
          <w:lang w:eastAsia="zh-CN"/>
        </w:rPr>
        <w:t>设施特殊建筑环境情况下，</w:t>
      </w:r>
      <w:r>
        <w:rPr>
          <w:rFonts w:hint="default" w:cs="Times New Roman"/>
          <w:color w:val="auto"/>
          <w:u w:val="single"/>
          <w:lang w:val="en-US" w:eastAsia="zh-CN"/>
        </w:rPr>
        <w:t>独立占地的</w:t>
      </w:r>
      <w:r>
        <w:rPr>
          <w:rFonts w:hint="default" w:cs="Times New Roman"/>
          <w:color w:val="auto"/>
          <w:u w:val="single"/>
          <w:lang w:eastAsia="zh-CN"/>
        </w:rPr>
        <w:t>规划养老</w:t>
      </w:r>
      <w:r>
        <w:rPr>
          <w:rFonts w:hint="default" w:cs="Times New Roman"/>
          <w:color w:val="auto"/>
          <w:u w:val="single"/>
          <w:lang w:val="en-US" w:eastAsia="zh-CN"/>
        </w:rPr>
        <w:t>服务</w:t>
      </w:r>
      <w:r>
        <w:rPr>
          <w:rFonts w:hint="default" w:cs="Times New Roman"/>
          <w:color w:val="auto"/>
          <w:u w:val="single"/>
          <w:lang w:eastAsia="zh-CN"/>
        </w:rPr>
        <w:t>设施容积率</w:t>
      </w:r>
      <w:r>
        <w:rPr>
          <w:rFonts w:hint="default" w:cs="Times New Roman"/>
          <w:color w:val="auto"/>
          <w:u w:val="single"/>
          <w:lang w:val="en-US" w:eastAsia="zh-CN"/>
        </w:rPr>
        <w:t>宜≥0.7</w:t>
      </w:r>
      <w:r>
        <w:rPr>
          <w:rFonts w:hint="default" w:cs="Times New Roman"/>
          <w:color w:val="auto"/>
          <w:lang w:eastAsia="zh-CN"/>
        </w:rPr>
        <w:t>。</w:t>
      </w:r>
    </w:p>
    <w:p w14:paraId="4AB11394">
      <w:pPr>
        <w:bidi w:val="0"/>
        <w:rPr>
          <w:rFonts w:hint="eastAsia" w:cs="Times New Roman"/>
          <w:b w:val="0"/>
          <w:bCs w:val="0"/>
          <w:color w:val="auto"/>
          <w:u w:val="single"/>
          <w:lang w:val="en-US" w:eastAsia="zh-CN"/>
        </w:rPr>
      </w:pPr>
      <w:r>
        <w:rPr>
          <w:rFonts w:hint="eastAsia" w:cs="Times New Roman"/>
          <w:b w:val="0"/>
          <w:bCs w:val="0"/>
          <w:color w:val="auto"/>
          <w:lang w:val="en-US" w:eastAsia="zh-CN"/>
        </w:rPr>
        <w:t>4. 居家养老设施建设标准。根据居住用地布局和规划人口规模确定设施数量，配置时应兼顾千人指标与服务半径，“十五五”期间实现街道区域养老服务中心和城市社区级居家养老服务中心全覆盖，老城区和已建成居住区应通过购置、置换、租赁等方式调剂解决居家养老服务用房。</w:t>
      </w:r>
      <w:r>
        <w:rPr>
          <w:rFonts w:hint="eastAsia" w:cs="Times New Roman"/>
          <w:b w:val="0"/>
          <w:bCs w:val="0"/>
          <w:color w:val="auto"/>
          <w:u w:val="single"/>
          <w:lang w:val="en-US" w:eastAsia="zh-CN"/>
        </w:rPr>
        <w:t>新建社区居家养老服务设施宜独立占地，如受条件限制不能独立占地的，可与其他社区级公共设施合设或通过改造现有的社区公共设施建筑进行设置。</w:t>
      </w:r>
    </w:p>
    <w:p w14:paraId="4D58C095">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560" w:firstLineChars="0"/>
        <w:textAlignment w:val="auto"/>
        <w:rPr>
          <w:rFonts w:hint="eastAsia" w:ascii="Calibri" w:hAnsi="Calibri" w:eastAsia="新宋体" w:cs="Times New Roman"/>
          <w:i w:val="0"/>
          <w:iCs w:val="0"/>
          <w:caps w:val="0"/>
          <w:color w:val="auto"/>
          <w:spacing w:val="0"/>
          <w:sz w:val="30"/>
          <w:szCs w:val="22"/>
          <w:shd w:val="clear" w:color="auto" w:fill="auto"/>
        </w:rPr>
      </w:pPr>
      <w:r>
        <w:rPr>
          <w:rFonts w:hint="eastAsia" w:ascii="Calibri" w:hAnsi="Calibri" w:eastAsia="新宋体" w:cs="Times New Roman"/>
          <w:i w:val="0"/>
          <w:iCs w:val="0"/>
          <w:caps w:val="0"/>
          <w:color w:val="auto"/>
          <w:spacing w:val="0"/>
          <w:sz w:val="30"/>
          <w:szCs w:val="22"/>
          <w:shd w:val="clear" w:color="auto" w:fill="auto"/>
        </w:rPr>
        <w:t>农村地区建设“县—乡—村”三级服务网络</w:t>
      </w:r>
      <w:r>
        <w:rPr>
          <w:rFonts w:hint="eastAsia" w:cs="Times New Roman"/>
          <w:i w:val="0"/>
          <w:iCs w:val="0"/>
          <w:caps w:val="0"/>
          <w:color w:val="auto"/>
          <w:spacing w:val="0"/>
          <w:sz w:val="30"/>
          <w:szCs w:val="22"/>
          <w:shd w:val="clear" w:color="auto" w:fill="auto"/>
          <w:lang w:eastAsia="zh-CN"/>
        </w:rPr>
        <w:t>。</w:t>
      </w:r>
      <w:r>
        <w:rPr>
          <w:rFonts w:hint="eastAsia" w:ascii="Calibri" w:hAnsi="Calibri" w:eastAsia="新宋体" w:cs="Times New Roman"/>
          <w:i w:val="0"/>
          <w:iCs w:val="0"/>
          <w:caps w:val="0"/>
          <w:color w:val="auto"/>
          <w:spacing w:val="0"/>
          <w:sz w:val="30"/>
          <w:szCs w:val="22"/>
          <w:shd w:val="clear" w:color="auto" w:fill="auto"/>
        </w:rPr>
        <w:t>实施农村敬老院改造提升工程，加快农村区域养老服务中心建设布局，在乡级以乡镇敬老院转型升级为主，在原有的乡镇敬老院基础上改造提升，或与乡镇卫生院毗邻建设具备全托、日托、上门服务等综合服务功能的农村区域养老服务机构（中心）</w:t>
      </w:r>
      <w:r>
        <w:rPr>
          <w:rFonts w:hint="eastAsia" w:cs="Times New Roman"/>
          <w:i w:val="0"/>
          <w:iCs w:val="0"/>
          <w:caps w:val="0"/>
          <w:color w:val="auto"/>
          <w:spacing w:val="0"/>
          <w:sz w:val="30"/>
          <w:szCs w:val="22"/>
          <w:shd w:val="clear" w:color="auto" w:fill="auto"/>
          <w:lang w:eastAsia="zh-CN"/>
        </w:rPr>
        <w:t>，</w:t>
      </w:r>
      <w:r>
        <w:rPr>
          <w:rFonts w:hint="eastAsia" w:ascii="Calibri" w:hAnsi="Calibri" w:eastAsia="新宋体" w:cs="Times New Roman"/>
          <w:i w:val="0"/>
          <w:iCs w:val="0"/>
          <w:caps w:val="0"/>
          <w:color w:val="auto"/>
          <w:spacing w:val="0"/>
          <w:sz w:val="30"/>
          <w:szCs w:val="22"/>
          <w:shd w:val="clear" w:color="auto" w:fill="auto"/>
        </w:rPr>
        <w:t>在村级依托农村幸福院、日间照料中心等村级互助养老服务设施，积极发展农村互助养老服务，通过邻里互助、亲友相助、志愿服务等模式，组织发动党员干部对农村留守等困难老年人开展定期巡访、结对帮扶等工作，满足农村老年人养老不离村的需求。</w:t>
      </w:r>
    </w:p>
    <w:p w14:paraId="7C4E5704">
      <w:pPr>
        <w:numPr>
          <w:ilvl w:val="0"/>
          <w:numId w:val="2"/>
        </w:numPr>
        <w:bidi w:val="0"/>
        <w:ind w:firstLine="0"/>
        <w:rPr>
          <w:rFonts w:hint="eastAsia" w:ascii="Arial" w:hAnsi="Arial" w:cs="Times New Roman"/>
          <w:b/>
          <w:color w:val="auto"/>
          <w:lang w:val="en-US" w:eastAsia="zh-CN"/>
        </w:rPr>
      </w:pPr>
      <w:bookmarkStart w:id="17" w:name="_Toc29657"/>
      <w:r>
        <w:rPr>
          <w:rFonts w:hint="eastAsia" w:cs="Times New Roman"/>
          <w:b/>
          <w:color w:val="auto"/>
          <w:lang w:val="en-US" w:eastAsia="zh-CN"/>
        </w:rPr>
        <w:t>市域养老服务设施规划</w:t>
      </w:r>
      <w:bookmarkEnd w:id="17"/>
    </w:p>
    <w:p w14:paraId="280048E1">
      <w:pPr>
        <w:bidi w:val="0"/>
        <w:rPr>
          <w:rFonts w:hint="eastAsia"/>
          <w:b/>
          <w:bCs/>
          <w:color w:val="auto"/>
          <w:lang w:val="en-US" w:eastAsia="zh-CN"/>
        </w:rPr>
      </w:pPr>
      <w:bookmarkStart w:id="18" w:name="_Toc3901"/>
      <w:bookmarkStart w:id="19" w:name="_Toc16346"/>
      <w:r>
        <w:rPr>
          <w:rFonts w:hint="eastAsia"/>
          <w:b/>
          <w:bCs/>
          <w:color w:val="auto"/>
          <w:lang w:val="en-US" w:eastAsia="zh-CN"/>
        </w:rPr>
        <w:t>1.市域机构养老服务设施规划</w:t>
      </w:r>
      <w:bookmarkEnd w:id="18"/>
      <w:bookmarkEnd w:id="19"/>
    </w:p>
    <w:p w14:paraId="10FD214F">
      <w:pPr>
        <w:ind w:firstLine="560"/>
        <w:rPr>
          <w:rFonts w:hint="default" w:eastAsia="微软雅黑"/>
          <w:color w:val="auto"/>
          <w:lang w:val="en-US" w:eastAsia="zh-CN"/>
        </w:rPr>
      </w:pPr>
      <w:r>
        <w:rPr>
          <w:rFonts w:hint="eastAsia"/>
          <w:color w:val="auto"/>
          <w:u w:val="single"/>
        </w:rPr>
        <w:t>规划至2</w:t>
      </w:r>
      <w:r>
        <w:rPr>
          <w:color w:val="auto"/>
          <w:u w:val="single"/>
        </w:rPr>
        <w:t>025</w:t>
      </w:r>
      <w:r>
        <w:rPr>
          <w:rFonts w:hint="eastAsia"/>
          <w:color w:val="auto"/>
          <w:u w:val="single"/>
        </w:rPr>
        <w:t>年市域</w:t>
      </w:r>
      <w:r>
        <w:rPr>
          <w:rFonts w:hint="eastAsia"/>
          <w:color w:val="auto"/>
          <w:u w:val="single"/>
          <w:lang w:val="en-US" w:eastAsia="zh-CN"/>
        </w:rPr>
        <w:t>机构养老设施</w:t>
      </w:r>
      <w:r>
        <w:rPr>
          <w:rFonts w:hint="eastAsia"/>
          <w:color w:val="auto"/>
          <w:u w:val="single"/>
        </w:rPr>
        <w:t>床位总数达到</w:t>
      </w:r>
      <w:r>
        <w:rPr>
          <w:rFonts w:hint="eastAsia"/>
          <w:color w:val="auto"/>
          <w:lang w:val="en-US" w:eastAsia="zh-CN"/>
        </w:rPr>
        <w:t>23209</w:t>
      </w:r>
      <w:r>
        <w:rPr>
          <w:rFonts w:hint="eastAsia"/>
          <w:color w:val="auto"/>
        </w:rPr>
        <w:t>张，</w:t>
      </w:r>
      <w:r>
        <w:rPr>
          <w:rFonts w:hint="eastAsia"/>
          <w:color w:val="auto"/>
          <w:lang w:val="en-US" w:eastAsia="zh-CN"/>
        </w:rPr>
        <w:t>通过民政局提供的2025年养老机构统计表分析可知，2025年现状床位</w:t>
      </w:r>
      <w:r>
        <w:rPr>
          <w:rFonts w:hint="eastAsia"/>
          <w:color w:val="auto"/>
        </w:rPr>
        <w:t>数</w:t>
      </w:r>
      <w:r>
        <w:rPr>
          <w:rFonts w:hint="eastAsia"/>
          <w:color w:val="auto"/>
          <w:lang w:val="en-US" w:eastAsia="zh-CN"/>
        </w:rPr>
        <w:t>为14189</w:t>
      </w:r>
      <w:r>
        <w:rPr>
          <w:rFonts w:hint="eastAsia"/>
          <w:color w:val="auto"/>
        </w:rPr>
        <w:t>张，</w:t>
      </w:r>
      <w:r>
        <w:rPr>
          <w:rFonts w:hint="eastAsia"/>
          <w:color w:val="auto"/>
          <w:lang w:val="en-US" w:eastAsia="zh-CN"/>
        </w:rPr>
        <w:t>要达到25床/千名老年人的要求，还需</w:t>
      </w:r>
      <w:r>
        <w:rPr>
          <w:rFonts w:hint="eastAsia"/>
          <w:color w:val="auto"/>
        </w:rPr>
        <w:t>新增床位数</w:t>
      </w:r>
      <w:r>
        <w:rPr>
          <w:rFonts w:hint="eastAsia"/>
          <w:color w:val="auto"/>
          <w:lang w:val="en-US" w:eastAsia="zh-CN"/>
        </w:rPr>
        <w:t>9020</w:t>
      </w:r>
      <w:r>
        <w:rPr>
          <w:rFonts w:hint="eastAsia"/>
          <w:color w:val="auto"/>
        </w:rPr>
        <w:t>张</w:t>
      </w:r>
      <w:r>
        <w:rPr>
          <w:rFonts w:hint="eastAsia"/>
          <w:color w:val="auto"/>
          <w:lang w:val="en-US" w:eastAsia="zh-CN"/>
        </w:rPr>
        <w:t>床位，2025年内难以达到，规划在“十五五”期间逐步建设完善</w:t>
      </w:r>
      <w:r>
        <w:rPr>
          <w:rFonts w:hint="eastAsia"/>
          <w:color w:val="auto"/>
        </w:rPr>
        <w:t>。</w:t>
      </w:r>
    </w:p>
    <w:p w14:paraId="50DA1916">
      <w:pPr>
        <w:ind w:firstLine="560"/>
        <w:rPr>
          <w:color w:val="auto"/>
        </w:rPr>
      </w:pPr>
      <w:r>
        <w:rPr>
          <w:rFonts w:hint="eastAsia"/>
          <w:color w:val="auto"/>
          <w:u w:val="single"/>
        </w:rPr>
        <w:t>规划至</w:t>
      </w:r>
      <w:r>
        <w:rPr>
          <w:color w:val="auto"/>
          <w:u w:val="single"/>
        </w:rPr>
        <w:t>2035年市域养老机构</w:t>
      </w:r>
      <w:r>
        <w:rPr>
          <w:rFonts w:hint="eastAsia"/>
          <w:color w:val="auto"/>
          <w:u w:val="single"/>
        </w:rPr>
        <w:t>床位总数将达到</w:t>
      </w:r>
      <w:r>
        <w:rPr>
          <w:rFonts w:hint="eastAsia"/>
          <w:color w:val="auto"/>
          <w:lang w:val="en-US" w:eastAsia="zh-CN"/>
        </w:rPr>
        <w:t>37574</w:t>
      </w:r>
      <w:r>
        <w:rPr>
          <w:rFonts w:hint="eastAsia"/>
          <w:color w:val="auto"/>
        </w:rPr>
        <w:t>张，规划新增</w:t>
      </w:r>
      <w:r>
        <w:rPr>
          <w:rFonts w:hint="eastAsia"/>
          <w:color w:val="auto"/>
          <w:lang w:val="en-US" w:eastAsia="zh-CN"/>
        </w:rPr>
        <w:t>14365</w:t>
      </w:r>
      <w:r>
        <w:rPr>
          <w:rFonts w:hint="eastAsia"/>
          <w:color w:val="auto"/>
        </w:rPr>
        <w:t>张。各区县</w:t>
      </w:r>
      <w:r>
        <w:rPr>
          <w:rFonts w:hint="eastAsia"/>
          <w:color w:val="auto"/>
          <w:lang w:eastAsia="zh-CN"/>
        </w:rPr>
        <w:t>机构养老服务设施</w:t>
      </w:r>
      <w:r>
        <w:rPr>
          <w:rFonts w:hint="eastAsia"/>
          <w:color w:val="auto"/>
        </w:rPr>
        <w:t>床位数规划详见下表。</w:t>
      </w:r>
    </w:p>
    <w:p w14:paraId="0F2B3BAF">
      <w:pPr>
        <w:bidi w:val="0"/>
        <w:rPr>
          <w:rFonts w:hint="eastAsia"/>
          <w:color w:val="auto"/>
          <w:lang w:val="en-US" w:eastAsia="zh-CN"/>
        </w:rPr>
      </w:pPr>
      <w:r>
        <w:rPr>
          <w:rFonts w:hint="eastAsia"/>
          <w:color w:val="auto"/>
          <w:lang w:val="en-US" w:eastAsia="zh-CN"/>
        </w:rPr>
        <w:t>表3-1  2035年市域（绕城高速外）机构养老服务设施规划汇总表</w:t>
      </w:r>
    </w:p>
    <w:tbl>
      <w:tblPr>
        <w:tblStyle w:val="2"/>
        <w:tblW w:w="837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8"/>
        <w:gridCol w:w="1257"/>
        <w:gridCol w:w="816"/>
        <w:gridCol w:w="935"/>
        <w:gridCol w:w="929"/>
        <w:gridCol w:w="936"/>
        <w:gridCol w:w="1208"/>
        <w:gridCol w:w="1069"/>
      </w:tblGrid>
      <w:tr w14:paraId="5688A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6" w:hRule="atLeast"/>
        </w:trPr>
        <w:tc>
          <w:tcPr>
            <w:tcW w:w="1228" w:type="dxa"/>
            <w:vMerge w:val="restart"/>
            <w:tcBorders>
              <w:top w:val="single" w:color="000000" w:sz="4" w:space="0"/>
              <w:left w:val="single" w:color="000000" w:sz="4" w:space="0"/>
              <w:bottom w:val="single" w:color="000000" w:sz="4" w:space="0"/>
              <w:right w:val="single" w:color="000000" w:sz="4" w:space="0"/>
            </w:tcBorders>
            <w:noWrap w:val="0"/>
            <w:vAlign w:val="center"/>
          </w:tcPr>
          <w:p w14:paraId="2351B3FC">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地区</w:t>
            </w:r>
          </w:p>
        </w:tc>
        <w:tc>
          <w:tcPr>
            <w:tcW w:w="1257" w:type="dxa"/>
            <w:vMerge w:val="restart"/>
            <w:tcBorders>
              <w:top w:val="single" w:color="000000" w:sz="4" w:space="0"/>
              <w:left w:val="single" w:color="000000" w:sz="4" w:space="0"/>
              <w:bottom w:val="single" w:color="000000" w:sz="4" w:space="0"/>
              <w:right w:val="single" w:color="000000" w:sz="4" w:space="0"/>
            </w:tcBorders>
            <w:noWrap w:val="0"/>
            <w:vAlign w:val="center"/>
          </w:tcPr>
          <w:p w14:paraId="6FD54D41">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现状床位数</w:t>
            </w:r>
          </w:p>
        </w:tc>
        <w:tc>
          <w:tcPr>
            <w:tcW w:w="2680" w:type="dxa"/>
            <w:gridSpan w:val="3"/>
            <w:tcBorders>
              <w:top w:val="single" w:color="000000" w:sz="4" w:space="0"/>
              <w:left w:val="single" w:color="000000" w:sz="4" w:space="0"/>
              <w:bottom w:val="single" w:color="000000" w:sz="4" w:space="0"/>
              <w:right w:val="single" w:color="000000" w:sz="4" w:space="0"/>
            </w:tcBorders>
            <w:noWrap w:val="0"/>
            <w:vAlign w:val="center"/>
          </w:tcPr>
          <w:p w14:paraId="166E7F11">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规划近期（2025年）</w:t>
            </w:r>
          </w:p>
        </w:tc>
        <w:tc>
          <w:tcPr>
            <w:tcW w:w="3213" w:type="dxa"/>
            <w:gridSpan w:val="3"/>
            <w:tcBorders>
              <w:top w:val="single" w:color="000000" w:sz="4" w:space="0"/>
              <w:left w:val="single" w:color="000000" w:sz="4" w:space="0"/>
              <w:bottom w:val="single" w:color="000000" w:sz="4" w:space="0"/>
              <w:right w:val="single" w:color="000000" w:sz="4" w:space="0"/>
            </w:tcBorders>
            <w:noWrap w:val="0"/>
            <w:vAlign w:val="center"/>
          </w:tcPr>
          <w:p w14:paraId="72487F5F">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规划远期（2035年）</w:t>
            </w:r>
          </w:p>
        </w:tc>
      </w:tr>
      <w:tr w14:paraId="57BF1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7"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2DE2D8">
            <w:pPr>
              <w:widowControl/>
              <w:spacing w:line="280" w:lineRule="exact"/>
              <w:ind w:firstLine="0" w:firstLineChars="0"/>
              <w:jc w:val="center"/>
              <w:textAlignment w:val="center"/>
              <w:rPr>
                <w:rFonts w:hint="eastAsia" w:ascii="宋体" w:hAnsi="宋体" w:eastAsia="宋体" w:cs="宋体"/>
                <w:color w:val="auto"/>
                <w:kern w:val="0"/>
                <w:sz w:val="24"/>
                <w:szCs w:val="24"/>
                <w:lang w:bidi="ar"/>
              </w:rPr>
            </w:pPr>
          </w:p>
        </w:tc>
        <w:tc>
          <w:tcPr>
            <w:tcW w:w="12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66DE7A">
            <w:pPr>
              <w:widowControl/>
              <w:spacing w:line="280" w:lineRule="exact"/>
              <w:ind w:firstLine="0" w:firstLineChars="0"/>
              <w:jc w:val="center"/>
              <w:textAlignment w:val="center"/>
              <w:rPr>
                <w:rFonts w:hint="eastAsia" w:ascii="宋体" w:hAnsi="宋体" w:eastAsia="宋体" w:cs="宋体"/>
                <w:color w:val="auto"/>
                <w:kern w:val="0"/>
                <w:sz w:val="24"/>
                <w:szCs w:val="24"/>
                <w:lang w:bidi="ar"/>
              </w:rPr>
            </w:pP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68C55344">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老年人口</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14:paraId="51E8AD05">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规划床位数</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4102F8DA">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床位缺口</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1CF6035">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老年人口</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5E77F9EE">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规划床位数</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1E389F78">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床位缺口</w:t>
            </w:r>
          </w:p>
        </w:tc>
      </w:tr>
      <w:tr w14:paraId="2EB93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1228" w:type="dxa"/>
            <w:tcBorders>
              <w:top w:val="single" w:color="000000" w:sz="4" w:space="0"/>
              <w:left w:val="single" w:color="000000" w:sz="4" w:space="0"/>
              <w:bottom w:val="single" w:color="000000" w:sz="4" w:space="0"/>
              <w:right w:val="single" w:color="000000" w:sz="4" w:space="0"/>
            </w:tcBorders>
            <w:noWrap w:val="0"/>
            <w:vAlign w:val="center"/>
          </w:tcPr>
          <w:p w14:paraId="6D1A68C8">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麒麟区</w:t>
            </w:r>
          </w:p>
        </w:tc>
        <w:tc>
          <w:tcPr>
            <w:tcW w:w="1257" w:type="dxa"/>
            <w:tcBorders>
              <w:top w:val="single" w:color="000000" w:sz="4" w:space="0"/>
              <w:left w:val="single" w:color="000000" w:sz="4" w:space="0"/>
              <w:bottom w:val="single" w:color="000000" w:sz="4" w:space="0"/>
              <w:right w:val="single" w:color="000000" w:sz="4" w:space="0"/>
            </w:tcBorders>
            <w:noWrap w:val="0"/>
            <w:vAlign w:val="center"/>
          </w:tcPr>
          <w:p w14:paraId="37C53843">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490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56E4E2A3">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4.65 </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14:paraId="115206FB">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0 </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30604642">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-490 </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679C8897">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6.26 </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2E7E7B53">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1878 </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B1B36C8">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1878 </w:t>
            </w:r>
          </w:p>
        </w:tc>
      </w:tr>
      <w:tr w14:paraId="09DED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1228" w:type="dxa"/>
            <w:tcBorders>
              <w:top w:val="single" w:color="000000" w:sz="4" w:space="0"/>
              <w:left w:val="single" w:color="000000" w:sz="4" w:space="0"/>
              <w:bottom w:val="single" w:color="000000" w:sz="4" w:space="0"/>
              <w:right w:val="single" w:color="000000" w:sz="4" w:space="0"/>
            </w:tcBorders>
            <w:noWrap w:val="0"/>
            <w:vAlign w:val="center"/>
          </w:tcPr>
          <w:p w14:paraId="6066FC14">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沾益区</w:t>
            </w:r>
          </w:p>
        </w:tc>
        <w:tc>
          <w:tcPr>
            <w:tcW w:w="1257" w:type="dxa"/>
            <w:tcBorders>
              <w:top w:val="single" w:color="000000" w:sz="4" w:space="0"/>
              <w:left w:val="single" w:color="000000" w:sz="4" w:space="0"/>
              <w:bottom w:val="single" w:color="000000" w:sz="4" w:space="0"/>
              <w:right w:val="single" w:color="000000" w:sz="4" w:space="0"/>
            </w:tcBorders>
            <w:noWrap w:val="0"/>
            <w:vAlign w:val="center"/>
          </w:tcPr>
          <w:p w14:paraId="6D52D456">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770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6DBD810A">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4.19 </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14:paraId="2DC83B43">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1046 </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14772A68">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276 </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9FD0526">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3.44 </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03FA54DD">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1032 </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2F41519B">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0 </w:t>
            </w:r>
          </w:p>
        </w:tc>
      </w:tr>
      <w:tr w14:paraId="0415C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1228" w:type="dxa"/>
            <w:tcBorders>
              <w:top w:val="single" w:color="000000" w:sz="4" w:space="0"/>
              <w:left w:val="single" w:color="000000" w:sz="4" w:space="0"/>
              <w:bottom w:val="single" w:color="000000" w:sz="4" w:space="0"/>
              <w:right w:val="single" w:color="000000" w:sz="4" w:space="0"/>
            </w:tcBorders>
            <w:noWrap w:val="0"/>
            <w:vAlign w:val="center"/>
          </w:tcPr>
          <w:p w14:paraId="09E2B651">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马龙区</w:t>
            </w:r>
          </w:p>
        </w:tc>
        <w:tc>
          <w:tcPr>
            <w:tcW w:w="1257" w:type="dxa"/>
            <w:tcBorders>
              <w:top w:val="single" w:color="000000" w:sz="4" w:space="0"/>
              <w:left w:val="single" w:color="000000" w:sz="4" w:space="0"/>
              <w:bottom w:val="single" w:color="000000" w:sz="4" w:space="0"/>
              <w:right w:val="single" w:color="000000" w:sz="4" w:space="0"/>
            </w:tcBorders>
            <w:noWrap w:val="0"/>
            <w:vAlign w:val="center"/>
          </w:tcPr>
          <w:p w14:paraId="74530FE5">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750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7CEA99E1">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1.86 </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14:paraId="4F2EAE3A">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465 </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50C4FD92">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0 </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0E9F3A5">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1.57 </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6B2EFDD3">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470 </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C0B7CBF">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0 </w:t>
            </w:r>
          </w:p>
        </w:tc>
      </w:tr>
      <w:tr w14:paraId="76E03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1228" w:type="dxa"/>
            <w:tcBorders>
              <w:top w:val="single" w:color="000000" w:sz="4" w:space="0"/>
              <w:left w:val="single" w:color="000000" w:sz="4" w:space="0"/>
              <w:bottom w:val="single" w:color="000000" w:sz="4" w:space="0"/>
              <w:right w:val="single" w:color="000000" w:sz="4" w:space="0"/>
            </w:tcBorders>
            <w:noWrap w:val="0"/>
            <w:vAlign w:val="center"/>
          </w:tcPr>
          <w:p w14:paraId="3CA58851">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陆良县</w:t>
            </w:r>
          </w:p>
        </w:tc>
        <w:tc>
          <w:tcPr>
            <w:tcW w:w="1257" w:type="dxa"/>
            <w:tcBorders>
              <w:top w:val="single" w:color="000000" w:sz="4" w:space="0"/>
              <w:left w:val="single" w:color="000000" w:sz="4" w:space="0"/>
              <w:bottom w:val="single" w:color="000000" w:sz="4" w:space="0"/>
              <w:right w:val="single" w:color="000000" w:sz="4" w:space="0"/>
            </w:tcBorders>
            <w:noWrap w:val="0"/>
            <w:vAlign w:val="center"/>
          </w:tcPr>
          <w:p w14:paraId="03BC9EF4">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2979</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2D01256D">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11.39 </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14:paraId="2AD5D0AE">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2848 </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0F784141">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-131 </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A99252A">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15.81 </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47E12DB0">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4744 </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50AD72FD">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1896 </w:t>
            </w:r>
          </w:p>
        </w:tc>
      </w:tr>
      <w:tr w14:paraId="72E5C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1228" w:type="dxa"/>
            <w:tcBorders>
              <w:top w:val="single" w:color="000000" w:sz="4" w:space="0"/>
              <w:left w:val="single" w:color="000000" w:sz="4" w:space="0"/>
              <w:bottom w:val="single" w:color="000000" w:sz="4" w:space="0"/>
              <w:right w:val="single" w:color="000000" w:sz="4" w:space="0"/>
            </w:tcBorders>
            <w:noWrap w:val="0"/>
            <w:vAlign w:val="center"/>
          </w:tcPr>
          <w:p w14:paraId="409B46D5">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师宗县</w:t>
            </w:r>
          </w:p>
        </w:tc>
        <w:tc>
          <w:tcPr>
            <w:tcW w:w="1257" w:type="dxa"/>
            <w:tcBorders>
              <w:top w:val="single" w:color="000000" w:sz="4" w:space="0"/>
              <w:left w:val="single" w:color="000000" w:sz="4" w:space="0"/>
              <w:bottom w:val="single" w:color="000000" w:sz="4" w:space="0"/>
              <w:right w:val="single" w:color="000000" w:sz="4" w:space="0"/>
            </w:tcBorders>
            <w:noWrap w:val="0"/>
            <w:vAlign w:val="center"/>
          </w:tcPr>
          <w:p w14:paraId="0EF59904">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1450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4D8E28AA">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6.22 </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14:paraId="67ADD623">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1554 </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2F17914D">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104 </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11830E1">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8.85 </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57D24625">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2656 </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146E80F">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1102 </w:t>
            </w:r>
          </w:p>
        </w:tc>
      </w:tr>
      <w:tr w14:paraId="12E61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1228" w:type="dxa"/>
            <w:tcBorders>
              <w:top w:val="single" w:color="000000" w:sz="4" w:space="0"/>
              <w:left w:val="single" w:color="000000" w:sz="4" w:space="0"/>
              <w:bottom w:val="single" w:color="000000" w:sz="4" w:space="0"/>
              <w:right w:val="single" w:color="000000" w:sz="4" w:space="0"/>
            </w:tcBorders>
            <w:noWrap w:val="0"/>
            <w:vAlign w:val="center"/>
          </w:tcPr>
          <w:p w14:paraId="077C1558">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罗平县</w:t>
            </w:r>
          </w:p>
        </w:tc>
        <w:tc>
          <w:tcPr>
            <w:tcW w:w="1257" w:type="dxa"/>
            <w:tcBorders>
              <w:top w:val="single" w:color="000000" w:sz="4" w:space="0"/>
              <w:left w:val="single" w:color="000000" w:sz="4" w:space="0"/>
              <w:bottom w:val="single" w:color="000000" w:sz="4" w:space="0"/>
              <w:right w:val="single" w:color="000000" w:sz="4" w:space="0"/>
            </w:tcBorders>
            <w:noWrap w:val="0"/>
            <w:vAlign w:val="center"/>
          </w:tcPr>
          <w:p w14:paraId="7ECBF5F3">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935</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57D6A56A">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9.82 </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14:paraId="7DB6A7A9">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2454 </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39DD1B36">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1519 </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CE9E7B7">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13.86 </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283ED35B">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4158 </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BCDD7A5">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1704 </w:t>
            </w:r>
          </w:p>
        </w:tc>
      </w:tr>
      <w:tr w14:paraId="65A24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1228" w:type="dxa"/>
            <w:tcBorders>
              <w:top w:val="single" w:color="000000" w:sz="4" w:space="0"/>
              <w:left w:val="single" w:color="000000" w:sz="4" w:space="0"/>
              <w:bottom w:val="single" w:color="000000" w:sz="4" w:space="0"/>
              <w:right w:val="single" w:color="000000" w:sz="4" w:space="0"/>
            </w:tcBorders>
            <w:noWrap w:val="0"/>
            <w:vAlign w:val="center"/>
          </w:tcPr>
          <w:p w14:paraId="1126537D">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富源县</w:t>
            </w:r>
          </w:p>
        </w:tc>
        <w:tc>
          <w:tcPr>
            <w:tcW w:w="1257" w:type="dxa"/>
            <w:tcBorders>
              <w:top w:val="single" w:color="000000" w:sz="4" w:space="0"/>
              <w:left w:val="single" w:color="000000" w:sz="4" w:space="0"/>
              <w:bottom w:val="single" w:color="000000" w:sz="4" w:space="0"/>
              <w:right w:val="single" w:color="000000" w:sz="4" w:space="0"/>
            </w:tcBorders>
            <w:noWrap w:val="0"/>
            <w:vAlign w:val="center"/>
          </w:tcPr>
          <w:p w14:paraId="290BC7E4">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1418</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5654701E">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11.32 </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14:paraId="6EC42C38">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2830 </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35644AA9">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1412 </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FFF5A4B">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15.58 </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2E1084F5">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4675 </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1B9A5F4">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1845 </w:t>
            </w:r>
          </w:p>
        </w:tc>
      </w:tr>
      <w:tr w14:paraId="51682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1228" w:type="dxa"/>
            <w:tcBorders>
              <w:top w:val="single" w:color="000000" w:sz="4" w:space="0"/>
              <w:left w:val="single" w:color="000000" w:sz="4" w:space="0"/>
              <w:bottom w:val="single" w:color="000000" w:sz="4" w:space="0"/>
              <w:right w:val="single" w:color="000000" w:sz="4" w:space="0"/>
            </w:tcBorders>
            <w:noWrap w:val="0"/>
            <w:vAlign w:val="center"/>
          </w:tcPr>
          <w:p w14:paraId="1C0C7A48">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会泽县</w:t>
            </w:r>
          </w:p>
        </w:tc>
        <w:tc>
          <w:tcPr>
            <w:tcW w:w="1257" w:type="dxa"/>
            <w:tcBorders>
              <w:top w:val="single" w:color="000000" w:sz="4" w:space="0"/>
              <w:left w:val="single" w:color="000000" w:sz="4" w:space="0"/>
              <w:bottom w:val="single" w:color="000000" w:sz="4" w:space="0"/>
              <w:right w:val="single" w:color="000000" w:sz="4" w:space="0"/>
            </w:tcBorders>
            <w:noWrap w:val="0"/>
            <w:vAlign w:val="center"/>
          </w:tcPr>
          <w:p w14:paraId="6D2F1003">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2967</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360C7B43">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17.65 </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14:paraId="4E7800BF">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4411 </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594422E8">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1444 </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1E87EC0">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24.29 </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0A88BBA2">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7286 </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2145411">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2875 </w:t>
            </w:r>
          </w:p>
        </w:tc>
      </w:tr>
      <w:tr w14:paraId="4BCE9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1228" w:type="dxa"/>
            <w:tcBorders>
              <w:top w:val="single" w:color="000000" w:sz="4" w:space="0"/>
              <w:left w:val="single" w:color="000000" w:sz="4" w:space="0"/>
              <w:bottom w:val="single" w:color="000000" w:sz="4" w:space="0"/>
              <w:right w:val="single" w:color="000000" w:sz="4" w:space="0"/>
            </w:tcBorders>
            <w:noWrap w:val="0"/>
            <w:vAlign w:val="center"/>
          </w:tcPr>
          <w:p w14:paraId="7B1CBBD2">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宣威市</w:t>
            </w:r>
          </w:p>
        </w:tc>
        <w:tc>
          <w:tcPr>
            <w:tcW w:w="1257" w:type="dxa"/>
            <w:tcBorders>
              <w:top w:val="single" w:color="000000" w:sz="4" w:space="0"/>
              <w:left w:val="single" w:color="000000" w:sz="4" w:space="0"/>
              <w:bottom w:val="single" w:color="000000" w:sz="4" w:space="0"/>
              <w:right w:val="single" w:color="000000" w:sz="4" w:space="0"/>
            </w:tcBorders>
            <w:noWrap w:val="0"/>
            <w:vAlign w:val="center"/>
          </w:tcPr>
          <w:p w14:paraId="42C418A5">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2430</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152F0D92">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25.75 </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14:paraId="55F5CE85">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6438 </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607EC7F4">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4008 </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2D0E27C6">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35.58 </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476B0D53">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10675 </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003F80FD">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4237 </w:t>
            </w:r>
          </w:p>
        </w:tc>
      </w:tr>
      <w:tr w14:paraId="43678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8" w:hRule="atLeast"/>
        </w:trPr>
        <w:tc>
          <w:tcPr>
            <w:tcW w:w="1228" w:type="dxa"/>
            <w:tcBorders>
              <w:top w:val="single" w:color="000000" w:sz="4" w:space="0"/>
              <w:left w:val="single" w:color="000000" w:sz="4" w:space="0"/>
              <w:bottom w:val="single" w:color="000000" w:sz="4" w:space="0"/>
              <w:right w:val="single" w:color="000000" w:sz="4" w:space="0"/>
            </w:tcBorders>
            <w:noWrap w:val="0"/>
            <w:vAlign w:val="center"/>
          </w:tcPr>
          <w:p w14:paraId="7677987D">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合计</w:t>
            </w:r>
          </w:p>
        </w:tc>
        <w:tc>
          <w:tcPr>
            <w:tcW w:w="1257" w:type="dxa"/>
            <w:tcBorders>
              <w:top w:val="single" w:color="000000" w:sz="4" w:space="0"/>
              <w:left w:val="single" w:color="000000" w:sz="4" w:space="0"/>
              <w:bottom w:val="single" w:color="000000" w:sz="4" w:space="0"/>
              <w:right w:val="single" w:color="000000" w:sz="4" w:space="0"/>
            </w:tcBorders>
            <w:noWrap w:val="0"/>
            <w:vAlign w:val="center"/>
          </w:tcPr>
          <w:p w14:paraId="52E56F2A">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14189</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228C59EE">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92.84 </w:t>
            </w:r>
          </w:p>
        </w:tc>
        <w:tc>
          <w:tcPr>
            <w:tcW w:w="935" w:type="dxa"/>
            <w:tcBorders>
              <w:top w:val="single" w:color="000000" w:sz="4" w:space="0"/>
              <w:left w:val="single" w:color="000000" w:sz="4" w:space="0"/>
              <w:bottom w:val="single" w:color="000000" w:sz="4" w:space="0"/>
              <w:right w:val="single" w:color="000000" w:sz="4" w:space="0"/>
            </w:tcBorders>
            <w:noWrap w:val="0"/>
            <w:vAlign w:val="center"/>
          </w:tcPr>
          <w:p w14:paraId="49E883FF">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23209 </w:t>
            </w:r>
          </w:p>
        </w:tc>
        <w:tc>
          <w:tcPr>
            <w:tcW w:w="929" w:type="dxa"/>
            <w:tcBorders>
              <w:top w:val="single" w:color="000000" w:sz="4" w:space="0"/>
              <w:left w:val="single" w:color="000000" w:sz="4" w:space="0"/>
              <w:bottom w:val="single" w:color="000000" w:sz="4" w:space="0"/>
              <w:right w:val="single" w:color="000000" w:sz="4" w:space="0"/>
            </w:tcBorders>
            <w:noWrap w:val="0"/>
            <w:vAlign w:val="center"/>
          </w:tcPr>
          <w:p w14:paraId="7811E140">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9020 </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74C9B512">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125.25 </w:t>
            </w:r>
          </w:p>
        </w:tc>
        <w:tc>
          <w:tcPr>
            <w:tcW w:w="1208" w:type="dxa"/>
            <w:tcBorders>
              <w:top w:val="single" w:color="000000" w:sz="4" w:space="0"/>
              <w:left w:val="single" w:color="000000" w:sz="4" w:space="0"/>
              <w:bottom w:val="single" w:color="000000" w:sz="4" w:space="0"/>
              <w:right w:val="single" w:color="000000" w:sz="4" w:space="0"/>
            </w:tcBorders>
            <w:noWrap w:val="0"/>
            <w:vAlign w:val="center"/>
          </w:tcPr>
          <w:p w14:paraId="63E5993F">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37574 </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C587F6F">
            <w:pPr>
              <w:keepNext w:val="0"/>
              <w:keepLines w:val="0"/>
              <w:widowControl/>
              <w:suppressLineNumbers w:val="0"/>
              <w:spacing w:line="280" w:lineRule="exact"/>
              <w:ind w:firstLine="0" w:firstLineChars="0"/>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i w:val="0"/>
                <w:iCs w:val="0"/>
                <w:color w:val="auto"/>
                <w:kern w:val="0"/>
                <w:sz w:val="24"/>
                <w:szCs w:val="24"/>
                <w:u w:val="none"/>
                <w:lang w:val="en-US" w:eastAsia="zh-CN" w:bidi="ar"/>
              </w:rPr>
              <w:t xml:space="preserve">14365 </w:t>
            </w:r>
          </w:p>
        </w:tc>
      </w:tr>
    </w:tbl>
    <w:p w14:paraId="5A2E5495">
      <w:pPr>
        <w:bidi w:val="0"/>
        <w:rPr>
          <w:rFonts w:hint="eastAsia"/>
          <w:b/>
          <w:bCs/>
          <w:color w:val="auto"/>
          <w:lang w:val="en-US" w:eastAsia="zh-CN"/>
        </w:rPr>
      </w:pPr>
      <w:bookmarkStart w:id="20" w:name="_Toc13981"/>
      <w:bookmarkStart w:id="21" w:name="_Toc25336"/>
      <w:r>
        <w:rPr>
          <w:rFonts w:hint="eastAsia"/>
          <w:b/>
          <w:bCs/>
          <w:color w:val="auto"/>
          <w:lang w:val="en-US" w:eastAsia="zh-CN"/>
        </w:rPr>
        <w:t>2.市域居家养老设施规划</w:t>
      </w:r>
      <w:bookmarkEnd w:id="20"/>
      <w:bookmarkEnd w:id="21"/>
    </w:p>
    <w:p w14:paraId="363D7C72">
      <w:pPr>
        <w:bidi w:val="0"/>
        <w:rPr>
          <w:rFonts w:hint="eastAsia" w:cs="Times New Roman"/>
          <w:color w:val="auto"/>
          <w:lang w:val="en-US" w:eastAsia="zh-CN"/>
        </w:rPr>
      </w:pPr>
      <w:bookmarkStart w:id="22" w:name="_Toc8994"/>
      <w:bookmarkStart w:id="23" w:name="_Toc1098"/>
      <w:r>
        <w:rPr>
          <w:rFonts w:hint="eastAsia" w:ascii="Calibri" w:hAnsi="Calibri" w:cs="Times New Roman"/>
          <w:color w:val="auto"/>
          <w:szCs w:val="22"/>
          <w:lang w:val="en-US" w:eastAsia="zh-CN"/>
        </w:rPr>
        <w:t>全市下辖1市、</w:t>
      </w:r>
      <w:r>
        <w:rPr>
          <w:rFonts w:hint="eastAsia" w:ascii="Calibri" w:hAnsi="Calibri" w:cs="Times New Roman"/>
          <w:color w:val="auto"/>
          <w:szCs w:val="22"/>
        </w:rPr>
        <w:t>3个区、5个县，</w:t>
      </w:r>
      <w:r>
        <w:rPr>
          <w:rFonts w:hint="eastAsia" w:ascii="Calibri" w:hAnsi="Calibri" w:cs="Times New Roman"/>
          <w:color w:val="auto"/>
          <w:szCs w:val="22"/>
          <w:lang w:val="en-US" w:eastAsia="zh-CN"/>
        </w:rPr>
        <w:t>和1个国家级</w:t>
      </w:r>
      <w:r>
        <w:rPr>
          <w:rFonts w:hint="eastAsia" w:ascii="Calibri" w:hAnsi="Calibri" w:cs="Times New Roman"/>
          <w:color w:val="auto"/>
          <w:szCs w:val="22"/>
        </w:rPr>
        <w:t>经济技术开发区，共有137个</w:t>
      </w:r>
      <w:r>
        <w:rPr>
          <w:rFonts w:hint="eastAsia" w:ascii="Calibri" w:hAnsi="Calibri" w:cs="Times New Roman"/>
          <w:color w:val="auto"/>
          <w:szCs w:val="22"/>
          <w:lang w:eastAsia="zh-CN"/>
        </w:rPr>
        <w:t>乡镇（街道）</w:t>
      </w:r>
      <w:r>
        <w:rPr>
          <w:rFonts w:hint="eastAsia" w:ascii="Calibri" w:hAnsi="Calibri" w:cs="Times New Roman"/>
          <w:color w:val="auto"/>
          <w:szCs w:val="22"/>
        </w:rPr>
        <w:t>，</w:t>
      </w:r>
      <w:r>
        <w:rPr>
          <w:rFonts w:hint="eastAsia" w:ascii="Calibri" w:hAnsi="Calibri" w:cs="Times New Roman"/>
          <w:color w:val="auto"/>
          <w:szCs w:val="22"/>
          <w:lang w:val="en-US" w:eastAsia="zh-CN"/>
        </w:rPr>
        <w:t>1653个村（社区）</w:t>
      </w:r>
      <w:r>
        <w:rPr>
          <w:rFonts w:hint="eastAsia" w:ascii="Calibri" w:hAnsi="Calibri" w:cs="Times New Roman"/>
          <w:color w:val="auto"/>
          <w:szCs w:val="22"/>
          <w:lang w:eastAsia="zh-CN"/>
        </w:rPr>
        <w:t>，</w:t>
      </w:r>
      <w:r>
        <w:rPr>
          <w:rFonts w:hint="eastAsia" w:ascii="Calibri" w:hAnsi="Calibri" w:cs="Times New Roman"/>
          <w:color w:val="auto"/>
          <w:szCs w:val="22"/>
          <w:lang w:val="en-US" w:eastAsia="zh-CN"/>
        </w:rPr>
        <w:t>扣除中心城区绕城高速内的18个街道和135个社区外，市域（绕城高速外）还有119个</w:t>
      </w:r>
      <w:r>
        <w:rPr>
          <w:rFonts w:hint="eastAsia" w:ascii="Calibri" w:hAnsi="Calibri" w:cs="Times New Roman"/>
          <w:color w:val="auto"/>
          <w:szCs w:val="22"/>
          <w:lang w:eastAsia="zh-CN"/>
        </w:rPr>
        <w:t>乡镇（街道），</w:t>
      </w:r>
      <w:r>
        <w:rPr>
          <w:rFonts w:hint="eastAsia" w:ascii="Calibri" w:hAnsi="Calibri" w:cs="Times New Roman"/>
          <w:color w:val="auto"/>
          <w:szCs w:val="22"/>
          <w:lang w:val="en-US" w:eastAsia="zh-CN"/>
        </w:rPr>
        <w:t>1518个村（社区）。2035年，全市户籍老年化率（60岁以上）将达到24.6%，在严峻的老龄化形势下，按照30床/千名老年人的总体目标，需要配套建设37574张养老床位。为满足全市老年人的养老床位需求，需要全面完善居家养老服务体系的建设，至2035年，市域（绕城高速外）所有乡镇（街道）至少需配套1座乡镇（街道）的区域养老服务中心，按照100床/座的标准，床位数为11900床，每个村（社区）至少配套建设1座日间照料中心，按照10床/座的标准，床位数为15180床，市域居家养老设施床位为27080床，加上县域的机构养老床位和民办养老床位，可基本满足30床/千名老年人的规划目标控制要求。</w:t>
      </w:r>
    </w:p>
    <w:p w14:paraId="4557C4CA">
      <w:pPr>
        <w:bidi w:val="0"/>
        <w:rPr>
          <w:rFonts w:hint="default" w:cs="Times New Roman"/>
          <w:color w:val="auto"/>
          <w:lang w:val="en-US" w:eastAsia="zh-CN"/>
        </w:rPr>
      </w:pPr>
      <w:r>
        <w:rPr>
          <w:rFonts w:hint="eastAsia" w:cs="Times New Roman"/>
          <w:color w:val="auto"/>
          <w:lang w:val="en-US" w:eastAsia="zh-CN"/>
        </w:rPr>
        <w:t>根据各县（市、区）的实际情况，乡镇（街道）和村（社区）的居家养老服务中心布局和床位数可灵活调整，但至2035年，县（市、区）的总体养老床位数量需满足指标控制要求，并需满足乡镇（街道）和村（社区）全覆盖的要求。</w:t>
      </w:r>
    </w:p>
    <w:bookmarkEnd w:id="22"/>
    <w:bookmarkEnd w:id="23"/>
    <w:p w14:paraId="6C32ADFC">
      <w:pPr>
        <w:numPr>
          <w:ilvl w:val="0"/>
          <w:numId w:val="2"/>
        </w:numPr>
        <w:bidi w:val="0"/>
        <w:ind w:firstLine="0"/>
        <w:rPr>
          <w:rFonts w:hint="default" w:cs="Times New Roman"/>
          <w:b/>
          <w:color w:val="auto"/>
          <w:lang w:val="en-US" w:eastAsia="zh-CN"/>
        </w:rPr>
      </w:pPr>
      <w:bookmarkStart w:id="24" w:name="_Toc28686"/>
      <w:r>
        <w:rPr>
          <w:rFonts w:hint="eastAsia" w:cs="Times New Roman"/>
          <w:b/>
          <w:color w:val="auto"/>
          <w:lang w:val="en-US" w:eastAsia="zh-CN"/>
        </w:rPr>
        <w:t>中心城区养老服务设施总体规划</w:t>
      </w:r>
      <w:bookmarkEnd w:id="24"/>
    </w:p>
    <w:p w14:paraId="35C4248E">
      <w:pPr>
        <w:bidi w:val="0"/>
        <w:rPr>
          <w:rFonts w:hint="default" w:eastAsia="新宋体"/>
          <w:color w:val="auto"/>
          <w:lang w:val="en-US" w:eastAsia="zh-CN"/>
        </w:rPr>
      </w:pPr>
      <w:r>
        <w:rPr>
          <w:rFonts w:hint="eastAsia"/>
          <w:color w:val="auto"/>
          <w:lang w:val="en-US" w:eastAsia="zh-CN"/>
        </w:rPr>
        <w:t>根据曲靖市国土空间规划预测，至2025，中心城区人口数量为120万人，预测老年化率为18%，</w:t>
      </w:r>
      <w:r>
        <w:rPr>
          <w:rFonts w:hint="eastAsia"/>
          <w:color w:val="auto"/>
          <w:u w:val="single"/>
          <w:lang w:val="en-US" w:eastAsia="zh-CN"/>
        </w:rPr>
        <w:t>按照2025年中心城区按每千名老年人拥有养老床位数不低于25张计算，规划范围内需提供约5400张养老床位。</w:t>
      </w:r>
      <w:r>
        <w:rPr>
          <w:rFonts w:hint="eastAsia" w:cs="Times New Roman"/>
          <w:color w:val="auto"/>
          <w:lang w:val="en-US" w:eastAsia="zh-CN"/>
        </w:rPr>
        <w:t>2025年前难以完成建设的，规划在“十五五”期间补齐。</w:t>
      </w:r>
    </w:p>
    <w:p w14:paraId="4E8A13E7">
      <w:pPr>
        <w:ind w:firstLine="560"/>
        <w:rPr>
          <w:rFonts w:hint="eastAsia" w:cs="Times New Roman"/>
          <w:color w:val="auto"/>
        </w:rPr>
      </w:pPr>
      <w:r>
        <w:rPr>
          <w:rFonts w:hint="eastAsia" w:cs="Times New Roman"/>
          <w:color w:val="auto"/>
          <w:u w:val="single"/>
        </w:rPr>
        <w:t>按照2035年中心城区按每千名老年人拥有养老床位数不低于</w:t>
      </w:r>
      <w:r>
        <w:rPr>
          <w:rFonts w:hint="eastAsia" w:cs="Times New Roman"/>
          <w:color w:val="auto"/>
          <w:u w:val="single"/>
          <w:lang w:val="en-US" w:eastAsia="zh-CN"/>
        </w:rPr>
        <w:t>30</w:t>
      </w:r>
      <w:r>
        <w:rPr>
          <w:rFonts w:hint="eastAsia" w:cs="Times New Roman"/>
          <w:color w:val="auto"/>
          <w:u w:val="single"/>
        </w:rPr>
        <w:t>张计算，规划范围内需提供约</w:t>
      </w:r>
      <w:r>
        <w:rPr>
          <w:rFonts w:hint="eastAsia" w:cs="Times New Roman"/>
          <w:color w:val="auto"/>
          <w:u w:val="single"/>
          <w:lang w:val="en-US" w:eastAsia="zh-CN"/>
        </w:rPr>
        <w:t>10800</w:t>
      </w:r>
      <w:r>
        <w:rPr>
          <w:rFonts w:hint="eastAsia" w:cs="Times New Roman"/>
          <w:color w:val="auto"/>
          <w:u w:val="single"/>
        </w:rPr>
        <w:t>张养老床位。</w:t>
      </w:r>
      <w:r>
        <w:rPr>
          <w:rFonts w:hint="eastAsia" w:cs="Times New Roman"/>
          <w:color w:val="auto"/>
        </w:rPr>
        <w:t>其中规划公办</w:t>
      </w:r>
      <w:r>
        <w:rPr>
          <w:rFonts w:hint="eastAsia" w:cs="Times New Roman"/>
          <w:color w:val="auto"/>
          <w:lang w:eastAsia="zh-CN"/>
        </w:rPr>
        <w:t>机构养老服务设施</w:t>
      </w:r>
      <w:r>
        <w:rPr>
          <w:rFonts w:hint="eastAsia" w:cs="Times New Roman"/>
          <w:color w:val="auto"/>
        </w:rPr>
        <w:t>床位数</w:t>
      </w:r>
      <w:r>
        <w:rPr>
          <w:rFonts w:hint="eastAsia" w:cs="Times New Roman"/>
          <w:color w:val="auto"/>
          <w:lang w:val="en-US" w:eastAsia="zh-CN"/>
        </w:rPr>
        <w:t>5324</w:t>
      </w:r>
      <w:r>
        <w:rPr>
          <w:rFonts w:hint="eastAsia" w:cs="Times New Roman"/>
          <w:color w:val="auto"/>
        </w:rPr>
        <w:t>张（现状</w:t>
      </w:r>
      <w:r>
        <w:rPr>
          <w:rFonts w:hint="eastAsia" w:cs="Times New Roman"/>
          <w:color w:val="auto"/>
          <w:lang w:val="en-US" w:eastAsia="zh-CN"/>
        </w:rPr>
        <w:t>994</w:t>
      </w:r>
      <w:r>
        <w:rPr>
          <w:rFonts w:hint="eastAsia" w:cs="Times New Roman"/>
          <w:color w:val="auto"/>
        </w:rPr>
        <w:t>张，规划新增</w:t>
      </w:r>
      <w:r>
        <w:rPr>
          <w:rFonts w:hint="eastAsia" w:cs="Times New Roman"/>
          <w:color w:val="auto"/>
          <w:lang w:val="en-US" w:eastAsia="zh-CN"/>
        </w:rPr>
        <w:t>4330</w:t>
      </w:r>
      <w:r>
        <w:rPr>
          <w:rFonts w:hint="eastAsia" w:cs="Times New Roman"/>
          <w:color w:val="auto"/>
        </w:rPr>
        <w:t>张），居家养老服务设施床位数</w:t>
      </w:r>
      <w:r>
        <w:rPr>
          <w:rFonts w:hint="eastAsia" w:cs="Times New Roman"/>
          <w:color w:val="auto"/>
          <w:lang w:val="en-US" w:eastAsia="zh-CN"/>
        </w:rPr>
        <w:t>2700</w:t>
      </w:r>
      <w:r>
        <w:rPr>
          <w:rFonts w:hint="eastAsia" w:cs="Times New Roman"/>
          <w:color w:val="auto"/>
        </w:rPr>
        <w:t>张（现状</w:t>
      </w:r>
      <w:r>
        <w:rPr>
          <w:rFonts w:hint="eastAsia" w:cs="Times New Roman"/>
          <w:color w:val="auto"/>
          <w:lang w:val="en-US" w:eastAsia="zh-CN"/>
        </w:rPr>
        <w:t>1113</w:t>
      </w:r>
      <w:r>
        <w:rPr>
          <w:rFonts w:hint="eastAsia" w:cs="Times New Roman"/>
          <w:color w:val="auto"/>
        </w:rPr>
        <w:t>张，居家养老服务设施</w:t>
      </w:r>
      <w:r>
        <w:rPr>
          <w:rFonts w:hint="eastAsia" w:cs="Times New Roman"/>
          <w:color w:val="auto"/>
          <w:lang w:val="en-US" w:eastAsia="zh-CN"/>
        </w:rPr>
        <w:t>1587</w:t>
      </w:r>
      <w:r>
        <w:rPr>
          <w:rFonts w:hint="eastAsia" w:cs="Times New Roman"/>
          <w:color w:val="auto"/>
        </w:rPr>
        <w:t>张），民办养老院床位数</w:t>
      </w:r>
      <w:r>
        <w:rPr>
          <w:rFonts w:hint="eastAsia" w:cs="Times New Roman"/>
          <w:color w:val="auto"/>
          <w:lang w:val="en-US" w:eastAsia="zh-CN"/>
        </w:rPr>
        <w:t>2776</w:t>
      </w:r>
      <w:r>
        <w:rPr>
          <w:rFonts w:hint="eastAsia" w:cs="Times New Roman"/>
          <w:color w:val="auto"/>
        </w:rPr>
        <w:t>张（现状</w:t>
      </w:r>
      <w:r>
        <w:rPr>
          <w:rFonts w:hint="eastAsia" w:cs="Times New Roman"/>
          <w:color w:val="auto"/>
          <w:lang w:val="en-US" w:eastAsia="zh-CN"/>
        </w:rPr>
        <w:t>1283</w:t>
      </w:r>
      <w:r>
        <w:rPr>
          <w:rFonts w:hint="eastAsia" w:cs="Times New Roman"/>
          <w:color w:val="auto"/>
        </w:rPr>
        <w:t>张，规划新增</w:t>
      </w:r>
      <w:r>
        <w:rPr>
          <w:rFonts w:hint="eastAsia" w:cs="Times New Roman"/>
          <w:color w:val="auto"/>
          <w:lang w:val="en-US" w:eastAsia="zh-CN"/>
        </w:rPr>
        <w:t>1493</w:t>
      </w:r>
      <w:r>
        <w:rPr>
          <w:rFonts w:hint="eastAsia" w:cs="Times New Roman"/>
          <w:color w:val="auto"/>
        </w:rPr>
        <w:t>张）。</w:t>
      </w:r>
    </w:p>
    <w:p w14:paraId="6DEFA419">
      <w:pPr>
        <w:numPr>
          <w:ilvl w:val="0"/>
          <w:numId w:val="2"/>
        </w:numPr>
        <w:bidi w:val="0"/>
        <w:ind w:firstLine="0"/>
        <w:rPr>
          <w:rFonts w:hint="default" w:cs="Times New Roman"/>
          <w:b/>
          <w:color w:val="auto"/>
          <w:lang w:val="en-US" w:eastAsia="zh-CN"/>
        </w:rPr>
      </w:pPr>
      <w:bookmarkStart w:id="25" w:name="_Toc18051"/>
      <w:r>
        <w:rPr>
          <w:rFonts w:hint="eastAsia" w:cs="Times New Roman"/>
          <w:b/>
          <w:color w:val="auto"/>
          <w:lang w:val="en-US" w:eastAsia="zh-CN"/>
        </w:rPr>
        <w:t>中心城区公办机构养老服务设施布局规划</w:t>
      </w:r>
      <w:bookmarkEnd w:id="25"/>
    </w:p>
    <w:p w14:paraId="03D57BC1">
      <w:pPr>
        <w:ind w:firstLine="560"/>
        <w:rPr>
          <w:rFonts w:hint="eastAsia" w:cs="Times New Roman"/>
          <w:color w:val="auto"/>
          <w:lang w:val="en-US" w:eastAsia="zh-CN"/>
        </w:rPr>
      </w:pPr>
      <w:r>
        <w:rPr>
          <w:rFonts w:hint="eastAsia" w:cs="Times New Roman"/>
          <w:color w:val="auto"/>
          <w:lang w:val="en-US" w:eastAsia="zh-CN"/>
        </w:rPr>
        <w:t>规划街道级养老设施统一按照区域养老服务中心的标准建设，为提高服务质量，在条件允许的情况下尽量独立占地，将其列入公办机构养老服务设施进行规划。规划一方面对现有公益性养老机构进行提升改造，一方面按需求大量增加经营性机构养老服务设施建设，同时完善养护性养老机构建设。</w:t>
      </w:r>
      <w:r>
        <w:rPr>
          <w:rFonts w:hint="eastAsia" w:cs="Times New Roman"/>
          <w:color w:val="auto"/>
          <w:u w:val="single"/>
          <w:lang w:val="en-US" w:eastAsia="zh-CN"/>
        </w:rPr>
        <w:t>规划至2035年中心城区公办养老机构数总量达到31个，规划新增养老机构21个，总床位数5324张（包含街道区域养老服务中心）。</w:t>
      </w:r>
    </w:p>
    <w:p w14:paraId="376B0D80">
      <w:pPr>
        <w:ind w:firstLine="560"/>
        <w:rPr>
          <w:rFonts w:hint="default" w:ascii="Calibri" w:hAnsi="Calibri" w:eastAsia="新宋体" w:cs="Times New Roman"/>
          <w:i w:val="0"/>
          <w:iCs w:val="0"/>
          <w:caps w:val="0"/>
          <w:color w:val="auto"/>
          <w:spacing w:val="0"/>
          <w:sz w:val="30"/>
          <w:szCs w:val="22"/>
        </w:rPr>
      </w:pPr>
      <w:r>
        <w:rPr>
          <w:rFonts w:hint="eastAsia" w:cs="Times New Roman"/>
          <w:i w:val="0"/>
          <w:iCs w:val="0"/>
          <w:caps w:val="0"/>
          <w:color w:val="auto"/>
          <w:spacing w:val="0"/>
          <w:sz w:val="30"/>
          <w:szCs w:val="22"/>
          <w:shd w:val="clear" w:color="auto" w:fill="auto"/>
          <w:lang w:val="en-US" w:eastAsia="zh-CN"/>
        </w:rPr>
        <w:t>按照《曲靖市国土空间总体规划（2021—2035年）》，2035年曲靖市规划人口为180万人，在中心城区用地布局中需要至少保障18公顷养老设施用地，但按照总体规划用地用海分类，城镇开发边界内养老服务设施用地面积为15.6公顷，不满足政策规范要求。因此建议将城镇开发边界外规划远景控制范围的社会福利设施用地纳入本规划进行管控，面积将达到23.42公顷（分别为三江大道区级机构养老设施、益宁街道区域养老服务中心、龙华街道区域养老服务中心、西平街道区域养老服务中心、金龙街道区域养老服务中心、鸡头村街道区域养老服务中心），未来按照单选用地进行报批后进行机构养老设施建设。</w:t>
      </w:r>
    </w:p>
    <w:p w14:paraId="11D37C08">
      <w:pPr>
        <w:bidi w:val="0"/>
        <w:jc w:val="center"/>
        <w:rPr>
          <w:rFonts w:hint="eastAsia"/>
          <w:color w:val="auto"/>
          <w:lang w:val="en-US" w:eastAsia="zh-CN"/>
        </w:rPr>
      </w:pPr>
      <w:r>
        <w:rPr>
          <w:rFonts w:hint="eastAsia"/>
          <w:color w:val="auto"/>
          <w:lang w:val="en-US" w:eastAsia="zh-CN"/>
        </w:rPr>
        <w:t>表3-2中心城区公办机构养老服务设施规划汇总表</w:t>
      </w:r>
    </w:p>
    <w:tbl>
      <w:tblPr>
        <w:tblStyle w:val="2"/>
        <w:tblW w:w="106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3"/>
        <w:gridCol w:w="809"/>
        <w:gridCol w:w="1027"/>
        <w:gridCol w:w="1474"/>
        <w:gridCol w:w="1567"/>
        <w:gridCol w:w="966"/>
        <w:gridCol w:w="1027"/>
        <w:gridCol w:w="858"/>
        <w:gridCol w:w="777"/>
        <w:gridCol w:w="767"/>
        <w:gridCol w:w="759"/>
      </w:tblGrid>
      <w:tr w14:paraId="6EDDF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43" w:type="dxa"/>
            <w:vMerge w:val="restart"/>
            <w:tcBorders>
              <w:top w:val="single" w:color="000000" w:sz="4" w:space="0"/>
              <w:left w:val="single" w:color="000000" w:sz="4" w:space="0"/>
              <w:bottom w:val="single" w:color="000000" w:sz="4" w:space="0"/>
              <w:right w:val="single" w:color="000000" w:sz="4" w:space="0"/>
            </w:tcBorders>
            <w:noWrap w:val="0"/>
            <w:vAlign w:val="center"/>
          </w:tcPr>
          <w:p w14:paraId="0A05A28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区域</w:t>
            </w:r>
          </w:p>
        </w:tc>
        <w:tc>
          <w:tcPr>
            <w:tcW w:w="809" w:type="dxa"/>
            <w:vMerge w:val="restart"/>
            <w:tcBorders>
              <w:top w:val="single" w:color="000000" w:sz="4" w:space="0"/>
              <w:left w:val="single" w:color="000000" w:sz="4" w:space="0"/>
              <w:bottom w:val="single" w:color="000000" w:sz="4" w:space="0"/>
              <w:right w:val="single" w:color="000000" w:sz="4" w:space="0"/>
            </w:tcBorders>
            <w:noWrap w:val="0"/>
            <w:vAlign w:val="center"/>
          </w:tcPr>
          <w:p w14:paraId="43DED9E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级别</w:t>
            </w:r>
          </w:p>
        </w:tc>
        <w:tc>
          <w:tcPr>
            <w:tcW w:w="1027" w:type="dxa"/>
            <w:vMerge w:val="restart"/>
            <w:tcBorders>
              <w:top w:val="single" w:color="000000" w:sz="4" w:space="0"/>
              <w:left w:val="single" w:color="000000" w:sz="4" w:space="0"/>
              <w:bottom w:val="single" w:color="000000" w:sz="4" w:space="0"/>
              <w:right w:val="single" w:color="000000" w:sz="4" w:space="0"/>
            </w:tcBorders>
            <w:noWrap w:val="0"/>
            <w:vAlign w:val="center"/>
          </w:tcPr>
          <w:p w14:paraId="2D4AB71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编号</w:t>
            </w:r>
          </w:p>
        </w:tc>
        <w:tc>
          <w:tcPr>
            <w:tcW w:w="1474" w:type="dxa"/>
            <w:vMerge w:val="restart"/>
            <w:tcBorders>
              <w:top w:val="single" w:color="000000" w:sz="4" w:space="0"/>
              <w:left w:val="single" w:color="000000" w:sz="4" w:space="0"/>
              <w:bottom w:val="single" w:color="000000" w:sz="4" w:space="0"/>
              <w:right w:val="single" w:color="000000" w:sz="4" w:space="0"/>
            </w:tcBorders>
            <w:noWrap w:val="0"/>
            <w:vAlign w:val="center"/>
          </w:tcPr>
          <w:p w14:paraId="532CEDC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项目名称</w:t>
            </w:r>
          </w:p>
        </w:tc>
        <w:tc>
          <w:tcPr>
            <w:tcW w:w="1567" w:type="dxa"/>
            <w:vMerge w:val="restart"/>
            <w:tcBorders>
              <w:top w:val="single" w:color="000000" w:sz="4" w:space="0"/>
              <w:left w:val="single" w:color="000000" w:sz="4" w:space="0"/>
              <w:bottom w:val="single" w:color="000000" w:sz="4" w:space="0"/>
              <w:right w:val="single" w:color="000000" w:sz="4" w:space="0"/>
            </w:tcBorders>
            <w:noWrap w:val="0"/>
            <w:vAlign w:val="center"/>
          </w:tcPr>
          <w:p w14:paraId="5A5BD29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位置</w:t>
            </w:r>
          </w:p>
        </w:tc>
        <w:tc>
          <w:tcPr>
            <w:tcW w:w="966" w:type="dxa"/>
            <w:vMerge w:val="restart"/>
            <w:tcBorders>
              <w:top w:val="single" w:color="000000" w:sz="4" w:space="0"/>
              <w:left w:val="single" w:color="000000" w:sz="4" w:space="0"/>
              <w:bottom w:val="single" w:color="000000" w:sz="4" w:space="0"/>
              <w:right w:val="single" w:color="000000" w:sz="4" w:space="0"/>
            </w:tcBorders>
            <w:noWrap w:val="0"/>
            <w:vAlign w:val="center"/>
          </w:tcPr>
          <w:p w14:paraId="461501C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建设性质</w:t>
            </w:r>
          </w:p>
        </w:tc>
        <w:tc>
          <w:tcPr>
            <w:tcW w:w="1027" w:type="dxa"/>
            <w:vMerge w:val="restart"/>
            <w:tcBorders>
              <w:top w:val="single" w:color="000000" w:sz="4" w:space="0"/>
              <w:left w:val="single" w:color="000000" w:sz="4" w:space="0"/>
              <w:bottom w:val="single" w:color="000000" w:sz="4" w:space="0"/>
              <w:right w:val="single" w:color="000000" w:sz="4" w:space="0"/>
            </w:tcBorders>
            <w:noWrap w:val="0"/>
            <w:vAlign w:val="center"/>
          </w:tcPr>
          <w:p w14:paraId="038837E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建设年限</w:t>
            </w:r>
          </w:p>
        </w:tc>
        <w:tc>
          <w:tcPr>
            <w:tcW w:w="858" w:type="dxa"/>
            <w:vMerge w:val="restart"/>
            <w:tcBorders>
              <w:top w:val="single" w:color="000000" w:sz="4" w:space="0"/>
              <w:left w:val="single" w:color="000000" w:sz="4" w:space="0"/>
              <w:bottom w:val="single" w:color="000000" w:sz="4" w:space="0"/>
              <w:right w:val="single" w:color="000000" w:sz="4" w:space="0"/>
            </w:tcBorders>
            <w:noWrap w:val="0"/>
            <w:vAlign w:val="center"/>
          </w:tcPr>
          <w:p w14:paraId="501BD35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用地规模（平方米）</w:t>
            </w:r>
          </w:p>
        </w:tc>
        <w:tc>
          <w:tcPr>
            <w:tcW w:w="777" w:type="dxa"/>
            <w:vMerge w:val="restart"/>
            <w:tcBorders>
              <w:top w:val="single" w:color="000000" w:sz="4" w:space="0"/>
              <w:left w:val="single" w:color="000000" w:sz="4" w:space="0"/>
              <w:bottom w:val="single" w:color="000000" w:sz="4" w:space="0"/>
              <w:right w:val="single" w:color="000000" w:sz="4" w:space="0"/>
            </w:tcBorders>
            <w:noWrap w:val="0"/>
            <w:vAlign w:val="center"/>
          </w:tcPr>
          <w:p w14:paraId="134074B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性质</w:t>
            </w:r>
          </w:p>
        </w:tc>
        <w:tc>
          <w:tcPr>
            <w:tcW w:w="767" w:type="dxa"/>
            <w:vMerge w:val="restart"/>
            <w:tcBorders>
              <w:top w:val="single" w:color="000000" w:sz="4" w:space="0"/>
              <w:left w:val="single" w:color="000000" w:sz="4" w:space="0"/>
              <w:bottom w:val="single" w:color="000000" w:sz="4" w:space="0"/>
              <w:right w:val="single" w:color="000000" w:sz="4" w:space="0"/>
            </w:tcBorders>
            <w:noWrap w:val="0"/>
            <w:vAlign w:val="center"/>
          </w:tcPr>
          <w:p w14:paraId="4ACF070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规划床位（张）</w:t>
            </w:r>
          </w:p>
        </w:tc>
        <w:tc>
          <w:tcPr>
            <w:tcW w:w="759" w:type="dxa"/>
            <w:vMerge w:val="restart"/>
            <w:tcBorders>
              <w:top w:val="single" w:color="000000" w:sz="4" w:space="0"/>
              <w:left w:val="single" w:color="000000" w:sz="4" w:space="0"/>
              <w:bottom w:val="single" w:color="000000" w:sz="4" w:space="0"/>
              <w:right w:val="single" w:color="000000" w:sz="4" w:space="0"/>
            </w:tcBorders>
            <w:noWrap w:val="0"/>
            <w:vAlign w:val="center"/>
          </w:tcPr>
          <w:p w14:paraId="1917756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期限</w:t>
            </w:r>
          </w:p>
        </w:tc>
      </w:tr>
      <w:tr w14:paraId="3F285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C6B620">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E93C8C">
            <w:pPr>
              <w:spacing w:line="320" w:lineRule="exact"/>
              <w:jc w:val="center"/>
              <w:rPr>
                <w:rFonts w:hint="eastAsia" w:ascii="宋体" w:hAnsi="宋体" w:eastAsia="宋体" w:cs="宋体"/>
                <w:i w:val="0"/>
                <w:iCs w:val="0"/>
                <w:color w:val="auto"/>
                <w:sz w:val="24"/>
                <w:szCs w:val="24"/>
                <w:u w:val="none"/>
              </w:rPr>
            </w:pPr>
          </w:p>
        </w:tc>
        <w:tc>
          <w:tcPr>
            <w:tcW w:w="102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94C56C">
            <w:pPr>
              <w:spacing w:line="320" w:lineRule="exact"/>
              <w:jc w:val="center"/>
              <w:rPr>
                <w:rFonts w:hint="eastAsia" w:ascii="宋体" w:hAnsi="宋体" w:eastAsia="宋体" w:cs="宋体"/>
                <w:i w:val="0"/>
                <w:iCs w:val="0"/>
                <w:color w:val="auto"/>
                <w:sz w:val="24"/>
                <w:szCs w:val="24"/>
                <w:u w:val="none"/>
              </w:rPr>
            </w:pPr>
          </w:p>
        </w:tc>
        <w:tc>
          <w:tcPr>
            <w:tcW w:w="14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3912B3">
            <w:pPr>
              <w:spacing w:line="320" w:lineRule="exact"/>
              <w:jc w:val="center"/>
              <w:rPr>
                <w:rFonts w:hint="eastAsia" w:ascii="宋体" w:hAnsi="宋体" w:eastAsia="宋体" w:cs="宋体"/>
                <w:i w:val="0"/>
                <w:iCs w:val="0"/>
                <w:color w:val="auto"/>
                <w:sz w:val="24"/>
                <w:szCs w:val="24"/>
                <w:u w:val="none"/>
              </w:rPr>
            </w:pPr>
          </w:p>
        </w:tc>
        <w:tc>
          <w:tcPr>
            <w:tcW w:w="15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6E78A7">
            <w:pPr>
              <w:spacing w:line="320" w:lineRule="exact"/>
              <w:jc w:val="center"/>
              <w:rPr>
                <w:rFonts w:hint="eastAsia" w:ascii="宋体" w:hAnsi="宋体" w:eastAsia="宋体" w:cs="宋体"/>
                <w:i w:val="0"/>
                <w:iCs w:val="0"/>
                <w:color w:val="auto"/>
                <w:sz w:val="24"/>
                <w:szCs w:val="24"/>
                <w:u w:val="none"/>
              </w:rPr>
            </w:pPr>
          </w:p>
        </w:tc>
        <w:tc>
          <w:tcPr>
            <w:tcW w:w="9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5CFC80">
            <w:pPr>
              <w:spacing w:line="320" w:lineRule="exact"/>
              <w:jc w:val="center"/>
              <w:rPr>
                <w:rFonts w:hint="eastAsia" w:ascii="宋体" w:hAnsi="宋体" w:eastAsia="宋体" w:cs="宋体"/>
                <w:i w:val="0"/>
                <w:iCs w:val="0"/>
                <w:color w:val="auto"/>
                <w:sz w:val="24"/>
                <w:szCs w:val="24"/>
                <w:u w:val="none"/>
              </w:rPr>
            </w:pPr>
          </w:p>
        </w:tc>
        <w:tc>
          <w:tcPr>
            <w:tcW w:w="102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FBD259">
            <w:pPr>
              <w:spacing w:line="320" w:lineRule="exact"/>
              <w:jc w:val="center"/>
              <w:rPr>
                <w:rFonts w:hint="eastAsia" w:ascii="宋体" w:hAnsi="宋体" w:eastAsia="宋体" w:cs="宋体"/>
                <w:i w:val="0"/>
                <w:iCs w:val="0"/>
                <w:color w:val="auto"/>
                <w:sz w:val="24"/>
                <w:szCs w:val="24"/>
                <w:u w:val="none"/>
              </w:rPr>
            </w:pPr>
          </w:p>
        </w:tc>
        <w:tc>
          <w:tcPr>
            <w:tcW w:w="85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46D51">
            <w:pPr>
              <w:spacing w:line="320" w:lineRule="exact"/>
              <w:jc w:val="center"/>
              <w:rPr>
                <w:rFonts w:hint="eastAsia" w:ascii="宋体" w:hAnsi="宋体" w:eastAsia="宋体" w:cs="宋体"/>
                <w:i w:val="0"/>
                <w:iCs w:val="0"/>
                <w:color w:val="000000"/>
                <w:sz w:val="24"/>
                <w:szCs w:val="24"/>
                <w:u w:val="none"/>
              </w:rPr>
            </w:pPr>
          </w:p>
        </w:tc>
        <w:tc>
          <w:tcPr>
            <w:tcW w:w="7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6C21D8">
            <w:pPr>
              <w:spacing w:line="320" w:lineRule="exact"/>
              <w:jc w:val="center"/>
              <w:rPr>
                <w:rFonts w:hint="eastAsia" w:ascii="宋体" w:hAnsi="宋体" w:eastAsia="宋体" w:cs="宋体"/>
                <w:i w:val="0"/>
                <w:iCs w:val="0"/>
                <w:color w:val="000000"/>
                <w:sz w:val="24"/>
                <w:szCs w:val="24"/>
                <w:u w:val="none"/>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601E27">
            <w:pPr>
              <w:spacing w:line="320" w:lineRule="exact"/>
              <w:jc w:val="center"/>
              <w:rPr>
                <w:rFonts w:hint="eastAsia" w:ascii="宋体" w:hAnsi="宋体" w:eastAsia="宋体" w:cs="宋体"/>
                <w:i w:val="0"/>
                <w:iCs w:val="0"/>
                <w:color w:val="000000"/>
                <w:sz w:val="24"/>
                <w:szCs w:val="24"/>
                <w:u w:val="none"/>
              </w:rPr>
            </w:pPr>
          </w:p>
        </w:tc>
        <w:tc>
          <w:tcPr>
            <w:tcW w:w="7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2C87ED">
            <w:pPr>
              <w:spacing w:line="320" w:lineRule="exact"/>
              <w:jc w:val="center"/>
              <w:rPr>
                <w:rFonts w:hint="eastAsia" w:ascii="宋体" w:hAnsi="宋体" w:eastAsia="宋体" w:cs="宋体"/>
                <w:i w:val="0"/>
                <w:iCs w:val="0"/>
                <w:color w:val="000000"/>
                <w:sz w:val="24"/>
                <w:szCs w:val="24"/>
                <w:u w:val="none"/>
              </w:rPr>
            </w:pPr>
          </w:p>
        </w:tc>
      </w:tr>
      <w:tr w14:paraId="2A4EC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64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E43D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麒麟区</w:t>
            </w: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CCB6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县级</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8FC3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B-QL-01</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4BF2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麒麟区第一社会福利院</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201A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白石江街道保渡社区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EE49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FDFF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5CFB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3700</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AD56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5ED5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0261A9D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5FE99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B377B">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27348">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12A7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B-QL-02</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C1FF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麒麟区老年公寓</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2DA2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三宝街道刘家冲</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AC9C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E3B0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2030-2035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809B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27435</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BCE3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4E96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759" w:type="dxa"/>
            <w:tcBorders>
              <w:top w:val="single" w:color="000000" w:sz="4" w:space="0"/>
              <w:left w:val="single" w:color="000000" w:sz="4" w:space="0"/>
              <w:bottom w:val="single" w:color="000000" w:sz="4" w:space="0"/>
              <w:right w:val="single" w:color="000000" w:sz="4" w:space="0"/>
            </w:tcBorders>
            <w:shd w:val="clear" w:color="auto" w:fill="00B050"/>
            <w:noWrap w:val="0"/>
            <w:vAlign w:val="center"/>
          </w:tcPr>
          <w:p w14:paraId="3775E1A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规划远期</w:t>
            </w:r>
          </w:p>
        </w:tc>
      </w:tr>
      <w:tr w14:paraId="340E7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C7990">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FA314">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9903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B-QL-03</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F391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红庙区级机构养老设施</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F05D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潇湘街道红庙社区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1466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0E5D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2026-2035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59DF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10707</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E398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1C7E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759" w:type="dxa"/>
            <w:tcBorders>
              <w:top w:val="single" w:color="000000" w:sz="4" w:space="0"/>
              <w:left w:val="single" w:color="000000" w:sz="4" w:space="0"/>
              <w:bottom w:val="single" w:color="000000" w:sz="4" w:space="0"/>
              <w:right w:val="single" w:color="000000" w:sz="4" w:space="0"/>
            </w:tcBorders>
            <w:shd w:val="clear" w:color="auto" w:fill="00B050"/>
            <w:noWrap w:val="0"/>
            <w:vAlign w:val="center"/>
          </w:tcPr>
          <w:p w14:paraId="3D4436B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规划远期</w:t>
            </w:r>
          </w:p>
        </w:tc>
      </w:tr>
      <w:tr w14:paraId="557DC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18CCD">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16CBE">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F36E5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B-QL-04</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D098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三江大道区级机构养老设施</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8AA9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文化街道桂花社区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557B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8551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2026-2035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93DD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29360</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EA65A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0FA3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759" w:type="dxa"/>
            <w:tcBorders>
              <w:top w:val="single" w:color="000000" w:sz="4" w:space="0"/>
              <w:left w:val="single" w:color="000000" w:sz="4" w:space="0"/>
              <w:bottom w:val="single" w:color="000000" w:sz="4" w:space="0"/>
              <w:right w:val="single" w:color="000000" w:sz="4" w:space="0"/>
            </w:tcBorders>
            <w:shd w:val="clear" w:color="auto" w:fill="00B050"/>
            <w:noWrap w:val="0"/>
            <w:vAlign w:val="center"/>
          </w:tcPr>
          <w:p w14:paraId="4189145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规划远期</w:t>
            </w:r>
          </w:p>
        </w:tc>
      </w:tr>
      <w:tr w14:paraId="2FBDD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1614A">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33098">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0C7C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B-QL-05</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B179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麒麟湖片区机构养老设施</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4BB3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沿江街道余家圩社区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FBEA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29FA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2026-2035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9F55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38962</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A1FD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5234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759" w:type="dxa"/>
            <w:tcBorders>
              <w:top w:val="single" w:color="000000" w:sz="4" w:space="0"/>
              <w:left w:val="single" w:color="000000" w:sz="4" w:space="0"/>
              <w:bottom w:val="single" w:color="000000" w:sz="4" w:space="0"/>
              <w:right w:val="single" w:color="000000" w:sz="4" w:space="0"/>
            </w:tcBorders>
            <w:shd w:val="clear" w:color="auto" w:fill="00B050"/>
            <w:noWrap w:val="0"/>
            <w:vAlign w:val="center"/>
          </w:tcPr>
          <w:p w14:paraId="0EE976C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规划远期</w:t>
            </w:r>
          </w:p>
        </w:tc>
      </w:tr>
      <w:tr w14:paraId="52F25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9"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4E152">
            <w:pPr>
              <w:spacing w:line="320" w:lineRule="exact"/>
              <w:jc w:val="center"/>
              <w:rPr>
                <w:rFonts w:hint="eastAsia" w:ascii="宋体" w:hAnsi="宋体" w:eastAsia="宋体" w:cs="宋体"/>
                <w:i w:val="0"/>
                <w:iCs w:val="0"/>
                <w:color w:val="auto"/>
                <w:sz w:val="24"/>
                <w:szCs w:val="24"/>
                <w:u w:val="none"/>
              </w:rPr>
            </w:pP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10A3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乡镇（街道）级</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E00C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C-QL-01</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2418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珠街街道敬老院（提质改造为区域养老服务中心）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0D48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云南省曲靖市麒麟区珠街街道涌泉村委会汪家寺村</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936C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远期提质改造</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1805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2026-2035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EF43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8B9F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1292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4297CED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0B9C1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9"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72054">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172383">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30DD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C-QL-02</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67611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麒麟区三宝街道敬老院（提质改造为区域养老服务中心）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C9D7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云南省曲靖市麒麟区三宝街道办事处三宝社区四组</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4D7C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远期提质改造</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52C5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2026-2035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A070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C94E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45A2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7C8B6B6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12D05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9"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015D4">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7E61E">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AD6E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C-QL-03</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F3C3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潇湘街道敬老院（提质改造为区域养老服务中心）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4FB9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云南省曲靖市麒麟区潇湘街道潇湘村委会平坡村</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07DE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远期提质改造</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EAA0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2026-2035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C028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19D9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8B8B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12D078E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45658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9"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7235C">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43CBC">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95E5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C-QL-04</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0F94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沿江街道敬老院</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E58E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云南省曲靖市麒麟区沿江街道新圩社区七组外海子</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E068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3F5D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2026-2035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335F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CBBB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9A1D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1350DE6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559D1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87124">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8AB43">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1705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C-QL-05</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D2A5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寥廓街道区域养老服务中心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02B9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云南省曲靖市麒麟区寥廓街道园林社区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D087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C93D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2021-2025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0218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兼容用地</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EEA2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F8BD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w:t>
            </w:r>
          </w:p>
        </w:tc>
        <w:tc>
          <w:tcPr>
            <w:tcW w:w="759" w:type="dxa"/>
            <w:tcBorders>
              <w:top w:val="single" w:color="000000" w:sz="4" w:space="0"/>
              <w:left w:val="single" w:color="000000" w:sz="4" w:space="0"/>
              <w:bottom w:val="single" w:color="000000" w:sz="4" w:space="0"/>
              <w:right w:val="single" w:color="000000" w:sz="4" w:space="0"/>
            </w:tcBorders>
            <w:shd w:val="clear" w:color="auto" w:fill="FFC7CE"/>
            <w:noWrap w:val="0"/>
            <w:vAlign w:val="center"/>
          </w:tcPr>
          <w:p w14:paraId="5BD1F5F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规划近期</w:t>
            </w:r>
          </w:p>
        </w:tc>
      </w:tr>
      <w:tr w14:paraId="6AFA0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394EC">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8C77D">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6175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C-QL-06</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E5D4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太和街道区域养老服务中心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8796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云南省曲靖市麒麟区太和街道鑫源社区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71FA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0D2B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2021-2025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3CF2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兼容用地</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4681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A8283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759" w:type="dxa"/>
            <w:tcBorders>
              <w:top w:val="single" w:color="000000" w:sz="4" w:space="0"/>
              <w:left w:val="single" w:color="000000" w:sz="4" w:space="0"/>
              <w:bottom w:val="single" w:color="000000" w:sz="4" w:space="0"/>
              <w:right w:val="single" w:color="000000" w:sz="4" w:space="0"/>
            </w:tcBorders>
            <w:shd w:val="clear" w:color="auto" w:fill="FFC7CE"/>
            <w:noWrap w:val="0"/>
            <w:vAlign w:val="center"/>
          </w:tcPr>
          <w:p w14:paraId="59595E2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规划近期</w:t>
            </w:r>
          </w:p>
        </w:tc>
      </w:tr>
      <w:tr w14:paraId="548BE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30271">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6F9B4">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3399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C-QL-07</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A863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文华街道综合养老服务中心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1BB6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云南省曲靖市麒麟区文华街道丰登社区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80EC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DC66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2021-2025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3246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兼容用地</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A96A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AB83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759" w:type="dxa"/>
            <w:tcBorders>
              <w:top w:val="single" w:color="000000" w:sz="4" w:space="0"/>
              <w:left w:val="single" w:color="000000" w:sz="4" w:space="0"/>
              <w:bottom w:val="single" w:color="000000" w:sz="4" w:space="0"/>
              <w:right w:val="single" w:color="000000" w:sz="4" w:space="0"/>
            </w:tcBorders>
            <w:shd w:val="clear" w:color="auto" w:fill="FFC7CE"/>
            <w:noWrap w:val="0"/>
            <w:vAlign w:val="center"/>
          </w:tcPr>
          <w:p w14:paraId="0E6A304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规划近期</w:t>
            </w:r>
          </w:p>
        </w:tc>
      </w:tr>
      <w:tr w14:paraId="28FFD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6A7B0">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6D854">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22E7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C-QL-08</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14E9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南宁街道区域养老服务中心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DEC1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南宁街道黄家庄社区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F31A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157E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2021-2025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3CD6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4526</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3042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BD45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59" w:type="dxa"/>
            <w:tcBorders>
              <w:top w:val="single" w:color="000000" w:sz="4" w:space="0"/>
              <w:left w:val="single" w:color="000000" w:sz="4" w:space="0"/>
              <w:bottom w:val="single" w:color="000000" w:sz="4" w:space="0"/>
              <w:right w:val="single" w:color="000000" w:sz="4" w:space="0"/>
            </w:tcBorders>
            <w:shd w:val="clear" w:color="auto" w:fill="FFC7CE"/>
            <w:noWrap w:val="0"/>
            <w:vAlign w:val="center"/>
          </w:tcPr>
          <w:p w14:paraId="3EFA90F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规划近期</w:t>
            </w:r>
          </w:p>
        </w:tc>
      </w:tr>
      <w:tr w14:paraId="584E3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22401">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C23AA">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2D4D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C-QL-09</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510F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益宁街道区域养老服务中心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9823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益宁街道台子社区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A3DA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B51A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2021-2030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4220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8146</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D33D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E567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59" w:type="dxa"/>
            <w:tcBorders>
              <w:top w:val="single" w:color="000000" w:sz="4" w:space="0"/>
              <w:left w:val="single" w:color="000000" w:sz="4" w:space="0"/>
              <w:bottom w:val="single" w:color="000000" w:sz="4" w:space="0"/>
              <w:right w:val="single" w:color="000000" w:sz="4" w:space="0"/>
            </w:tcBorders>
            <w:shd w:val="clear" w:color="auto" w:fill="FFC000"/>
            <w:noWrap w:val="0"/>
            <w:vAlign w:val="center"/>
          </w:tcPr>
          <w:p w14:paraId="2FF04A9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规划中期</w:t>
            </w:r>
          </w:p>
        </w:tc>
      </w:tr>
      <w:tr w14:paraId="41B9F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0DE8D">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5FD42">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C83C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C-QL-10</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3673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沿江街道区域养老服务中心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1FD2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沿江街道沿江南路</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4985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1369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2021-2030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4E61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12630</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6087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8EDB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759" w:type="dxa"/>
            <w:tcBorders>
              <w:top w:val="single" w:color="000000" w:sz="4" w:space="0"/>
              <w:left w:val="single" w:color="000000" w:sz="4" w:space="0"/>
              <w:bottom w:val="single" w:color="000000" w:sz="4" w:space="0"/>
              <w:right w:val="single" w:color="000000" w:sz="4" w:space="0"/>
            </w:tcBorders>
            <w:shd w:val="clear" w:color="auto" w:fill="FFC000"/>
            <w:noWrap w:val="0"/>
            <w:vAlign w:val="center"/>
          </w:tcPr>
          <w:p w14:paraId="5AB0EB8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规划中期</w:t>
            </w:r>
          </w:p>
        </w:tc>
      </w:tr>
      <w:tr w14:paraId="6EA5A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005F2">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6F738">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8556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C-QL-11</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E6734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建宁街道居家养老服务中心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4BCF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选址由街道结合实际情况确定</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3E85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BBD9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2021-2030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E574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兼容用地</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B62D4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69D2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59" w:type="dxa"/>
            <w:tcBorders>
              <w:top w:val="single" w:color="000000" w:sz="4" w:space="0"/>
              <w:left w:val="single" w:color="000000" w:sz="4" w:space="0"/>
              <w:bottom w:val="single" w:color="000000" w:sz="4" w:space="0"/>
              <w:right w:val="single" w:color="000000" w:sz="4" w:space="0"/>
            </w:tcBorders>
            <w:shd w:val="clear" w:color="auto" w:fill="FFC000"/>
            <w:noWrap w:val="0"/>
            <w:vAlign w:val="center"/>
          </w:tcPr>
          <w:p w14:paraId="04D756B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规划中期</w:t>
            </w:r>
          </w:p>
        </w:tc>
      </w:tr>
      <w:tr w14:paraId="1B564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3A382">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84D03">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CD13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C-QL-12</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F187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白石江街道居家养老服务中心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F7E3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选址由街道结合实际情况确定</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950B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DF29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2021-2030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27EC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兼容用地</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8FAD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227D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59" w:type="dxa"/>
            <w:tcBorders>
              <w:top w:val="single" w:color="000000" w:sz="4" w:space="0"/>
              <w:left w:val="single" w:color="000000" w:sz="4" w:space="0"/>
              <w:bottom w:val="single" w:color="000000" w:sz="4" w:space="0"/>
              <w:right w:val="single" w:color="000000" w:sz="4" w:space="0"/>
            </w:tcBorders>
            <w:shd w:val="clear" w:color="auto" w:fill="FFC000"/>
            <w:noWrap w:val="0"/>
            <w:vAlign w:val="center"/>
          </w:tcPr>
          <w:p w14:paraId="29D353B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规划中期</w:t>
            </w:r>
          </w:p>
        </w:tc>
      </w:tr>
      <w:tr w14:paraId="5304A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9B2D3">
            <w:pPr>
              <w:spacing w:line="320" w:lineRule="exact"/>
              <w:jc w:val="center"/>
              <w:rPr>
                <w:rFonts w:hint="eastAsia" w:ascii="宋体" w:hAnsi="宋体" w:eastAsia="宋体" w:cs="宋体"/>
                <w:i w:val="0"/>
                <w:iCs w:val="0"/>
                <w:color w:val="auto"/>
                <w:sz w:val="24"/>
                <w:szCs w:val="24"/>
                <w:u w:val="none"/>
              </w:rPr>
            </w:pP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ED1A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民办养老服务设施</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E125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M-QL-01</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4A26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麒麟区南宁鸿康养老服务中心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B2C6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云南省曲靖市麒麟区南宁街道黄家庄社区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34F9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4747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28A7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A880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498F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323AF13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12CF8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321FE">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01D30">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66F3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M-QL-02</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D1EE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云南辰真养老有限公司曲靖官坡寺分公司</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FFE3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云南省曲靖市麒麟区官坡寺模机三厂内</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055F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DFEF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4577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15BB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0938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27FAB4A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33BDC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6E796">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C3CC0">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3F68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M-QL-03</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F9D5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云南辰真养老有限公司</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7EE3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云南省曲靖市麒麟区祥和路26号交通医院内</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5354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B3F5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4B74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F4D8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872F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0EB7B0E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6EFE1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9"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1408A">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12457">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2BE4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M-QL-04</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6EAF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曲靖金秋养老服务有限责任公司</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4EC9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云南省曲靖市麒麟区白石江街道南宁北路286号</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145A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188B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79A1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ECFC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6FC7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161E6D8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3DE7B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B4DD2">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3F6A6">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5F27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M-QL-05</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D43A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辰真养老有限公司曲靖太和分公司</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7737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云南省曲靖市麒麟区太和街道鑫源社区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E04C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3FC9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EF84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0356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F357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617A4AE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2B54E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7"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362E0">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A3A0B">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483B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M-QL-06</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9A76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曲靖市福乐康老年公寓有限公司</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22A7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云南省曲靖市麒麟区益宁街道牛街旁福乐康老年公寓</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A9FC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A557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0ECF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9D81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2921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0C45C4F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7DF05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46D91">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69DB6">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96BB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M-QL-07</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0595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曲靖市麒麟区圣爱养护园</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47E6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云南省曲靖市麒麟区三宝街道雅户社区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689D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4FDA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D022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5901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121D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55968EE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121EB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5F18C">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ED580">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4CAB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M-QL-08</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F46D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曲靖市麒麟区勤麒麟养心苑</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D6BE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云南省曲靖市麒麟区珠街街道珠街社区对面</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8AF5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D19E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B5ED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FFF3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79C0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4B1D654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7458C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54B49">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5E422">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D7FC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M-QL-09</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6741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曲靖润清福养老服务有限公司</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0E94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云南省曲靖市麒麟区白石江街道安康巷2号</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98A4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FF4B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9A4B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0CDC4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BE3E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3F66154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63C20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3B807">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44141">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E128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M-QL-10</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D9256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曲靖多康养老服务有限公司</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83DA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云南省曲靖市麒麟区金麟湾体育中心</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EFF2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6D13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2479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98C3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B978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7475408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582C2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1"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8AEA5">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9B19E">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9691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M-QL-11</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D9C3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曲靖市麒麟区金麟鸿康养老服务中心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66F0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云南省曲靖市麒麟区潇湘街道金麟社区英才路180号</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BB52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8A5B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FAE7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83C2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2AD9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5F88128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14D21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7"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C7543">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71237">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8E5E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M-QL-12</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24B7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曲靖嘉廷老年服务有限公司</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2D72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云南省曲靖市麒麟区沿江街道金江路南侧（麒麟职教技术集团对面）</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099F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1DB9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EBB8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0F48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FAFC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3A9C14E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4BDFC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69D24">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48061">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8EF0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M-QL-13</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36B5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云南滇百善疗养服务有限公司</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EB07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云南省曲靖市麒麟区茨营镇北贾家营村</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8281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C2BD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FA3D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5E73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1C04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609DA45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0C9D3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9"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658F8">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3395B">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4658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M-QL-14</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6495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云南康源逸晖康养服务有限公司</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A07C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云南省曲靖市麒麟区寥廓街道园林社区（原昆曲大酒店）</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9C6A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C465D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B177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14B4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82FC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31471AD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026E3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7"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F1587">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BCDBC">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1BBC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M-QL-15</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3179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曲靖博大医院</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163E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云南省曲靖市麒麟区白石江街道办事处保渡社区保渡路1号</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3201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E948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5EC3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9A7A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1664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77F806A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75ADD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8E786B">
            <w:pPr>
              <w:spacing w:line="320" w:lineRule="exact"/>
              <w:jc w:val="center"/>
              <w:rPr>
                <w:rFonts w:hint="eastAsia" w:ascii="宋体" w:hAnsi="宋体" w:eastAsia="宋体" w:cs="宋体"/>
                <w:i w:val="0"/>
                <w:iCs w:val="0"/>
                <w:color w:val="auto"/>
                <w:sz w:val="24"/>
                <w:szCs w:val="24"/>
                <w:u w:val="none"/>
              </w:rPr>
            </w:pPr>
          </w:p>
        </w:tc>
        <w:tc>
          <w:tcPr>
            <w:tcW w:w="4877" w:type="dxa"/>
            <w:gridSpan w:val="4"/>
            <w:tcBorders>
              <w:top w:val="single" w:color="000000" w:sz="4" w:space="0"/>
              <w:left w:val="single" w:color="000000" w:sz="4" w:space="0"/>
              <w:bottom w:val="single" w:color="000000" w:sz="4" w:space="0"/>
              <w:right w:val="single" w:color="000000" w:sz="4" w:space="0"/>
            </w:tcBorders>
            <w:noWrap w:val="0"/>
            <w:vAlign w:val="center"/>
          </w:tcPr>
          <w:p w14:paraId="44706936">
            <w:pPr>
              <w:keepNext w:val="0"/>
              <w:keepLines w:val="0"/>
              <w:widowControl/>
              <w:suppressLineNumbers w:val="0"/>
              <w:spacing w:line="320" w:lineRule="exact"/>
              <w:ind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麒麟区</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68551372">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6DF2D242">
            <w:pPr>
              <w:spacing w:line="320" w:lineRule="exact"/>
              <w:jc w:val="center"/>
              <w:rPr>
                <w:rFonts w:hint="eastAsia" w:ascii="宋体" w:hAnsi="宋体" w:eastAsia="宋体" w:cs="宋体"/>
                <w:i w:val="0"/>
                <w:iCs w:val="0"/>
                <w:color w:val="auto"/>
                <w:sz w:val="24"/>
                <w:szCs w:val="24"/>
                <w:u w:val="none"/>
              </w:rPr>
            </w:pPr>
          </w:p>
        </w:tc>
        <w:tc>
          <w:tcPr>
            <w:tcW w:w="858" w:type="dxa"/>
            <w:tcBorders>
              <w:top w:val="single" w:color="000000" w:sz="4" w:space="0"/>
              <w:left w:val="single" w:color="000000" w:sz="4" w:space="0"/>
              <w:bottom w:val="single" w:color="000000" w:sz="4" w:space="0"/>
              <w:right w:val="single" w:color="000000" w:sz="4" w:space="0"/>
            </w:tcBorders>
            <w:noWrap w:val="0"/>
            <w:vAlign w:val="center"/>
          </w:tcPr>
          <w:p w14:paraId="7AD5FA33">
            <w:pPr>
              <w:keepNext w:val="0"/>
              <w:keepLines w:val="0"/>
              <w:widowControl/>
              <w:suppressLineNumbers w:val="0"/>
              <w:spacing w:line="320" w:lineRule="exact"/>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135466</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7FDA8EFE">
            <w:pPr>
              <w:spacing w:line="320" w:lineRule="exact"/>
              <w:jc w:val="center"/>
              <w:rPr>
                <w:rFonts w:hint="eastAsia" w:ascii="宋体" w:hAnsi="宋体" w:eastAsia="宋体" w:cs="宋体"/>
                <w:b/>
                <w:bCs/>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noWrap w:val="0"/>
            <w:vAlign w:val="center"/>
          </w:tcPr>
          <w:p w14:paraId="5161B1AF">
            <w:pPr>
              <w:keepNext w:val="0"/>
              <w:keepLines w:val="0"/>
              <w:widowControl/>
              <w:suppressLineNumbers w:val="0"/>
              <w:spacing w:line="320" w:lineRule="exact"/>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4030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125BAFEF">
            <w:pPr>
              <w:spacing w:line="320" w:lineRule="exact"/>
              <w:jc w:val="center"/>
              <w:rPr>
                <w:rFonts w:hint="eastAsia" w:ascii="宋体" w:hAnsi="宋体" w:eastAsia="宋体" w:cs="宋体"/>
                <w:i w:val="0"/>
                <w:iCs w:val="0"/>
                <w:color w:val="000000"/>
                <w:sz w:val="24"/>
                <w:szCs w:val="24"/>
                <w:u w:val="none"/>
              </w:rPr>
            </w:pPr>
          </w:p>
        </w:tc>
      </w:tr>
      <w:tr w14:paraId="0D957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64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96CA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经开区</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63314">
            <w:pPr>
              <w:keepNext w:val="0"/>
              <w:keepLines w:val="0"/>
              <w:widowControl/>
              <w:suppressLineNumbers w:val="0"/>
              <w:spacing w:line="320" w:lineRule="exact"/>
              <w:ind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县级</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E573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B-JK-01</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9AEE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经开区老年公寓（扩建）</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ABE3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西城街道西苑社区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D43D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远期扩建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7553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2026-2035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1099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18720</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1A20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E858A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759" w:type="dxa"/>
            <w:tcBorders>
              <w:top w:val="single" w:color="000000" w:sz="4" w:space="0"/>
              <w:left w:val="single" w:color="000000" w:sz="4" w:space="0"/>
              <w:bottom w:val="single" w:color="000000" w:sz="4" w:space="0"/>
              <w:right w:val="single" w:color="000000" w:sz="4" w:space="0"/>
            </w:tcBorders>
            <w:shd w:val="clear" w:color="auto" w:fill="00B050"/>
            <w:noWrap w:val="0"/>
            <w:vAlign w:val="center"/>
          </w:tcPr>
          <w:p w14:paraId="5D16FAE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规划远期</w:t>
            </w:r>
          </w:p>
        </w:tc>
      </w:tr>
      <w:tr w14:paraId="490B5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40563">
            <w:pPr>
              <w:spacing w:line="320" w:lineRule="exact"/>
              <w:jc w:val="center"/>
              <w:rPr>
                <w:rFonts w:hint="eastAsia" w:ascii="宋体" w:hAnsi="宋体" w:eastAsia="宋体" w:cs="宋体"/>
                <w:i w:val="0"/>
                <w:iCs w:val="0"/>
                <w:color w:val="auto"/>
                <w:sz w:val="24"/>
                <w:szCs w:val="24"/>
                <w:u w:val="none"/>
              </w:rPr>
            </w:pP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A24B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乡镇（街道）级</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B3E7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C-JK-01</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A71F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翠峰街道综合养老服务中心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5A76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云南省曲靖市经开区翠峰街道三岔社区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B2FE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1762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2021-2025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6EEB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兼容用地</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04DD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D0D2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759" w:type="dxa"/>
            <w:tcBorders>
              <w:top w:val="single" w:color="000000" w:sz="4" w:space="0"/>
              <w:left w:val="single" w:color="000000" w:sz="4" w:space="0"/>
              <w:bottom w:val="single" w:color="000000" w:sz="4" w:space="0"/>
              <w:right w:val="single" w:color="000000" w:sz="4" w:space="0"/>
            </w:tcBorders>
            <w:shd w:val="clear" w:color="auto" w:fill="FFC7CE"/>
            <w:noWrap w:val="0"/>
            <w:vAlign w:val="center"/>
          </w:tcPr>
          <w:p w14:paraId="6D00AE7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规划近期</w:t>
            </w:r>
          </w:p>
        </w:tc>
      </w:tr>
      <w:tr w14:paraId="1F5EE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87071">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E0E1B">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D6E7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C-JK-02</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5976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西城街道区域养老服务中心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98BC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西城街道西山社区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5F13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B4C3B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2021-2030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15BF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8055</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AC10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F3D3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59" w:type="dxa"/>
            <w:tcBorders>
              <w:top w:val="single" w:color="000000" w:sz="4" w:space="0"/>
              <w:left w:val="single" w:color="000000" w:sz="4" w:space="0"/>
              <w:bottom w:val="single" w:color="000000" w:sz="4" w:space="0"/>
              <w:right w:val="single" w:color="000000" w:sz="4" w:space="0"/>
            </w:tcBorders>
            <w:shd w:val="clear" w:color="auto" w:fill="FFC000"/>
            <w:noWrap w:val="0"/>
            <w:vAlign w:val="center"/>
          </w:tcPr>
          <w:p w14:paraId="7DAE8E4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规划中期</w:t>
            </w:r>
          </w:p>
        </w:tc>
      </w:tr>
      <w:tr w14:paraId="4944C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8600FC">
            <w:pPr>
              <w:spacing w:line="320" w:lineRule="exact"/>
              <w:jc w:val="center"/>
              <w:rPr>
                <w:rFonts w:hint="eastAsia" w:ascii="宋体" w:hAnsi="宋体" w:eastAsia="宋体" w:cs="宋体"/>
                <w:i w:val="0"/>
                <w:iCs w:val="0"/>
                <w:color w:val="auto"/>
                <w:sz w:val="24"/>
                <w:szCs w:val="24"/>
                <w:u w:val="none"/>
              </w:rPr>
            </w:pPr>
          </w:p>
        </w:tc>
        <w:tc>
          <w:tcPr>
            <w:tcW w:w="4877" w:type="dxa"/>
            <w:gridSpan w:val="4"/>
            <w:tcBorders>
              <w:top w:val="single" w:color="000000" w:sz="4" w:space="0"/>
              <w:left w:val="single" w:color="000000" w:sz="4" w:space="0"/>
              <w:bottom w:val="single" w:color="000000" w:sz="4" w:space="0"/>
              <w:right w:val="single" w:color="000000" w:sz="4" w:space="0"/>
            </w:tcBorders>
            <w:noWrap w:val="0"/>
            <w:vAlign w:val="center"/>
          </w:tcPr>
          <w:p w14:paraId="515DBF85">
            <w:pPr>
              <w:keepNext w:val="0"/>
              <w:keepLines w:val="0"/>
              <w:widowControl/>
              <w:suppressLineNumbers w:val="0"/>
              <w:spacing w:line="320" w:lineRule="exact"/>
              <w:ind w:firstLine="0" w:firstLineChars="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经开区</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170091CA">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29AE30BE">
            <w:pPr>
              <w:spacing w:line="320" w:lineRule="exact"/>
              <w:jc w:val="center"/>
              <w:rPr>
                <w:rFonts w:hint="eastAsia" w:ascii="宋体" w:hAnsi="宋体" w:eastAsia="宋体" w:cs="宋体"/>
                <w:i w:val="0"/>
                <w:iCs w:val="0"/>
                <w:color w:val="auto"/>
                <w:sz w:val="24"/>
                <w:szCs w:val="24"/>
                <w:u w:val="none"/>
              </w:rPr>
            </w:pPr>
          </w:p>
        </w:tc>
        <w:tc>
          <w:tcPr>
            <w:tcW w:w="858" w:type="dxa"/>
            <w:tcBorders>
              <w:top w:val="single" w:color="000000" w:sz="4" w:space="0"/>
              <w:left w:val="single" w:color="000000" w:sz="4" w:space="0"/>
              <w:bottom w:val="single" w:color="000000" w:sz="4" w:space="0"/>
              <w:right w:val="single" w:color="000000" w:sz="4" w:space="0"/>
            </w:tcBorders>
            <w:noWrap w:val="0"/>
            <w:vAlign w:val="center"/>
          </w:tcPr>
          <w:p w14:paraId="6229EEA0">
            <w:pPr>
              <w:keepNext w:val="0"/>
              <w:keepLines w:val="0"/>
              <w:widowControl/>
              <w:suppressLineNumbers w:val="0"/>
              <w:spacing w:line="320" w:lineRule="exact"/>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26775</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49A123FE">
            <w:pPr>
              <w:spacing w:line="320" w:lineRule="exact"/>
              <w:jc w:val="center"/>
              <w:rPr>
                <w:rFonts w:hint="eastAsia" w:ascii="宋体" w:hAnsi="宋体" w:eastAsia="宋体" w:cs="宋体"/>
                <w:b/>
                <w:bCs/>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noWrap w:val="0"/>
            <w:vAlign w:val="center"/>
          </w:tcPr>
          <w:p w14:paraId="0877C37B">
            <w:pPr>
              <w:keepNext w:val="0"/>
              <w:keepLines w:val="0"/>
              <w:widowControl/>
              <w:suppressLineNumbers w:val="0"/>
              <w:spacing w:line="320" w:lineRule="exact"/>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630</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49100F83">
            <w:pPr>
              <w:spacing w:line="320" w:lineRule="exact"/>
              <w:jc w:val="center"/>
              <w:rPr>
                <w:rFonts w:hint="eastAsia" w:ascii="宋体" w:hAnsi="宋体" w:eastAsia="宋体" w:cs="宋体"/>
                <w:i w:val="0"/>
                <w:iCs w:val="0"/>
                <w:color w:val="000000"/>
                <w:sz w:val="24"/>
                <w:szCs w:val="24"/>
                <w:u w:val="none"/>
              </w:rPr>
            </w:pPr>
          </w:p>
        </w:tc>
      </w:tr>
      <w:tr w14:paraId="17565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64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B5BF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沾益区</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5CF0B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市级</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061D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A-01</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AF53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曲靖市老年公寓一二期</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D33D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西平街道彩云社区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CB08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远期扩建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E878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DA65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16250</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9DA1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E69A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215</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6E11786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07273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CB064">
            <w:pPr>
              <w:spacing w:line="320" w:lineRule="exact"/>
              <w:jc w:val="center"/>
              <w:rPr>
                <w:rFonts w:hint="eastAsia" w:ascii="宋体" w:hAnsi="宋体" w:eastAsia="宋体" w:cs="宋体"/>
                <w:i w:val="0"/>
                <w:iCs w:val="0"/>
                <w:color w:val="auto"/>
                <w:sz w:val="24"/>
                <w:szCs w:val="24"/>
                <w:u w:val="none"/>
              </w:rPr>
            </w:pP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0E72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县级</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5AC5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B-ZY-01</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606B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沾益区社会福利院</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D5A5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西平街道彩云社区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E34D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A60B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4E1A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1900</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9C42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31E0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2F33808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67B36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359FF">
            <w:pPr>
              <w:spacing w:line="320" w:lineRule="exact"/>
              <w:jc w:val="center"/>
              <w:rPr>
                <w:rFonts w:hint="eastAsia" w:ascii="宋体" w:hAnsi="宋体" w:eastAsia="宋体" w:cs="宋体"/>
                <w:i w:val="0"/>
                <w:iCs w:val="0"/>
                <w:color w:val="auto"/>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DAA7F">
            <w:pPr>
              <w:spacing w:line="320" w:lineRule="exact"/>
              <w:jc w:val="center"/>
              <w:rPr>
                <w:rFonts w:hint="eastAsia" w:ascii="宋体" w:hAnsi="宋体" w:eastAsia="宋体" w:cs="宋体"/>
                <w:i w:val="0"/>
                <w:iCs w:val="0"/>
                <w:color w:val="auto"/>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4CDD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B-ZY-02</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CE82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沾益区中心敬老院</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2DD9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西平街道彩云社区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288E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5265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C829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1300</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82DD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D0CA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5027801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48987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3FE37">
            <w:pPr>
              <w:spacing w:line="320" w:lineRule="exact"/>
              <w:jc w:val="center"/>
              <w:rPr>
                <w:rFonts w:hint="eastAsia" w:ascii="宋体" w:hAnsi="宋体" w:eastAsia="宋体" w:cs="宋体"/>
                <w:i w:val="0"/>
                <w:iCs w:val="0"/>
                <w:color w:val="000000"/>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4050E">
            <w:pPr>
              <w:spacing w:line="320" w:lineRule="exact"/>
              <w:jc w:val="center"/>
              <w:rPr>
                <w:rFonts w:hint="eastAsia" w:ascii="宋体" w:hAnsi="宋体" w:eastAsia="宋体" w:cs="宋体"/>
                <w:i w:val="0"/>
                <w:iCs w:val="0"/>
                <w:color w:val="000000"/>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68CC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B-ZY-03</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DAEC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西平区级机构养老设施</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870E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西平街道望海社区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CD31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9844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2026-2035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B363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8107</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90E4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1F51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759" w:type="dxa"/>
            <w:tcBorders>
              <w:top w:val="single" w:color="000000" w:sz="4" w:space="0"/>
              <w:left w:val="single" w:color="000000" w:sz="4" w:space="0"/>
              <w:bottom w:val="single" w:color="000000" w:sz="4" w:space="0"/>
              <w:right w:val="single" w:color="000000" w:sz="4" w:space="0"/>
            </w:tcBorders>
            <w:shd w:val="clear" w:color="auto" w:fill="00B050"/>
            <w:noWrap w:val="0"/>
            <w:vAlign w:val="center"/>
          </w:tcPr>
          <w:p w14:paraId="69C9F00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规划远期</w:t>
            </w:r>
          </w:p>
        </w:tc>
      </w:tr>
      <w:tr w14:paraId="79A8F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D5706">
            <w:pPr>
              <w:spacing w:line="320" w:lineRule="exact"/>
              <w:jc w:val="center"/>
              <w:rPr>
                <w:rFonts w:hint="eastAsia" w:ascii="宋体" w:hAnsi="宋体" w:eastAsia="宋体" w:cs="宋体"/>
                <w:i w:val="0"/>
                <w:iCs w:val="0"/>
                <w:color w:val="000000"/>
                <w:sz w:val="24"/>
                <w:szCs w:val="24"/>
                <w:u w:val="none"/>
              </w:rPr>
            </w:pP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BBEF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乡镇（街道）级</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08FD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C-ZY-01</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EA79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龙华街道区域养老服务中心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FD93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龙华街道西河社区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4FE2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25C4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2021-2030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E8ED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12008</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C9F5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4D0F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759" w:type="dxa"/>
            <w:tcBorders>
              <w:top w:val="single" w:color="000000" w:sz="4" w:space="0"/>
              <w:left w:val="single" w:color="000000" w:sz="4" w:space="0"/>
              <w:bottom w:val="single" w:color="000000" w:sz="4" w:space="0"/>
              <w:right w:val="single" w:color="000000" w:sz="4" w:space="0"/>
            </w:tcBorders>
            <w:shd w:val="clear" w:color="auto" w:fill="FFC000"/>
            <w:noWrap w:val="0"/>
            <w:vAlign w:val="center"/>
          </w:tcPr>
          <w:p w14:paraId="0A4E94D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规划中期</w:t>
            </w:r>
          </w:p>
        </w:tc>
      </w:tr>
      <w:tr w14:paraId="2AE80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E8662">
            <w:pPr>
              <w:spacing w:line="320" w:lineRule="exact"/>
              <w:jc w:val="center"/>
              <w:rPr>
                <w:rFonts w:hint="eastAsia" w:ascii="宋体" w:hAnsi="宋体" w:eastAsia="宋体" w:cs="宋体"/>
                <w:i w:val="0"/>
                <w:iCs w:val="0"/>
                <w:color w:val="000000"/>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385F3">
            <w:pPr>
              <w:spacing w:line="320" w:lineRule="exact"/>
              <w:jc w:val="center"/>
              <w:rPr>
                <w:rFonts w:hint="eastAsia" w:ascii="宋体" w:hAnsi="宋体" w:eastAsia="宋体" w:cs="宋体"/>
                <w:i w:val="0"/>
                <w:iCs w:val="0"/>
                <w:color w:val="000000"/>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8CED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C-ZY-02</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2C6C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西平街道区域养老服务中心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2C27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西平街道黑桥社区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7F5E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EF3E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2021-2030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0195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2670</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6A7E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F947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59" w:type="dxa"/>
            <w:tcBorders>
              <w:top w:val="single" w:color="000000" w:sz="4" w:space="0"/>
              <w:left w:val="single" w:color="000000" w:sz="4" w:space="0"/>
              <w:bottom w:val="single" w:color="000000" w:sz="4" w:space="0"/>
              <w:right w:val="single" w:color="000000" w:sz="4" w:space="0"/>
            </w:tcBorders>
            <w:shd w:val="clear" w:color="auto" w:fill="FFC000"/>
            <w:noWrap w:val="0"/>
            <w:vAlign w:val="center"/>
          </w:tcPr>
          <w:p w14:paraId="3169A39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规划中期</w:t>
            </w:r>
          </w:p>
        </w:tc>
      </w:tr>
      <w:tr w14:paraId="37B7F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7EEF0">
            <w:pPr>
              <w:spacing w:line="320" w:lineRule="exact"/>
              <w:jc w:val="center"/>
              <w:rPr>
                <w:rFonts w:hint="eastAsia" w:ascii="宋体" w:hAnsi="宋体" w:eastAsia="宋体" w:cs="宋体"/>
                <w:i w:val="0"/>
                <w:iCs w:val="0"/>
                <w:color w:val="000000"/>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88C3A">
            <w:pPr>
              <w:spacing w:line="320" w:lineRule="exact"/>
              <w:jc w:val="center"/>
              <w:rPr>
                <w:rFonts w:hint="eastAsia" w:ascii="宋体" w:hAnsi="宋体" w:eastAsia="宋体" w:cs="宋体"/>
                <w:i w:val="0"/>
                <w:iCs w:val="0"/>
                <w:color w:val="000000"/>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915A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C-ZY-03</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237D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金龙街道区域养老服务中心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2320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金龙街道东海社区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E2DD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6120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2021-2025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96EA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2345</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5F13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3903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59" w:type="dxa"/>
            <w:tcBorders>
              <w:top w:val="single" w:color="000000" w:sz="4" w:space="0"/>
              <w:left w:val="single" w:color="000000" w:sz="4" w:space="0"/>
              <w:bottom w:val="single" w:color="000000" w:sz="4" w:space="0"/>
              <w:right w:val="single" w:color="000000" w:sz="4" w:space="0"/>
            </w:tcBorders>
            <w:shd w:val="clear" w:color="auto" w:fill="FFC7CE"/>
            <w:noWrap w:val="0"/>
            <w:vAlign w:val="center"/>
          </w:tcPr>
          <w:p w14:paraId="690211C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规划近期</w:t>
            </w:r>
          </w:p>
        </w:tc>
      </w:tr>
      <w:tr w14:paraId="3002B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5E1C4">
            <w:pPr>
              <w:spacing w:line="320" w:lineRule="exact"/>
              <w:jc w:val="center"/>
              <w:rPr>
                <w:rFonts w:hint="eastAsia" w:ascii="宋体" w:hAnsi="宋体" w:eastAsia="宋体" w:cs="宋体"/>
                <w:i w:val="0"/>
                <w:iCs w:val="0"/>
                <w:color w:val="000000"/>
                <w:sz w:val="24"/>
                <w:szCs w:val="24"/>
                <w:u w:val="none"/>
              </w:rPr>
            </w:pP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3A4A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民办养老服务设施</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D3F15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M-ZY-01</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3251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松鹤老年公寓</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2949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西平街道黑桥社区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7A76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15E3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9AB9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A87B8">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7B18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719B429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50996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7A45F">
            <w:pPr>
              <w:spacing w:line="320" w:lineRule="exact"/>
              <w:jc w:val="center"/>
              <w:rPr>
                <w:rFonts w:hint="eastAsia" w:ascii="宋体" w:hAnsi="宋体" w:eastAsia="宋体" w:cs="宋体"/>
                <w:i w:val="0"/>
                <w:iCs w:val="0"/>
                <w:color w:val="000000"/>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90DF7">
            <w:pPr>
              <w:spacing w:line="320" w:lineRule="exact"/>
              <w:jc w:val="center"/>
              <w:rPr>
                <w:rFonts w:hint="eastAsia" w:ascii="宋体" w:hAnsi="宋体" w:eastAsia="宋体" w:cs="宋体"/>
                <w:i w:val="0"/>
                <w:iCs w:val="0"/>
                <w:color w:val="000000"/>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41B0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M-ZY-02</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D2EB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松鹤老年公寓黑桥苑</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FB35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西平街道黑桥社区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AFB0B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9E121">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5A87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6360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民办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90F1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0E1653C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3B60D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13D500">
            <w:pPr>
              <w:spacing w:line="320" w:lineRule="exact"/>
              <w:jc w:val="center"/>
              <w:rPr>
                <w:rFonts w:hint="eastAsia" w:ascii="宋体" w:hAnsi="宋体" w:eastAsia="宋体" w:cs="宋体"/>
                <w:i w:val="0"/>
                <w:iCs w:val="0"/>
                <w:color w:val="000000"/>
                <w:sz w:val="24"/>
                <w:szCs w:val="24"/>
                <w:u w:val="none"/>
              </w:rPr>
            </w:pPr>
          </w:p>
        </w:tc>
        <w:tc>
          <w:tcPr>
            <w:tcW w:w="4877" w:type="dxa"/>
            <w:gridSpan w:val="4"/>
            <w:tcBorders>
              <w:top w:val="single" w:color="000000" w:sz="4" w:space="0"/>
              <w:left w:val="single" w:color="000000" w:sz="4" w:space="0"/>
              <w:bottom w:val="single" w:color="000000" w:sz="4" w:space="0"/>
              <w:right w:val="single" w:color="000000" w:sz="4" w:space="0"/>
            </w:tcBorders>
            <w:noWrap w:val="0"/>
            <w:vAlign w:val="center"/>
          </w:tcPr>
          <w:p w14:paraId="0C650CA7">
            <w:pPr>
              <w:keepNext w:val="0"/>
              <w:keepLines w:val="0"/>
              <w:widowControl/>
              <w:suppressLineNumbers w:val="0"/>
              <w:spacing w:line="320" w:lineRule="exact"/>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沾益区</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044524F7">
            <w:pPr>
              <w:spacing w:line="320" w:lineRule="exact"/>
              <w:jc w:val="center"/>
              <w:rPr>
                <w:rFonts w:hint="eastAsia" w:ascii="宋体" w:hAnsi="宋体" w:eastAsia="宋体" w:cs="宋体"/>
                <w:b/>
                <w:bCs/>
                <w:i w:val="0"/>
                <w:iCs w:val="0"/>
                <w:color w:val="000000"/>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5AEB7E83">
            <w:pPr>
              <w:spacing w:line="320" w:lineRule="exact"/>
              <w:jc w:val="center"/>
              <w:rPr>
                <w:rFonts w:hint="eastAsia" w:ascii="宋体" w:hAnsi="宋体" w:eastAsia="宋体" w:cs="宋体"/>
                <w:b/>
                <w:bCs/>
                <w:i w:val="0"/>
                <w:iCs w:val="0"/>
                <w:color w:val="000000"/>
                <w:sz w:val="24"/>
                <w:szCs w:val="24"/>
                <w:u w:val="none"/>
              </w:rPr>
            </w:pPr>
          </w:p>
        </w:tc>
        <w:tc>
          <w:tcPr>
            <w:tcW w:w="858" w:type="dxa"/>
            <w:tcBorders>
              <w:top w:val="single" w:color="000000" w:sz="4" w:space="0"/>
              <w:left w:val="single" w:color="000000" w:sz="4" w:space="0"/>
              <w:bottom w:val="single" w:color="000000" w:sz="4" w:space="0"/>
              <w:right w:val="single" w:color="000000" w:sz="4" w:space="0"/>
            </w:tcBorders>
            <w:noWrap w:val="0"/>
            <w:vAlign w:val="center"/>
          </w:tcPr>
          <w:p w14:paraId="5F74EA65">
            <w:pPr>
              <w:keepNext w:val="0"/>
              <w:keepLines w:val="0"/>
              <w:widowControl/>
              <w:suppressLineNumbers w:val="0"/>
              <w:spacing w:line="320" w:lineRule="exact"/>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44580</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3DD09FA4">
            <w:pPr>
              <w:spacing w:line="320" w:lineRule="exact"/>
              <w:jc w:val="center"/>
              <w:rPr>
                <w:rFonts w:hint="eastAsia" w:ascii="宋体" w:hAnsi="宋体" w:eastAsia="宋体" w:cs="宋体"/>
                <w:b/>
                <w:bCs/>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noWrap w:val="0"/>
            <w:vAlign w:val="center"/>
          </w:tcPr>
          <w:p w14:paraId="6E163C58">
            <w:pPr>
              <w:keepNext w:val="0"/>
              <w:keepLines w:val="0"/>
              <w:widowControl/>
              <w:suppressLineNumbers w:val="0"/>
              <w:spacing w:line="320" w:lineRule="exact"/>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1245</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EA63781">
            <w:pPr>
              <w:spacing w:line="320" w:lineRule="exact"/>
              <w:jc w:val="center"/>
              <w:rPr>
                <w:rFonts w:hint="eastAsia" w:ascii="宋体" w:hAnsi="宋体" w:eastAsia="宋体" w:cs="宋体"/>
                <w:i w:val="0"/>
                <w:iCs w:val="0"/>
                <w:color w:val="000000"/>
                <w:sz w:val="24"/>
                <w:szCs w:val="24"/>
                <w:u w:val="none"/>
              </w:rPr>
            </w:pPr>
          </w:p>
        </w:tc>
      </w:tr>
      <w:tr w14:paraId="61C7F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jc w:val="center"/>
        </w:trPr>
        <w:tc>
          <w:tcPr>
            <w:tcW w:w="64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9C03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马龙区</w:t>
            </w: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7B68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县级</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B5D9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B-ML-01</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EB70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马龙金柏老年公寓</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B1AF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通泉街道启秀社区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E874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3C11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437C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C492C">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1349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w:t>
            </w:r>
          </w:p>
        </w:tc>
        <w:tc>
          <w:tcPr>
            <w:tcW w:w="759" w:type="dxa"/>
            <w:tcBorders>
              <w:top w:val="single" w:color="000000" w:sz="4" w:space="0"/>
              <w:left w:val="single" w:color="000000" w:sz="4" w:space="0"/>
              <w:bottom w:val="single" w:color="000000" w:sz="4" w:space="0"/>
              <w:right w:val="single" w:color="000000" w:sz="4" w:space="0"/>
            </w:tcBorders>
            <w:shd w:val="clear" w:color="auto" w:fill="00B0F0"/>
            <w:noWrap w:val="0"/>
            <w:vAlign w:val="center"/>
          </w:tcPr>
          <w:p w14:paraId="53D8469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现状保留</w:t>
            </w:r>
          </w:p>
        </w:tc>
      </w:tr>
      <w:tr w14:paraId="7439A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17810">
            <w:pPr>
              <w:spacing w:line="320" w:lineRule="exact"/>
              <w:jc w:val="center"/>
              <w:rPr>
                <w:rFonts w:hint="eastAsia" w:ascii="宋体" w:hAnsi="宋体" w:eastAsia="宋体" w:cs="宋体"/>
                <w:i w:val="0"/>
                <w:iCs w:val="0"/>
                <w:color w:val="000000"/>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0EC52">
            <w:pPr>
              <w:spacing w:line="320" w:lineRule="exact"/>
              <w:jc w:val="center"/>
              <w:rPr>
                <w:rFonts w:hint="eastAsia" w:ascii="宋体" w:hAnsi="宋体" w:eastAsia="宋体" w:cs="宋体"/>
                <w:i w:val="0"/>
                <w:iCs w:val="0"/>
                <w:color w:val="000000"/>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0445F">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B-ML-02</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297C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马龙区级机构养老设施</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04CE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月望湖高原体育训练中心</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144B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727C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2021-2025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90A9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23058</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6152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5D272">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759" w:type="dxa"/>
            <w:tcBorders>
              <w:top w:val="single" w:color="000000" w:sz="4" w:space="0"/>
              <w:left w:val="single" w:color="000000" w:sz="4" w:space="0"/>
              <w:bottom w:val="single" w:color="000000" w:sz="4" w:space="0"/>
              <w:right w:val="single" w:color="000000" w:sz="4" w:space="0"/>
            </w:tcBorders>
            <w:shd w:val="clear" w:color="auto" w:fill="FFC7CE"/>
            <w:noWrap w:val="0"/>
            <w:vAlign w:val="center"/>
          </w:tcPr>
          <w:p w14:paraId="61880B6E">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规划近期</w:t>
            </w:r>
          </w:p>
        </w:tc>
      </w:tr>
      <w:tr w14:paraId="743E3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E4086">
            <w:pPr>
              <w:spacing w:line="320" w:lineRule="exact"/>
              <w:jc w:val="center"/>
              <w:rPr>
                <w:rFonts w:hint="eastAsia" w:ascii="宋体" w:hAnsi="宋体" w:eastAsia="宋体" w:cs="宋体"/>
                <w:i w:val="0"/>
                <w:iCs w:val="0"/>
                <w:color w:val="000000"/>
                <w:sz w:val="24"/>
                <w:szCs w:val="24"/>
                <w:u w:val="none"/>
              </w:rPr>
            </w:pP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C82A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街道级</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A121A">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C-ML-01</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7361D">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鸡头村街道居家养老服务中心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FD1A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鸡头村街道盛家田社区</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34BA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3F99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2021-2025</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DCD45">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3337</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4BED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960DB">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59" w:type="dxa"/>
            <w:tcBorders>
              <w:top w:val="single" w:color="000000" w:sz="4" w:space="0"/>
              <w:left w:val="single" w:color="000000" w:sz="4" w:space="0"/>
              <w:bottom w:val="single" w:color="000000" w:sz="4" w:space="0"/>
              <w:right w:val="single" w:color="000000" w:sz="4" w:space="0"/>
            </w:tcBorders>
            <w:shd w:val="clear" w:color="auto" w:fill="FFC7CE"/>
            <w:noWrap w:val="0"/>
            <w:vAlign w:val="center"/>
          </w:tcPr>
          <w:p w14:paraId="4B99BA2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规划近期</w:t>
            </w:r>
          </w:p>
        </w:tc>
      </w:tr>
      <w:tr w14:paraId="2B54F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A3C0D">
            <w:pPr>
              <w:spacing w:line="320" w:lineRule="exact"/>
              <w:jc w:val="center"/>
              <w:rPr>
                <w:rFonts w:hint="eastAsia" w:ascii="宋体" w:hAnsi="宋体" w:eastAsia="宋体" w:cs="宋体"/>
                <w:i w:val="0"/>
                <w:iCs w:val="0"/>
                <w:color w:val="000000"/>
                <w:sz w:val="24"/>
                <w:szCs w:val="24"/>
                <w:u w:val="none"/>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6668D">
            <w:pPr>
              <w:spacing w:line="320" w:lineRule="exact"/>
              <w:jc w:val="center"/>
              <w:rPr>
                <w:rFonts w:hint="eastAsia" w:ascii="宋体" w:hAnsi="宋体" w:eastAsia="宋体" w:cs="宋体"/>
                <w:i w:val="0"/>
                <w:iCs w:val="0"/>
                <w:color w:val="000000"/>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E2B6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C-ML-02</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2D150">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通泉街道居家养老服务中心</w:t>
            </w:r>
          </w:p>
        </w:tc>
        <w:tc>
          <w:tcPr>
            <w:tcW w:w="15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4FDF3">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选址由街道结合实际情况确定</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E588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新建</w:t>
            </w:r>
          </w:p>
        </w:tc>
        <w:tc>
          <w:tcPr>
            <w:tcW w:w="10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51AE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2021-2030</w:t>
            </w:r>
          </w:p>
        </w:tc>
        <w:tc>
          <w:tcPr>
            <w:tcW w:w="85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10739">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兼容用地</w:t>
            </w:r>
          </w:p>
        </w:tc>
        <w:tc>
          <w:tcPr>
            <w:tcW w:w="7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E8817">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公办</w:t>
            </w:r>
          </w:p>
        </w:tc>
        <w:tc>
          <w:tcPr>
            <w:tcW w:w="7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D5036">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59" w:type="dxa"/>
            <w:tcBorders>
              <w:top w:val="single" w:color="000000" w:sz="4" w:space="0"/>
              <w:left w:val="single" w:color="000000" w:sz="4" w:space="0"/>
              <w:bottom w:val="single" w:color="000000" w:sz="4" w:space="0"/>
              <w:right w:val="single" w:color="000000" w:sz="4" w:space="0"/>
            </w:tcBorders>
            <w:shd w:val="clear" w:color="auto" w:fill="FFC000"/>
            <w:noWrap w:val="0"/>
            <w:vAlign w:val="center"/>
          </w:tcPr>
          <w:p w14:paraId="45233694">
            <w:pPr>
              <w:keepNext w:val="0"/>
              <w:keepLines w:val="0"/>
              <w:widowControl/>
              <w:suppressLineNumbers w:val="0"/>
              <w:spacing w:line="320" w:lineRule="exact"/>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规划中期</w:t>
            </w:r>
          </w:p>
        </w:tc>
      </w:tr>
      <w:tr w14:paraId="63D51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jc w:val="center"/>
        </w:trPr>
        <w:tc>
          <w:tcPr>
            <w:tcW w:w="64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B47C95">
            <w:pPr>
              <w:spacing w:line="320" w:lineRule="exact"/>
              <w:jc w:val="center"/>
              <w:rPr>
                <w:rFonts w:hint="eastAsia" w:ascii="宋体" w:hAnsi="宋体" w:eastAsia="宋体" w:cs="宋体"/>
                <w:i w:val="0"/>
                <w:iCs w:val="0"/>
                <w:color w:val="000000"/>
                <w:sz w:val="24"/>
                <w:szCs w:val="24"/>
                <w:u w:val="none"/>
              </w:rPr>
            </w:pPr>
          </w:p>
        </w:tc>
        <w:tc>
          <w:tcPr>
            <w:tcW w:w="4877" w:type="dxa"/>
            <w:gridSpan w:val="4"/>
            <w:tcBorders>
              <w:top w:val="single" w:color="000000" w:sz="4" w:space="0"/>
              <w:left w:val="single" w:color="000000" w:sz="4" w:space="0"/>
              <w:bottom w:val="single" w:color="000000" w:sz="4" w:space="0"/>
              <w:right w:val="single" w:color="000000" w:sz="4" w:space="0"/>
            </w:tcBorders>
            <w:noWrap w:val="0"/>
            <w:vAlign w:val="center"/>
          </w:tcPr>
          <w:p w14:paraId="4448DCDD">
            <w:pPr>
              <w:keepNext w:val="0"/>
              <w:keepLines w:val="0"/>
              <w:widowControl/>
              <w:suppressLineNumbers w:val="0"/>
              <w:spacing w:line="320" w:lineRule="exact"/>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马龙区</w:t>
            </w:r>
          </w:p>
        </w:tc>
        <w:tc>
          <w:tcPr>
            <w:tcW w:w="966" w:type="dxa"/>
            <w:tcBorders>
              <w:top w:val="single" w:color="000000" w:sz="4" w:space="0"/>
              <w:left w:val="single" w:color="000000" w:sz="4" w:space="0"/>
              <w:bottom w:val="single" w:color="000000" w:sz="4" w:space="0"/>
              <w:right w:val="single" w:color="000000" w:sz="4" w:space="0"/>
            </w:tcBorders>
            <w:noWrap w:val="0"/>
            <w:vAlign w:val="center"/>
          </w:tcPr>
          <w:p w14:paraId="27F7E74E">
            <w:pPr>
              <w:spacing w:line="320" w:lineRule="exact"/>
              <w:jc w:val="center"/>
              <w:rPr>
                <w:rFonts w:hint="eastAsia" w:ascii="宋体" w:hAnsi="宋体" w:eastAsia="宋体" w:cs="宋体"/>
                <w:b/>
                <w:bCs/>
                <w:i w:val="0"/>
                <w:iCs w:val="0"/>
                <w:color w:val="000000"/>
                <w:sz w:val="24"/>
                <w:szCs w:val="24"/>
                <w:u w:val="none"/>
              </w:rPr>
            </w:pP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5A5EEC46">
            <w:pPr>
              <w:spacing w:line="320" w:lineRule="exact"/>
              <w:jc w:val="center"/>
              <w:rPr>
                <w:rFonts w:hint="eastAsia" w:ascii="宋体" w:hAnsi="宋体" w:eastAsia="宋体" w:cs="宋体"/>
                <w:b/>
                <w:bCs/>
                <w:i w:val="0"/>
                <w:iCs w:val="0"/>
                <w:color w:val="000000"/>
                <w:sz w:val="24"/>
                <w:szCs w:val="24"/>
                <w:u w:val="none"/>
              </w:rPr>
            </w:pPr>
          </w:p>
        </w:tc>
        <w:tc>
          <w:tcPr>
            <w:tcW w:w="858" w:type="dxa"/>
            <w:tcBorders>
              <w:top w:val="single" w:color="000000" w:sz="4" w:space="0"/>
              <w:left w:val="single" w:color="000000" w:sz="4" w:space="0"/>
              <w:bottom w:val="single" w:color="000000" w:sz="4" w:space="0"/>
              <w:right w:val="single" w:color="000000" w:sz="4" w:space="0"/>
            </w:tcBorders>
            <w:noWrap w:val="0"/>
            <w:vAlign w:val="center"/>
          </w:tcPr>
          <w:p w14:paraId="2E6EDFE0">
            <w:pPr>
              <w:keepNext w:val="0"/>
              <w:keepLines w:val="0"/>
              <w:widowControl/>
              <w:suppressLineNumbers w:val="0"/>
              <w:spacing w:line="320" w:lineRule="exact"/>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27395</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5E5CFB05">
            <w:pPr>
              <w:spacing w:line="320" w:lineRule="exact"/>
              <w:jc w:val="center"/>
              <w:rPr>
                <w:rFonts w:hint="eastAsia" w:ascii="宋体" w:hAnsi="宋体" w:eastAsia="宋体" w:cs="宋体"/>
                <w:b/>
                <w:bCs/>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noWrap w:val="0"/>
            <w:vAlign w:val="center"/>
          </w:tcPr>
          <w:p w14:paraId="1B109D88">
            <w:pPr>
              <w:keepNext w:val="0"/>
              <w:keepLines w:val="0"/>
              <w:widowControl/>
              <w:suppressLineNumbers w:val="0"/>
              <w:spacing w:line="320" w:lineRule="exact"/>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706</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6443E9EB">
            <w:pPr>
              <w:spacing w:line="320" w:lineRule="exact"/>
              <w:jc w:val="center"/>
              <w:rPr>
                <w:rFonts w:hint="eastAsia" w:ascii="宋体" w:hAnsi="宋体" w:eastAsia="宋体" w:cs="宋体"/>
                <w:i w:val="0"/>
                <w:iCs w:val="0"/>
                <w:color w:val="000000"/>
                <w:sz w:val="24"/>
                <w:szCs w:val="24"/>
                <w:u w:val="none"/>
              </w:rPr>
            </w:pPr>
          </w:p>
        </w:tc>
      </w:tr>
      <w:tr w14:paraId="6F91C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7513" w:type="dxa"/>
            <w:gridSpan w:val="7"/>
            <w:tcBorders>
              <w:top w:val="single" w:color="000000" w:sz="4" w:space="0"/>
              <w:left w:val="single" w:color="000000" w:sz="4" w:space="0"/>
              <w:bottom w:val="single" w:color="000000" w:sz="4" w:space="0"/>
              <w:right w:val="single" w:color="000000" w:sz="4" w:space="0"/>
            </w:tcBorders>
            <w:noWrap w:val="0"/>
            <w:vAlign w:val="center"/>
          </w:tcPr>
          <w:p w14:paraId="0025C9C3">
            <w:pPr>
              <w:keepNext w:val="0"/>
              <w:keepLines w:val="0"/>
              <w:widowControl/>
              <w:suppressLineNumbers w:val="0"/>
              <w:spacing w:line="320" w:lineRule="exact"/>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总计</w:t>
            </w:r>
          </w:p>
        </w:tc>
        <w:tc>
          <w:tcPr>
            <w:tcW w:w="858" w:type="dxa"/>
            <w:tcBorders>
              <w:top w:val="single" w:color="000000" w:sz="4" w:space="0"/>
              <w:left w:val="single" w:color="000000" w:sz="4" w:space="0"/>
              <w:bottom w:val="single" w:color="000000" w:sz="4" w:space="0"/>
              <w:right w:val="single" w:color="000000" w:sz="4" w:space="0"/>
            </w:tcBorders>
            <w:noWrap w:val="0"/>
            <w:vAlign w:val="center"/>
          </w:tcPr>
          <w:p w14:paraId="330C15A0">
            <w:pPr>
              <w:keepNext w:val="0"/>
              <w:keepLines w:val="0"/>
              <w:widowControl/>
              <w:suppressLineNumbers w:val="0"/>
              <w:spacing w:line="320" w:lineRule="exact"/>
              <w:ind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234216</w:t>
            </w: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200376A8">
            <w:pPr>
              <w:spacing w:line="320" w:lineRule="exact"/>
              <w:jc w:val="center"/>
              <w:rPr>
                <w:rFonts w:hint="eastAsia" w:ascii="宋体" w:hAnsi="宋体" w:eastAsia="宋体" w:cs="宋体"/>
                <w:b/>
                <w:bCs/>
                <w:i w:val="0"/>
                <w:iCs w:val="0"/>
                <w:color w:val="000000"/>
                <w:sz w:val="24"/>
                <w:szCs w:val="24"/>
                <w:u w:val="none"/>
              </w:rPr>
            </w:pPr>
          </w:p>
        </w:tc>
        <w:tc>
          <w:tcPr>
            <w:tcW w:w="767" w:type="dxa"/>
            <w:tcBorders>
              <w:top w:val="single" w:color="000000" w:sz="4" w:space="0"/>
              <w:left w:val="single" w:color="000000" w:sz="4" w:space="0"/>
              <w:bottom w:val="single" w:color="000000" w:sz="4" w:space="0"/>
              <w:right w:val="single" w:color="000000" w:sz="4" w:space="0"/>
            </w:tcBorders>
            <w:noWrap w:val="0"/>
            <w:vAlign w:val="center"/>
          </w:tcPr>
          <w:p w14:paraId="2EDEDB35">
            <w:pPr>
              <w:keepNext w:val="0"/>
              <w:keepLines w:val="0"/>
              <w:widowControl/>
              <w:suppressLineNumbers w:val="0"/>
              <w:spacing w:line="320" w:lineRule="exact"/>
              <w:ind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6611</w:t>
            </w:r>
          </w:p>
        </w:tc>
        <w:tc>
          <w:tcPr>
            <w:tcW w:w="759" w:type="dxa"/>
            <w:tcBorders>
              <w:top w:val="single" w:color="000000" w:sz="4" w:space="0"/>
              <w:left w:val="single" w:color="000000" w:sz="4" w:space="0"/>
              <w:bottom w:val="single" w:color="000000" w:sz="4" w:space="0"/>
              <w:right w:val="single" w:color="000000" w:sz="4" w:space="0"/>
            </w:tcBorders>
            <w:noWrap w:val="0"/>
            <w:vAlign w:val="center"/>
          </w:tcPr>
          <w:p w14:paraId="02888AA9">
            <w:pPr>
              <w:spacing w:line="320" w:lineRule="exact"/>
              <w:jc w:val="center"/>
              <w:rPr>
                <w:rFonts w:hint="eastAsia" w:ascii="宋体" w:hAnsi="宋体" w:eastAsia="宋体" w:cs="宋体"/>
                <w:i w:val="0"/>
                <w:iCs w:val="0"/>
                <w:color w:val="000000"/>
                <w:sz w:val="24"/>
                <w:szCs w:val="24"/>
                <w:u w:val="none"/>
              </w:rPr>
            </w:pPr>
          </w:p>
        </w:tc>
      </w:tr>
    </w:tbl>
    <w:p w14:paraId="33278D92">
      <w:pPr>
        <w:numPr>
          <w:ilvl w:val="0"/>
          <w:numId w:val="2"/>
        </w:numPr>
        <w:bidi w:val="0"/>
        <w:ind w:firstLine="0"/>
        <w:rPr>
          <w:rFonts w:hint="default" w:cs="Times New Roman"/>
          <w:b/>
          <w:color w:val="auto"/>
          <w:lang w:val="en-US" w:eastAsia="zh-CN"/>
        </w:rPr>
      </w:pPr>
      <w:bookmarkStart w:id="26" w:name="_Toc8790"/>
      <w:r>
        <w:rPr>
          <w:rFonts w:hint="eastAsia" w:cs="Times New Roman"/>
          <w:b/>
          <w:color w:val="auto"/>
          <w:lang w:val="en-US" w:eastAsia="zh-CN"/>
        </w:rPr>
        <w:t>中心城区居家养老服务设施规划</w:t>
      </w:r>
      <w:bookmarkEnd w:id="26"/>
    </w:p>
    <w:p w14:paraId="3C473B95">
      <w:pPr>
        <w:numPr>
          <w:ilvl w:val="0"/>
          <w:numId w:val="7"/>
        </w:numPr>
        <w:bidi w:val="0"/>
        <w:rPr>
          <w:rFonts w:hint="default" w:ascii="微软雅黑" w:hAnsi="微软雅黑" w:eastAsia="新宋体" w:cs="微软雅黑"/>
          <w:b/>
          <w:bCs/>
          <w:color w:val="auto"/>
          <w:lang w:val="en-US" w:eastAsia="zh-CN"/>
        </w:rPr>
      </w:pPr>
      <w:r>
        <w:rPr>
          <w:rFonts w:hint="eastAsia" w:ascii="微软雅黑" w:hAnsi="微软雅黑" w:cs="微软雅黑"/>
          <w:b/>
          <w:bCs/>
          <w:color w:val="auto"/>
          <w:lang w:val="en-US" w:eastAsia="zh-CN"/>
        </w:rPr>
        <w:t>规划目标</w:t>
      </w:r>
    </w:p>
    <w:p w14:paraId="51E4CE80">
      <w:pPr>
        <w:bidi w:val="0"/>
        <w:rPr>
          <w:rFonts w:hint="eastAsia"/>
          <w:color w:val="auto"/>
          <w:lang w:val="en-US" w:eastAsia="zh-CN"/>
        </w:rPr>
      </w:pPr>
      <w:r>
        <w:rPr>
          <w:rFonts w:hint="eastAsia" w:ascii="微软雅黑" w:hAnsi="微软雅黑" w:cs="微软雅黑"/>
          <w:color w:val="auto"/>
        </w:rPr>
        <w:t>中心城区现状共有</w:t>
      </w:r>
      <w:r>
        <w:rPr>
          <w:rFonts w:hint="eastAsia" w:ascii="微软雅黑" w:hAnsi="微软雅黑" w:cs="微软雅黑"/>
          <w:color w:val="auto"/>
          <w:lang w:val="en-US" w:eastAsia="zh-CN"/>
        </w:rPr>
        <w:t>社区135个，社区</w:t>
      </w:r>
      <w:r>
        <w:rPr>
          <w:rFonts w:hint="eastAsia" w:ascii="微软雅黑" w:hAnsi="微软雅黑" w:cs="微软雅黑"/>
          <w:color w:val="auto"/>
        </w:rPr>
        <w:t>养老服务设施</w:t>
      </w:r>
      <w:r>
        <w:rPr>
          <w:rFonts w:hint="eastAsia" w:ascii="微软雅黑" w:hAnsi="微软雅黑" w:cs="微软雅黑"/>
          <w:color w:val="auto"/>
          <w:lang w:val="en-US" w:eastAsia="zh-CN"/>
        </w:rPr>
        <w:t>61</w:t>
      </w:r>
      <w:r>
        <w:rPr>
          <w:rFonts w:hint="eastAsia" w:ascii="微软雅黑" w:hAnsi="微软雅黑" w:cs="微软雅黑"/>
          <w:color w:val="auto"/>
        </w:rPr>
        <w:t>个，</w:t>
      </w:r>
      <w:r>
        <w:rPr>
          <w:rFonts w:hint="eastAsia" w:ascii="微软雅黑" w:hAnsi="微软雅黑" w:cs="微软雅黑"/>
          <w:color w:val="auto"/>
          <w:lang w:val="en-US" w:eastAsia="zh-CN"/>
        </w:rPr>
        <w:t>其中</w:t>
      </w:r>
      <w:r>
        <w:rPr>
          <w:rFonts w:hint="eastAsia"/>
          <w:color w:val="auto"/>
          <w:lang w:val="en-US" w:eastAsia="zh-CN"/>
        </w:rPr>
        <w:t>35个社区养老服务设施设置有养老床位772张</w:t>
      </w:r>
      <w:r>
        <w:rPr>
          <w:rFonts w:hint="eastAsia" w:ascii="微软雅黑" w:hAnsi="微软雅黑" w:cs="微软雅黑"/>
          <w:color w:val="auto"/>
          <w:lang w:val="en-US" w:eastAsia="zh-CN"/>
        </w:rPr>
        <w:t>，</w:t>
      </w:r>
      <w:r>
        <w:rPr>
          <w:rFonts w:hint="eastAsia" w:ascii="微软雅黑" w:hAnsi="微软雅黑" w:cs="微软雅黑"/>
          <w:color w:val="auto"/>
        </w:rPr>
        <w:t>数量缺口较大。规划至20</w:t>
      </w:r>
      <w:r>
        <w:rPr>
          <w:rFonts w:hint="eastAsia" w:ascii="微软雅黑" w:hAnsi="微软雅黑" w:cs="微软雅黑"/>
          <w:color w:val="auto"/>
          <w:lang w:val="en-US" w:eastAsia="zh-CN"/>
        </w:rPr>
        <w:t>30</w:t>
      </w:r>
      <w:r>
        <w:rPr>
          <w:rFonts w:hint="eastAsia" w:ascii="微软雅黑" w:hAnsi="微软雅黑" w:cs="微软雅黑"/>
          <w:color w:val="auto"/>
        </w:rPr>
        <w:t>年</w:t>
      </w:r>
      <w:r>
        <w:rPr>
          <w:rFonts w:hint="eastAsia" w:ascii="微软雅黑" w:hAnsi="微软雅黑" w:cs="微软雅黑"/>
          <w:color w:val="auto"/>
          <w:lang w:eastAsia="zh-CN"/>
        </w:rPr>
        <w:t>，</w:t>
      </w:r>
      <w:r>
        <w:rPr>
          <w:rFonts w:hint="eastAsia" w:ascii="微软雅黑" w:hAnsi="微软雅黑" w:cs="微软雅黑"/>
          <w:color w:val="auto"/>
        </w:rPr>
        <w:t>中心城区居家养老服务</w:t>
      </w:r>
      <w:r>
        <w:rPr>
          <w:rFonts w:hint="eastAsia" w:ascii="微软雅黑" w:hAnsi="微软雅黑" w:cs="微软雅黑"/>
          <w:color w:val="auto"/>
          <w:lang w:eastAsia="zh-CN"/>
        </w:rPr>
        <w:t>需按照</w:t>
      </w:r>
      <w:r>
        <w:rPr>
          <w:rFonts w:hint="eastAsia" w:ascii="微软雅黑" w:hAnsi="微软雅黑" w:cs="微软雅黑"/>
          <w:color w:val="auto"/>
          <w:lang w:val="en-US" w:eastAsia="zh-CN"/>
        </w:rPr>
        <w:t>5分钟生活圈均衡布置，实现社区居家养老服务中心全覆盖，</w:t>
      </w:r>
      <w:r>
        <w:rPr>
          <w:rFonts w:hint="eastAsia" w:ascii="微软雅黑" w:hAnsi="微软雅黑" w:cs="微软雅黑"/>
          <w:color w:val="auto"/>
        </w:rPr>
        <w:t>设施总数达到</w:t>
      </w:r>
      <w:r>
        <w:rPr>
          <w:rFonts w:hint="eastAsia" w:ascii="微软雅黑" w:hAnsi="微软雅黑" w:cs="微软雅黑"/>
          <w:color w:val="auto"/>
          <w:lang w:val="en-US" w:eastAsia="zh-CN"/>
        </w:rPr>
        <w:t>135</w:t>
      </w:r>
      <w:r>
        <w:rPr>
          <w:rFonts w:hint="eastAsia" w:ascii="微软雅黑" w:hAnsi="微软雅黑" w:cs="微软雅黑"/>
          <w:color w:val="auto"/>
        </w:rPr>
        <w:t>个</w:t>
      </w:r>
      <w:r>
        <w:rPr>
          <w:rFonts w:hint="eastAsia" w:ascii="微软雅黑" w:hAnsi="微软雅黑" w:cs="微软雅黑"/>
          <w:color w:val="auto"/>
          <w:lang w:eastAsia="zh-CN"/>
        </w:rPr>
        <w:t>，</w:t>
      </w:r>
      <w:r>
        <w:rPr>
          <w:rFonts w:hint="eastAsia" w:ascii="微软雅黑" w:hAnsi="微软雅黑" w:cs="微软雅黑"/>
          <w:color w:val="auto"/>
          <w:u w:val="single"/>
          <w:lang w:val="en-US" w:eastAsia="zh-CN"/>
        </w:rPr>
        <w:t>新建的74个社区居家养老服务中心，有条件的社区按照每座不小于10床的标准设置床位，规划新建床位数1000张，总床位数2113张</w:t>
      </w:r>
      <w:r>
        <w:rPr>
          <w:rFonts w:hint="eastAsia" w:ascii="微软雅黑" w:hAnsi="微软雅黑" w:cs="微软雅黑"/>
          <w:color w:val="auto"/>
          <w:u w:val="single"/>
        </w:rPr>
        <w:t>。</w:t>
      </w:r>
      <w:r>
        <w:rPr>
          <w:rFonts w:hint="eastAsia" w:ascii="微软雅黑" w:hAnsi="微软雅黑" w:cs="微软雅黑"/>
          <w:color w:val="auto"/>
        </w:rPr>
        <w:t>居家养老服</w:t>
      </w:r>
      <w:r>
        <w:rPr>
          <w:rFonts w:hint="eastAsia" w:ascii="微软雅黑" w:hAnsi="微软雅黑" w:cs="微软雅黑"/>
          <w:color w:val="auto"/>
          <w:lang w:eastAsia="zh-CN"/>
        </w:rPr>
        <w:t>-</w:t>
      </w:r>
      <w:r>
        <w:rPr>
          <w:rFonts w:hint="eastAsia" w:ascii="微软雅黑" w:hAnsi="微软雅黑" w:cs="微软雅黑"/>
          <w:color w:val="auto"/>
        </w:rPr>
        <w:t>务中心应与社区服务站合并设置，现状已经建成且无法与社区服务站合建的，通过改建置换的方式靠近社区服务站，形成社区服务核心区。</w:t>
      </w:r>
      <w:r>
        <w:rPr>
          <w:rFonts w:hint="eastAsia" w:ascii="微软雅黑" w:hAnsi="微软雅黑" w:cs="微软雅黑"/>
          <w:color w:val="auto"/>
          <w:u w:val="single"/>
          <w:lang w:val="en-US" w:eastAsia="zh-CN"/>
        </w:rPr>
        <w:t>至2035年，全部社区居家养老服务中心均需按照每座不小于20床的标准设置床位，总床位数2700张</w:t>
      </w:r>
      <w:r>
        <w:rPr>
          <w:rFonts w:hint="eastAsia" w:ascii="微软雅黑" w:hAnsi="微软雅黑" w:cs="微软雅黑"/>
          <w:color w:val="auto"/>
          <w:u w:val="single"/>
        </w:rPr>
        <w:t>。</w:t>
      </w:r>
      <w:r>
        <w:rPr>
          <w:rFonts w:hint="eastAsia"/>
          <w:color w:val="auto"/>
          <w:lang w:val="en-US" w:eastAsia="zh-CN"/>
        </w:rPr>
        <w:t>居家养老服务中心应与社区服务站合并设置，现状已经建成且无法与社区服务站合建的，通过改建置换的方式靠近社区服务站，形成社区服务核心区。</w:t>
      </w:r>
    </w:p>
    <w:p w14:paraId="013BF5BD">
      <w:pPr>
        <w:numPr>
          <w:ilvl w:val="0"/>
          <w:numId w:val="7"/>
        </w:numPr>
        <w:bidi w:val="0"/>
        <w:rPr>
          <w:rFonts w:hint="default" w:ascii="微软雅黑" w:hAnsi="微软雅黑" w:eastAsia="新宋体" w:cs="微软雅黑"/>
          <w:b/>
          <w:bCs/>
          <w:color w:val="auto"/>
          <w:lang w:val="en-US" w:eastAsia="zh-CN"/>
        </w:rPr>
      </w:pPr>
      <w:r>
        <w:rPr>
          <w:rFonts w:hint="eastAsia" w:ascii="微软雅黑" w:hAnsi="微软雅黑" w:cs="微软雅黑"/>
          <w:b/>
          <w:bCs/>
          <w:color w:val="auto"/>
          <w:lang w:val="en-US" w:eastAsia="zh-CN"/>
        </w:rPr>
        <w:t>规划设置标准</w:t>
      </w:r>
    </w:p>
    <w:p w14:paraId="75C180EB">
      <w:pPr>
        <w:widowControl/>
        <w:spacing w:line="360" w:lineRule="auto"/>
        <w:ind w:firstLine="480"/>
        <w:jc w:val="left"/>
        <w:rPr>
          <w:rFonts w:hint="eastAsia" w:ascii="宋体" w:hAnsi="宋体" w:eastAsia="宋体" w:cs="宋体"/>
          <w:color w:val="auto"/>
          <w:kern w:val="0"/>
          <w:sz w:val="28"/>
          <w:szCs w:val="28"/>
          <w:u w:val="single"/>
          <w:lang w:eastAsia="zh-CN"/>
        </w:rPr>
      </w:pPr>
      <w:r>
        <w:rPr>
          <w:rFonts w:hint="eastAsia" w:ascii="宋体" w:hAnsi="宋体" w:eastAsia="宋体" w:cs="宋体"/>
          <w:color w:val="auto"/>
          <w:kern w:val="0"/>
          <w:sz w:val="28"/>
          <w:szCs w:val="28"/>
          <w:u w:val="single"/>
        </w:rPr>
        <w:t>新建住宅小区</w:t>
      </w:r>
      <w:r>
        <w:rPr>
          <w:rFonts w:hint="eastAsia" w:ascii="宋体" w:hAnsi="宋体" w:eastAsia="宋体" w:cs="宋体"/>
          <w:color w:val="auto"/>
          <w:kern w:val="0"/>
          <w:sz w:val="28"/>
          <w:szCs w:val="28"/>
          <w:u w:val="single"/>
          <w:lang w:eastAsia="zh-CN"/>
        </w:rPr>
        <w:t>（</w:t>
      </w:r>
      <w:r>
        <w:rPr>
          <w:rFonts w:hint="eastAsia" w:ascii="宋体" w:hAnsi="宋体" w:eastAsia="宋体" w:cs="宋体"/>
          <w:color w:val="auto"/>
          <w:kern w:val="0"/>
          <w:sz w:val="28"/>
          <w:szCs w:val="28"/>
          <w:u w:val="single"/>
          <w:lang w:val="en-US" w:eastAsia="zh-CN"/>
        </w:rPr>
        <w:t>居住区</w:t>
      </w:r>
      <w:r>
        <w:rPr>
          <w:rFonts w:hint="eastAsia" w:ascii="宋体" w:hAnsi="宋体" w:eastAsia="宋体" w:cs="宋体"/>
          <w:color w:val="auto"/>
          <w:kern w:val="0"/>
          <w:sz w:val="28"/>
          <w:szCs w:val="28"/>
          <w:u w:val="single"/>
          <w:lang w:eastAsia="zh-CN"/>
        </w:rPr>
        <w:t>）每百户不少于</w:t>
      </w:r>
      <w:r>
        <w:rPr>
          <w:rFonts w:hint="eastAsia" w:ascii="宋体" w:hAnsi="宋体" w:eastAsia="宋体" w:cs="宋体"/>
          <w:color w:val="auto"/>
          <w:kern w:val="0"/>
          <w:sz w:val="28"/>
          <w:szCs w:val="28"/>
          <w:u w:val="single"/>
          <w:lang w:val="en-US" w:eastAsia="zh-CN"/>
        </w:rPr>
        <w:t>25</w:t>
      </w:r>
      <w:r>
        <w:rPr>
          <w:rFonts w:hint="eastAsia" w:ascii="宋体" w:hAnsi="宋体" w:eastAsia="宋体" w:cs="宋体"/>
          <w:color w:val="auto"/>
          <w:kern w:val="0"/>
          <w:sz w:val="28"/>
          <w:szCs w:val="28"/>
          <w:u w:val="single"/>
          <w:lang w:eastAsia="zh-CN"/>
        </w:rPr>
        <w:t>平方米的标准配建养老服务设施用房，</w:t>
      </w:r>
      <w:r>
        <w:rPr>
          <w:rFonts w:hint="eastAsia" w:ascii="宋体" w:hAnsi="宋体" w:eastAsia="宋体" w:cs="宋体"/>
          <w:color w:val="auto"/>
          <w:kern w:val="0"/>
          <w:sz w:val="28"/>
          <w:szCs w:val="28"/>
          <w:u w:val="single"/>
          <w:lang w:val="en-US" w:eastAsia="zh-CN"/>
        </w:rPr>
        <w:t>同时满足《曲靖市城乡规划管理技术规定》的要求，</w:t>
      </w:r>
      <w:r>
        <w:rPr>
          <w:rFonts w:hint="eastAsia" w:ascii="宋体" w:hAnsi="宋体" w:eastAsia="宋体" w:cs="宋体"/>
          <w:color w:val="auto"/>
          <w:kern w:val="0"/>
          <w:sz w:val="28"/>
          <w:szCs w:val="28"/>
          <w:u w:val="single"/>
          <w:lang w:eastAsia="zh-CN"/>
        </w:rPr>
        <w:t>且单处用房使用面积不得少于300平方米。</w:t>
      </w:r>
    </w:p>
    <w:p w14:paraId="4B3B4B80">
      <w:pPr>
        <w:widowControl/>
        <w:spacing w:line="360" w:lineRule="auto"/>
        <w:ind w:firstLine="480"/>
        <w:jc w:val="left"/>
        <w:rPr>
          <w:rFonts w:hint="eastAsia" w:ascii="宋体" w:hAnsi="宋体" w:eastAsia="宋体" w:cs="宋体"/>
          <w:color w:val="auto"/>
          <w:kern w:val="0"/>
          <w:sz w:val="28"/>
          <w:szCs w:val="28"/>
          <w:u w:val="single"/>
          <w:lang w:val="en-US" w:eastAsia="zh-CN"/>
        </w:rPr>
      </w:pPr>
      <w:r>
        <w:rPr>
          <w:rFonts w:hint="eastAsia" w:ascii="宋体" w:hAnsi="宋体" w:eastAsia="宋体" w:cs="宋体"/>
          <w:color w:val="auto"/>
          <w:kern w:val="0"/>
          <w:sz w:val="28"/>
          <w:szCs w:val="28"/>
          <w:u w:val="single"/>
          <w:lang w:val="en-US" w:eastAsia="zh-CN"/>
        </w:rPr>
        <w:t>住宅小区（居住区）居家养老服务设施用房不足的，可通过购置、置换、租赁、改造等方式予以解决，也可在相邻新建地块内予以补足。鼓励将配建指标进行适度集中，社区可集中配建不少于800平方米使用面积的社区级养老服务用房。</w:t>
      </w:r>
    </w:p>
    <w:p w14:paraId="7BCC1D0F">
      <w:pPr>
        <w:widowControl/>
        <w:spacing w:line="360" w:lineRule="auto"/>
        <w:ind w:firstLine="480"/>
        <w:jc w:val="left"/>
        <w:rPr>
          <w:rFonts w:hint="eastAsia" w:ascii="宋体" w:hAnsi="宋体" w:eastAsia="宋体" w:cs="宋体"/>
          <w:color w:val="auto"/>
          <w:kern w:val="0"/>
          <w:sz w:val="28"/>
          <w:szCs w:val="28"/>
          <w:u w:val="single"/>
        </w:rPr>
      </w:pPr>
      <w:r>
        <w:rPr>
          <w:rFonts w:hint="eastAsia" w:ascii="宋体" w:hAnsi="宋体" w:eastAsia="宋体" w:cs="宋体"/>
          <w:color w:val="auto"/>
          <w:kern w:val="0"/>
          <w:sz w:val="28"/>
          <w:szCs w:val="28"/>
          <w:u w:val="single"/>
        </w:rPr>
        <w:t>老年幸福食堂使用面积（含厨房）不应少于50平方米。</w:t>
      </w:r>
    </w:p>
    <w:p w14:paraId="461CFB0C">
      <w:pPr>
        <w:widowControl/>
        <w:spacing w:line="360" w:lineRule="auto"/>
        <w:ind w:firstLine="480"/>
        <w:jc w:val="left"/>
        <w:rPr>
          <w:rFonts w:hint="eastAsia" w:ascii="宋体" w:hAnsi="宋体" w:eastAsia="宋体" w:cs="宋体"/>
          <w:color w:val="auto"/>
          <w:kern w:val="0"/>
          <w:sz w:val="28"/>
          <w:szCs w:val="28"/>
          <w:lang w:val="en-US" w:eastAsia="zh-CN"/>
        </w:rPr>
      </w:pPr>
      <w:r>
        <w:rPr>
          <w:rFonts w:hint="eastAsia" w:ascii="宋体" w:hAnsi="宋体" w:eastAsia="宋体" w:cs="宋体"/>
          <w:color w:val="auto"/>
          <w:kern w:val="0"/>
          <w:sz w:val="28"/>
          <w:szCs w:val="28"/>
          <w:lang w:val="en-US" w:eastAsia="zh-CN"/>
        </w:rPr>
        <w:t>规划新增的乡村级（行政村）居家养老设施建筑面积不低于300平方米，老年活动室建筑面积不低于200平方米。</w:t>
      </w:r>
    </w:p>
    <w:p w14:paraId="3CDB1B94">
      <w:pPr>
        <w:widowControl/>
        <w:spacing w:line="360" w:lineRule="auto"/>
        <w:ind w:firstLine="48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1</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规划设置说明</w:t>
      </w:r>
    </w:p>
    <w:p w14:paraId="13568BC4">
      <w:pPr>
        <w:widowControl/>
        <w:spacing w:line="360" w:lineRule="auto"/>
        <w:ind w:firstLine="480"/>
        <w:jc w:val="left"/>
        <w:rPr>
          <w:rFonts w:hint="eastAsia" w:ascii="宋体" w:hAnsi="宋体" w:eastAsia="宋体" w:cs="宋体"/>
          <w:color w:val="auto"/>
          <w:kern w:val="0"/>
          <w:sz w:val="28"/>
          <w:szCs w:val="28"/>
        </w:rPr>
      </w:pPr>
      <w:r>
        <w:t>街道（乡镇）人民政府驻地的社区（乡村），居家养老设施可与上级养老服务设施合并设置。</w:t>
      </w:r>
      <w:bookmarkStart w:id="58" w:name="_GoBack"/>
      <w:bookmarkEnd w:id="58"/>
    </w:p>
    <w:p w14:paraId="321B4921">
      <w:pPr>
        <w:widowControl/>
        <w:spacing w:line="360" w:lineRule="auto"/>
        <w:ind w:firstLine="48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老年活动室在与其他养老</w:t>
      </w:r>
      <w:r>
        <w:rPr>
          <w:rFonts w:hint="eastAsia" w:ascii="宋体" w:hAnsi="宋体" w:eastAsia="宋体" w:cs="宋体"/>
          <w:color w:val="auto"/>
          <w:kern w:val="0"/>
          <w:sz w:val="28"/>
          <w:szCs w:val="28"/>
          <w:lang w:val="en-US" w:eastAsia="zh-CN"/>
        </w:rPr>
        <w:t>服务</w:t>
      </w:r>
      <w:r>
        <w:rPr>
          <w:rFonts w:hint="eastAsia" w:ascii="宋体" w:hAnsi="宋体" w:eastAsia="宋体" w:cs="宋体"/>
          <w:color w:val="auto"/>
          <w:kern w:val="0"/>
          <w:sz w:val="28"/>
          <w:szCs w:val="28"/>
        </w:rPr>
        <w:t>设施合建时，应避免对老年人卧室、休息室产生干扰；宜设置在建筑首层，地面应平整，且应邻近设置公用卫生间及储藏间；应含活动室、阅览室、室外活动场地等。</w:t>
      </w:r>
    </w:p>
    <w:p w14:paraId="1C4319F7">
      <w:pPr>
        <w:widowControl/>
        <w:spacing w:line="360" w:lineRule="auto"/>
        <w:ind w:firstLine="48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老年幸福食堂应选择在老年人聚居区、无污染、无危害的安全区域内，充分考虑出行方便，尽量选择在地上一层或二层，禁止使用地下层。内部布局合理，装饰简洁温馨，符合适老化要求，方便老年人用餐，并配备消防及应急用品；工作人员不少于3人。</w:t>
      </w:r>
    </w:p>
    <w:p w14:paraId="5E0DBA7F">
      <w:pPr>
        <w:widowControl/>
        <w:spacing w:line="360" w:lineRule="auto"/>
        <w:ind w:firstLine="480"/>
        <w:jc w:val="left"/>
        <w:rPr>
          <w:rFonts w:hint="eastAsia" w:ascii="宋体" w:hAnsi="宋体" w:eastAsia="宋体" w:cs="宋体"/>
          <w:color w:val="auto"/>
          <w:kern w:val="0"/>
          <w:sz w:val="28"/>
          <w:szCs w:val="28"/>
          <w:lang w:eastAsia="zh-CN"/>
        </w:rPr>
      </w:pPr>
      <w:r>
        <w:rPr>
          <w:rFonts w:hint="eastAsia" w:ascii="宋体" w:hAnsi="宋体" w:eastAsia="宋体" w:cs="宋体"/>
          <w:color w:val="auto"/>
          <w:kern w:val="0"/>
          <w:sz w:val="28"/>
          <w:szCs w:val="28"/>
        </w:rPr>
        <w:t>符合条件的老年幸福食堂和老年活动室</w:t>
      </w:r>
      <w:r>
        <w:rPr>
          <w:rFonts w:hint="eastAsia" w:ascii="宋体" w:hAnsi="宋体" w:eastAsia="宋体" w:cs="宋体"/>
          <w:color w:val="auto"/>
          <w:kern w:val="0"/>
          <w:sz w:val="28"/>
          <w:szCs w:val="28"/>
          <w:lang w:val="en-US" w:eastAsia="zh-CN"/>
        </w:rPr>
        <w:t>可</w:t>
      </w:r>
      <w:r>
        <w:rPr>
          <w:rFonts w:hint="eastAsia" w:ascii="宋体" w:hAnsi="宋体" w:eastAsia="宋体" w:cs="宋体"/>
          <w:color w:val="auto"/>
          <w:kern w:val="0"/>
          <w:sz w:val="28"/>
          <w:szCs w:val="28"/>
        </w:rPr>
        <w:t>在原有设施基础上增加生活照料、助餐助行、紧急救援、精神慰藉等服务功能，并支持承接街道委托的居家</w:t>
      </w:r>
      <w:r>
        <w:rPr>
          <w:rFonts w:hint="eastAsia" w:ascii="宋体" w:hAnsi="宋体" w:eastAsia="宋体" w:cs="宋体"/>
          <w:color w:val="auto"/>
          <w:kern w:val="0"/>
          <w:sz w:val="28"/>
          <w:szCs w:val="28"/>
          <w:lang w:eastAsia="zh-CN"/>
        </w:rPr>
        <w:t>探视</w:t>
      </w:r>
      <w:r>
        <w:rPr>
          <w:rFonts w:hint="eastAsia" w:ascii="宋体" w:hAnsi="宋体" w:eastAsia="宋体" w:cs="宋体"/>
          <w:color w:val="auto"/>
          <w:kern w:val="0"/>
          <w:sz w:val="28"/>
          <w:szCs w:val="28"/>
        </w:rPr>
        <w:t>探访、失能老年人帮扶、家庭照护培训等服务</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兼容居家养老服务功能</w:t>
      </w:r>
      <w:r>
        <w:rPr>
          <w:rFonts w:hint="eastAsia" w:ascii="宋体" w:hAnsi="宋体" w:eastAsia="宋体" w:cs="宋体"/>
          <w:color w:val="auto"/>
          <w:kern w:val="0"/>
          <w:sz w:val="28"/>
          <w:szCs w:val="28"/>
          <w:lang w:eastAsia="zh-CN"/>
        </w:rPr>
        <w:t>。</w:t>
      </w:r>
    </w:p>
    <w:p w14:paraId="7672386B">
      <w:pPr>
        <w:widowControl/>
        <w:spacing w:line="360" w:lineRule="auto"/>
        <w:ind w:firstLine="480"/>
        <w:jc w:val="left"/>
        <w:rPr>
          <w:rFonts w:hint="eastAsia" w:ascii="宋体" w:hAnsi="宋体" w:eastAsia="宋体" w:cs="宋体"/>
          <w:color w:val="auto"/>
          <w:kern w:val="0"/>
          <w:sz w:val="28"/>
          <w:szCs w:val="28"/>
        </w:rPr>
      </w:pP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lang w:val="en-US" w:eastAsia="zh-CN"/>
        </w:rPr>
        <w:t>2</w:t>
      </w:r>
      <w:r>
        <w:rPr>
          <w:rFonts w:hint="eastAsia" w:ascii="宋体" w:hAnsi="宋体" w:eastAsia="宋体" w:cs="宋体"/>
          <w:color w:val="auto"/>
          <w:kern w:val="0"/>
          <w:sz w:val="28"/>
          <w:szCs w:val="28"/>
          <w:lang w:eastAsia="zh-CN"/>
        </w:rPr>
        <w:t>）</w:t>
      </w:r>
      <w:r>
        <w:rPr>
          <w:rFonts w:hint="eastAsia" w:ascii="宋体" w:hAnsi="宋体" w:eastAsia="宋体" w:cs="宋体"/>
          <w:color w:val="auto"/>
          <w:kern w:val="0"/>
          <w:sz w:val="28"/>
          <w:szCs w:val="28"/>
        </w:rPr>
        <w:t>布点原则</w:t>
      </w:r>
    </w:p>
    <w:p w14:paraId="169B0975">
      <w:pPr>
        <w:widowControl/>
        <w:spacing w:line="360" w:lineRule="auto"/>
        <w:ind w:firstLine="480"/>
        <w:jc w:val="left"/>
        <w:rPr>
          <w:rFonts w:hint="eastAsia" w:ascii="宋体" w:hAnsi="宋体" w:eastAsia="宋体" w:cs="宋体"/>
          <w:color w:val="auto"/>
          <w:kern w:val="0"/>
          <w:sz w:val="28"/>
          <w:szCs w:val="28"/>
          <w:u w:val="single"/>
        </w:rPr>
      </w:pPr>
      <w:r>
        <w:rPr>
          <w:rFonts w:hint="eastAsia" w:ascii="宋体" w:hAnsi="宋体" w:eastAsia="宋体" w:cs="宋体"/>
          <w:color w:val="auto"/>
          <w:kern w:val="0"/>
          <w:sz w:val="28"/>
          <w:szCs w:val="28"/>
          <w:u w:val="single"/>
        </w:rPr>
        <w:t>原则上以本级驻地</w:t>
      </w:r>
      <w:r>
        <w:rPr>
          <w:rFonts w:hint="eastAsia" w:ascii="宋体" w:hAnsi="宋体" w:eastAsia="宋体" w:cs="宋体"/>
          <w:color w:val="auto"/>
          <w:kern w:val="0"/>
          <w:sz w:val="28"/>
          <w:szCs w:val="28"/>
          <w:u w:val="single"/>
          <w:lang w:eastAsia="zh-CN"/>
        </w:rPr>
        <w:t>居（村）民委员会</w:t>
      </w:r>
      <w:r>
        <w:rPr>
          <w:rFonts w:hint="eastAsia" w:ascii="宋体" w:hAnsi="宋体" w:eastAsia="宋体" w:cs="宋体"/>
          <w:color w:val="auto"/>
          <w:kern w:val="0"/>
          <w:sz w:val="28"/>
          <w:szCs w:val="28"/>
          <w:u w:val="single"/>
        </w:rPr>
        <w:t>内附属建筑进行布置，</w:t>
      </w:r>
      <w:r>
        <w:rPr>
          <w:rFonts w:hint="eastAsia" w:ascii="宋体" w:hAnsi="宋体" w:eastAsia="宋体" w:cs="宋体"/>
          <w:color w:val="auto"/>
          <w:kern w:val="0"/>
          <w:sz w:val="28"/>
          <w:szCs w:val="28"/>
          <w:u w:val="single"/>
          <w:lang w:eastAsia="zh-CN"/>
        </w:rPr>
        <w:t>视情况可</w:t>
      </w:r>
      <w:r>
        <w:rPr>
          <w:rFonts w:hint="eastAsia" w:ascii="宋体" w:hAnsi="宋体" w:eastAsia="宋体" w:cs="宋体"/>
          <w:color w:val="auto"/>
          <w:kern w:val="0"/>
          <w:sz w:val="28"/>
          <w:szCs w:val="28"/>
          <w:u w:val="single"/>
        </w:rPr>
        <w:t>单独占地；社区</w:t>
      </w:r>
      <w:r>
        <w:rPr>
          <w:rFonts w:hint="eastAsia" w:ascii="宋体" w:hAnsi="宋体" w:eastAsia="宋体" w:cs="宋体"/>
          <w:color w:val="auto"/>
          <w:kern w:val="0"/>
          <w:sz w:val="28"/>
          <w:szCs w:val="28"/>
          <w:u w:val="single"/>
          <w:lang w:eastAsia="zh-CN"/>
        </w:rPr>
        <w:t>（</w:t>
      </w:r>
      <w:r>
        <w:rPr>
          <w:rFonts w:hint="eastAsia" w:ascii="宋体" w:hAnsi="宋体" w:eastAsia="宋体" w:cs="宋体"/>
          <w:color w:val="auto"/>
          <w:kern w:val="0"/>
          <w:sz w:val="28"/>
          <w:szCs w:val="28"/>
          <w:u w:val="single"/>
          <w:lang w:val="en-US" w:eastAsia="zh-CN"/>
        </w:rPr>
        <w:t>乡</w:t>
      </w:r>
      <w:r>
        <w:rPr>
          <w:rFonts w:hint="eastAsia" w:ascii="宋体" w:hAnsi="宋体" w:eastAsia="宋体" w:cs="宋体"/>
          <w:color w:val="auto"/>
          <w:kern w:val="0"/>
          <w:sz w:val="28"/>
          <w:szCs w:val="28"/>
          <w:u w:val="single"/>
        </w:rPr>
        <w:t>村</w:t>
      </w:r>
      <w:r>
        <w:rPr>
          <w:rFonts w:hint="eastAsia" w:ascii="宋体" w:hAnsi="宋体" w:eastAsia="宋体" w:cs="宋体"/>
          <w:color w:val="auto"/>
          <w:kern w:val="0"/>
          <w:sz w:val="28"/>
          <w:szCs w:val="28"/>
          <w:u w:val="single"/>
          <w:lang w:eastAsia="zh-CN"/>
        </w:rPr>
        <w:t>）</w:t>
      </w:r>
      <w:r>
        <w:rPr>
          <w:rFonts w:hint="eastAsia" w:ascii="宋体" w:hAnsi="宋体" w:eastAsia="宋体" w:cs="宋体"/>
          <w:color w:val="auto"/>
          <w:kern w:val="0"/>
          <w:sz w:val="28"/>
          <w:szCs w:val="28"/>
          <w:u w:val="single"/>
        </w:rPr>
        <w:t>驻地</w:t>
      </w:r>
      <w:r>
        <w:rPr>
          <w:rFonts w:hint="eastAsia" w:ascii="宋体" w:hAnsi="宋体" w:eastAsia="宋体" w:cs="宋体"/>
          <w:color w:val="auto"/>
          <w:kern w:val="0"/>
          <w:sz w:val="28"/>
          <w:szCs w:val="28"/>
          <w:u w:val="single"/>
          <w:lang w:eastAsia="zh-CN"/>
        </w:rPr>
        <w:t>居（村）民委员会</w:t>
      </w:r>
      <w:r>
        <w:rPr>
          <w:rFonts w:hint="eastAsia" w:ascii="宋体" w:hAnsi="宋体" w:eastAsia="宋体" w:cs="宋体"/>
          <w:color w:val="auto"/>
          <w:kern w:val="0"/>
          <w:sz w:val="28"/>
          <w:szCs w:val="28"/>
          <w:u w:val="single"/>
        </w:rPr>
        <w:t>内不具备建设条件的，优先以国土空间规划中兼容老年人社会福利用地的商业用地、文化用地、城镇住宅用地</w:t>
      </w:r>
      <w:r>
        <w:rPr>
          <w:rFonts w:hint="eastAsia" w:ascii="宋体" w:hAnsi="宋体" w:eastAsia="宋体" w:cs="宋体"/>
          <w:color w:val="auto"/>
          <w:kern w:val="0"/>
          <w:sz w:val="28"/>
          <w:szCs w:val="28"/>
          <w:u w:val="single"/>
          <w:lang w:val="en-US" w:eastAsia="zh-CN"/>
        </w:rPr>
        <w:t>等</w:t>
      </w:r>
      <w:r>
        <w:rPr>
          <w:rFonts w:hint="eastAsia" w:ascii="宋体" w:hAnsi="宋体" w:eastAsia="宋体" w:cs="宋体"/>
          <w:color w:val="auto"/>
          <w:kern w:val="0"/>
          <w:sz w:val="28"/>
          <w:szCs w:val="28"/>
          <w:u w:val="single"/>
        </w:rPr>
        <w:t>进行布置；各社区</w:t>
      </w:r>
      <w:r>
        <w:rPr>
          <w:rFonts w:hint="eastAsia" w:ascii="宋体" w:hAnsi="宋体" w:eastAsia="宋体" w:cs="宋体"/>
          <w:color w:val="auto"/>
          <w:kern w:val="0"/>
          <w:sz w:val="28"/>
          <w:szCs w:val="28"/>
          <w:u w:val="single"/>
          <w:lang w:eastAsia="zh-CN"/>
        </w:rPr>
        <w:t>（</w:t>
      </w:r>
      <w:r>
        <w:rPr>
          <w:rFonts w:hint="eastAsia" w:ascii="宋体" w:hAnsi="宋体" w:eastAsia="宋体" w:cs="宋体"/>
          <w:color w:val="auto"/>
          <w:kern w:val="0"/>
          <w:sz w:val="28"/>
          <w:szCs w:val="28"/>
          <w:u w:val="single"/>
          <w:lang w:val="en-US" w:eastAsia="zh-CN"/>
        </w:rPr>
        <w:t>乡</w:t>
      </w:r>
      <w:r>
        <w:rPr>
          <w:rFonts w:hint="eastAsia" w:ascii="宋体" w:hAnsi="宋体" w:eastAsia="宋体" w:cs="宋体"/>
          <w:color w:val="auto"/>
          <w:kern w:val="0"/>
          <w:sz w:val="28"/>
          <w:szCs w:val="28"/>
          <w:u w:val="single"/>
        </w:rPr>
        <w:t>村</w:t>
      </w:r>
      <w:r>
        <w:rPr>
          <w:rFonts w:hint="eastAsia" w:ascii="宋体" w:hAnsi="宋体" w:eastAsia="宋体" w:cs="宋体"/>
          <w:color w:val="auto"/>
          <w:kern w:val="0"/>
          <w:sz w:val="28"/>
          <w:szCs w:val="28"/>
          <w:u w:val="single"/>
          <w:lang w:eastAsia="zh-CN"/>
        </w:rPr>
        <w:t>）</w:t>
      </w:r>
      <w:r>
        <w:rPr>
          <w:rFonts w:hint="eastAsia" w:ascii="宋体" w:hAnsi="宋体" w:eastAsia="宋体" w:cs="宋体"/>
          <w:color w:val="auto"/>
          <w:kern w:val="0"/>
          <w:sz w:val="28"/>
          <w:szCs w:val="28"/>
          <w:u w:val="single"/>
        </w:rPr>
        <w:t>进行建设时可视实际情况合并或单独设置。</w:t>
      </w:r>
    </w:p>
    <w:p w14:paraId="7EE843B8">
      <w:pPr>
        <w:widowControl/>
        <w:spacing w:line="360" w:lineRule="auto"/>
        <w:ind w:firstLine="480"/>
        <w:jc w:val="left"/>
        <w:rPr>
          <w:rFonts w:hint="eastAsia" w:ascii="宋体" w:hAnsi="宋体" w:eastAsia="宋体" w:cs="宋体"/>
          <w:color w:val="auto"/>
          <w:kern w:val="0"/>
          <w:sz w:val="28"/>
          <w:szCs w:val="28"/>
          <w:u w:val="single"/>
          <w:lang w:val="en-US" w:eastAsia="zh-CN"/>
        </w:rPr>
      </w:pPr>
      <w:r>
        <w:rPr>
          <w:rFonts w:hint="eastAsia" w:ascii="宋体" w:hAnsi="宋体" w:eastAsia="宋体" w:cs="宋体"/>
          <w:color w:val="auto"/>
          <w:kern w:val="0"/>
          <w:sz w:val="28"/>
          <w:szCs w:val="28"/>
          <w:u w:val="single"/>
          <w:lang w:val="en-US" w:eastAsia="zh-CN"/>
        </w:rPr>
        <w:t>新建社区配建居家养老服务设施时，优先在低楼层布置，与社区现有服务设施统筹兼顾，实现共建共享；在既有社区补建居家养老服务设施时，应充分挖掘、合理利用具备条件的居住小区空地、拆除腾退用地、低效闲置用地等资源，通过整合社区用房、产权置换、征收改建等方式进行；既有社区已具有相关功能的服务设施，但规模不能满足建设标准的，在符合日照、消防等规定的前提下，可结合昆明市城市建设管理相关规定，适度增容扩建；在既有社区闲置、低效等用房改建为居家养老服务设施时，应结合实际情况，加强资源的统筹调配，提升社区服务供给水平。</w:t>
      </w:r>
    </w:p>
    <w:p w14:paraId="23E81244">
      <w:pPr>
        <w:widowControl/>
        <w:spacing w:line="360" w:lineRule="auto"/>
        <w:ind w:firstLine="480"/>
        <w:jc w:val="left"/>
        <w:rPr>
          <w:rFonts w:hint="eastAsia" w:ascii="宋体" w:hAnsi="宋体" w:eastAsia="宋体" w:cs="宋体"/>
          <w:color w:val="auto"/>
          <w:kern w:val="0"/>
          <w:sz w:val="28"/>
          <w:szCs w:val="28"/>
          <w:u w:val="single"/>
          <w:lang w:val="en-US" w:eastAsia="zh-CN"/>
        </w:rPr>
      </w:pPr>
      <w:r>
        <w:rPr>
          <w:rFonts w:hint="eastAsia" w:ascii="宋体" w:hAnsi="宋体" w:eastAsia="宋体" w:cs="宋体"/>
          <w:color w:val="auto"/>
          <w:kern w:val="0"/>
          <w:sz w:val="28"/>
          <w:szCs w:val="28"/>
          <w:u w:val="single"/>
        </w:rPr>
        <w:t>住宅小区（</w:t>
      </w:r>
      <w:r>
        <w:rPr>
          <w:rFonts w:hint="eastAsia" w:ascii="宋体" w:hAnsi="宋体" w:eastAsia="宋体" w:cs="宋体"/>
          <w:color w:val="auto"/>
          <w:kern w:val="0"/>
          <w:sz w:val="28"/>
          <w:szCs w:val="28"/>
          <w:u w:val="single"/>
          <w:lang w:val="en-US" w:eastAsia="zh-CN"/>
        </w:rPr>
        <w:t>居住区）居家养老服务设施用房不足的，可通过购置、置换、租赁、改造等方式予以解决，也可在相邻新建地块内予以补足。大型（建筑面积在5万平方米以上的）新建住宅小区（居住区）项目可以适当分区布局，小型新建住宅小区（居住区）项目可在相邻附近适当集中配置。</w:t>
      </w:r>
    </w:p>
    <w:p w14:paraId="4EC73C66">
      <w:pPr>
        <w:spacing w:beforeLines="0" w:afterLines="0"/>
        <w:jc w:val="left"/>
        <w:rPr>
          <w:rFonts w:hint="eastAsia" w:ascii="宋体" w:hAnsi="宋体" w:eastAsia="宋体" w:cs="宋体"/>
          <w:color w:val="auto"/>
          <w:kern w:val="0"/>
          <w:sz w:val="28"/>
          <w:szCs w:val="28"/>
          <w:u w:val="none"/>
          <w:lang w:val="en-US" w:eastAsia="zh-CN"/>
        </w:rPr>
      </w:pPr>
      <w:r>
        <w:rPr>
          <w:rFonts w:hint="eastAsia" w:ascii="宋体" w:hAnsi="宋体" w:eastAsia="宋体" w:cs="宋体"/>
          <w:color w:val="auto"/>
          <w:kern w:val="0"/>
          <w:sz w:val="28"/>
          <w:szCs w:val="28"/>
          <w:lang w:val="en-US" w:eastAsia="zh-CN"/>
        </w:rPr>
        <w:t>居家养老设施宜在</w:t>
      </w:r>
      <w:r>
        <w:rPr>
          <w:rFonts w:hint="eastAsia" w:ascii="宋体" w:hAnsi="宋体" w:eastAsia="宋体" w:cs="宋体"/>
          <w:color w:val="auto"/>
          <w:kern w:val="0"/>
          <w:sz w:val="28"/>
          <w:szCs w:val="28"/>
          <w:u w:val="none"/>
        </w:rPr>
        <w:t>各行政村设一处，村域面积较大或集中居民点较分散情况下可多点设置</w:t>
      </w:r>
      <w:r>
        <w:rPr>
          <w:rFonts w:hint="eastAsia" w:ascii="宋体" w:hAnsi="宋体" w:eastAsia="宋体" w:cs="宋体"/>
          <w:color w:val="auto"/>
          <w:kern w:val="0"/>
          <w:sz w:val="28"/>
          <w:szCs w:val="28"/>
          <w:u w:val="none"/>
          <w:lang w:eastAsia="zh-CN"/>
        </w:rPr>
        <w:t>。乡村</w:t>
      </w:r>
      <w:r>
        <w:rPr>
          <w:rFonts w:hint="eastAsia" w:ascii="宋体" w:hAnsi="宋体" w:eastAsia="宋体" w:cs="宋体"/>
          <w:color w:val="auto"/>
          <w:kern w:val="0"/>
          <w:sz w:val="28"/>
          <w:szCs w:val="28"/>
          <w:u w:val="none"/>
        </w:rPr>
        <w:t>级老年活动室可结合村委会、村民小组的空房、空地进行布置，可与居家养老设施合建。</w:t>
      </w:r>
    </w:p>
    <w:p w14:paraId="1B23896F">
      <w:pPr>
        <w:widowControl/>
        <w:spacing w:line="360" w:lineRule="auto"/>
        <w:ind w:firstLine="480"/>
        <w:jc w:val="left"/>
        <w:rPr>
          <w:rFonts w:hint="eastAsia" w:ascii="宋体" w:hAnsi="宋体" w:eastAsia="宋体" w:cs="宋体"/>
          <w:color w:val="auto"/>
          <w:kern w:val="0"/>
          <w:sz w:val="28"/>
          <w:szCs w:val="28"/>
          <w:u w:val="single"/>
        </w:rPr>
      </w:pPr>
      <w:r>
        <w:rPr>
          <w:rFonts w:hint="eastAsia" w:ascii="宋体" w:hAnsi="宋体" w:eastAsia="宋体" w:cs="宋体"/>
          <w:color w:val="auto"/>
          <w:kern w:val="0"/>
          <w:sz w:val="28"/>
          <w:szCs w:val="28"/>
          <w:u w:val="single"/>
        </w:rPr>
        <w:t>老年幸福食堂</w:t>
      </w:r>
      <w:r>
        <w:rPr>
          <w:rFonts w:hint="eastAsia" w:ascii="宋体" w:hAnsi="宋体" w:eastAsia="宋体" w:cs="宋体"/>
          <w:color w:val="auto"/>
          <w:kern w:val="0"/>
          <w:sz w:val="28"/>
          <w:szCs w:val="28"/>
          <w:u w:val="single"/>
          <w:lang w:eastAsia="zh-CN"/>
        </w:rPr>
        <w:t>应</w:t>
      </w:r>
      <w:r>
        <w:rPr>
          <w:rFonts w:hint="eastAsia" w:ascii="宋体" w:hAnsi="宋体" w:eastAsia="宋体" w:cs="宋体"/>
          <w:color w:val="auto"/>
          <w:kern w:val="0"/>
          <w:sz w:val="28"/>
          <w:szCs w:val="28"/>
          <w:u w:val="single"/>
        </w:rPr>
        <w:t>选择地势干燥、有给（排）水条件和电力供应的地区，不得设在易</w:t>
      </w:r>
      <w:r>
        <w:rPr>
          <w:rFonts w:hint="eastAsia" w:ascii="宋体" w:hAnsi="宋体" w:eastAsia="宋体" w:cs="宋体"/>
          <w:color w:val="auto"/>
          <w:kern w:val="0"/>
          <w:sz w:val="28"/>
          <w:szCs w:val="28"/>
          <w:u w:val="single"/>
          <w:lang w:eastAsia="zh-CN"/>
        </w:rPr>
        <w:t>受</w:t>
      </w:r>
      <w:r>
        <w:rPr>
          <w:rFonts w:hint="eastAsia" w:ascii="宋体" w:hAnsi="宋体" w:eastAsia="宋体" w:cs="宋体"/>
          <w:color w:val="auto"/>
          <w:kern w:val="0"/>
          <w:sz w:val="28"/>
          <w:szCs w:val="28"/>
          <w:u w:val="single"/>
        </w:rPr>
        <w:t>污染的区域。距离粪坑、污水池、暴露垃圾场（站）、旱厕等污染源25米以上，并防止受到粉尘、有害气体、放射性物质和其他扩散性污染源的影响，符合环保和消防等有关要求。</w:t>
      </w:r>
    </w:p>
    <w:p w14:paraId="79796CA3">
      <w:pPr>
        <w:numPr>
          <w:ilvl w:val="0"/>
          <w:numId w:val="2"/>
        </w:numPr>
        <w:bidi w:val="0"/>
        <w:ind w:firstLine="0"/>
        <w:rPr>
          <w:rFonts w:hint="default" w:cs="Times New Roman"/>
          <w:b/>
          <w:color w:val="auto"/>
          <w:lang w:val="en-US" w:eastAsia="zh-CN"/>
        </w:rPr>
      </w:pPr>
      <w:bookmarkStart w:id="27" w:name="_Toc28669"/>
      <w:r>
        <w:rPr>
          <w:rFonts w:hint="eastAsia" w:cs="Times New Roman"/>
          <w:b/>
          <w:color w:val="auto"/>
          <w:lang w:val="en-US" w:eastAsia="zh-CN"/>
        </w:rPr>
        <w:t>养老产业发展规划</w:t>
      </w:r>
      <w:bookmarkEnd w:id="27"/>
    </w:p>
    <w:p w14:paraId="5CDB9DD1">
      <w:pPr>
        <w:ind w:firstLine="560"/>
        <w:rPr>
          <w:rFonts w:hint="default" w:cs="Times New Roman"/>
          <w:color w:val="auto"/>
        </w:rPr>
      </w:pPr>
      <w:r>
        <w:rPr>
          <w:rFonts w:hint="default" w:cs="Times New Roman"/>
          <w:color w:val="auto"/>
        </w:rPr>
        <w:t>全面贯彻落实</w:t>
      </w:r>
      <w:r>
        <w:rPr>
          <w:rFonts w:hint="eastAsia" w:cs="Times New Roman"/>
          <w:color w:val="auto"/>
          <w:lang w:eastAsia="zh-CN"/>
        </w:rPr>
        <w:t>积极应对人口老龄化国家战略</w:t>
      </w:r>
      <w:r>
        <w:rPr>
          <w:rFonts w:hint="default" w:cs="Times New Roman"/>
          <w:color w:val="auto"/>
        </w:rPr>
        <w:t>，</w:t>
      </w:r>
      <w:r>
        <w:rPr>
          <w:rFonts w:hint="default" w:cs="Times New Roman"/>
          <w:color w:val="auto"/>
          <w:lang w:val="en-US" w:eastAsia="zh-CN"/>
        </w:rPr>
        <w:t>锚定</w:t>
      </w:r>
      <w:r>
        <w:rPr>
          <w:rFonts w:hint="default" w:cs="Times New Roman"/>
          <w:color w:val="auto"/>
        </w:rPr>
        <w:t>省委“3815”战略发展目标，立足</w:t>
      </w:r>
      <w:r>
        <w:rPr>
          <w:rFonts w:hint="default" w:cs="Times New Roman"/>
          <w:color w:val="auto"/>
          <w:lang w:val="en-US" w:eastAsia="zh-CN"/>
        </w:rPr>
        <w:t>曲靖区位、宜居等</w:t>
      </w:r>
      <w:r>
        <w:rPr>
          <w:rFonts w:hint="default" w:cs="Times New Roman"/>
          <w:color w:val="auto"/>
        </w:rPr>
        <w:t>资源优势，坚持市场导向，聚焦人民群众对美好生活的追求，</w:t>
      </w:r>
      <w:r>
        <w:rPr>
          <w:rFonts w:hint="default" w:cs="Times New Roman"/>
          <w:color w:val="auto"/>
          <w:lang w:val="en-US" w:eastAsia="zh-CN"/>
        </w:rPr>
        <w:t>吸引各地老年人在曲靖旅居、避暑、康养，体验“有一种叫云南的生活”</w:t>
      </w:r>
      <w:r>
        <w:rPr>
          <w:rFonts w:hint="eastAsia" w:cs="Times New Roman"/>
          <w:color w:val="auto"/>
          <w:lang w:val="en-US" w:eastAsia="zh-CN"/>
        </w:rPr>
        <w:t>。全</w:t>
      </w:r>
      <w:r>
        <w:rPr>
          <w:rFonts w:hint="default" w:cs="Times New Roman"/>
          <w:color w:val="auto"/>
        </w:rPr>
        <w:t>力打造“爨乡珠源·养老福地”，</w:t>
      </w:r>
      <w:r>
        <w:rPr>
          <w:rFonts w:hint="default" w:cs="Times New Roman"/>
          <w:color w:val="auto"/>
          <w:lang w:val="en-US" w:eastAsia="zh-CN"/>
        </w:rPr>
        <w:t>助力银发经济发展。</w:t>
      </w:r>
    </w:p>
    <w:p w14:paraId="32956018">
      <w:pPr>
        <w:ind w:firstLine="560"/>
        <w:rPr>
          <w:rFonts w:hint="default" w:cs="Times New Roman"/>
          <w:color w:val="auto"/>
          <w:lang w:val="en-US"/>
        </w:rPr>
      </w:pPr>
      <w:r>
        <w:rPr>
          <w:rFonts w:hint="default" w:cs="Times New Roman"/>
          <w:color w:val="auto"/>
          <w:lang w:val="en-US" w:eastAsia="zh-CN"/>
        </w:rPr>
        <w:t>持续完善老年人服务设施，提升旅居养老供给。持续加强养老服务机构建设（改造），</w:t>
      </w:r>
      <w:r>
        <w:rPr>
          <w:rFonts w:hint="eastAsia" w:cs="Times New Roman"/>
          <w:color w:val="auto"/>
          <w:lang w:val="en-US" w:eastAsia="zh-CN"/>
        </w:rPr>
        <w:t>深入开展养老旅居养老机构摸底排查，鼓励</w:t>
      </w:r>
      <w:r>
        <w:rPr>
          <w:rFonts w:hint="default" w:cs="Times New Roman"/>
          <w:color w:val="auto"/>
          <w:lang w:val="en-US" w:eastAsia="zh-CN"/>
        </w:rPr>
        <w:t>有条件</w:t>
      </w:r>
      <w:r>
        <w:rPr>
          <w:rFonts w:hint="eastAsia" w:cs="Times New Roman"/>
          <w:color w:val="auto"/>
          <w:lang w:val="en-US" w:eastAsia="zh-CN"/>
        </w:rPr>
        <w:t>、有空余床位</w:t>
      </w:r>
      <w:r>
        <w:rPr>
          <w:rFonts w:hint="default" w:cs="Times New Roman"/>
          <w:color w:val="auto"/>
          <w:lang w:val="en-US" w:eastAsia="zh-CN"/>
        </w:rPr>
        <w:t>的养老机构完善服务设施，面向社会开展旅居养老服务。</w:t>
      </w:r>
      <w:r>
        <w:rPr>
          <w:rFonts w:hint="eastAsia" w:cs="Times New Roman"/>
          <w:color w:val="auto"/>
          <w:lang w:val="en-US" w:eastAsia="zh-CN"/>
        </w:rPr>
        <w:t>严格按照养老机构等级评定标准开展等级评定，提升养老旅居机构服务质量。</w:t>
      </w:r>
      <w:r>
        <w:rPr>
          <w:rFonts w:hint="default" w:cs="Times New Roman"/>
          <w:color w:val="auto"/>
          <w:lang w:val="en-US" w:eastAsia="zh-CN"/>
        </w:rPr>
        <w:t>鼓励酒店、民宿</w:t>
      </w:r>
      <w:r>
        <w:rPr>
          <w:rFonts w:hint="default" w:cs="Times New Roman"/>
          <w:color w:val="auto"/>
        </w:rPr>
        <w:t>、乡村休闲</w:t>
      </w:r>
      <w:r>
        <w:rPr>
          <w:rFonts w:hint="default" w:cs="Times New Roman"/>
          <w:color w:val="auto"/>
          <w:lang w:val="en-US" w:eastAsia="zh-CN"/>
        </w:rPr>
        <w:t>等开展适老化改造，开展居家养老服务。</w:t>
      </w:r>
      <w:r>
        <w:rPr>
          <w:rFonts w:hint="eastAsia" w:cs="Times New Roman"/>
          <w:color w:val="auto"/>
          <w:lang w:val="en-US" w:eastAsia="zh-CN"/>
        </w:rPr>
        <w:t>积极打造养老旅居线路，市内</w:t>
      </w:r>
      <w:r>
        <w:rPr>
          <w:rFonts w:hint="default" w:cs="Times New Roman"/>
          <w:color w:val="auto"/>
          <w:lang w:val="en-US" w:eastAsia="zh-CN"/>
        </w:rPr>
        <w:t>打造</w:t>
      </w:r>
      <w:r>
        <w:rPr>
          <w:rFonts w:hint="eastAsia" w:cs="Times New Roman"/>
          <w:color w:val="auto"/>
          <w:lang w:val="en-US" w:eastAsia="zh-CN"/>
        </w:rPr>
        <w:t>罗平-麒麟（东山）以观花为主题，宣威-会泽以峡谷、高山草甸为主题，麒麟-会泽以清凉旅居为主题，麒麟-马龙以乡村旅游为主题的4条养老旅居线路。</w:t>
      </w:r>
    </w:p>
    <w:p w14:paraId="781E987A">
      <w:pPr>
        <w:ind w:firstLine="560"/>
        <w:rPr>
          <w:rFonts w:hint="default" w:cs="Times New Roman"/>
          <w:color w:val="auto"/>
          <w:lang w:val="en-US" w:eastAsia="zh-CN"/>
        </w:rPr>
      </w:pPr>
      <w:r>
        <w:rPr>
          <w:rFonts w:hint="default" w:cs="Times New Roman"/>
          <w:color w:val="auto"/>
          <w:lang w:val="en-US" w:eastAsia="zh-CN"/>
        </w:rPr>
        <w:t>持续做强</w:t>
      </w:r>
      <w:r>
        <w:rPr>
          <w:rFonts w:hint="eastAsia" w:cs="Times New Roman"/>
          <w:color w:val="auto"/>
          <w:lang w:val="en-US" w:eastAsia="zh-CN"/>
        </w:rPr>
        <w:t>老年人</w:t>
      </w:r>
      <w:r>
        <w:rPr>
          <w:rFonts w:hint="default" w:cs="Times New Roman"/>
          <w:color w:val="auto"/>
          <w:lang w:val="en-US" w:eastAsia="zh-CN"/>
        </w:rPr>
        <w:t>“</w:t>
      </w:r>
      <w:r>
        <w:rPr>
          <w:rFonts w:hint="eastAsia" w:cs="Times New Roman"/>
          <w:color w:val="auto"/>
          <w:lang w:val="en-US" w:eastAsia="zh-CN"/>
        </w:rPr>
        <w:t>避暑旅居</w:t>
      </w:r>
      <w:r>
        <w:rPr>
          <w:rFonts w:hint="default" w:cs="Times New Roman"/>
          <w:color w:val="auto"/>
          <w:lang w:val="en-US" w:eastAsia="zh-CN"/>
        </w:rPr>
        <w:t>”</w:t>
      </w:r>
      <w:r>
        <w:rPr>
          <w:rFonts w:hint="eastAsia" w:cs="Times New Roman"/>
          <w:color w:val="auto"/>
          <w:lang w:val="en-US" w:eastAsia="zh-CN"/>
        </w:rPr>
        <w:t>，</w:t>
      </w:r>
      <w:r>
        <w:rPr>
          <w:rFonts w:hint="default" w:cs="Times New Roman"/>
          <w:color w:val="auto"/>
          <w:lang w:val="en-US" w:eastAsia="zh-CN"/>
        </w:rPr>
        <w:t>依托曲靖宜居城市和夏季清凉的气候优势，瞄准避暑养老旅居需求，重点在麒麟、沾益、马龙区、宣威市、会泽县组织养老服务机构开展避暑旅居养老服务。持续推进医养旅居</w:t>
      </w:r>
      <w:r>
        <w:rPr>
          <w:rFonts w:hint="eastAsia" w:cs="Times New Roman"/>
          <w:color w:val="auto"/>
          <w:lang w:val="en-US" w:eastAsia="zh-CN"/>
        </w:rPr>
        <w:t>，</w:t>
      </w:r>
      <w:r>
        <w:rPr>
          <w:rFonts w:hint="default" w:cs="Times New Roman"/>
          <w:color w:val="auto"/>
        </w:rPr>
        <w:t>落实医养结合优惠政策措施，</w:t>
      </w:r>
      <w:r>
        <w:rPr>
          <w:rFonts w:hint="eastAsia" w:cs="Times New Roman"/>
          <w:color w:val="auto"/>
          <w:lang w:val="en-US" w:eastAsia="zh-CN"/>
        </w:rPr>
        <w:t>依托曲靖市区域医疗中心优质的医疗资源，打造“养老服务+健康管理”的</w:t>
      </w:r>
      <w:r>
        <w:rPr>
          <w:rFonts w:hint="eastAsia" w:cs="Times New Roman"/>
          <w:color w:val="auto"/>
        </w:rPr>
        <w:t>医养结合试点，全面深度促进医养融合发展</w:t>
      </w:r>
      <w:r>
        <w:rPr>
          <w:rFonts w:hint="eastAsia" w:cs="Times New Roman"/>
          <w:color w:val="auto"/>
          <w:lang w:val="en-US" w:eastAsia="zh-CN"/>
        </w:rPr>
        <w:t>，</w:t>
      </w:r>
      <w:r>
        <w:rPr>
          <w:rFonts w:hint="default" w:cs="Times New Roman"/>
          <w:color w:val="auto"/>
          <w:lang w:val="en-US" w:eastAsia="zh-CN"/>
        </w:rPr>
        <w:t>进一步提升医养结合服务水平，吸引老年人旅居</w:t>
      </w:r>
      <w:r>
        <w:rPr>
          <w:rFonts w:hint="eastAsia" w:cs="Times New Roman"/>
          <w:color w:val="auto"/>
          <w:lang w:val="en-US" w:eastAsia="zh-CN"/>
        </w:rPr>
        <w:t>疗养</w:t>
      </w:r>
      <w:r>
        <w:rPr>
          <w:rFonts w:hint="default" w:cs="Times New Roman"/>
          <w:color w:val="auto"/>
          <w:lang w:val="en-US" w:eastAsia="zh-CN"/>
        </w:rPr>
        <w:t>。</w:t>
      </w:r>
    </w:p>
    <w:p w14:paraId="4DC1E57C">
      <w:pPr>
        <w:ind w:firstLine="560"/>
        <w:rPr>
          <w:rFonts w:hint="eastAsia" w:cs="Times New Roman"/>
          <w:color w:val="auto"/>
        </w:rPr>
      </w:pPr>
      <w:r>
        <w:rPr>
          <w:rFonts w:hint="eastAsia" w:cs="Times New Roman"/>
          <w:color w:val="auto"/>
        </w:rPr>
        <w:t>实施“养老服务＋行业”行动，促进养老服务与旅游、餐饮、体育、家政、教育、房地产等行业融合发展，丰富养老服务内容，形成产业规模效应。依托</w:t>
      </w:r>
      <w:r>
        <w:rPr>
          <w:rFonts w:hint="eastAsia" w:cs="Times New Roman"/>
          <w:color w:val="auto"/>
          <w:lang w:val="en-US" w:eastAsia="zh-CN"/>
        </w:rPr>
        <w:t>曲靖市</w:t>
      </w:r>
      <w:r>
        <w:rPr>
          <w:rFonts w:hint="eastAsia" w:cs="Times New Roman"/>
          <w:color w:val="auto"/>
        </w:rPr>
        <w:t>高品质的自然人文资源，促进高端医疗、健康管理、休闲度假、体育健身等领域提质增效，</w:t>
      </w:r>
      <w:r>
        <w:rPr>
          <w:rFonts w:hint="eastAsia" w:cs="Times New Roman"/>
          <w:color w:val="auto"/>
          <w:lang w:val="en-US" w:eastAsia="zh-CN"/>
        </w:rPr>
        <w:t>依托马龙区月望湖体育训练中心打造“养老服务+健身休闲”的康养社区，依托三宝温泉片区康养项目打造“养老服务+旅居养生”的康养社区，</w:t>
      </w:r>
      <w:r>
        <w:rPr>
          <w:rFonts w:hint="eastAsia" w:cs="Times New Roman"/>
          <w:color w:val="auto"/>
        </w:rPr>
        <w:t>打造一批融健身休闲、医疗养生、旅居养老为一体的特色鲜明、知名度高、带动力强的康养产业集聚区。</w:t>
      </w:r>
    </w:p>
    <w:p w14:paraId="620EA51D">
      <w:pPr>
        <w:numPr>
          <w:ilvl w:val="0"/>
          <w:numId w:val="1"/>
        </w:numPr>
        <w:ind w:left="0" w:leftChars="0" w:firstLine="0" w:firstLineChars="0"/>
        <w:rPr>
          <w:rFonts w:hint="eastAsia" w:cs="Times New Roman"/>
          <w:b/>
          <w:color w:val="auto"/>
          <w:lang w:val="en-US" w:eastAsia="zh-CN"/>
        </w:rPr>
      </w:pPr>
      <w:bookmarkStart w:id="28" w:name="_Toc10134"/>
      <w:r>
        <w:rPr>
          <w:rFonts w:hint="eastAsia" w:cs="Times New Roman"/>
          <w:b/>
          <w:color w:val="auto"/>
          <w:lang w:val="en-US" w:eastAsia="zh-CN"/>
        </w:rPr>
        <w:t>儿童福利设施规划</w:t>
      </w:r>
      <w:bookmarkEnd w:id="28"/>
    </w:p>
    <w:p w14:paraId="6872994D">
      <w:pPr>
        <w:numPr>
          <w:ilvl w:val="0"/>
          <w:numId w:val="2"/>
        </w:numPr>
        <w:bidi w:val="0"/>
        <w:ind w:firstLine="0"/>
        <w:rPr>
          <w:rFonts w:hint="eastAsia" w:ascii="Arial" w:hAnsi="Arial" w:cs="Times New Roman"/>
          <w:b/>
          <w:color w:val="auto"/>
          <w:lang w:val="en-US" w:eastAsia="zh-CN"/>
        </w:rPr>
      </w:pPr>
      <w:bookmarkStart w:id="29" w:name="_Toc4941"/>
      <w:r>
        <w:rPr>
          <w:rFonts w:hint="eastAsia" w:cs="Times New Roman"/>
          <w:b/>
          <w:color w:val="auto"/>
          <w:lang w:val="en-US" w:eastAsia="zh-CN"/>
        </w:rPr>
        <w:t>儿童福利设施发展现状</w:t>
      </w:r>
      <w:bookmarkEnd w:id="29"/>
    </w:p>
    <w:p w14:paraId="1336A747">
      <w:pPr>
        <w:bidi w:val="0"/>
        <w:rPr>
          <w:rFonts w:hint="eastAsia"/>
          <w:b/>
          <w:bCs/>
          <w:color w:val="auto"/>
          <w:lang w:val="en-US" w:eastAsia="zh-CN"/>
        </w:rPr>
      </w:pPr>
      <w:r>
        <w:rPr>
          <w:rFonts w:hint="eastAsia"/>
          <w:b/>
          <w:bCs/>
          <w:color w:val="auto"/>
          <w:lang w:val="en-US" w:eastAsia="zh-CN"/>
        </w:rPr>
        <w:t>1.儿童福利设施现状</w:t>
      </w:r>
    </w:p>
    <w:p w14:paraId="5B26A1ED">
      <w:pPr>
        <w:ind w:firstLine="560"/>
        <w:rPr>
          <w:color w:val="auto"/>
        </w:rPr>
      </w:pPr>
      <w:r>
        <w:rPr>
          <w:rFonts w:hint="eastAsia"/>
          <w:color w:val="auto"/>
        </w:rPr>
        <w:t>曲靖市现状共有儿童福利院7所，中心城区</w:t>
      </w:r>
      <w:r>
        <w:rPr>
          <w:rFonts w:hint="eastAsia"/>
          <w:color w:val="auto"/>
          <w:lang w:eastAsia="zh-CN"/>
        </w:rPr>
        <w:t>共有</w:t>
      </w:r>
      <w:r>
        <w:rPr>
          <w:rFonts w:hint="eastAsia"/>
          <w:color w:val="auto"/>
        </w:rPr>
        <w:t>1所市级儿童福利院，市域六县</w:t>
      </w:r>
      <w:r>
        <w:rPr>
          <w:rFonts w:hint="eastAsia"/>
          <w:color w:val="auto"/>
          <w:lang w:eastAsia="zh-CN"/>
        </w:rPr>
        <w:t>（</w:t>
      </w:r>
      <w:r>
        <w:rPr>
          <w:rFonts w:hint="eastAsia"/>
          <w:color w:val="auto"/>
        </w:rPr>
        <w:t>市</w:t>
      </w:r>
      <w:r>
        <w:rPr>
          <w:rFonts w:hint="eastAsia"/>
          <w:color w:val="auto"/>
          <w:lang w:eastAsia="zh-CN"/>
        </w:rPr>
        <w:t>）</w:t>
      </w:r>
      <w:r>
        <w:rPr>
          <w:rFonts w:hint="eastAsia"/>
          <w:color w:val="auto"/>
        </w:rPr>
        <w:t>各1所，可</w:t>
      </w:r>
      <w:r>
        <w:rPr>
          <w:rFonts w:hint="eastAsia"/>
          <w:color w:val="auto"/>
          <w:lang w:val="en-US" w:eastAsia="zh-CN"/>
        </w:rPr>
        <w:t>养育</w:t>
      </w:r>
      <w:r>
        <w:rPr>
          <w:rFonts w:hint="eastAsia"/>
          <w:color w:val="auto"/>
        </w:rPr>
        <w:t>人数约750人，现状机构养育孤儿111人，总体呈现养育孤儿数量较少，床位数较多，设施空置的情况。</w:t>
      </w:r>
    </w:p>
    <w:p w14:paraId="20CB0D92">
      <w:pPr>
        <w:bidi w:val="0"/>
        <w:rPr>
          <w:rFonts w:hint="eastAsia"/>
          <w:b/>
          <w:bCs/>
          <w:color w:val="auto"/>
          <w:lang w:val="en-US" w:eastAsia="zh-CN"/>
        </w:rPr>
      </w:pPr>
      <w:r>
        <w:rPr>
          <w:rFonts w:hint="eastAsia"/>
          <w:b/>
          <w:bCs/>
          <w:color w:val="auto"/>
          <w:lang w:val="en-US" w:eastAsia="zh-CN"/>
        </w:rPr>
        <w:t>2.儿童之家现状</w:t>
      </w:r>
    </w:p>
    <w:p w14:paraId="664202FF">
      <w:pPr>
        <w:ind w:firstLine="560"/>
        <w:rPr>
          <w:rFonts w:hint="eastAsia"/>
          <w:color w:val="auto"/>
        </w:rPr>
      </w:pPr>
      <w:r>
        <w:rPr>
          <w:rFonts w:hint="eastAsia"/>
          <w:color w:val="auto"/>
        </w:rPr>
        <w:t>全市已实现村</w:t>
      </w:r>
      <w:r>
        <w:rPr>
          <w:rFonts w:hint="eastAsia"/>
          <w:color w:val="auto"/>
          <w:lang w:eastAsia="zh-CN"/>
        </w:rPr>
        <w:t>（</w:t>
      </w:r>
      <w:r>
        <w:rPr>
          <w:rFonts w:hint="eastAsia"/>
          <w:color w:val="auto"/>
        </w:rPr>
        <w:t>社区</w:t>
      </w:r>
      <w:r>
        <w:rPr>
          <w:rFonts w:hint="eastAsia"/>
          <w:color w:val="auto"/>
          <w:lang w:eastAsia="zh-CN"/>
        </w:rPr>
        <w:t>）</w:t>
      </w:r>
      <w:r>
        <w:rPr>
          <w:rFonts w:hint="eastAsia"/>
          <w:color w:val="auto"/>
        </w:rPr>
        <w:t>儿童之家全覆盖，但建设标准较低，配套不足，儿童之家</w:t>
      </w:r>
      <w:r>
        <w:rPr>
          <w:rFonts w:hint="eastAsia"/>
          <w:color w:val="auto"/>
          <w:lang w:val="en-US" w:eastAsia="zh-CN"/>
        </w:rPr>
        <w:t>在发挥</w:t>
      </w:r>
      <w:r>
        <w:rPr>
          <w:rFonts w:hint="eastAsia"/>
          <w:color w:val="auto"/>
        </w:rPr>
        <w:t>“学习的园地，交流的平台，娱乐的场所，健身的阵地”</w:t>
      </w:r>
      <w:r>
        <w:rPr>
          <w:rFonts w:hint="eastAsia"/>
          <w:color w:val="auto"/>
          <w:lang w:val="en-US" w:eastAsia="zh-CN"/>
        </w:rPr>
        <w:t>等方面不足</w:t>
      </w:r>
      <w:r>
        <w:rPr>
          <w:rFonts w:hint="eastAsia"/>
          <w:color w:val="auto"/>
        </w:rPr>
        <w:t>，规划应逐步加以改造</w:t>
      </w:r>
      <w:r>
        <w:rPr>
          <w:rFonts w:hint="eastAsia"/>
          <w:color w:val="auto"/>
          <w:lang w:val="en-US" w:eastAsia="zh-CN"/>
        </w:rPr>
        <w:t>提升</w:t>
      </w:r>
      <w:r>
        <w:rPr>
          <w:rFonts w:hint="eastAsia"/>
          <w:color w:val="auto"/>
        </w:rPr>
        <w:t>。</w:t>
      </w:r>
    </w:p>
    <w:p w14:paraId="38842C1F">
      <w:pPr>
        <w:numPr>
          <w:ilvl w:val="0"/>
          <w:numId w:val="2"/>
        </w:numPr>
        <w:bidi w:val="0"/>
        <w:ind w:firstLine="0"/>
        <w:rPr>
          <w:rFonts w:hint="eastAsia" w:ascii="Arial" w:hAnsi="Arial" w:cs="Times New Roman"/>
          <w:b/>
          <w:color w:val="auto"/>
          <w:lang w:val="en-US" w:eastAsia="zh-CN"/>
        </w:rPr>
      </w:pPr>
      <w:bookmarkStart w:id="30" w:name="_Toc31762"/>
      <w:r>
        <w:rPr>
          <w:rFonts w:hint="eastAsia" w:cs="Times New Roman"/>
          <w:b/>
          <w:color w:val="auto"/>
          <w:lang w:val="en-US" w:eastAsia="zh-CN"/>
        </w:rPr>
        <w:t>儿童福利设施规划体系</w:t>
      </w:r>
      <w:bookmarkEnd w:id="30"/>
    </w:p>
    <w:p w14:paraId="6EC35674">
      <w:pPr>
        <w:bidi w:val="0"/>
        <w:jc w:val="left"/>
        <w:rPr>
          <w:rFonts w:hint="eastAsia" w:cs="Times New Roman"/>
          <w:color w:val="auto"/>
          <w:lang w:val="en-US" w:eastAsia="zh-CN"/>
        </w:rPr>
      </w:pPr>
      <w:r>
        <w:rPr>
          <w:rFonts w:hint="eastAsia"/>
          <w:color w:val="auto"/>
          <w:lang w:val="en-US" w:eastAsia="zh-CN"/>
        </w:rPr>
        <w:t>根据《云南省公共服务设施配置标准》，结合曲靖市经济社会发展实际，规划按照“两类两级”的配建标准进行优化配置，两类为：儿童福利院、儿童之家，两级为：市级、村级。</w:t>
      </w:r>
    </w:p>
    <w:p w14:paraId="5A3F77DD">
      <w:pPr>
        <w:numPr>
          <w:ilvl w:val="0"/>
          <w:numId w:val="2"/>
        </w:numPr>
        <w:bidi w:val="0"/>
        <w:ind w:firstLine="0"/>
        <w:rPr>
          <w:rFonts w:hint="eastAsia" w:ascii="Arial" w:hAnsi="Arial" w:cs="Times New Roman"/>
          <w:b/>
          <w:color w:val="auto"/>
          <w:lang w:val="en-US" w:eastAsia="zh-CN"/>
        </w:rPr>
      </w:pPr>
      <w:bookmarkStart w:id="31" w:name="_Toc21429"/>
      <w:r>
        <w:rPr>
          <w:rFonts w:hint="eastAsia" w:cs="Times New Roman"/>
          <w:b/>
          <w:color w:val="auto"/>
          <w:lang w:val="en-US" w:eastAsia="zh-CN"/>
        </w:rPr>
        <w:t>儿童福利设施规划</w:t>
      </w:r>
      <w:bookmarkEnd w:id="31"/>
    </w:p>
    <w:p w14:paraId="37747E11">
      <w:pPr>
        <w:bidi w:val="0"/>
        <w:rPr>
          <w:rFonts w:hint="eastAsia"/>
          <w:color w:val="auto"/>
          <w:u w:val="single"/>
          <w:lang w:val="en-US" w:eastAsia="zh-CN"/>
        </w:rPr>
      </w:pPr>
      <w:r>
        <w:rPr>
          <w:rFonts w:hint="eastAsia"/>
          <w:color w:val="auto"/>
          <w:lang w:val="en-US" w:eastAsia="zh-CN"/>
        </w:rPr>
        <w:t>根据《关于进一步健全农村留守儿童和困境儿童关爱服务体系的意见》（民发〔2019〕34号）文件精神，各地要因地制宜优化儿童福利机构区域布局，推动将孤儿数量少、机构设施差、专业力量弱的县级儿童福利机构抚养的儿童向地市级儿童福利机构移交。结合曲靖市目前仅有111名孤儿在儿童福利院抚养的实际情况，规</w:t>
      </w:r>
      <w:r>
        <w:rPr>
          <w:rFonts w:hint="eastAsia"/>
          <w:color w:val="auto"/>
          <w:u w:val="single"/>
          <w:lang w:val="en-US" w:eastAsia="zh-CN"/>
        </w:rPr>
        <w:t>划将市域各县（区）的儿童集中至曲靖市儿童福利院，保留宣威市儿童福利院，规划新建的曲靖市儿童福利院分院（市级未成年人保护中心）统一进行照料与管理，各县（区）闲置的儿童福利院根据实际需求，向未成年人保护中心或儿童福利指导中心转型。</w:t>
      </w:r>
    </w:p>
    <w:p w14:paraId="7556B001">
      <w:pPr>
        <w:bidi w:val="0"/>
        <w:rPr>
          <w:rFonts w:hint="eastAsia"/>
          <w:color w:val="auto"/>
          <w:lang w:val="en-US" w:eastAsia="zh-CN"/>
        </w:rPr>
      </w:pPr>
      <w:r>
        <w:rPr>
          <w:rFonts w:hint="eastAsia"/>
          <w:color w:val="auto"/>
          <w:u w:val="single"/>
          <w:lang w:val="en-US" w:eastAsia="zh-CN"/>
        </w:rPr>
        <w:t>规划选址于三宝街道建设1个综合的儿童福利综合项目，用地面积4.28公顷。</w:t>
      </w:r>
      <w:r>
        <w:rPr>
          <w:rFonts w:hint="eastAsia"/>
          <w:color w:val="auto"/>
          <w:lang w:val="en-US" w:eastAsia="zh-CN"/>
        </w:rPr>
        <w:t>包括市级儿童福利院（未成年人保护中心）、市级少年宫、青少年活动中心、青少年科技馆等一系列儿童福利项目，高标准提供专业化的青少年文化活动和儿童福利服务，打造一座集儿童福利、活动体验、素质提升、公益服务、便民生活等多种服务功能的青少年综合活动空间。建设曲靖市青少年和儿童社会主义核心价值观的培养阵地。</w:t>
      </w:r>
    </w:p>
    <w:p w14:paraId="41CF086B">
      <w:pPr>
        <w:bidi w:val="0"/>
        <w:rPr>
          <w:rFonts w:hint="eastAsia"/>
          <w:color w:val="auto"/>
          <w:lang w:val="en-US" w:eastAsia="zh-CN"/>
        </w:rPr>
      </w:pPr>
      <w:r>
        <w:rPr>
          <w:rFonts w:hint="eastAsia"/>
          <w:color w:val="auto"/>
          <w:lang w:val="en-US" w:eastAsia="zh-CN"/>
        </w:rPr>
        <w:t>中心城区儿童之家已实现全覆盖，规划根据实际情况，逐步对现状儿童之家进行设施增配、功能扩容、服务提质改造。</w:t>
      </w:r>
    </w:p>
    <w:p w14:paraId="7ECF8757">
      <w:pPr>
        <w:numPr>
          <w:ilvl w:val="0"/>
          <w:numId w:val="1"/>
        </w:numPr>
        <w:ind w:left="0" w:leftChars="0" w:firstLine="0" w:firstLineChars="0"/>
        <w:rPr>
          <w:rFonts w:hint="eastAsia" w:cs="Times New Roman"/>
          <w:b/>
          <w:color w:val="auto"/>
          <w:lang w:val="en-US" w:eastAsia="zh-CN"/>
        </w:rPr>
      </w:pPr>
      <w:bookmarkStart w:id="32" w:name="_Toc5605"/>
      <w:r>
        <w:rPr>
          <w:rFonts w:hint="eastAsia" w:cs="Times New Roman"/>
          <w:b/>
          <w:color w:val="auto"/>
          <w:lang w:val="en-US" w:eastAsia="zh-CN"/>
        </w:rPr>
        <w:t>社会救助设施规划</w:t>
      </w:r>
      <w:bookmarkEnd w:id="32"/>
    </w:p>
    <w:p w14:paraId="2F1875A2">
      <w:pPr>
        <w:numPr>
          <w:ilvl w:val="0"/>
          <w:numId w:val="2"/>
        </w:numPr>
        <w:bidi w:val="0"/>
        <w:ind w:firstLine="0"/>
        <w:rPr>
          <w:rFonts w:hint="eastAsia" w:ascii="Arial" w:hAnsi="Arial" w:cs="Times New Roman"/>
          <w:b/>
          <w:color w:val="auto"/>
          <w:lang w:val="en-US" w:eastAsia="zh-CN"/>
        </w:rPr>
      </w:pPr>
      <w:bookmarkStart w:id="33" w:name="_Toc14144"/>
      <w:r>
        <w:rPr>
          <w:rFonts w:hint="eastAsia" w:cs="Times New Roman"/>
          <w:b/>
          <w:color w:val="auto"/>
          <w:lang w:val="en-US" w:eastAsia="zh-CN"/>
        </w:rPr>
        <w:t>社会救助设施发展现状</w:t>
      </w:r>
      <w:bookmarkEnd w:id="33"/>
    </w:p>
    <w:p w14:paraId="0D7D45AA">
      <w:pPr>
        <w:ind w:firstLine="560"/>
        <w:rPr>
          <w:color w:val="auto"/>
        </w:rPr>
      </w:pPr>
      <w:r>
        <w:rPr>
          <w:rFonts w:hint="eastAsia"/>
          <w:color w:val="auto"/>
        </w:rPr>
        <w:t>曲靖市救助</w:t>
      </w:r>
      <w:r>
        <w:rPr>
          <w:rFonts w:hint="eastAsia"/>
          <w:color w:val="auto"/>
          <w:lang w:val="en-US" w:eastAsia="zh-CN"/>
        </w:rPr>
        <w:t>管理</w:t>
      </w:r>
      <w:r>
        <w:rPr>
          <w:rFonts w:hint="eastAsia"/>
          <w:color w:val="auto"/>
        </w:rPr>
        <w:t>站</w:t>
      </w:r>
      <w:r>
        <w:rPr>
          <w:rFonts w:hint="eastAsia"/>
          <w:color w:val="auto"/>
          <w:shd w:val="clear" w:color="auto" w:fill="FFFFFF"/>
        </w:rPr>
        <w:t>承担着对生活无着</w:t>
      </w:r>
      <w:r>
        <w:rPr>
          <w:rFonts w:hint="eastAsia"/>
          <w:color w:val="auto"/>
          <w:shd w:val="clear" w:color="auto" w:fill="FFFFFF"/>
          <w:lang w:val="en-US" w:eastAsia="zh-CN"/>
        </w:rPr>
        <w:t>落流浪乞讨</w:t>
      </w:r>
      <w:r>
        <w:rPr>
          <w:rFonts w:hint="eastAsia"/>
          <w:color w:val="auto"/>
          <w:shd w:val="clear" w:color="auto" w:fill="FFFFFF"/>
        </w:rPr>
        <w:t>人员的救助、管理、教育、返家、安置等职责，保障其基本生活权益，完善社会救助体系</w:t>
      </w:r>
      <w:r>
        <w:rPr>
          <w:rFonts w:hint="eastAsia"/>
          <w:color w:val="auto"/>
        </w:rPr>
        <w:t>。</w:t>
      </w:r>
      <w:r>
        <w:rPr>
          <w:rFonts w:hint="eastAsia"/>
          <w:color w:val="auto"/>
          <w:lang w:eastAsia="zh-CN"/>
        </w:rPr>
        <w:t>截至</w:t>
      </w:r>
      <w:r>
        <w:rPr>
          <w:color w:val="auto"/>
        </w:rPr>
        <w:t>2020年，曲靖市</w:t>
      </w:r>
      <w:r>
        <w:rPr>
          <w:rFonts w:hint="eastAsia"/>
          <w:color w:val="auto"/>
          <w:lang w:eastAsia="zh-CN"/>
        </w:rPr>
        <w:t>共有</w:t>
      </w:r>
      <w:r>
        <w:rPr>
          <w:color w:val="auto"/>
        </w:rPr>
        <w:t>10所救助</w:t>
      </w:r>
      <w:r>
        <w:rPr>
          <w:rFonts w:hint="eastAsia"/>
          <w:color w:val="auto"/>
          <w:lang w:val="en-US" w:eastAsia="zh-CN"/>
        </w:rPr>
        <w:t>管理</w:t>
      </w:r>
      <w:r>
        <w:rPr>
          <w:color w:val="auto"/>
        </w:rPr>
        <w:t>站</w:t>
      </w:r>
      <w:r>
        <w:rPr>
          <w:rFonts w:hint="eastAsia"/>
          <w:color w:val="auto"/>
        </w:rPr>
        <w:t>，1所为市级，9所为</w:t>
      </w:r>
      <w:r>
        <w:rPr>
          <w:rFonts w:hint="eastAsia"/>
          <w:color w:val="auto"/>
          <w:lang w:eastAsia="zh-CN"/>
        </w:rPr>
        <w:t>县级</w:t>
      </w:r>
      <w:r>
        <w:rPr>
          <w:rFonts w:hint="eastAsia"/>
          <w:color w:val="auto"/>
        </w:rPr>
        <w:t>，</w:t>
      </w:r>
      <w:r>
        <w:rPr>
          <w:color w:val="auto"/>
        </w:rPr>
        <w:t>已经实现全覆盖</w:t>
      </w:r>
      <w:r>
        <w:rPr>
          <w:rFonts w:hint="eastAsia"/>
          <w:color w:val="auto"/>
        </w:rPr>
        <w:t>。可照料人数合计246人，用地规模总面积合计1.97公顷。</w:t>
      </w:r>
      <w:r>
        <w:rPr>
          <w:color w:val="auto"/>
        </w:rPr>
        <w:t>现状全市社会救助管理站仅有麒麟区、师宗县及宣威市达到相关标准要求，其余各地区救助管理站均存在占地规模较小，建筑面积偏小的问题。</w:t>
      </w:r>
    </w:p>
    <w:p w14:paraId="2E7CC7F5">
      <w:pPr>
        <w:numPr>
          <w:ilvl w:val="0"/>
          <w:numId w:val="2"/>
        </w:numPr>
        <w:bidi w:val="0"/>
        <w:ind w:firstLine="0"/>
        <w:rPr>
          <w:rFonts w:hint="eastAsia" w:ascii="Arial" w:hAnsi="Arial" w:cs="Times New Roman"/>
          <w:b/>
          <w:color w:val="auto"/>
          <w:lang w:val="en-US" w:eastAsia="zh-CN"/>
        </w:rPr>
      </w:pPr>
      <w:bookmarkStart w:id="34" w:name="_Toc4574"/>
      <w:r>
        <w:rPr>
          <w:rFonts w:hint="eastAsia" w:cs="Times New Roman"/>
          <w:b/>
          <w:color w:val="auto"/>
          <w:lang w:val="en-US" w:eastAsia="zh-CN"/>
        </w:rPr>
        <w:t>社会救助设施规划体系</w:t>
      </w:r>
      <w:bookmarkEnd w:id="34"/>
    </w:p>
    <w:p w14:paraId="70450681">
      <w:pPr>
        <w:bidi w:val="0"/>
        <w:jc w:val="left"/>
        <w:rPr>
          <w:rFonts w:hint="eastAsia" w:cs="Times New Roman"/>
          <w:color w:val="auto"/>
          <w:lang w:val="en-US" w:eastAsia="zh-CN"/>
        </w:rPr>
      </w:pPr>
      <w:r>
        <w:rPr>
          <w:rFonts w:hint="eastAsia"/>
          <w:color w:val="auto"/>
          <w:lang w:val="en-US" w:eastAsia="zh-CN"/>
        </w:rPr>
        <w:t>根据《云南省公共服务设施配置标准》，结合曲靖市救助管理人员数量，与现状救助管理设施的运行情况，规划配置市级和县级救助管理站，未成年人救助保护中心与救助管理站合并设置，分区管理。</w:t>
      </w:r>
    </w:p>
    <w:p w14:paraId="1113F36C">
      <w:pPr>
        <w:numPr>
          <w:ilvl w:val="0"/>
          <w:numId w:val="2"/>
        </w:numPr>
        <w:bidi w:val="0"/>
        <w:ind w:firstLine="0"/>
        <w:rPr>
          <w:rFonts w:hint="eastAsia" w:ascii="Arial" w:hAnsi="Arial" w:cs="Times New Roman"/>
          <w:b/>
          <w:color w:val="auto"/>
          <w:lang w:val="en-US" w:eastAsia="zh-CN"/>
        </w:rPr>
      </w:pPr>
      <w:bookmarkStart w:id="35" w:name="_Toc8870"/>
      <w:r>
        <w:rPr>
          <w:rFonts w:hint="eastAsia" w:cs="Times New Roman"/>
          <w:b/>
          <w:color w:val="auto"/>
          <w:lang w:val="en-US" w:eastAsia="zh-CN"/>
        </w:rPr>
        <w:t>社会救助设施规划布局</w:t>
      </w:r>
      <w:bookmarkEnd w:id="35"/>
    </w:p>
    <w:p w14:paraId="0670043E">
      <w:pPr>
        <w:bidi w:val="0"/>
        <w:rPr>
          <w:rFonts w:hint="default"/>
          <w:color w:val="auto"/>
          <w:u w:val="single"/>
          <w:lang w:val="en-US" w:eastAsia="zh-CN"/>
        </w:rPr>
      </w:pPr>
      <w:r>
        <w:rPr>
          <w:rFonts w:hint="eastAsia"/>
          <w:color w:val="auto"/>
          <w:lang w:val="en-US" w:eastAsia="zh-CN"/>
        </w:rPr>
        <w:t>根据《流浪乞讨人员救助管理站建设标准（建标171-2015）》和《云南省公共服务设施规划标准》等规范，</w:t>
      </w:r>
      <w:r>
        <w:rPr>
          <w:rFonts w:hint="eastAsia"/>
          <w:color w:val="auto"/>
          <w:u w:val="single"/>
          <w:lang w:val="en-US" w:eastAsia="zh-CN"/>
        </w:rPr>
        <w:t>规划近期保留现状6所县级社会救助管理站，在现状县级社会救助站的基础上，兼容配置6所未成年人救助保护中心。</w:t>
      </w:r>
    </w:p>
    <w:p w14:paraId="5DD98634">
      <w:pPr>
        <w:bidi w:val="0"/>
        <w:rPr>
          <w:rFonts w:hint="eastAsia"/>
          <w:color w:val="auto"/>
          <w:lang w:val="en-US" w:eastAsia="zh-CN"/>
        </w:rPr>
      </w:pPr>
      <w:r>
        <w:rPr>
          <w:rFonts w:hint="eastAsia"/>
          <w:color w:val="auto"/>
          <w:u w:val="single"/>
          <w:lang w:val="en-US" w:eastAsia="zh-CN"/>
        </w:rPr>
        <w:t>远期规划扩建3个县级（市级、马龙区、麒麟区）救助站，新建沾益区救助站。</w:t>
      </w:r>
      <w:r>
        <w:rPr>
          <w:rFonts w:hint="eastAsia"/>
          <w:color w:val="auto"/>
          <w:lang w:val="en-US" w:eastAsia="zh-CN"/>
        </w:rPr>
        <w:t>规划在保留现状救助管理站的基础上，改造内部设施，培训服务人员，提高服务水平，同时兼容配置未成年人救助保护中心。</w:t>
      </w:r>
    </w:p>
    <w:p w14:paraId="68DA690B">
      <w:pPr>
        <w:bidi w:val="0"/>
        <w:rPr>
          <w:rFonts w:hint="eastAsia"/>
          <w:color w:val="auto"/>
          <w:u w:val="single"/>
          <w:lang w:val="en-US" w:eastAsia="zh-CN"/>
        </w:rPr>
      </w:pPr>
      <w:r>
        <w:rPr>
          <w:rFonts w:hint="eastAsia"/>
          <w:color w:val="auto"/>
          <w:u w:val="single"/>
          <w:lang w:val="en-US" w:eastAsia="zh-CN"/>
        </w:rPr>
        <w:t>规划建设曲靖市精神卫生福利院，</w:t>
      </w:r>
      <w:r>
        <w:rPr>
          <w:rFonts w:hint="eastAsia" w:cs="Times New Roman"/>
          <w:color w:val="auto"/>
          <w:u w:val="single"/>
          <w:lang w:val="en-US" w:eastAsia="zh-CN"/>
        </w:rPr>
        <w:t>作为市级失智老年人照护服务机构位</w:t>
      </w:r>
      <w:r>
        <w:rPr>
          <w:rFonts w:hint="eastAsia"/>
          <w:color w:val="auto"/>
          <w:u w:val="single"/>
          <w:lang w:val="en-US" w:eastAsia="zh-CN"/>
        </w:rPr>
        <w:t>于曲靖市第三人民医院北侧。</w:t>
      </w:r>
    </w:p>
    <w:p w14:paraId="4783D409">
      <w:pPr>
        <w:numPr>
          <w:ilvl w:val="0"/>
          <w:numId w:val="1"/>
        </w:numPr>
        <w:ind w:left="0" w:leftChars="0" w:firstLine="0" w:firstLineChars="0"/>
        <w:rPr>
          <w:rFonts w:hint="eastAsia" w:cs="Times New Roman"/>
          <w:b/>
          <w:color w:val="auto"/>
          <w:lang w:val="en-US" w:eastAsia="zh-CN"/>
        </w:rPr>
      </w:pPr>
      <w:bookmarkStart w:id="36" w:name="_Toc14424"/>
      <w:r>
        <w:rPr>
          <w:rFonts w:hint="eastAsia" w:cs="Times New Roman"/>
          <w:b/>
          <w:color w:val="auto"/>
          <w:lang w:val="en-US" w:eastAsia="zh-CN"/>
        </w:rPr>
        <w:t>殡葬设施规划</w:t>
      </w:r>
      <w:bookmarkEnd w:id="36"/>
    </w:p>
    <w:p w14:paraId="6E8CD272">
      <w:pPr>
        <w:numPr>
          <w:ilvl w:val="0"/>
          <w:numId w:val="2"/>
        </w:numPr>
        <w:bidi w:val="0"/>
        <w:ind w:firstLine="0"/>
        <w:rPr>
          <w:rFonts w:hint="eastAsia" w:ascii="Arial" w:hAnsi="Arial" w:cs="Times New Roman"/>
          <w:b/>
          <w:color w:val="auto"/>
          <w:lang w:val="en-US" w:eastAsia="zh-CN"/>
        </w:rPr>
      </w:pPr>
      <w:bookmarkStart w:id="37" w:name="_Toc24912"/>
      <w:r>
        <w:rPr>
          <w:rFonts w:hint="eastAsia" w:cs="Times New Roman"/>
          <w:b/>
          <w:color w:val="auto"/>
          <w:lang w:val="en-US" w:eastAsia="zh-CN"/>
        </w:rPr>
        <w:t>殡葬事业发展现状</w:t>
      </w:r>
      <w:bookmarkEnd w:id="37"/>
    </w:p>
    <w:p w14:paraId="7E2A28AD">
      <w:pPr>
        <w:pageBreakBefore w:val="0"/>
        <w:widowControl w:val="0"/>
        <w:numPr>
          <w:ilvl w:val="0"/>
          <w:numId w:val="8"/>
        </w:numPr>
        <w:kinsoku/>
        <w:wordWrap/>
        <w:overflowPunct/>
        <w:topLinePunct w:val="0"/>
        <w:autoSpaceDE/>
        <w:autoSpaceDN/>
        <w:bidi w:val="0"/>
        <w:adjustRightInd/>
        <w:snapToGrid/>
        <w:textAlignment w:val="auto"/>
        <w:outlineLvl w:val="9"/>
        <w:rPr>
          <w:b/>
          <w:bCs/>
          <w:color w:val="auto"/>
        </w:rPr>
      </w:pPr>
      <w:r>
        <w:rPr>
          <w:rFonts w:hint="eastAsia"/>
          <w:b/>
          <w:bCs/>
          <w:color w:val="auto"/>
        </w:rPr>
        <w:t>殡仪馆现状</w:t>
      </w:r>
    </w:p>
    <w:p w14:paraId="719EE525">
      <w:pPr>
        <w:pageBreakBefore w:val="0"/>
        <w:widowControl w:val="0"/>
        <w:kinsoku/>
        <w:wordWrap/>
        <w:overflowPunct/>
        <w:topLinePunct w:val="0"/>
        <w:autoSpaceDE/>
        <w:autoSpaceDN/>
        <w:bidi w:val="0"/>
        <w:adjustRightInd/>
        <w:snapToGrid/>
        <w:ind w:firstLine="560"/>
        <w:textAlignment w:val="auto"/>
        <w:outlineLvl w:val="9"/>
        <w:rPr>
          <w:color w:val="auto"/>
        </w:rPr>
      </w:pPr>
      <w:r>
        <w:rPr>
          <w:rFonts w:hint="eastAsia"/>
          <w:color w:val="auto"/>
        </w:rPr>
        <w:t>曲靖市</w:t>
      </w:r>
      <w:r>
        <w:rPr>
          <w:color w:val="auto"/>
        </w:rPr>
        <w:t>现有殡仪馆</w:t>
      </w:r>
      <w:r>
        <w:rPr>
          <w:rFonts w:hint="eastAsia"/>
          <w:color w:val="auto"/>
        </w:rPr>
        <w:t>7个</w:t>
      </w:r>
      <w:r>
        <w:rPr>
          <w:color w:val="auto"/>
        </w:rPr>
        <w:t>，理论日火化</w:t>
      </w:r>
      <w:r>
        <w:rPr>
          <w:rFonts w:hint="eastAsia"/>
          <w:color w:val="auto"/>
          <w:lang w:val="en-US" w:eastAsia="zh-CN"/>
        </w:rPr>
        <w:t>能力</w:t>
      </w:r>
      <w:r>
        <w:rPr>
          <w:rFonts w:hint="eastAsia"/>
          <w:color w:val="auto"/>
        </w:rPr>
        <w:t>163具</w:t>
      </w:r>
      <w:r>
        <w:rPr>
          <w:color w:val="auto"/>
        </w:rPr>
        <w:t>，用地规模合计</w:t>
      </w:r>
      <w:r>
        <w:rPr>
          <w:rFonts w:hint="eastAsia"/>
          <w:color w:val="auto"/>
        </w:rPr>
        <w:t>32.07</w:t>
      </w:r>
      <w:r>
        <w:rPr>
          <w:color w:val="auto"/>
        </w:rPr>
        <w:t>公顷。</w:t>
      </w:r>
      <w:r>
        <w:rPr>
          <w:rFonts w:hint="eastAsia"/>
          <w:color w:val="auto"/>
        </w:rPr>
        <w:t>根据现场调研，目前殡仪馆基本能够满足使用需求，会泽县、陆良县、富源县、罗平县殡仪馆存在用地面积偏小的情况。</w:t>
      </w:r>
    </w:p>
    <w:p w14:paraId="6E4AB599">
      <w:pPr>
        <w:pageBreakBefore w:val="0"/>
        <w:widowControl w:val="0"/>
        <w:kinsoku/>
        <w:wordWrap/>
        <w:overflowPunct/>
        <w:topLinePunct w:val="0"/>
        <w:autoSpaceDE/>
        <w:autoSpaceDN/>
        <w:bidi w:val="0"/>
        <w:adjustRightInd/>
        <w:snapToGrid/>
        <w:textAlignment w:val="auto"/>
        <w:outlineLvl w:val="9"/>
        <w:rPr>
          <w:b/>
          <w:bCs/>
          <w:color w:val="auto"/>
        </w:rPr>
      </w:pPr>
      <w:r>
        <w:rPr>
          <w:rFonts w:hint="eastAsia"/>
          <w:b/>
          <w:bCs/>
          <w:color w:val="auto"/>
        </w:rPr>
        <w:t>2. 公墓现状</w:t>
      </w:r>
    </w:p>
    <w:p w14:paraId="317A02D3">
      <w:pPr>
        <w:ind w:firstLine="560"/>
        <w:rPr>
          <w:color w:val="auto"/>
        </w:rPr>
      </w:pPr>
      <w:r>
        <w:rPr>
          <w:rFonts w:hint="eastAsia"/>
          <w:color w:val="auto"/>
        </w:rPr>
        <w:t>全市共有经营性公墓9个，除马龙区外，其余各县（市</w:t>
      </w:r>
      <w:r>
        <w:rPr>
          <w:rFonts w:hint="eastAsia"/>
          <w:color w:val="auto"/>
          <w:lang w:eastAsia="zh-CN"/>
        </w:rPr>
        <w:t>、</w:t>
      </w:r>
      <w:r>
        <w:rPr>
          <w:rFonts w:hint="eastAsia"/>
          <w:color w:val="auto"/>
        </w:rPr>
        <w:t>区）各有1个经营性公墓，总占地面积178.85公顷，剩余穴位数总计20万个，宣威市和会泽县由于人口基数较大，剩余穴位较少，</w:t>
      </w:r>
      <w:r>
        <w:rPr>
          <w:rFonts w:hint="eastAsia"/>
          <w:color w:val="auto"/>
          <w:lang w:val="en-US" w:eastAsia="zh-CN"/>
        </w:rPr>
        <w:t>近期内需要扩建</w:t>
      </w:r>
      <w:r>
        <w:rPr>
          <w:rFonts w:hint="eastAsia"/>
          <w:color w:val="auto"/>
        </w:rPr>
        <w:t>，其他县</w:t>
      </w:r>
      <w:r>
        <w:rPr>
          <w:rFonts w:hint="eastAsia"/>
          <w:color w:val="auto"/>
          <w:lang w:eastAsia="zh-CN"/>
        </w:rPr>
        <w:t>（</w:t>
      </w:r>
      <w:r>
        <w:rPr>
          <w:rFonts w:hint="eastAsia"/>
          <w:color w:val="auto"/>
        </w:rPr>
        <w:t>区</w:t>
      </w:r>
      <w:r>
        <w:rPr>
          <w:rFonts w:hint="eastAsia"/>
          <w:color w:val="auto"/>
          <w:lang w:eastAsia="zh-CN"/>
        </w:rPr>
        <w:t>）</w:t>
      </w:r>
      <w:r>
        <w:rPr>
          <w:rFonts w:hint="eastAsia"/>
          <w:color w:val="auto"/>
          <w:lang w:val="en-US" w:eastAsia="zh-CN"/>
        </w:rPr>
        <w:t>远期需要扩建</w:t>
      </w:r>
      <w:r>
        <w:rPr>
          <w:rFonts w:hint="eastAsia"/>
          <w:color w:val="auto"/>
        </w:rPr>
        <w:t>。</w:t>
      </w:r>
    </w:p>
    <w:p w14:paraId="0864F916">
      <w:pPr>
        <w:bidi w:val="0"/>
        <w:rPr>
          <w:rFonts w:hint="default"/>
          <w:color w:val="auto"/>
          <w:u w:val="single"/>
          <w:lang w:val="en-US" w:eastAsia="zh-CN"/>
        </w:rPr>
      </w:pPr>
      <w:r>
        <w:rPr>
          <w:rFonts w:hint="eastAsia"/>
          <w:color w:val="auto"/>
          <w:lang w:val="en-US" w:eastAsia="zh-CN"/>
        </w:rPr>
        <w:t>截至2025年底，</w:t>
      </w:r>
      <w:r>
        <w:rPr>
          <w:rFonts w:hint="eastAsia"/>
          <w:color w:val="auto"/>
        </w:rPr>
        <w:t>全市公益性公墓以农村公益性公墓为主，</w:t>
      </w:r>
      <w:r>
        <w:rPr>
          <w:rFonts w:hint="eastAsia"/>
          <w:color w:val="auto"/>
          <w:lang w:val="en-US" w:eastAsia="zh-CN"/>
        </w:rPr>
        <w:t>已建成沾益、马龙、富源3个城市</w:t>
      </w:r>
      <w:r>
        <w:rPr>
          <w:rFonts w:hint="eastAsia"/>
          <w:color w:val="auto"/>
        </w:rPr>
        <w:t>公益性公墓</w:t>
      </w:r>
      <w:r>
        <w:rPr>
          <w:rFonts w:hint="eastAsia"/>
          <w:color w:val="auto"/>
          <w:lang w:eastAsia="zh-CN"/>
        </w:rPr>
        <w:t>，</w:t>
      </w:r>
      <w:r>
        <w:rPr>
          <w:rFonts w:hint="eastAsia"/>
          <w:color w:val="auto"/>
          <w:lang w:val="en-US" w:eastAsia="zh-CN"/>
        </w:rPr>
        <w:t>730座</w:t>
      </w:r>
      <w:r>
        <w:rPr>
          <w:rFonts w:hint="eastAsia"/>
          <w:color w:val="auto"/>
        </w:rPr>
        <w:t>农村公益性公墓</w:t>
      </w:r>
      <w:r>
        <w:rPr>
          <w:rFonts w:hint="eastAsia"/>
          <w:color w:val="auto"/>
          <w:lang w:eastAsia="zh-CN"/>
        </w:rPr>
        <w:t>。</w:t>
      </w:r>
    </w:p>
    <w:p w14:paraId="2CC541B2">
      <w:pPr>
        <w:numPr>
          <w:ilvl w:val="0"/>
          <w:numId w:val="2"/>
        </w:numPr>
        <w:bidi w:val="0"/>
        <w:ind w:firstLine="0"/>
        <w:rPr>
          <w:rFonts w:hint="eastAsia" w:ascii="Arial" w:hAnsi="Arial" w:cs="Times New Roman"/>
          <w:b/>
          <w:color w:val="auto"/>
          <w:lang w:val="en-US" w:eastAsia="zh-CN"/>
        </w:rPr>
      </w:pPr>
      <w:bookmarkStart w:id="38" w:name="_Toc8618"/>
      <w:r>
        <w:rPr>
          <w:rFonts w:hint="eastAsia" w:cs="Times New Roman"/>
          <w:b/>
          <w:color w:val="auto"/>
          <w:lang w:val="en-US" w:eastAsia="zh-CN"/>
        </w:rPr>
        <w:t>殡葬设施规划体系</w:t>
      </w:r>
      <w:bookmarkEnd w:id="38"/>
    </w:p>
    <w:p w14:paraId="16E07B85">
      <w:pPr>
        <w:bidi w:val="0"/>
        <w:jc w:val="left"/>
        <w:rPr>
          <w:rFonts w:hint="eastAsia"/>
          <w:color w:val="auto"/>
          <w:lang w:val="en-US" w:eastAsia="zh-CN"/>
        </w:rPr>
      </w:pPr>
      <w:r>
        <w:rPr>
          <w:rFonts w:hint="eastAsia"/>
          <w:color w:val="auto"/>
          <w:lang w:val="en-US" w:eastAsia="zh-CN"/>
        </w:rPr>
        <w:t>根据国家相关规范和曲靖市殡葬改革实际，经营性公墓每个县（市、区）不应超过1个，用地面积根据实际需求确定。根据云办发〔2016〕65号文件精神，探索建立城市公益性公墓，逐步缩减农村公墓建设规模化，变大公墓为小墓地，鼓励建设分散小型墓地。倡导绿色生态安葬，鼓励群众选择骨灰撒葬、树葬花葬、草坪葬、深埋不留坟头等不占或少占土地的生态安葬方式。</w:t>
      </w:r>
    </w:p>
    <w:p w14:paraId="71B719A2">
      <w:pPr>
        <w:numPr>
          <w:ilvl w:val="0"/>
          <w:numId w:val="2"/>
        </w:numPr>
        <w:bidi w:val="0"/>
        <w:ind w:firstLine="0"/>
        <w:rPr>
          <w:rFonts w:hint="eastAsia" w:ascii="Arial" w:hAnsi="Arial" w:cs="Times New Roman"/>
          <w:b/>
          <w:color w:val="auto"/>
          <w:lang w:val="en-US" w:eastAsia="zh-CN"/>
        </w:rPr>
      </w:pPr>
      <w:bookmarkStart w:id="39" w:name="_Toc648"/>
      <w:r>
        <w:rPr>
          <w:rFonts w:hint="eastAsia" w:cs="Times New Roman"/>
          <w:b/>
          <w:color w:val="auto"/>
          <w:lang w:val="en-US" w:eastAsia="zh-CN"/>
        </w:rPr>
        <w:t>市域殡葬设施规划</w:t>
      </w:r>
      <w:bookmarkEnd w:id="39"/>
    </w:p>
    <w:p w14:paraId="77DBB719">
      <w:pPr>
        <w:bidi w:val="0"/>
        <w:rPr>
          <w:rFonts w:hint="default"/>
          <w:b/>
          <w:bCs/>
          <w:color w:val="auto"/>
          <w:lang w:val="en-US" w:eastAsia="zh-CN"/>
        </w:rPr>
      </w:pPr>
      <w:r>
        <w:rPr>
          <w:rFonts w:hint="eastAsia"/>
          <w:b/>
          <w:bCs/>
          <w:color w:val="auto"/>
          <w:lang w:val="en-US" w:eastAsia="zh-CN"/>
        </w:rPr>
        <w:t>1.殡仪馆规划</w:t>
      </w:r>
    </w:p>
    <w:p w14:paraId="174777F5">
      <w:pPr>
        <w:bidi w:val="0"/>
        <w:rPr>
          <w:rFonts w:hint="eastAsia"/>
          <w:color w:val="auto"/>
          <w:u w:val="single"/>
          <w:lang w:val="en-US" w:eastAsia="zh-CN"/>
        </w:rPr>
      </w:pPr>
      <w:r>
        <w:rPr>
          <w:rFonts w:hint="eastAsia"/>
          <w:color w:val="auto"/>
          <w:lang w:val="en-US" w:eastAsia="zh-CN"/>
        </w:rPr>
        <w:t>根据《城市公益性公墓建设标准》《云南省公共服务设施规划标准》规范和曲靖市殡葬改革文件精神，</w:t>
      </w:r>
      <w:r>
        <w:rPr>
          <w:rFonts w:hint="eastAsia"/>
          <w:color w:val="auto"/>
          <w:u w:val="single"/>
          <w:lang w:val="en-US" w:eastAsia="zh-CN"/>
        </w:rPr>
        <w:t>规划市域内不再新增殡仪馆，远期扩建3个县级（陆良县、富源县、罗平县）殡仪馆。</w:t>
      </w:r>
    </w:p>
    <w:p w14:paraId="63A93A87">
      <w:pPr>
        <w:bidi w:val="0"/>
        <w:rPr>
          <w:rFonts w:hint="eastAsia"/>
          <w:b/>
          <w:bCs/>
          <w:color w:val="auto"/>
          <w:lang w:val="en-US" w:eastAsia="zh-CN"/>
        </w:rPr>
      </w:pPr>
      <w:r>
        <w:rPr>
          <w:rFonts w:hint="eastAsia"/>
          <w:b/>
          <w:bCs/>
          <w:color w:val="auto"/>
          <w:lang w:val="en-US" w:eastAsia="zh-CN"/>
        </w:rPr>
        <w:t>2.公墓规划</w:t>
      </w:r>
    </w:p>
    <w:p w14:paraId="31DEEA56">
      <w:pPr>
        <w:bidi w:val="0"/>
        <w:ind w:firstLine="560"/>
        <w:rPr>
          <w:rFonts w:hint="eastAsia"/>
          <w:color w:val="auto"/>
          <w:u w:val="single"/>
          <w:lang w:val="en-US" w:eastAsia="zh-CN"/>
        </w:rPr>
      </w:pPr>
      <w:r>
        <w:rPr>
          <w:rFonts w:hint="eastAsia"/>
          <w:color w:val="auto"/>
          <w:lang w:val="en-US" w:eastAsia="zh-CN"/>
        </w:rPr>
        <w:t>根据《城市公益性公墓建设标准》《云南省公共服务设施规划标准》规范和曲靖市殡葬改革文件精神，</w:t>
      </w:r>
      <w:r>
        <w:rPr>
          <w:rFonts w:hint="eastAsia"/>
          <w:color w:val="auto"/>
        </w:rPr>
        <w:t>根据《城市公益性公墓建设标准</w:t>
      </w:r>
      <w:r>
        <w:rPr>
          <w:rFonts w:hint="eastAsia"/>
          <w:color w:val="auto"/>
          <w:lang w:eastAsia="zh-CN"/>
        </w:rPr>
        <w:t>》《</w:t>
      </w:r>
      <w:r>
        <w:rPr>
          <w:rFonts w:hint="eastAsia"/>
          <w:color w:val="auto"/>
        </w:rPr>
        <w:t>云南省公共服务设施规划标准》规范和曲靖市殡葬改革文件精神，</w:t>
      </w:r>
      <w:r>
        <w:rPr>
          <w:rFonts w:hint="eastAsia"/>
          <w:color w:val="auto"/>
          <w:lang w:eastAsia="zh-CN"/>
        </w:rPr>
        <w:t>“十四五”期间</w:t>
      </w:r>
      <w:r>
        <w:rPr>
          <w:rFonts w:hint="eastAsia"/>
          <w:color w:val="auto"/>
          <w:lang w:val="en-US" w:eastAsia="zh-CN"/>
        </w:rPr>
        <w:t>，将实现殡葬改革彻底化，实现全市公墓全覆盖。</w:t>
      </w:r>
      <w:r>
        <w:rPr>
          <w:rFonts w:hint="eastAsia"/>
          <w:b w:val="0"/>
          <w:bCs w:val="0"/>
          <w:color w:val="auto"/>
          <w:lang w:eastAsia="zh-CN"/>
        </w:rPr>
        <w:t>至20</w:t>
      </w:r>
      <w:r>
        <w:rPr>
          <w:rFonts w:hint="eastAsia"/>
          <w:b w:val="0"/>
          <w:bCs w:val="0"/>
          <w:color w:val="auto"/>
          <w:lang w:val="en-US" w:eastAsia="zh-CN"/>
        </w:rPr>
        <w:t>2</w:t>
      </w:r>
      <w:r>
        <w:rPr>
          <w:rFonts w:hint="eastAsia"/>
          <w:b w:val="0"/>
          <w:bCs w:val="0"/>
          <w:color w:val="auto"/>
          <w:lang w:eastAsia="zh-CN"/>
        </w:rPr>
        <w:t>5年</w:t>
      </w:r>
      <w:r>
        <w:rPr>
          <w:rFonts w:hint="eastAsia"/>
          <w:b w:val="0"/>
          <w:bCs w:val="0"/>
          <w:color w:val="auto"/>
        </w:rPr>
        <w:t>，</w:t>
      </w:r>
      <w:r>
        <w:rPr>
          <w:rFonts w:hint="eastAsia"/>
          <w:b w:val="0"/>
          <w:bCs w:val="0"/>
          <w:color w:val="auto"/>
          <w:lang w:val="en-US" w:eastAsia="zh-CN"/>
        </w:rPr>
        <w:t>全市已建成730个农村公益性公墓，3个城市公益性公墓。</w:t>
      </w:r>
      <w:r>
        <w:rPr>
          <w:rFonts w:hint="eastAsia"/>
          <w:b w:val="0"/>
          <w:bCs w:val="0"/>
          <w:color w:val="auto"/>
          <w:u w:val="single"/>
          <w:lang w:val="en-US" w:eastAsia="zh-CN"/>
        </w:rPr>
        <w:t>结合《曲靖市深化殡葬改革推进绿色生态殡葬建设的意见》（曲民〔2025〕108号）精神，至2035年，保留现状9个经营性公墓，继续推进5个县市区的城市公益性公墓建设，不再新建农村公益性公墓，倡导建设小型化墓地和绿色生态安葬。</w:t>
      </w:r>
    </w:p>
    <w:p w14:paraId="2534C22D">
      <w:pPr>
        <w:numPr>
          <w:ilvl w:val="0"/>
          <w:numId w:val="2"/>
        </w:numPr>
        <w:bidi w:val="0"/>
        <w:ind w:firstLine="0"/>
        <w:rPr>
          <w:rFonts w:hint="eastAsia" w:ascii="Arial" w:hAnsi="Arial" w:cs="Times New Roman"/>
          <w:b/>
          <w:color w:val="auto"/>
          <w:lang w:val="en-US" w:eastAsia="zh-CN"/>
        </w:rPr>
      </w:pPr>
      <w:bookmarkStart w:id="40" w:name="_Toc16153"/>
      <w:r>
        <w:rPr>
          <w:rFonts w:hint="eastAsia" w:cs="Times New Roman"/>
          <w:b/>
          <w:color w:val="auto"/>
          <w:lang w:val="en-US" w:eastAsia="zh-CN"/>
        </w:rPr>
        <w:t>中心城区殡葬设施规划</w:t>
      </w:r>
      <w:bookmarkEnd w:id="40"/>
    </w:p>
    <w:p w14:paraId="762438F6">
      <w:pPr>
        <w:bidi w:val="0"/>
        <w:rPr>
          <w:rFonts w:hint="default"/>
          <w:b/>
          <w:bCs/>
          <w:color w:val="auto"/>
          <w:lang w:val="en-US" w:eastAsia="zh-CN"/>
        </w:rPr>
      </w:pPr>
      <w:r>
        <w:rPr>
          <w:rFonts w:hint="eastAsia"/>
          <w:b/>
          <w:bCs/>
          <w:color w:val="auto"/>
          <w:lang w:val="en-US" w:eastAsia="zh-CN"/>
        </w:rPr>
        <w:t>1.殡仪馆规划</w:t>
      </w:r>
    </w:p>
    <w:p w14:paraId="4EB712C7">
      <w:pPr>
        <w:bidi w:val="0"/>
        <w:rPr>
          <w:rFonts w:hint="eastAsia"/>
          <w:color w:val="auto"/>
          <w:lang w:val="en-US" w:eastAsia="zh-CN"/>
        </w:rPr>
      </w:pPr>
      <w:r>
        <w:rPr>
          <w:rFonts w:hint="eastAsia"/>
          <w:color w:val="auto"/>
          <w:lang w:val="en-US" w:eastAsia="zh-CN"/>
        </w:rPr>
        <w:t>根据《城市公益性公墓建设标准》《云南省公共服务设施规划标准》等规范和实际使用情况，现状曲靖殡仪馆能够满足需求，规划近期保留现有殡仪馆，远期进行改扩建。</w:t>
      </w:r>
    </w:p>
    <w:p w14:paraId="344F0C0C">
      <w:pPr>
        <w:bidi w:val="0"/>
        <w:rPr>
          <w:rFonts w:hint="default"/>
          <w:b/>
          <w:bCs/>
          <w:color w:val="auto"/>
          <w:lang w:val="en-US" w:eastAsia="zh-CN"/>
        </w:rPr>
      </w:pPr>
      <w:r>
        <w:rPr>
          <w:rFonts w:hint="eastAsia"/>
          <w:b/>
          <w:bCs/>
          <w:color w:val="auto"/>
          <w:lang w:val="en-US" w:eastAsia="zh-CN"/>
        </w:rPr>
        <w:t>2.公墓规划</w:t>
      </w:r>
    </w:p>
    <w:p w14:paraId="0EE42FEE">
      <w:pPr>
        <w:bidi w:val="0"/>
        <w:rPr>
          <w:rFonts w:hint="default"/>
          <w:color w:val="auto"/>
          <w:u w:val="single"/>
          <w:lang w:val="en-US" w:eastAsia="zh-CN"/>
        </w:rPr>
      </w:pPr>
      <w:r>
        <w:rPr>
          <w:rFonts w:hint="eastAsia"/>
          <w:color w:val="auto"/>
          <w:lang w:val="en-US" w:eastAsia="zh-CN"/>
        </w:rPr>
        <w:t>中心城区目前有3座城市经营性公墓，无城市公益性公墓。根据云办发〔2016〕65号文件和曲靖市殡葬改革文件精神，</w:t>
      </w:r>
      <w:r>
        <w:rPr>
          <w:rFonts w:hint="eastAsia"/>
          <w:color w:val="auto"/>
          <w:u w:val="single"/>
          <w:lang w:val="en-US" w:eastAsia="zh-CN"/>
        </w:rPr>
        <w:t>规划近期新建2个中心城区共建公益性公墓，一座位于沾益区绕城高速以北，一座位于马龙区月望乡奎冲村，两座城市公益性公墓规划穴位不少于34万个，满足中心城区未来50年的殡葬需求。</w:t>
      </w:r>
    </w:p>
    <w:p w14:paraId="3F8EF644">
      <w:pPr>
        <w:numPr>
          <w:ilvl w:val="0"/>
          <w:numId w:val="1"/>
        </w:numPr>
        <w:ind w:left="0" w:leftChars="0" w:firstLine="0" w:firstLineChars="0"/>
        <w:rPr>
          <w:rFonts w:hint="eastAsia" w:cs="Times New Roman"/>
          <w:b/>
          <w:color w:val="auto"/>
          <w:lang w:val="en-US" w:eastAsia="zh-CN"/>
        </w:rPr>
      </w:pPr>
      <w:bookmarkStart w:id="41" w:name="_Toc6356"/>
      <w:r>
        <w:rPr>
          <w:rFonts w:hint="eastAsia" w:cs="Times New Roman"/>
          <w:b/>
          <w:color w:val="auto"/>
          <w:lang w:val="en-US" w:eastAsia="zh-CN"/>
        </w:rPr>
        <w:t>近期建设规划</w:t>
      </w:r>
      <w:bookmarkEnd w:id="41"/>
    </w:p>
    <w:p w14:paraId="311F5EAC">
      <w:pPr>
        <w:bidi w:val="0"/>
        <w:rPr>
          <w:rFonts w:hint="default" w:cs="Times New Roman"/>
          <w:color w:val="auto"/>
          <w:lang w:val="en-US" w:eastAsia="zh-CN"/>
        </w:rPr>
      </w:pPr>
      <w:r>
        <w:rPr>
          <w:rFonts w:hint="eastAsia" w:cs="Times New Roman"/>
          <w:color w:val="auto"/>
          <w:lang w:val="en-US" w:eastAsia="zh-CN"/>
        </w:rPr>
        <w:t>规划近期年为2025年，考虑本规划编制完成时间也为2025年，因此近期建设内容中，2025年前难以完成建设的，规划在“十五五”期间建设完成。</w:t>
      </w:r>
    </w:p>
    <w:p w14:paraId="48224414">
      <w:pPr>
        <w:numPr>
          <w:ilvl w:val="0"/>
          <w:numId w:val="2"/>
        </w:numPr>
        <w:bidi w:val="0"/>
        <w:ind w:firstLine="0"/>
        <w:rPr>
          <w:rFonts w:hint="eastAsia" w:ascii="Arial" w:hAnsi="Arial" w:cs="Times New Roman"/>
          <w:b/>
          <w:color w:val="auto"/>
          <w:lang w:val="en-US" w:eastAsia="zh-CN"/>
        </w:rPr>
      </w:pPr>
      <w:bookmarkStart w:id="42" w:name="_Toc8441"/>
      <w:bookmarkStart w:id="43" w:name="_Toc28839"/>
      <w:r>
        <w:rPr>
          <w:rFonts w:hint="eastAsia" w:ascii="Arial" w:hAnsi="Arial" w:cs="Times New Roman"/>
          <w:b/>
          <w:color w:val="auto"/>
          <w:lang w:val="en-US" w:eastAsia="zh-CN"/>
        </w:rPr>
        <w:t>养老服务设施近期建设内容</w:t>
      </w:r>
      <w:bookmarkEnd w:id="42"/>
      <w:bookmarkEnd w:id="43"/>
    </w:p>
    <w:p w14:paraId="4F462582">
      <w:pPr>
        <w:numPr>
          <w:ilvl w:val="0"/>
          <w:numId w:val="9"/>
        </w:numPr>
        <w:rPr>
          <w:rFonts w:hint="eastAsia" w:ascii="Arial" w:hAnsi="Arial" w:cs="Times New Roman"/>
          <w:b/>
          <w:color w:val="auto"/>
        </w:rPr>
      </w:pPr>
      <w:r>
        <w:rPr>
          <w:rFonts w:hint="eastAsia" w:ascii="Arial" w:hAnsi="Arial" w:cs="Times New Roman"/>
          <w:b/>
          <w:color w:val="auto"/>
        </w:rPr>
        <w:t>市域近期重点建设项目</w:t>
      </w:r>
    </w:p>
    <w:p w14:paraId="251B62DA">
      <w:pPr>
        <w:ind w:firstLine="560"/>
        <w:rPr>
          <w:rFonts w:hint="default" w:eastAsia="微软雅黑"/>
          <w:color w:val="auto"/>
          <w:lang w:val="en-US" w:eastAsia="zh-CN"/>
        </w:rPr>
      </w:pPr>
      <w:r>
        <w:rPr>
          <w:rFonts w:hint="eastAsia"/>
          <w:color w:val="auto"/>
        </w:rPr>
        <w:t>规划至2</w:t>
      </w:r>
      <w:r>
        <w:rPr>
          <w:color w:val="auto"/>
        </w:rPr>
        <w:t>025</w:t>
      </w:r>
      <w:r>
        <w:rPr>
          <w:rFonts w:hint="eastAsia"/>
          <w:color w:val="auto"/>
        </w:rPr>
        <w:t>年市域养老机构床位总数达到</w:t>
      </w:r>
      <w:r>
        <w:rPr>
          <w:rFonts w:hint="eastAsia"/>
          <w:color w:val="auto"/>
          <w:lang w:val="en-US" w:eastAsia="zh-CN"/>
        </w:rPr>
        <w:t>23209</w:t>
      </w:r>
      <w:r>
        <w:rPr>
          <w:rFonts w:hint="eastAsia"/>
          <w:color w:val="auto"/>
        </w:rPr>
        <w:t>张，</w:t>
      </w:r>
      <w:r>
        <w:rPr>
          <w:rFonts w:hint="eastAsia"/>
          <w:color w:val="auto"/>
          <w:lang w:val="en-US" w:eastAsia="zh-CN"/>
        </w:rPr>
        <w:t>通过民政局提供的2025年养老机构统计表分析可知，2025年现状床位</w:t>
      </w:r>
      <w:r>
        <w:rPr>
          <w:rFonts w:hint="eastAsia"/>
          <w:color w:val="auto"/>
        </w:rPr>
        <w:t>数</w:t>
      </w:r>
      <w:r>
        <w:rPr>
          <w:rFonts w:hint="eastAsia"/>
          <w:color w:val="auto"/>
          <w:lang w:val="en-US" w:eastAsia="zh-CN"/>
        </w:rPr>
        <w:t>为14189</w:t>
      </w:r>
      <w:r>
        <w:rPr>
          <w:rFonts w:hint="eastAsia"/>
          <w:color w:val="auto"/>
        </w:rPr>
        <w:t>张，</w:t>
      </w:r>
      <w:r>
        <w:rPr>
          <w:rFonts w:hint="eastAsia"/>
          <w:color w:val="auto"/>
          <w:lang w:val="en-US" w:eastAsia="zh-CN"/>
        </w:rPr>
        <w:t>要达到25床/千名老年人的要求，还需</w:t>
      </w:r>
      <w:r>
        <w:rPr>
          <w:rFonts w:hint="eastAsia"/>
          <w:color w:val="auto"/>
        </w:rPr>
        <w:t>新增床位数</w:t>
      </w:r>
      <w:r>
        <w:rPr>
          <w:rFonts w:hint="eastAsia"/>
          <w:color w:val="auto"/>
          <w:lang w:val="en-US" w:eastAsia="zh-CN"/>
        </w:rPr>
        <w:t>9020</w:t>
      </w:r>
      <w:r>
        <w:rPr>
          <w:rFonts w:hint="eastAsia"/>
          <w:color w:val="auto"/>
        </w:rPr>
        <w:t>张</w:t>
      </w:r>
      <w:r>
        <w:rPr>
          <w:rFonts w:hint="eastAsia"/>
          <w:color w:val="auto"/>
          <w:lang w:val="en-US" w:eastAsia="zh-CN"/>
        </w:rPr>
        <w:t>床位，2025年内难以达到，规划在“十五五”期间逐步建设完善</w:t>
      </w:r>
      <w:r>
        <w:rPr>
          <w:rFonts w:hint="eastAsia"/>
          <w:color w:val="auto"/>
        </w:rPr>
        <w:t>。</w:t>
      </w:r>
    </w:p>
    <w:p w14:paraId="764B4334">
      <w:pPr>
        <w:numPr>
          <w:ilvl w:val="0"/>
          <w:numId w:val="9"/>
        </w:numPr>
        <w:rPr>
          <w:rFonts w:hint="eastAsia" w:ascii="Arial" w:hAnsi="Arial" w:cs="Times New Roman"/>
          <w:b/>
          <w:color w:val="auto"/>
        </w:rPr>
      </w:pPr>
      <w:r>
        <w:rPr>
          <w:rFonts w:hint="eastAsia" w:ascii="Arial" w:hAnsi="Arial" w:cs="Times New Roman"/>
          <w:b/>
          <w:color w:val="auto"/>
        </w:rPr>
        <w:t>中心城区近期重点建设项目</w:t>
      </w:r>
    </w:p>
    <w:p w14:paraId="46D9DA61">
      <w:pPr>
        <w:ind w:firstLine="560"/>
        <w:rPr>
          <w:rFonts w:hint="eastAsia" w:cs="Times New Roman"/>
          <w:color w:val="auto"/>
        </w:rPr>
      </w:pPr>
      <w:r>
        <w:rPr>
          <w:rFonts w:hint="eastAsia"/>
          <w:color w:val="auto"/>
        </w:rPr>
        <w:t>结合规划范围内现状用地情况，中心城区近期实施</w:t>
      </w:r>
      <w:r>
        <w:rPr>
          <w:rFonts w:hint="eastAsia"/>
          <w:color w:val="auto"/>
          <w:lang w:eastAsia="zh-CN"/>
        </w:rPr>
        <w:t>机构养老服务设施</w:t>
      </w:r>
      <w:r>
        <w:rPr>
          <w:rFonts w:hint="eastAsia"/>
          <w:color w:val="auto"/>
          <w:lang w:val="en-US" w:eastAsia="zh-CN"/>
        </w:rPr>
        <w:t>8座，其中1座区县级机构养老设施，为马龙区老年公寓，7座为街道区域养老服务中心，规划新增床位数1010张。根据</w:t>
      </w:r>
      <w:r>
        <w:rPr>
          <w:rFonts w:hint="eastAsia" w:cs="Times New Roman"/>
          <w:color w:val="auto"/>
        </w:rPr>
        <w:t>每千名老年人拥有养老床位数不低于</w:t>
      </w:r>
      <w:r>
        <w:rPr>
          <w:rFonts w:hint="eastAsia" w:cs="Times New Roman"/>
          <w:color w:val="auto"/>
          <w:lang w:val="en-US" w:eastAsia="zh-CN"/>
        </w:rPr>
        <w:t>25</w:t>
      </w:r>
      <w:r>
        <w:rPr>
          <w:rFonts w:hint="eastAsia" w:cs="Times New Roman"/>
          <w:color w:val="auto"/>
        </w:rPr>
        <w:t>张计算，规划范围内需提供约</w:t>
      </w:r>
      <w:r>
        <w:rPr>
          <w:rFonts w:hint="eastAsia" w:cs="Times New Roman"/>
          <w:color w:val="auto"/>
          <w:lang w:val="en-US" w:eastAsia="zh-CN"/>
        </w:rPr>
        <w:t>5400</w:t>
      </w:r>
      <w:r>
        <w:rPr>
          <w:rFonts w:hint="eastAsia" w:cs="Times New Roman"/>
          <w:color w:val="auto"/>
        </w:rPr>
        <w:t>张养老床位。</w:t>
      </w:r>
      <w:r>
        <w:rPr>
          <w:rFonts w:hint="eastAsia" w:cs="Times New Roman"/>
          <w:color w:val="auto"/>
          <w:lang w:val="en-US" w:eastAsia="zh-CN"/>
        </w:rPr>
        <w:t>根据市民政局统计数据，截至2025年11月，中心城区养老床位为3390张（公办养老机构994床、民办养老机构1283床，居家养老1113张），与规划目标缺口2010张，“十五五”期间将重点补齐规划近期的床位缺口，其中，</w:t>
      </w:r>
      <w:r>
        <w:rPr>
          <w:rFonts w:hint="eastAsia" w:cs="Times New Roman"/>
          <w:color w:val="auto"/>
        </w:rPr>
        <w:t>规划公办</w:t>
      </w:r>
      <w:r>
        <w:rPr>
          <w:rFonts w:hint="eastAsia" w:cs="Times New Roman"/>
          <w:color w:val="auto"/>
          <w:lang w:eastAsia="zh-CN"/>
        </w:rPr>
        <w:t>机构养老服务设施</w:t>
      </w:r>
      <w:r>
        <w:rPr>
          <w:rFonts w:hint="eastAsia" w:cs="Times New Roman"/>
          <w:color w:val="auto"/>
        </w:rPr>
        <w:t>床位数</w:t>
      </w:r>
      <w:r>
        <w:rPr>
          <w:rFonts w:hint="eastAsia" w:cs="Times New Roman"/>
          <w:color w:val="auto"/>
          <w:lang w:val="en-US" w:eastAsia="zh-CN"/>
        </w:rPr>
        <w:t>2004</w:t>
      </w:r>
      <w:r>
        <w:rPr>
          <w:rFonts w:hint="eastAsia" w:cs="Times New Roman"/>
          <w:color w:val="auto"/>
        </w:rPr>
        <w:t>张（现状</w:t>
      </w:r>
      <w:r>
        <w:rPr>
          <w:rFonts w:hint="eastAsia" w:cs="Times New Roman"/>
          <w:color w:val="auto"/>
          <w:lang w:val="en-US" w:eastAsia="zh-CN"/>
        </w:rPr>
        <w:t>994</w:t>
      </w:r>
      <w:r>
        <w:rPr>
          <w:rFonts w:hint="eastAsia" w:cs="Times New Roman"/>
          <w:color w:val="auto"/>
        </w:rPr>
        <w:t>张，规划新增</w:t>
      </w:r>
      <w:r>
        <w:rPr>
          <w:rFonts w:hint="eastAsia" w:cs="Times New Roman"/>
          <w:color w:val="auto"/>
          <w:lang w:val="en-US" w:eastAsia="zh-CN"/>
        </w:rPr>
        <w:t>1010</w:t>
      </w:r>
      <w:r>
        <w:rPr>
          <w:rFonts w:hint="eastAsia" w:cs="Times New Roman"/>
          <w:color w:val="auto"/>
        </w:rPr>
        <w:t>张），居家养老服务设施床位数</w:t>
      </w:r>
      <w:r>
        <w:rPr>
          <w:rFonts w:hint="eastAsia" w:cs="Times New Roman"/>
          <w:color w:val="auto"/>
          <w:lang w:val="en-US" w:eastAsia="zh-CN"/>
        </w:rPr>
        <w:t>2113</w:t>
      </w:r>
      <w:r>
        <w:rPr>
          <w:rFonts w:hint="eastAsia" w:cs="Times New Roman"/>
          <w:color w:val="auto"/>
        </w:rPr>
        <w:t>张（现状</w:t>
      </w:r>
      <w:r>
        <w:rPr>
          <w:rFonts w:hint="eastAsia" w:cs="Times New Roman"/>
          <w:color w:val="auto"/>
          <w:lang w:val="en-US" w:eastAsia="zh-CN"/>
        </w:rPr>
        <w:t>1113</w:t>
      </w:r>
      <w:r>
        <w:rPr>
          <w:rFonts w:hint="eastAsia" w:cs="Times New Roman"/>
          <w:color w:val="auto"/>
        </w:rPr>
        <w:t>张，规划新增居家养老服务设施</w:t>
      </w:r>
      <w:r>
        <w:rPr>
          <w:rFonts w:hint="eastAsia" w:cs="Times New Roman"/>
          <w:color w:val="auto"/>
          <w:lang w:val="en-US" w:eastAsia="zh-CN"/>
        </w:rPr>
        <w:t>1000</w:t>
      </w:r>
      <w:r>
        <w:rPr>
          <w:rFonts w:hint="eastAsia" w:cs="Times New Roman"/>
          <w:color w:val="auto"/>
        </w:rPr>
        <w:t>张），民办养老院床位数</w:t>
      </w:r>
      <w:r>
        <w:rPr>
          <w:rFonts w:hint="eastAsia" w:cs="Times New Roman"/>
          <w:color w:val="auto"/>
          <w:lang w:val="en-US" w:eastAsia="zh-CN"/>
        </w:rPr>
        <w:t>1283</w:t>
      </w:r>
      <w:r>
        <w:rPr>
          <w:rFonts w:hint="eastAsia" w:cs="Times New Roman"/>
          <w:color w:val="auto"/>
        </w:rPr>
        <w:t>张（现状</w:t>
      </w:r>
      <w:r>
        <w:rPr>
          <w:rFonts w:hint="eastAsia" w:cs="Times New Roman"/>
          <w:color w:val="auto"/>
          <w:lang w:val="en-US" w:eastAsia="zh-CN"/>
        </w:rPr>
        <w:t>1283</w:t>
      </w:r>
      <w:r>
        <w:rPr>
          <w:rFonts w:hint="eastAsia" w:cs="Times New Roman"/>
          <w:color w:val="auto"/>
        </w:rPr>
        <w:t>张，规划新增</w:t>
      </w:r>
      <w:r>
        <w:rPr>
          <w:rFonts w:hint="eastAsia" w:cs="Times New Roman"/>
          <w:color w:val="auto"/>
          <w:lang w:val="en-US" w:eastAsia="zh-CN"/>
        </w:rPr>
        <w:t>0</w:t>
      </w:r>
      <w:r>
        <w:rPr>
          <w:rFonts w:hint="eastAsia" w:cs="Times New Roman"/>
          <w:color w:val="auto"/>
        </w:rPr>
        <w:t>张）。</w:t>
      </w:r>
    </w:p>
    <w:p w14:paraId="43C43C6D">
      <w:pPr>
        <w:numPr>
          <w:ilvl w:val="0"/>
          <w:numId w:val="2"/>
        </w:numPr>
        <w:bidi w:val="0"/>
        <w:ind w:firstLine="0"/>
        <w:rPr>
          <w:rFonts w:hint="eastAsia" w:ascii="Arial" w:hAnsi="Arial" w:cs="Times New Roman"/>
          <w:b/>
          <w:color w:val="auto"/>
          <w:lang w:val="en-US" w:eastAsia="zh-CN"/>
        </w:rPr>
      </w:pPr>
      <w:bookmarkStart w:id="44" w:name="_Toc15765"/>
      <w:bookmarkStart w:id="45" w:name="_Toc22906"/>
      <w:r>
        <w:rPr>
          <w:rFonts w:hint="eastAsia" w:ascii="Arial" w:hAnsi="Arial" w:cs="Times New Roman"/>
          <w:b/>
          <w:color w:val="auto"/>
          <w:lang w:val="en-US" w:eastAsia="zh-CN"/>
        </w:rPr>
        <w:t>儿童福利设施近期建设内容</w:t>
      </w:r>
      <w:bookmarkEnd w:id="44"/>
      <w:bookmarkEnd w:id="45"/>
    </w:p>
    <w:p w14:paraId="3C783855">
      <w:pPr>
        <w:ind w:firstLine="560"/>
        <w:rPr>
          <w:color w:val="auto"/>
        </w:rPr>
      </w:pPr>
      <w:r>
        <w:rPr>
          <w:rFonts w:hint="eastAsia"/>
          <w:color w:val="auto"/>
        </w:rPr>
        <w:t>结合中心城区现状用地情况以及民政局</w:t>
      </w:r>
      <w:r>
        <w:rPr>
          <w:rFonts w:hint="eastAsia"/>
          <w:color w:val="auto"/>
          <w:lang w:eastAsia="zh-CN"/>
        </w:rPr>
        <w:t>“十四五”规划</w:t>
      </w:r>
      <w:r>
        <w:rPr>
          <w:rFonts w:hint="eastAsia"/>
          <w:color w:val="auto"/>
        </w:rPr>
        <w:t>重点项目，近期实施儿童之家改造100个。</w:t>
      </w:r>
    </w:p>
    <w:p w14:paraId="74B18773">
      <w:pPr>
        <w:numPr>
          <w:ilvl w:val="0"/>
          <w:numId w:val="2"/>
        </w:numPr>
        <w:bidi w:val="0"/>
        <w:ind w:firstLine="0"/>
        <w:rPr>
          <w:rFonts w:hint="eastAsia" w:ascii="Arial" w:hAnsi="Arial" w:cs="Times New Roman"/>
          <w:b/>
          <w:color w:val="auto"/>
          <w:lang w:val="en-US" w:eastAsia="zh-CN"/>
        </w:rPr>
      </w:pPr>
      <w:bookmarkStart w:id="46" w:name="_Toc31755"/>
      <w:bookmarkStart w:id="47" w:name="_Toc31948"/>
      <w:r>
        <w:rPr>
          <w:rFonts w:hint="eastAsia" w:ascii="Arial" w:hAnsi="Arial" w:cs="Times New Roman"/>
          <w:b/>
          <w:color w:val="auto"/>
          <w:lang w:val="en-US" w:eastAsia="zh-CN"/>
        </w:rPr>
        <w:t>社会救助设施近期建设内容</w:t>
      </w:r>
      <w:bookmarkEnd w:id="46"/>
      <w:bookmarkEnd w:id="47"/>
    </w:p>
    <w:p w14:paraId="32F61976">
      <w:pPr>
        <w:ind w:firstLine="560"/>
        <w:rPr>
          <w:rFonts w:hint="eastAsia" w:cs="Times New Roman"/>
          <w:color w:val="auto"/>
        </w:rPr>
      </w:pPr>
      <w:r>
        <w:rPr>
          <w:rFonts w:hint="eastAsia" w:cs="Times New Roman"/>
          <w:color w:val="auto"/>
        </w:rPr>
        <w:t>近期</w:t>
      </w:r>
      <w:r>
        <w:rPr>
          <w:rFonts w:hint="eastAsia" w:cs="Times New Roman"/>
          <w:color w:val="auto"/>
          <w:lang w:val="en-US" w:eastAsia="zh-CN"/>
        </w:rPr>
        <w:t>改扩建</w:t>
      </w:r>
      <w:r>
        <w:rPr>
          <w:rFonts w:hint="eastAsia" w:cs="Times New Roman"/>
          <w:color w:val="auto"/>
        </w:rPr>
        <w:t>沾益区社会救助管理站</w:t>
      </w:r>
      <w:r>
        <w:rPr>
          <w:rFonts w:hint="eastAsia" w:cs="Times New Roman"/>
          <w:color w:val="auto"/>
          <w:lang w:eastAsia="zh-CN"/>
        </w:rPr>
        <w:t>、</w:t>
      </w:r>
      <w:r>
        <w:rPr>
          <w:rFonts w:hint="eastAsia" w:cs="Times New Roman"/>
          <w:color w:val="auto"/>
          <w:lang w:val="en-US" w:eastAsia="zh-CN"/>
        </w:rPr>
        <w:t>宣威市救助管理站，改扩建罗平市救助管理站</w:t>
      </w:r>
      <w:r>
        <w:rPr>
          <w:rFonts w:hint="eastAsia" w:cs="Times New Roman"/>
          <w:color w:val="auto"/>
          <w:lang w:eastAsia="zh-CN"/>
        </w:rPr>
        <w:t>（</w:t>
      </w:r>
      <w:r>
        <w:rPr>
          <w:rFonts w:hint="eastAsia" w:cs="Times New Roman"/>
          <w:color w:val="auto"/>
          <w:lang w:val="en-US" w:eastAsia="zh-CN"/>
        </w:rPr>
        <w:t>兼容设置未成年人保护中心</w:t>
      </w:r>
      <w:r>
        <w:rPr>
          <w:rFonts w:hint="eastAsia" w:cs="Times New Roman"/>
          <w:color w:val="auto"/>
          <w:lang w:eastAsia="zh-CN"/>
        </w:rPr>
        <w:t>），</w:t>
      </w:r>
      <w:r>
        <w:rPr>
          <w:rFonts w:hint="eastAsia" w:cs="Times New Roman"/>
          <w:color w:val="auto"/>
          <w:lang w:val="en-US" w:eastAsia="zh-CN"/>
        </w:rPr>
        <w:t>新建曲靖民政精神卫生福利院</w:t>
      </w:r>
      <w:r>
        <w:rPr>
          <w:rFonts w:hint="eastAsia" w:cs="Times New Roman"/>
          <w:color w:val="auto"/>
          <w:lang w:eastAsia="zh-CN"/>
        </w:rPr>
        <w:t>。</w:t>
      </w:r>
    </w:p>
    <w:p w14:paraId="2868D143">
      <w:pPr>
        <w:numPr>
          <w:ilvl w:val="0"/>
          <w:numId w:val="2"/>
        </w:numPr>
        <w:bidi w:val="0"/>
        <w:ind w:firstLine="0"/>
        <w:rPr>
          <w:rFonts w:hint="eastAsia" w:ascii="Arial" w:hAnsi="Arial" w:cs="Times New Roman"/>
          <w:b/>
          <w:color w:val="auto"/>
          <w:lang w:val="en-US" w:eastAsia="zh-CN"/>
        </w:rPr>
      </w:pPr>
      <w:bookmarkStart w:id="48" w:name="_Toc10654"/>
      <w:bookmarkStart w:id="49" w:name="_Toc6411"/>
      <w:r>
        <w:rPr>
          <w:rFonts w:hint="eastAsia" w:ascii="Arial" w:hAnsi="Arial" w:cs="Times New Roman"/>
          <w:b/>
          <w:color w:val="auto"/>
          <w:lang w:val="en-US" w:eastAsia="zh-CN"/>
        </w:rPr>
        <w:t>殡葬设施近期建设内容</w:t>
      </w:r>
      <w:bookmarkEnd w:id="48"/>
      <w:bookmarkEnd w:id="49"/>
    </w:p>
    <w:p w14:paraId="65576D82">
      <w:pPr>
        <w:ind w:firstLine="560"/>
        <w:rPr>
          <w:color w:val="auto"/>
        </w:rPr>
      </w:pPr>
      <w:r>
        <w:rPr>
          <w:rFonts w:hint="eastAsia"/>
          <w:color w:val="auto"/>
        </w:rPr>
        <w:t>为推动殡葬改革彻底化，实现全市火葬区覆盖率100%目标。近期重点实施不满足规范要求的4个</w:t>
      </w:r>
      <w:r>
        <w:rPr>
          <w:rFonts w:hint="eastAsia"/>
          <w:color w:val="auto"/>
          <w:lang w:eastAsia="zh-CN"/>
        </w:rPr>
        <w:t>县级</w:t>
      </w:r>
      <w:r>
        <w:rPr>
          <w:rFonts w:hint="eastAsia"/>
          <w:color w:val="auto"/>
        </w:rPr>
        <w:t>殡仪馆扩建，城市公益性公墓</w:t>
      </w:r>
      <w:r>
        <w:rPr>
          <w:rFonts w:hint="eastAsia"/>
          <w:color w:val="auto"/>
          <w:lang w:val="en-US" w:eastAsia="zh-CN"/>
        </w:rPr>
        <w:t>3</w:t>
      </w:r>
      <w:r>
        <w:rPr>
          <w:rFonts w:hint="eastAsia"/>
          <w:color w:val="auto"/>
        </w:rPr>
        <w:t>个，</w:t>
      </w:r>
      <w:r>
        <w:rPr>
          <w:rFonts w:hint="eastAsia"/>
          <w:color w:val="auto"/>
          <w:lang w:val="en-US" w:eastAsia="zh-CN"/>
        </w:rPr>
        <w:t>建成</w:t>
      </w:r>
      <w:r>
        <w:rPr>
          <w:rFonts w:hint="eastAsia"/>
          <w:color w:val="auto"/>
        </w:rPr>
        <w:t>农村公益性公墓</w:t>
      </w:r>
      <w:r>
        <w:rPr>
          <w:rFonts w:hint="eastAsia"/>
          <w:color w:val="auto"/>
          <w:lang w:val="en-US" w:eastAsia="zh-CN"/>
        </w:rPr>
        <w:t>730</w:t>
      </w:r>
      <w:r>
        <w:rPr>
          <w:rFonts w:hint="eastAsia"/>
          <w:color w:val="auto"/>
        </w:rPr>
        <w:t>个。</w:t>
      </w:r>
    </w:p>
    <w:p w14:paraId="12D520E3">
      <w:pPr>
        <w:numPr>
          <w:ilvl w:val="0"/>
          <w:numId w:val="1"/>
        </w:numPr>
        <w:ind w:left="0" w:leftChars="0" w:firstLine="0" w:firstLineChars="0"/>
        <w:rPr>
          <w:color w:val="auto"/>
        </w:rPr>
      </w:pPr>
      <w:bookmarkStart w:id="50" w:name="_Toc7158"/>
      <w:r>
        <w:rPr>
          <w:rFonts w:hint="eastAsia"/>
          <w:color w:val="auto"/>
        </w:rPr>
        <w:t>规划保障</w:t>
      </w:r>
      <w:bookmarkEnd w:id="50"/>
    </w:p>
    <w:p w14:paraId="2E1F1868">
      <w:pPr>
        <w:numPr>
          <w:ilvl w:val="0"/>
          <w:numId w:val="2"/>
        </w:numPr>
        <w:bidi w:val="0"/>
        <w:ind w:firstLine="0"/>
        <w:rPr>
          <w:rFonts w:hint="eastAsia" w:ascii="Arial" w:hAnsi="Arial" w:cs="Times New Roman"/>
          <w:b/>
          <w:color w:val="auto"/>
          <w:lang w:val="en-US" w:eastAsia="zh-CN"/>
        </w:rPr>
      </w:pPr>
      <w:bookmarkStart w:id="51" w:name="_Toc29160"/>
      <w:r>
        <w:rPr>
          <w:rFonts w:hint="eastAsia" w:ascii="Arial" w:hAnsi="Arial" w:cs="Times New Roman"/>
          <w:b/>
          <w:color w:val="auto"/>
          <w:lang w:val="en-US" w:eastAsia="zh-CN"/>
        </w:rPr>
        <w:t>规划实施保障</w:t>
      </w:r>
      <w:bookmarkEnd w:id="51"/>
    </w:p>
    <w:p w14:paraId="620729A7">
      <w:pPr>
        <w:numPr>
          <w:ilvl w:val="0"/>
          <w:numId w:val="10"/>
        </w:numPr>
        <w:bidi w:val="0"/>
        <w:rPr>
          <w:color w:val="auto"/>
        </w:rPr>
      </w:pPr>
      <w:r>
        <w:rPr>
          <w:rFonts w:hint="eastAsia"/>
          <w:color w:val="auto"/>
        </w:rPr>
        <w:t>建立部门联动机制</w:t>
      </w:r>
    </w:p>
    <w:p w14:paraId="154AE487">
      <w:pPr>
        <w:ind w:firstLine="560"/>
        <w:rPr>
          <w:color w:val="auto"/>
        </w:rPr>
      </w:pPr>
      <w:r>
        <w:rPr>
          <w:rFonts w:hint="eastAsia"/>
          <w:color w:val="auto"/>
        </w:rPr>
        <w:t>根据社会福利设施规划总体目标，按年度进行任务分解，确立分期建设目标，以年度计划手段逐年推进社会福利设施建设。将社会福利设施建设的近期目标逐年分解到年度计划层面，由县民政部门统筹，建立</w:t>
      </w:r>
      <w:r>
        <w:rPr>
          <w:rFonts w:hint="eastAsia"/>
          <w:color w:val="auto"/>
          <w:lang w:val="en-US" w:eastAsia="zh-CN"/>
        </w:rPr>
        <w:t>曲靖市</w:t>
      </w:r>
      <w:r>
        <w:rPr>
          <w:rFonts w:hint="eastAsia"/>
          <w:color w:val="auto"/>
        </w:rPr>
        <w:t>社会福利设施年度建设计划制度，逐年推动相关工作。</w:t>
      </w:r>
    </w:p>
    <w:p w14:paraId="53FD33A0">
      <w:pPr>
        <w:numPr>
          <w:ilvl w:val="0"/>
          <w:numId w:val="10"/>
        </w:numPr>
        <w:bidi w:val="0"/>
        <w:rPr>
          <w:rFonts w:hint="eastAsia" w:ascii="Arial" w:hAnsi="Arial" w:cs="Times New Roman"/>
          <w:b/>
          <w:color w:val="auto"/>
        </w:rPr>
      </w:pPr>
      <w:r>
        <w:rPr>
          <w:rFonts w:hint="eastAsia" w:ascii="Arial" w:hAnsi="Arial" w:cs="Times New Roman"/>
          <w:b/>
          <w:color w:val="auto"/>
        </w:rPr>
        <w:t>建立动态维护机制</w:t>
      </w:r>
    </w:p>
    <w:p w14:paraId="40D83DBB">
      <w:pPr>
        <w:ind w:firstLine="560"/>
        <w:rPr>
          <w:color w:val="auto"/>
        </w:rPr>
      </w:pPr>
      <w:r>
        <w:rPr>
          <w:rFonts w:hint="eastAsia"/>
          <w:color w:val="auto"/>
        </w:rPr>
        <w:t>动态更新的</w:t>
      </w:r>
      <w:r>
        <w:rPr>
          <w:rFonts w:hint="eastAsia"/>
          <w:color w:val="auto"/>
          <w:lang w:eastAsia="zh-CN"/>
        </w:rPr>
        <w:t>全市</w:t>
      </w:r>
      <w:r>
        <w:rPr>
          <w:rFonts w:hint="eastAsia"/>
          <w:color w:val="auto"/>
        </w:rPr>
        <w:t>老、少、残人口和设施数据库，准确及时掌握人口和设施变化数据，实现对全</w:t>
      </w:r>
      <w:r>
        <w:rPr>
          <w:rFonts w:hint="eastAsia"/>
          <w:color w:val="auto"/>
          <w:lang w:val="en-US" w:eastAsia="zh-CN"/>
        </w:rPr>
        <w:t>市</w:t>
      </w:r>
      <w:r>
        <w:rPr>
          <w:rFonts w:hint="eastAsia"/>
          <w:color w:val="auto"/>
        </w:rPr>
        <w:t>社会福利设施建设工作的动态监管和评估。根据</w:t>
      </w:r>
      <w:r>
        <w:rPr>
          <w:rFonts w:hint="eastAsia"/>
          <w:color w:val="auto"/>
          <w:lang w:eastAsia="zh-CN"/>
        </w:rPr>
        <w:t>曲靖市</w:t>
      </w:r>
      <w:r>
        <w:rPr>
          <w:rFonts w:hint="eastAsia"/>
          <w:color w:val="auto"/>
        </w:rPr>
        <w:t>的实际需求状况变化及要求，动态修订本专项规划。</w:t>
      </w:r>
    </w:p>
    <w:p w14:paraId="4C4F45A1">
      <w:pPr>
        <w:numPr>
          <w:ilvl w:val="0"/>
          <w:numId w:val="10"/>
        </w:numPr>
        <w:bidi w:val="0"/>
        <w:rPr>
          <w:rFonts w:hint="eastAsia" w:ascii="Arial" w:hAnsi="Arial" w:cs="Times New Roman"/>
          <w:b/>
          <w:color w:val="auto"/>
        </w:rPr>
      </w:pPr>
      <w:r>
        <w:rPr>
          <w:rFonts w:hint="eastAsia" w:ascii="Arial" w:hAnsi="Arial" w:cs="Times New Roman"/>
          <w:b/>
          <w:color w:val="auto"/>
        </w:rPr>
        <w:t>优化用地分类和指标控制</w:t>
      </w:r>
    </w:p>
    <w:p w14:paraId="28758A2E">
      <w:pPr>
        <w:ind w:firstLine="560"/>
        <w:rPr>
          <w:color w:val="auto"/>
          <w:u w:val="single"/>
        </w:rPr>
      </w:pPr>
      <w:r>
        <w:rPr>
          <w:rFonts w:hint="eastAsia"/>
          <w:color w:val="auto"/>
          <w:u w:val="single"/>
          <w:lang w:eastAsia="zh-CN"/>
        </w:rPr>
        <w:t>城市</w:t>
      </w:r>
      <w:r>
        <w:rPr>
          <w:rFonts w:hint="eastAsia"/>
          <w:color w:val="auto"/>
          <w:u w:val="single"/>
        </w:rPr>
        <w:t>总体规划和控制性详细规划的编制须按照人均（常住人口）用地面积不少于0.</w:t>
      </w:r>
      <w:r>
        <w:rPr>
          <w:rFonts w:hint="eastAsia"/>
          <w:color w:val="auto"/>
          <w:u w:val="single"/>
          <w:lang w:val="en-US" w:eastAsia="zh-CN"/>
        </w:rPr>
        <w:t>1</w:t>
      </w:r>
      <w:r>
        <w:rPr>
          <w:rFonts w:hint="eastAsia"/>
          <w:color w:val="auto"/>
          <w:u w:val="single"/>
        </w:rPr>
        <w:t>平方米的标准分区、分级规划设置养老服务设施。新建、改（扩）建项目住宅建筑面积5万平方米以上的，</w:t>
      </w:r>
      <w:r>
        <w:rPr>
          <w:rFonts w:hint="eastAsia"/>
          <w:color w:val="auto"/>
          <w:u w:val="single"/>
          <w:lang w:val="en-US" w:eastAsia="zh-CN"/>
        </w:rPr>
        <w:t>按有关规定</w:t>
      </w:r>
      <w:r>
        <w:rPr>
          <w:rFonts w:hint="eastAsia"/>
          <w:color w:val="auto"/>
          <w:u w:val="single"/>
        </w:rPr>
        <w:t>配建养老服务设施，配建的养老服务设施须纳入公建配套范畴。</w:t>
      </w:r>
    </w:p>
    <w:p w14:paraId="6F201C3F">
      <w:pPr>
        <w:numPr>
          <w:ilvl w:val="0"/>
          <w:numId w:val="10"/>
        </w:numPr>
        <w:bidi w:val="0"/>
        <w:rPr>
          <w:rFonts w:hint="eastAsia" w:ascii="Arial" w:hAnsi="Arial" w:cs="Times New Roman"/>
          <w:b/>
          <w:color w:val="auto"/>
        </w:rPr>
      </w:pPr>
      <w:r>
        <w:rPr>
          <w:rFonts w:hint="eastAsia" w:ascii="Arial" w:hAnsi="Arial" w:cs="Times New Roman"/>
          <w:b/>
          <w:color w:val="auto"/>
        </w:rPr>
        <w:t>简化审批程序</w:t>
      </w:r>
    </w:p>
    <w:p w14:paraId="649261B1">
      <w:pPr>
        <w:ind w:firstLine="560"/>
        <w:rPr>
          <w:color w:val="auto"/>
        </w:rPr>
      </w:pPr>
      <w:r>
        <w:rPr>
          <w:rFonts w:hint="eastAsia"/>
          <w:color w:val="auto"/>
        </w:rPr>
        <w:t>对提供基本公共服务的社会福利</w:t>
      </w:r>
      <w:r>
        <w:rPr>
          <w:rFonts w:hint="eastAsia"/>
          <w:color w:val="auto"/>
          <w:lang w:eastAsia="zh-CN"/>
        </w:rPr>
        <w:t>设施</w:t>
      </w:r>
      <w:r>
        <w:rPr>
          <w:rFonts w:hint="eastAsia"/>
          <w:color w:val="auto"/>
        </w:rPr>
        <w:t>项目，在规划编制、调整、审批程序中，可在项目管理和规划调整两方面按照既有规定程序予以简化。</w:t>
      </w:r>
    </w:p>
    <w:p w14:paraId="4E2E780E">
      <w:pPr>
        <w:numPr>
          <w:ilvl w:val="0"/>
          <w:numId w:val="2"/>
        </w:numPr>
        <w:bidi w:val="0"/>
        <w:ind w:firstLine="0"/>
        <w:rPr>
          <w:rFonts w:hint="eastAsia" w:ascii="Arial" w:hAnsi="Arial" w:cs="Times New Roman"/>
          <w:b/>
          <w:color w:val="auto"/>
          <w:lang w:val="en-US" w:eastAsia="zh-CN"/>
        </w:rPr>
      </w:pPr>
      <w:bookmarkStart w:id="52" w:name="_Toc20115"/>
      <w:r>
        <w:rPr>
          <w:rFonts w:hint="eastAsia" w:ascii="Arial" w:hAnsi="Arial" w:cs="Times New Roman"/>
          <w:b/>
          <w:color w:val="auto"/>
          <w:lang w:val="en-US" w:eastAsia="zh-CN"/>
        </w:rPr>
        <w:t>运营管理建议</w:t>
      </w:r>
      <w:bookmarkEnd w:id="52"/>
    </w:p>
    <w:p w14:paraId="6393822A">
      <w:pPr>
        <w:numPr>
          <w:ilvl w:val="0"/>
          <w:numId w:val="11"/>
        </w:numPr>
        <w:bidi w:val="0"/>
        <w:rPr>
          <w:color w:val="auto"/>
        </w:rPr>
      </w:pPr>
      <w:r>
        <w:rPr>
          <w:rFonts w:hint="eastAsia"/>
          <w:color w:val="auto"/>
        </w:rPr>
        <w:t>投资运行机制</w:t>
      </w:r>
    </w:p>
    <w:p w14:paraId="4D7B7627">
      <w:pPr>
        <w:ind w:firstLine="560"/>
        <w:rPr>
          <w:rFonts w:hint="eastAsia"/>
          <w:color w:val="auto"/>
        </w:rPr>
      </w:pPr>
      <w:r>
        <w:rPr>
          <w:color w:val="auto"/>
        </w:rPr>
        <w:t>制定完善财政资金投入社会福利事业的保障机制（财政、福利彩票），探讨储备社会福利用地融资机制，保障社会福利设施建设的资金来源。</w:t>
      </w:r>
    </w:p>
    <w:p w14:paraId="34D121F7">
      <w:pPr>
        <w:numPr>
          <w:ilvl w:val="0"/>
          <w:numId w:val="11"/>
        </w:numPr>
        <w:bidi w:val="0"/>
        <w:rPr>
          <w:rFonts w:hint="eastAsia" w:ascii="Arial" w:hAnsi="Arial" w:cs="Times New Roman"/>
          <w:b/>
          <w:color w:val="auto"/>
        </w:rPr>
      </w:pPr>
      <w:r>
        <w:rPr>
          <w:rFonts w:hint="eastAsia" w:ascii="Arial" w:hAnsi="Arial" w:cs="Times New Roman"/>
          <w:b/>
          <w:color w:val="auto"/>
        </w:rPr>
        <w:t>规范化管理</w:t>
      </w:r>
    </w:p>
    <w:p w14:paraId="00B8ADD6">
      <w:pPr>
        <w:ind w:firstLine="560"/>
        <w:rPr>
          <w:color w:val="auto"/>
        </w:rPr>
      </w:pPr>
      <w:r>
        <w:rPr>
          <w:color w:val="auto"/>
        </w:rPr>
        <w:t>尽快明确本专项规划中确定的各类社会福利设施的建设方式及建设主体、运营资质、限定服务对象和价格等相关配套政策</w:t>
      </w:r>
      <w:r>
        <w:rPr>
          <w:rFonts w:hint="eastAsia"/>
          <w:color w:val="auto"/>
        </w:rPr>
        <w:t>；</w:t>
      </w:r>
      <w:r>
        <w:rPr>
          <w:color w:val="auto"/>
        </w:rPr>
        <w:t>制定社会福利服务体系标准化建设方案；建立社会福利服务评估检测机制，完善社会福利服务准入和退出机制</w:t>
      </w:r>
      <w:r>
        <w:rPr>
          <w:rFonts w:hint="eastAsia"/>
          <w:color w:val="auto"/>
        </w:rPr>
        <w:t>。</w:t>
      </w:r>
    </w:p>
    <w:p w14:paraId="509240F1">
      <w:pPr>
        <w:numPr>
          <w:ilvl w:val="0"/>
          <w:numId w:val="11"/>
        </w:numPr>
        <w:bidi w:val="0"/>
        <w:rPr>
          <w:rFonts w:hint="eastAsia" w:ascii="Arial" w:hAnsi="Arial" w:cs="Times New Roman"/>
          <w:b/>
          <w:color w:val="auto"/>
        </w:rPr>
      </w:pPr>
      <w:r>
        <w:rPr>
          <w:rFonts w:hint="eastAsia" w:ascii="Arial" w:hAnsi="Arial" w:cs="Times New Roman"/>
          <w:b/>
          <w:color w:val="auto"/>
        </w:rPr>
        <w:t>鼓励社会力量参与</w:t>
      </w:r>
    </w:p>
    <w:p w14:paraId="711428D2">
      <w:pPr>
        <w:ind w:firstLine="560"/>
        <w:rPr>
          <w:color w:val="auto"/>
        </w:rPr>
      </w:pPr>
      <w:r>
        <w:rPr>
          <w:color w:val="auto"/>
        </w:rPr>
        <w:t>探索公办民营、民办公助等多种投资运行机制，支持通过购买服务、公建民营、民办公助等方式，鼓励社会力量管理运营居家和社区社会福利服务设施，培育和打造一批品牌化、连锁化、规模化的龙头社会组织或机构、企业，使社会力量成为提供居家和社区社会福利服务的主体。</w:t>
      </w:r>
    </w:p>
    <w:p w14:paraId="0F408555">
      <w:pPr>
        <w:numPr>
          <w:ilvl w:val="0"/>
          <w:numId w:val="2"/>
        </w:numPr>
        <w:bidi w:val="0"/>
        <w:ind w:firstLine="0"/>
        <w:rPr>
          <w:rFonts w:hint="eastAsia" w:ascii="Arial" w:hAnsi="Arial" w:cs="Times New Roman"/>
          <w:b/>
          <w:color w:val="auto"/>
          <w:lang w:val="en-US" w:eastAsia="zh-CN"/>
        </w:rPr>
      </w:pPr>
      <w:bookmarkStart w:id="53" w:name="_Toc11455"/>
      <w:r>
        <w:rPr>
          <w:rFonts w:hint="eastAsia" w:ascii="Arial" w:hAnsi="Arial" w:cs="Times New Roman"/>
          <w:b/>
          <w:color w:val="auto"/>
          <w:lang w:val="en-US" w:eastAsia="zh-CN"/>
        </w:rPr>
        <w:t>监督保障</w:t>
      </w:r>
      <w:bookmarkEnd w:id="53"/>
    </w:p>
    <w:p w14:paraId="6F8512C0">
      <w:pPr>
        <w:ind w:firstLine="560"/>
        <w:rPr>
          <w:color w:val="auto"/>
        </w:rPr>
      </w:pPr>
      <w:r>
        <w:rPr>
          <w:color w:val="auto"/>
        </w:rPr>
        <w:t>充分发挥人大、政协监督作用，通过提交议案的方式，准确、详实地反映</w:t>
      </w:r>
      <w:r>
        <w:rPr>
          <w:rFonts w:hint="eastAsia"/>
          <w:color w:val="auto"/>
        </w:rPr>
        <w:t>社会福利</w:t>
      </w:r>
      <w:r>
        <w:rPr>
          <w:color w:val="auto"/>
        </w:rPr>
        <w:t>事</w:t>
      </w:r>
      <w:r>
        <w:rPr>
          <w:rFonts w:hint="eastAsia"/>
          <w:color w:val="auto"/>
        </w:rPr>
        <w:t>业发展中遇到的问题、出现的情况，及时有效地在立法、</w:t>
      </w:r>
      <w:r>
        <w:rPr>
          <w:color w:val="auto"/>
        </w:rPr>
        <w:t>政策评议等多方面发挥积极作用</w:t>
      </w:r>
      <w:r>
        <w:rPr>
          <w:rFonts w:hint="eastAsia"/>
          <w:color w:val="auto"/>
        </w:rPr>
        <w:t>。充分发挥报刊、电视、网络等媒体对社会福利设施建设的宣传和舆论监督作用，通过相关法规、政策的宣传提高市民对社会福利设施建设的认识。充分发挥各级政府、街道办事处、社区组织</w:t>
      </w:r>
      <w:r>
        <w:rPr>
          <w:rFonts w:hint="eastAsia"/>
          <w:color w:val="auto"/>
          <w:lang w:eastAsia="zh-CN"/>
        </w:rPr>
        <w:t>及</w:t>
      </w:r>
      <w:r>
        <w:rPr>
          <w:rFonts w:hint="eastAsia"/>
          <w:color w:val="auto"/>
        </w:rPr>
        <w:t>其对应的社会福利工作职能部门的领导和监督作用，贯彻落实社会福利设施的建设运行工作。</w:t>
      </w:r>
    </w:p>
    <w:p w14:paraId="4A5794B7">
      <w:pPr>
        <w:numPr>
          <w:ilvl w:val="0"/>
          <w:numId w:val="1"/>
        </w:numPr>
        <w:ind w:left="0" w:leftChars="0" w:firstLine="0" w:firstLineChars="0"/>
        <w:rPr>
          <w:rFonts w:hint="eastAsia" w:cs="Times New Roman"/>
          <w:b/>
          <w:color w:val="auto"/>
        </w:rPr>
      </w:pPr>
      <w:bookmarkStart w:id="54" w:name="_Toc18078"/>
      <w:r>
        <w:rPr>
          <w:rFonts w:hint="eastAsia" w:cs="Times New Roman"/>
          <w:b/>
          <w:color w:val="auto"/>
        </w:rPr>
        <w:t>附则</w:t>
      </w:r>
      <w:bookmarkEnd w:id="54"/>
    </w:p>
    <w:p w14:paraId="25F264A8">
      <w:pPr>
        <w:numPr>
          <w:ilvl w:val="0"/>
          <w:numId w:val="2"/>
        </w:numPr>
        <w:bidi w:val="0"/>
        <w:ind w:firstLine="0"/>
        <w:rPr>
          <w:rFonts w:hint="eastAsia" w:ascii="Arial" w:hAnsi="Arial" w:cs="Times New Roman"/>
          <w:b/>
          <w:color w:val="auto"/>
          <w:lang w:val="en-US" w:eastAsia="zh-CN"/>
        </w:rPr>
      </w:pPr>
      <w:bookmarkStart w:id="55" w:name="_Toc26894"/>
      <w:r>
        <w:rPr>
          <w:rFonts w:hint="eastAsia" w:ascii="Arial" w:hAnsi="Arial" w:cs="Times New Roman"/>
          <w:b/>
          <w:color w:val="auto"/>
          <w:lang w:val="en-US" w:eastAsia="zh-CN"/>
        </w:rPr>
        <w:t>规划成果</w:t>
      </w:r>
      <w:bookmarkEnd w:id="55"/>
    </w:p>
    <w:p w14:paraId="4009C46F">
      <w:pPr>
        <w:bidi w:val="0"/>
        <w:rPr>
          <w:rFonts w:hint="eastAsia"/>
          <w:color w:val="auto"/>
        </w:rPr>
      </w:pPr>
      <w:r>
        <w:rPr>
          <w:rFonts w:hint="eastAsia"/>
          <w:color w:val="auto"/>
        </w:rPr>
        <w:t>本规划由文本、规划图件和说明书三部分组成。规划文本和图件具有同等的法律效力。说明书是对文本和图纸的补充和解释说明。</w:t>
      </w:r>
    </w:p>
    <w:p w14:paraId="1F8935F5">
      <w:pPr>
        <w:numPr>
          <w:ilvl w:val="0"/>
          <w:numId w:val="2"/>
        </w:numPr>
        <w:bidi w:val="0"/>
        <w:ind w:firstLine="0"/>
        <w:rPr>
          <w:rFonts w:hint="eastAsia" w:ascii="Arial" w:hAnsi="Arial" w:cs="Times New Roman"/>
          <w:b/>
          <w:color w:val="auto"/>
          <w:lang w:val="en-US" w:eastAsia="zh-CN"/>
        </w:rPr>
      </w:pPr>
      <w:bookmarkStart w:id="56" w:name="_Toc18955"/>
      <w:r>
        <w:rPr>
          <w:rFonts w:hint="eastAsia" w:ascii="Arial" w:hAnsi="Arial" w:cs="Times New Roman"/>
          <w:b/>
          <w:color w:val="auto"/>
          <w:lang w:val="en-US" w:eastAsia="zh-CN"/>
        </w:rPr>
        <w:t>法律效力</w:t>
      </w:r>
      <w:bookmarkEnd w:id="56"/>
    </w:p>
    <w:p w14:paraId="63C54B04">
      <w:pPr>
        <w:bidi w:val="0"/>
        <w:rPr>
          <w:rFonts w:hint="eastAsia" w:eastAsia="新宋体"/>
          <w:color w:val="auto"/>
          <w:lang w:eastAsia="zh-CN"/>
        </w:rPr>
        <w:sectPr>
          <w:footerReference r:id="rId3" w:type="default"/>
          <w:pgSz w:w="11906" w:h="16838"/>
          <w:pgMar w:top="1440" w:right="1800" w:bottom="1440" w:left="1800" w:header="851" w:footer="992" w:gutter="0"/>
          <w:pgNumType w:fmt="decimal" w:start="1"/>
          <w:cols w:space="425" w:num="1"/>
          <w:docGrid w:type="lines" w:linePitch="319" w:charSpace="0"/>
        </w:sectPr>
      </w:pPr>
      <w:r>
        <w:rPr>
          <w:rFonts w:hint="eastAsia"/>
          <w:color w:val="auto"/>
          <w:u w:val="single"/>
        </w:rPr>
        <w:t>本规划由</w:t>
      </w:r>
      <w:r>
        <w:rPr>
          <w:rFonts w:hint="eastAsia"/>
          <w:color w:val="auto"/>
          <w:u w:val="single"/>
          <w:lang w:eastAsia="zh-CN"/>
        </w:rPr>
        <w:t>曲靖市民政局</w:t>
      </w:r>
      <w:r>
        <w:rPr>
          <w:rFonts w:hint="eastAsia"/>
          <w:color w:val="auto"/>
          <w:u w:val="single"/>
        </w:rPr>
        <w:t>负责解释，如需对本规划进行修改调整</w:t>
      </w:r>
      <w:r>
        <w:rPr>
          <w:rFonts w:hint="eastAsia"/>
          <w:color w:val="auto"/>
          <w:u w:val="single"/>
          <w:lang w:eastAsia="zh-CN"/>
        </w:rPr>
        <w:t>，</w:t>
      </w:r>
      <w:r>
        <w:rPr>
          <w:rFonts w:hint="eastAsia"/>
          <w:color w:val="auto"/>
          <w:u w:val="single"/>
        </w:rPr>
        <w:t>应</w:t>
      </w:r>
      <w:r>
        <w:rPr>
          <w:rFonts w:hint="eastAsia"/>
          <w:color w:val="auto"/>
          <w:u w:val="single"/>
          <w:lang w:eastAsia="zh-CN"/>
        </w:rPr>
        <w:t>按照</w:t>
      </w:r>
      <w:r>
        <w:rPr>
          <w:rFonts w:hint="eastAsia"/>
          <w:color w:val="auto"/>
          <w:u w:val="single"/>
        </w:rPr>
        <w:t>《中华人民共和国城乡规划法》的有关规定</w:t>
      </w:r>
      <w:bookmarkStart w:id="57" w:name="_Toc16970"/>
      <w:r>
        <w:rPr>
          <w:rFonts w:hint="eastAsia"/>
          <w:color w:val="auto"/>
          <w:u w:val="single"/>
          <w:lang w:eastAsia="zh-CN"/>
        </w:rPr>
        <w:t>。</w:t>
      </w:r>
    </w:p>
    <w:bookmarkEnd w:id="57"/>
    <w:p w14:paraId="2586CC9B">
      <w:pPr>
        <w:pageBreakBefore w:val="0"/>
        <w:widowControl w:val="0"/>
        <w:numPr>
          <w:ilvl w:val="0"/>
          <w:numId w:val="0"/>
        </w:numPr>
        <w:kinsoku/>
        <w:wordWrap/>
        <w:overflowPunct/>
        <w:topLinePunct w:val="0"/>
        <w:autoSpaceDE/>
        <w:autoSpaceDN/>
        <w:bidi w:val="0"/>
        <w:adjustRightInd/>
        <w:snapToGrid/>
        <w:spacing w:before="0" w:beforeLines="0" w:after="0" w:afterLines="0"/>
        <w:ind w:firstLine="640" w:firstLineChars="200"/>
        <w:textAlignment w:val="auto"/>
        <w:rPr>
          <w:rFonts w:hint="default" w:ascii="方正黑体_GBK" w:hAnsi="方正黑体_GBK" w:eastAsia="方正黑体_GBK" w:cs="方正黑体_GBK"/>
          <w:b w:val="0"/>
          <w:bCs/>
          <w:sz w:val="32"/>
          <w:szCs w:val="32"/>
          <w:lang w:val="en-US" w:eastAsia="zh-CN"/>
        </w:rPr>
      </w:pPr>
      <w:r>
        <w:rPr>
          <w:rFonts w:hint="eastAsia" w:ascii="方正黑体_GBK" w:hAnsi="方正黑体_GBK" w:eastAsia="方正黑体_GBK" w:cs="方正黑体_GBK"/>
          <w:b w:val="0"/>
          <w:bCs/>
          <w:sz w:val="32"/>
          <w:szCs w:val="32"/>
          <w:lang w:val="en-US" w:eastAsia="zh-CN"/>
        </w:rPr>
        <w:t>十、附图</w:t>
      </w:r>
    </w:p>
    <w:p w14:paraId="0FCA23F3">
      <w:pPr>
        <w:pageBreakBefore w:val="0"/>
        <w:widowControl w:val="0"/>
        <w:kinsoku/>
        <w:wordWrap/>
        <w:overflowPunct/>
        <w:topLinePunct w:val="0"/>
        <w:autoSpaceDE/>
        <w:autoSpaceDN/>
        <w:bidi w:val="0"/>
        <w:adjustRightInd/>
        <w:snapToGrid/>
        <w:ind w:firstLine="640" w:firstLineChars="200"/>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1.中心城区公办机构养老设施规划图</w:t>
      </w:r>
    </w:p>
    <w:p w14:paraId="0F1AC4E8">
      <w:pPr>
        <w:pageBreakBefore w:val="0"/>
        <w:widowControl w:val="0"/>
        <w:kinsoku/>
        <w:wordWrap/>
        <w:overflowPunct/>
        <w:topLinePunct w:val="0"/>
        <w:autoSpaceDE/>
        <w:autoSpaceDN/>
        <w:bidi w:val="0"/>
        <w:adjustRightInd/>
        <w:snapToGrid/>
        <w:ind w:firstLine="640" w:firstLineChars="200"/>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2.中心城区公办机构养老设施规划图</w:t>
      </w:r>
    </w:p>
    <w:p w14:paraId="0D52F656">
      <w:pPr>
        <w:pageBreakBefore w:val="0"/>
        <w:widowControl w:val="0"/>
        <w:kinsoku/>
        <w:wordWrap/>
        <w:overflowPunct/>
        <w:topLinePunct w:val="0"/>
        <w:autoSpaceDE/>
        <w:autoSpaceDN/>
        <w:bidi w:val="0"/>
        <w:adjustRightInd/>
        <w:snapToGrid/>
        <w:ind w:firstLine="640" w:firstLineChars="200"/>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3.中心城区居家养老设施现状图</w:t>
      </w:r>
    </w:p>
    <w:p w14:paraId="210BDB58">
      <w:pPr>
        <w:pageBreakBefore w:val="0"/>
        <w:widowControl w:val="0"/>
        <w:kinsoku/>
        <w:wordWrap/>
        <w:overflowPunct/>
        <w:topLinePunct w:val="0"/>
        <w:autoSpaceDE/>
        <w:autoSpaceDN/>
        <w:bidi w:val="0"/>
        <w:adjustRightInd/>
        <w:snapToGrid/>
        <w:ind w:firstLine="640" w:firstLineChars="200"/>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4.中心城区居家养老设施规划图</w:t>
      </w:r>
    </w:p>
    <w:p w14:paraId="1BA7D953">
      <w:pPr>
        <w:pageBreakBefore w:val="0"/>
        <w:widowControl w:val="0"/>
        <w:kinsoku/>
        <w:wordWrap/>
        <w:overflowPunct/>
        <w:topLinePunct w:val="0"/>
        <w:autoSpaceDE/>
        <w:autoSpaceDN/>
        <w:bidi w:val="0"/>
        <w:adjustRightInd/>
        <w:snapToGrid/>
        <w:ind w:firstLine="640" w:firstLineChars="200"/>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5.麒麟区养老设施用地布局规划图</w:t>
      </w:r>
    </w:p>
    <w:p w14:paraId="660E42ED">
      <w:pPr>
        <w:pageBreakBefore w:val="0"/>
        <w:widowControl w:val="0"/>
        <w:kinsoku/>
        <w:wordWrap/>
        <w:overflowPunct/>
        <w:topLinePunct w:val="0"/>
        <w:autoSpaceDE/>
        <w:autoSpaceDN/>
        <w:bidi w:val="0"/>
        <w:adjustRightInd/>
        <w:snapToGrid/>
        <w:ind w:firstLine="640" w:firstLineChars="200"/>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6.沾益区养老设施用地布局规划图</w:t>
      </w:r>
    </w:p>
    <w:p w14:paraId="4D6EED05">
      <w:pPr>
        <w:pageBreakBefore w:val="0"/>
        <w:widowControl w:val="0"/>
        <w:kinsoku/>
        <w:wordWrap/>
        <w:overflowPunct/>
        <w:topLinePunct w:val="0"/>
        <w:autoSpaceDE/>
        <w:autoSpaceDN/>
        <w:bidi w:val="0"/>
        <w:adjustRightInd/>
        <w:snapToGrid/>
        <w:ind w:firstLine="640" w:firstLineChars="200"/>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7.经开区养老设施用地布局规划图</w:t>
      </w:r>
    </w:p>
    <w:p w14:paraId="79EE617D">
      <w:pPr>
        <w:pageBreakBefore w:val="0"/>
        <w:widowControl w:val="0"/>
        <w:kinsoku/>
        <w:wordWrap/>
        <w:overflowPunct/>
        <w:topLinePunct w:val="0"/>
        <w:autoSpaceDE/>
        <w:autoSpaceDN/>
        <w:bidi w:val="0"/>
        <w:adjustRightInd/>
        <w:snapToGrid/>
        <w:ind w:firstLine="640" w:firstLineChars="200"/>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8.马龙区养老设施用地布局规划图</w:t>
      </w:r>
    </w:p>
    <w:p w14:paraId="0FE86DB4">
      <w:pPr>
        <w:pageBreakBefore w:val="0"/>
        <w:widowControl w:val="0"/>
        <w:kinsoku/>
        <w:wordWrap/>
        <w:overflowPunct/>
        <w:topLinePunct w:val="0"/>
        <w:autoSpaceDE/>
        <w:autoSpaceDN/>
        <w:bidi w:val="0"/>
        <w:adjustRightInd/>
        <w:snapToGrid/>
        <w:ind w:firstLine="640" w:firstLineChars="200"/>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9.中心城区社会救助设施规划图</w:t>
      </w:r>
    </w:p>
    <w:p w14:paraId="3BE28AD4">
      <w:pPr>
        <w:pageBreakBefore w:val="0"/>
        <w:widowControl w:val="0"/>
        <w:kinsoku/>
        <w:wordWrap/>
        <w:overflowPunct/>
        <w:topLinePunct w:val="0"/>
        <w:autoSpaceDE/>
        <w:autoSpaceDN/>
        <w:bidi w:val="0"/>
        <w:adjustRightInd/>
        <w:snapToGrid/>
        <w:ind w:firstLine="640" w:firstLineChars="200"/>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10.中心城区社会救助设施用地规划图</w:t>
      </w:r>
    </w:p>
    <w:p w14:paraId="407C956D">
      <w:pPr>
        <w:pageBreakBefore w:val="0"/>
        <w:widowControl w:val="0"/>
        <w:kinsoku/>
        <w:wordWrap/>
        <w:overflowPunct/>
        <w:topLinePunct w:val="0"/>
        <w:autoSpaceDE/>
        <w:autoSpaceDN/>
        <w:bidi w:val="0"/>
        <w:adjustRightInd/>
        <w:snapToGrid/>
        <w:ind w:firstLine="640" w:firstLineChars="200"/>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11.中心城区儿童福利设施用地布局规划图</w:t>
      </w:r>
    </w:p>
    <w:p w14:paraId="593BB081">
      <w:pPr>
        <w:pageBreakBefore w:val="0"/>
        <w:widowControl w:val="0"/>
        <w:kinsoku/>
        <w:wordWrap/>
        <w:overflowPunct/>
        <w:topLinePunct w:val="0"/>
        <w:autoSpaceDE/>
        <w:autoSpaceDN/>
        <w:bidi w:val="0"/>
        <w:adjustRightInd/>
        <w:snapToGrid/>
        <w:ind w:firstLine="640" w:firstLineChars="200"/>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12.中心城区殡葬设施规划图</w:t>
      </w:r>
    </w:p>
    <w:p w14:paraId="4FEE997B">
      <w:pPr>
        <w:pageBreakBefore w:val="0"/>
        <w:widowControl w:val="0"/>
        <w:kinsoku/>
        <w:wordWrap/>
        <w:overflowPunct/>
        <w:topLinePunct w:val="0"/>
        <w:autoSpaceDE/>
        <w:autoSpaceDN/>
        <w:bidi w:val="0"/>
        <w:adjustRightInd/>
        <w:snapToGrid/>
        <w:spacing w:before="0" w:beforeLines="0" w:after="0" w:afterLines="0"/>
        <w:ind w:firstLine="420" w:firstLineChars="200"/>
        <w:textAlignment w:val="auto"/>
      </w:pPr>
    </w:p>
    <w:p w14:paraId="779B428C">
      <w:pPr>
        <w:pageBreakBefore w:val="0"/>
        <w:widowControl w:val="0"/>
        <w:kinsoku/>
        <w:wordWrap/>
        <w:overflowPunct/>
        <w:topLinePunct w:val="0"/>
        <w:autoSpaceDE/>
        <w:autoSpaceDN/>
        <w:bidi w:val="0"/>
        <w:adjustRightInd/>
        <w:snapToGrid/>
        <w:ind w:firstLine="420" w:firstLineChars="200"/>
        <w:textAlignment w:val="auto"/>
      </w:pPr>
    </w:p>
    <w:p w14:paraId="1A05C884"/>
    <w:p w14:paraId="6C1B61C1">
      <w:pPr>
        <w:rPr>
          <w:rFonts w:hint="eastAsia" w:eastAsia="宋体"/>
          <w:lang w:eastAsia="zh-CN"/>
        </w:rPr>
        <w:sectPr>
          <w:footerReference r:id="rId4" w:type="default"/>
          <w:pgSz w:w="11906" w:h="16838"/>
          <w:pgMar w:top="1440" w:right="1080" w:bottom="1440" w:left="1080" w:header="851" w:footer="992" w:gutter="0"/>
          <w:pgNumType w:fmt="decimal"/>
          <w:cols w:space="425" w:num="1"/>
          <w:docGrid w:type="lines" w:linePitch="312" w:charSpace="0"/>
        </w:sectPr>
      </w:pPr>
    </w:p>
    <w:p w14:paraId="24E1F4D5">
      <w:pPr>
        <w:rPr>
          <w:rFonts w:hint="eastAsia" w:eastAsia="宋体"/>
          <w:lang w:eastAsia="zh-CN"/>
        </w:rPr>
      </w:pPr>
      <w:r>
        <w:rPr>
          <w:rFonts w:hint="eastAsia" w:eastAsia="宋体"/>
          <w:lang w:eastAsia="zh-CN"/>
        </w:rPr>
        <w:drawing>
          <wp:inline distT="0" distB="0" distL="114300" distR="114300">
            <wp:extent cx="15095855" cy="10661650"/>
            <wp:effectExtent l="0" t="0" r="10795" b="6350"/>
            <wp:docPr id="7" name="图片 7" descr="02中心城区公办机构养老设施现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2中心城区公办机构养老设施现状图"/>
                    <pic:cNvPicPr>
                      <a:picLocks noChangeAspect="1"/>
                    </pic:cNvPicPr>
                  </pic:nvPicPr>
                  <pic:blipFill>
                    <a:blip r:embed="rId6"/>
                    <a:stretch>
                      <a:fillRect/>
                    </a:stretch>
                  </pic:blipFill>
                  <pic:spPr>
                    <a:xfrm>
                      <a:off x="0" y="0"/>
                      <a:ext cx="15095855" cy="10661650"/>
                    </a:xfrm>
                    <a:prstGeom prst="rect">
                      <a:avLst/>
                    </a:prstGeom>
                  </pic:spPr>
                </pic:pic>
              </a:graphicData>
            </a:graphic>
          </wp:inline>
        </w:drawing>
      </w:r>
    </w:p>
    <w:p w14:paraId="4A8B1903">
      <w:pPr>
        <w:ind w:left="0" w:leftChars="0" w:firstLine="0" w:firstLineChars="0"/>
        <w:rPr>
          <w:rFonts w:hint="eastAsia" w:eastAsiaTheme="minorEastAsia"/>
          <w:lang w:eastAsia="zh-CN"/>
        </w:rPr>
      </w:pPr>
      <w:r>
        <w:rPr>
          <w:rFonts w:hint="eastAsia" w:eastAsiaTheme="minorEastAsia"/>
          <w:lang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-9401810</wp:posOffset>
            </wp:positionV>
            <wp:extent cx="15130780" cy="10687050"/>
            <wp:effectExtent l="0" t="0" r="13970" b="0"/>
            <wp:wrapTopAndBottom/>
            <wp:docPr id="8" name="图片 8" descr="03中心城区公办机构养老设施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3中心城区公办机构养老设施规划图"/>
                    <pic:cNvPicPr>
                      <a:picLocks noChangeAspect="1"/>
                    </pic:cNvPicPr>
                  </pic:nvPicPr>
                  <pic:blipFill>
                    <a:blip r:embed="rId7"/>
                    <a:stretch>
                      <a:fillRect/>
                    </a:stretch>
                  </pic:blipFill>
                  <pic:spPr>
                    <a:xfrm>
                      <a:off x="0" y="0"/>
                      <a:ext cx="15130780" cy="10687050"/>
                    </a:xfrm>
                    <a:prstGeom prst="rect">
                      <a:avLst/>
                    </a:prstGeom>
                  </pic:spPr>
                </pic:pic>
              </a:graphicData>
            </a:graphic>
          </wp:anchor>
        </w:drawing>
      </w:r>
    </w:p>
    <w:p w14:paraId="54D88CBB">
      <w:pPr>
        <w:rPr>
          <w:rFonts w:hint="eastAsia"/>
          <w:lang w:eastAsia="zh-CN"/>
        </w:rPr>
      </w:pPr>
      <w:r>
        <w:rPr>
          <w:rFonts w:hint="eastAsia"/>
          <w:lang w:eastAsia="zh-CN"/>
        </w:rPr>
        <w:drawing>
          <wp:inline distT="0" distB="0" distL="114300" distR="114300">
            <wp:extent cx="15086330" cy="10655300"/>
            <wp:effectExtent l="0" t="0" r="1270" b="12700"/>
            <wp:docPr id="9" name="图片 9" descr="04-中心城区居家养老设施现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04-中心城区居家养老设施现状图"/>
                    <pic:cNvPicPr>
                      <a:picLocks noChangeAspect="1"/>
                    </pic:cNvPicPr>
                  </pic:nvPicPr>
                  <pic:blipFill>
                    <a:blip r:embed="rId8"/>
                    <a:stretch>
                      <a:fillRect/>
                    </a:stretch>
                  </pic:blipFill>
                  <pic:spPr>
                    <a:xfrm>
                      <a:off x="0" y="0"/>
                      <a:ext cx="15086330" cy="10655300"/>
                    </a:xfrm>
                    <a:prstGeom prst="rect">
                      <a:avLst/>
                    </a:prstGeom>
                  </pic:spPr>
                </pic:pic>
              </a:graphicData>
            </a:graphic>
          </wp:inline>
        </w:drawing>
      </w:r>
    </w:p>
    <w:p w14:paraId="7BA96317">
      <w:pPr>
        <w:ind w:left="0" w:leftChars="0" w:firstLine="0" w:firstLineChars="0"/>
        <w:rPr>
          <w:rFonts w:hint="eastAsia"/>
          <w:lang w:eastAsia="zh-CN"/>
        </w:rPr>
      </w:pPr>
      <w:r>
        <w:rPr>
          <w:rFonts w:hint="eastAsia"/>
          <w:lang w:eastAsia="zh-CN"/>
        </w:rPr>
        <w:drawing>
          <wp:anchor distT="0" distB="0" distL="114300" distR="114300" simplePos="0" relativeHeight="251660288" behindDoc="0" locked="0" layoutInCell="1" allowOverlap="1">
            <wp:simplePos x="0" y="0"/>
            <wp:positionH relativeFrom="column">
              <wp:posOffset>0</wp:posOffset>
            </wp:positionH>
            <wp:positionV relativeFrom="paragraph">
              <wp:posOffset>-9401810</wp:posOffset>
            </wp:positionV>
            <wp:extent cx="15108555" cy="10671175"/>
            <wp:effectExtent l="0" t="0" r="17145" b="15875"/>
            <wp:wrapTopAndBottom/>
            <wp:docPr id="10" name="图片 10" descr="05-中心城区居家养老设施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05-中心城区居家养老设施规划图"/>
                    <pic:cNvPicPr>
                      <a:picLocks noChangeAspect="1"/>
                    </pic:cNvPicPr>
                  </pic:nvPicPr>
                  <pic:blipFill>
                    <a:blip r:embed="rId8"/>
                    <a:stretch>
                      <a:fillRect/>
                    </a:stretch>
                  </pic:blipFill>
                  <pic:spPr>
                    <a:xfrm>
                      <a:off x="0" y="0"/>
                      <a:ext cx="15108555" cy="10671175"/>
                    </a:xfrm>
                    <a:prstGeom prst="rect">
                      <a:avLst/>
                    </a:prstGeom>
                  </pic:spPr>
                </pic:pic>
              </a:graphicData>
            </a:graphic>
          </wp:anchor>
        </w:drawing>
      </w:r>
    </w:p>
    <w:p w14:paraId="05DE57BF">
      <w:pPr>
        <w:ind w:left="0" w:leftChars="0" w:firstLine="0" w:firstLineChars="0"/>
        <w:rPr>
          <w:rFonts w:hint="eastAsia"/>
          <w:lang w:eastAsia="zh-CN"/>
        </w:rPr>
      </w:pPr>
      <w:r>
        <w:rPr>
          <w:rFonts w:hint="eastAsia"/>
          <w:lang w:eastAsia="zh-CN"/>
        </w:rPr>
        <w:drawing>
          <wp:anchor distT="0" distB="0" distL="114300" distR="114300" simplePos="0" relativeHeight="251661312" behindDoc="0" locked="0" layoutInCell="1" allowOverlap="1">
            <wp:simplePos x="0" y="0"/>
            <wp:positionH relativeFrom="column">
              <wp:posOffset>0</wp:posOffset>
            </wp:positionH>
            <wp:positionV relativeFrom="paragraph">
              <wp:posOffset>-9401810</wp:posOffset>
            </wp:positionV>
            <wp:extent cx="15098395" cy="10664190"/>
            <wp:effectExtent l="0" t="0" r="8255" b="3810"/>
            <wp:wrapTopAndBottom/>
            <wp:docPr id="11" name="图片 11" descr="06-麒麟区养老设施用地布局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6-麒麟区养老设施用地布局规划图"/>
                    <pic:cNvPicPr>
                      <a:picLocks noChangeAspect="1"/>
                    </pic:cNvPicPr>
                  </pic:nvPicPr>
                  <pic:blipFill>
                    <a:blip r:embed="rId8"/>
                    <a:stretch>
                      <a:fillRect/>
                    </a:stretch>
                  </pic:blipFill>
                  <pic:spPr>
                    <a:xfrm>
                      <a:off x="0" y="0"/>
                      <a:ext cx="15098395" cy="10664190"/>
                    </a:xfrm>
                    <a:prstGeom prst="rect">
                      <a:avLst/>
                    </a:prstGeom>
                  </pic:spPr>
                </pic:pic>
              </a:graphicData>
            </a:graphic>
          </wp:anchor>
        </w:drawing>
      </w:r>
    </w:p>
    <w:p w14:paraId="426FC8BB">
      <w:pPr>
        <w:rPr>
          <w:rFonts w:hint="eastAsia"/>
          <w:lang w:eastAsia="zh-CN"/>
        </w:rPr>
      </w:pPr>
      <w:r>
        <w:rPr>
          <w:rFonts w:hint="eastAsia"/>
          <w:lang w:eastAsia="zh-CN"/>
        </w:rPr>
        <w:drawing>
          <wp:inline distT="0" distB="0" distL="114300" distR="114300">
            <wp:extent cx="15079980" cy="10650855"/>
            <wp:effectExtent l="0" t="0" r="7620" b="17145"/>
            <wp:docPr id="12" name="图片 12" descr="07-沾益区养老设施用地布局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07-沾益区养老设施用地布局规划图"/>
                    <pic:cNvPicPr>
                      <a:picLocks noChangeAspect="1"/>
                    </pic:cNvPicPr>
                  </pic:nvPicPr>
                  <pic:blipFill>
                    <a:blip r:embed="rId9"/>
                    <a:stretch>
                      <a:fillRect/>
                    </a:stretch>
                  </pic:blipFill>
                  <pic:spPr>
                    <a:xfrm>
                      <a:off x="0" y="0"/>
                      <a:ext cx="15079980" cy="10650855"/>
                    </a:xfrm>
                    <a:prstGeom prst="rect">
                      <a:avLst/>
                    </a:prstGeom>
                  </pic:spPr>
                </pic:pic>
              </a:graphicData>
            </a:graphic>
          </wp:inline>
        </w:drawing>
      </w:r>
    </w:p>
    <w:p w14:paraId="67B48353">
      <w:pPr>
        <w:ind w:left="0" w:leftChars="0" w:firstLine="0" w:firstLineChars="0"/>
        <w:rPr>
          <w:rFonts w:hint="eastAsia"/>
          <w:lang w:eastAsia="zh-CN"/>
        </w:rPr>
      </w:pPr>
      <w:r>
        <w:rPr>
          <w:rFonts w:hint="eastAsia"/>
          <w:lang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-9401810</wp:posOffset>
            </wp:positionV>
            <wp:extent cx="15086330" cy="10655300"/>
            <wp:effectExtent l="0" t="0" r="1270" b="12700"/>
            <wp:wrapTopAndBottom/>
            <wp:docPr id="13" name="图片 13" descr="08-经开区养老设施用地布局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08-经开区养老设施用地布局规划图"/>
                    <pic:cNvPicPr>
                      <a:picLocks noChangeAspect="1"/>
                    </pic:cNvPicPr>
                  </pic:nvPicPr>
                  <pic:blipFill>
                    <a:blip r:embed="rId10"/>
                    <a:stretch>
                      <a:fillRect/>
                    </a:stretch>
                  </pic:blipFill>
                  <pic:spPr>
                    <a:xfrm>
                      <a:off x="0" y="0"/>
                      <a:ext cx="15086330" cy="10655300"/>
                    </a:xfrm>
                    <a:prstGeom prst="rect">
                      <a:avLst/>
                    </a:prstGeom>
                  </pic:spPr>
                </pic:pic>
              </a:graphicData>
            </a:graphic>
          </wp:anchor>
        </w:drawing>
      </w:r>
    </w:p>
    <w:p w14:paraId="59F9AA91">
      <w:pPr>
        <w:ind w:left="0" w:leftChars="0" w:firstLine="0" w:firstLineChars="0"/>
        <w:rPr>
          <w:rFonts w:hint="eastAsia"/>
          <w:lang w:eastAsia="zh-CN"/>
        </w:rPr>
      </w:pPr>
      <w:r>
        <w:rPr>
          <w:rFonts w:hint="eastAsia"/>
          <w:lang w:eastAsia="zh-CN"/>
        </w:rPr>
        <w:drawing>
          <wp:anchor distT="0" distB="0" distL="114300" distR="114300" simplePos="0" relativeHeight="251663360" behindDoc="0" locked="0" layoutInCell="1" allowOverlap="1">
            <wp:simplePos x="0" y="0"/>
            <wp:positionH relativeFrom="column">
              <wp:posOffset>0</wp:posOffset>
            </wp:positionH>
            <wp:positionV relativeFrom="paragraph">
              <wp:posOffset>-9401810</wp:posOffset>
            </wp:positionV>
            <wp:extent cx="15107285" cy="10670540"/>
            <wp:effectExtent l="0" t="0" r="18415" b="16510"/>
            <wp:wrapTopAndBottom/>
            <wp:docPr id="14" name="图片 14" descr="09-马龙区养老设施用地布局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09-马龙区养老设施用地布局规划图"/>
                    <pic:cNvPicPr>
                      <a:picLocks noChangeAspect="1"/>
                    </pic:cNvPicPr>
                  </pic:nvPicPr>
                  <pic:blipFill>
                    <a:blip r:embed="rId11"/>
                    <a:stretch>
                      <a:fillRect/>
                    </a:stretch>
                  </pic:blipFill>
                  <pic:spPr>
                    <a:xfrm>
                      <a:off x="0" y="0"/>
                      <a:ext cx="15107285" cy="10670540"/>
                    </a:xfrm>
                    <a:prstGeom prst="rect">
                      <a:avLst/>
                    </a:prstGeom>
                  </pic:spPr>
                </pic:pic>
              </a:graphicData>
            </a:graphic>
          </wp:anchor>
        </w:drawing>
      </w:r>
    </w:p>
    <w:p w14:paraId="7E01E30D">
      <w:pPr>
        <w:ind w:left="0" w:leftChars="0" w:firstLine="0" w:firstLineChars="0"/>
        <w:rPr>
          <w:rFonts w:hint="eastAsia"/>
          <w:lang w:eastAsia="zh-CN"/>
        </w:rPr>
      </w:pPr>
      <w:r>
        <w:rPr>
          <w:rFonts w:hint="eastAsia"/>
          <w:lang w:eastAsia="zh-CN"/>
        </w:rPr>
        <w:drawing>
          <wp:anchor distT="0" distB="0" distL="114300" distR="114300" simplePos="0" relativeHeight="251664384" behindDoc="0" locked="0" layoutInCell="1" allowOverlap="1">
            <wp:simplePos x="0" y="0"/>
            <wp:positionH relativeFrom="column">
              <wp:posOffset>0</wp:posOffset>
            </wp:positionH>
            <wp:positionV relativeFrom="paragraph">
              <wp:posOffset>-9401810</wp:posOffset>
            </wp:positionV>
            <wp:extent cx="15086330" cy="10655300"/>
            <wp:effectExtent l="0" t="0" r="1270" b="12700"/>
            <wp:wrapTopAndBottom/>
            <wp:docPr id="15" name="图片 15" descr="10-中心城区社会救助设施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0-中心城区社会救助设施规划图"/>
                    <pic:cNvPicPr>
                      <a:picLocks noChangeAspect="1"/>
                    </pic:cNvPicPr>
                  </pic:nvPicPr>
                  <pic:blipFill>
                    <a:blip r:embed="rId12"/>
                    <a:stretch>
                      <a:fillRect/>
                    </a:stretch>
                  </pic:blipFill>
                  <pic:spPr>
                    <a:xfrm>
                      <a:off x="0" y="0"/>
                      <a:ext cx="15086330" cy="10655300"/>
                    </a:xfrm>
                    <a:prstGeom prst="rect">
                      <a:avLst/>
                    </a:prstGeom>
                  </pic:spPr>
                </pic:pic>
              </a:graphicData>
            </a:graphic>
          </wp:anchor>
        </w:drawing>
      </w:r>
    </w:p>
    <w:p w14:paraId="1ED22970">
      <w:pPr>
        <w:ind w:left="0" w:leftChars="0" w:firstLine="0" w:firstLineChars="0"/>
        <w:rPr>
          <w:rFonts w:hint="eastAsia"/>
          <w:lang w:eastAsia="zh-CN"/>
        </w:rPr>
      </w:pPr>
      <w:r>
        <w:rPr>
          <w:rFonts w:hint="eastAsia"/>
          <w:lang w:eastAsia="zh-CN"/>
        </w:rPr>
        <w:drawing>
          <wp:anchor distT="0" distB="0" distL="114300" distR="114300" simplePos="0" relativeHeight="251665408" behindDoc="0" locked="0" layoutInCell="1" allowOverlap="1">
            <wp:simplePos x="0" y="0"/>
            <wp:positionH relativeFrom="column">
              <wp:posOffset>0</wp:posOffset>
            </wp:positionH>
            <wp:positionV relativeFrom="paragraph">
              <wp:posOffset>-9401810</wp:posOffset>
            </wp:positionV>
            <wp:extent cx="15108555" cy="10671175"/>
            <wp:effectExtent l="0" t="0" r="17145" b="15875"/>
            <wp:wrapTopAndBottom/>
            <wp:docPr id="16" name="图片 16" descr="11-中心城区社会救助设施用地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1-中心城区社会救助设施用地规划图"/>
                    <pic:cNvPicPr>
                      <a:picLocks noChangeAspect="1"/>
                    </pic:cNvPicPr>
                  </pic:nvPicPr>
                  <pic:blipFill>
                    <a:blip r:embed="rId13"/>
                    <a:stretch>
                      <a:fillRect/>
                    </a:stretch>
                  </pic:blipFill>
                  <pic:spPr>
                    <a:xfrm>
                      <a:off x="0" y="0"/>
                      <a:ext cx="15108555" cy="10671175"/>
                    </a:xfrm>
                    <a:prstGeom prst="rect">
                      <a:avLst/>
                    </a:prstGeom>
                  </pic:spPr>
                </pic:pic>
              </a:graphicData>
            </a:graphic>
          </wp:anchor>
        </w:drawing>
      </w:r>
    </w:p>
    <w:p w14:paraId="3535A0C1">
      <w:pPr>
        <w:ind w:left="0" w:leftChars="0" w:firstLine="0" w:firstLineChars="0"/>
        <w:rPr>
          <w:rFonts w:hint="eastAsia"/>
          <w:lang w:eastAsia="zh-CN"/>
        </w:rPr>
      </w:pPr>
      <w:r>
        <w:rPr>
          <w:rFonts w:hint="eastAsia"/>
          <w:lang w:eastAsia="zh-CN"/>
        </w:rPr>
        <w:drawing>
          <wp:anchor distT="0" distB="0" distL="114300" distR="114300" simplePos="0" relativeHeight="251666432" behindDoc="0" locked="0" layoutInCell="1" allowOverlap="1">
            <wp:simplePos x="0" y="0"/>
            <wp:positionH relativeFrom="column">
              <wp:posOffset>0</wp:posOffset>
            </wp:positionH>
            <wp:positionV relativeFrom="paragraph">
              <wp:posOffset>-9401810</wp:posOffset>
            </wp:positionV>
            <wp:extent cx="15079980" cy="10650855"/>
            <wp:effectExtent l="0" t="0" r="7620" b="17145"/>
            <wp:wrapTopAndBottom/>
            <wp:docPr id="17" name="图片 17" descr="12-中心城区儿童福利设施用地布局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2-中心城区儿童福利设施用地布局规划图"/>
                    <pic:cNvPicPr>
                      <a:picLocks noChangeAspect="1"/>
                    </pic:cNvPicPr>
                  </pic:nvPicPr>
                  <pic:blipFill>
                    <a:blip r:embed="rId14"/>
                    <a:stretch>
                      <a:fillRect/>
                    </a:stretch>
                  </pic:blipFill>
                  <pic:spPr>
                    <a:xfrm>
                      <a:off x="0" y="0"/>
                      <a:ext cx="15079980" cy="10650855"/>
                    </a:xfrm>
                    <a:prstGeom prst="rect">
                      <a:avLst/>
                    </a:prstGeom>
                  </pic:spPr>
                </pic:pic>
              </a:graphicData>
            </a:graphic>
          </wp:anchor>
        </w:drawing>
      </w:r>
    </w:p>
    <w:p w14:paraId="78F8E8C5">
      <w:pPr>
        <w:ind w:left="0" w:leftChars="0" w:firstLine="0" w:firstLineChars="0"/>
        <w:rPr>
          <w:rFonts w:hint="eastAsia"/>
          <w:lang w:eastAsia="zh-CN"/>
        </w:rPr>
      </w:pPr>
      <w:r>
        <w:rPr>
          <w:rFonts w:hint="eastAsia"/>
          <w:lang w:eastAsia="zh-CN"/>
        </w:rPr>
        <w:drawing>
          <wp:anchor distT="0" distB="0" distL="114300" distR="114300" simplePos="0" relativeHeight="251667456" behindDoc="0" locked="0" layoutInCell="1" allowOverlap="1">
            <wp:simplePos x="0" y="0"/>
            <wp:positionH relativeFrom="column">
              <wp:posOffset>0</wp:posOffset>
            </wp:positionH>
            <wp:positionV relativeFrom="paragraph">
              <wp:posOffset>-9401810</wp:posOffset>
            </wp:positionV>
            <wp:extent cx="15130780" cy="10687050"/>
            <wp:effectExtent l="0" t="0" r="13970" b="0"/>
            <wp:wrapTopAndBottom/>
            <wp:docPr id="18" name="图片 18" descr="13-中心城区殡葬设施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3-中心城区殡葬设施规划图"/>
                    <pic:cNvPicPr>
                      <a:picLocks noChangeAspect="1"/>
                    </pic:cNvPicPr>
                  </pic:nvPicPr>
                  <pic:blipFill>
                    <a:blip r:embed="rId15"/>
                    <a:stretch>
                      <a:fillRect/>
                    </a:stretch>
                  </pic:blipFill>
                  <pic:spPr>
                    <a:xfrm>
                      <a:off x="0" y="0"/>
                      <a:ext cx="15130780" cy="10687050"/>
                    </a:xfrm>
                    <a:prstGeom prst="rect">
                      <a:avLst/>
                    </a:prstGeom>
                  </pic:spPr>
                </pic:pic>
              </a:graphicData>
            </a:graphic>
          </wp:anchor>
        </w:drawing>
      </w:r>
    </w:p>
    <w:sectPr>
      <w:pgSz w:w="23811" w:h="16838" w:orient="landscape"/>
      <w:pgMar w:top="0" w:right="0" w:bottom="0" w:left="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仿宋_GBK">
    <w:altName w:val="Arial Unicode MS"/>
    <w:panose1 w:val="02000000000000000000"/>
    <w:charset w:val="86"/>
    <w:family w:val="auto"/>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altName w:val="Arial Unicode MS"/>
    <w:panose1 w:val="02000000000000000000"/>
    <w:charset w:val="86"/>
    <w:family w:val="auto"/>
    <w:pitch w:val="default"/>
    <w:sig w:usb0="00000000" w:usb1="00000000" w:usb2="00000000" w:usb3="00000000" w:csb0="00040000" w:csb1="00000000"/>
  </w:font>
  <w:font w:name="KSOF51D5AD36">
    <w:panose1 w:val="020B0604020202020204"/>
    <w:charset w:val="86"/>
    <w:family w:val="auto"/>
    <w:pitch w:val="default"/>
    <w:sig w:usb0="00000001" w:usb1="00000000" w:usb2="00000000" w:usb3="00000000" w:csb0="00040001" w:csb1="00000000"/>
  </w:font>
  <w:font w:name="KSOFABDC8F89">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9B135">
    <w:pPr>
      <w:ind w:firstLine="360"/>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5E7D4E">
                          <w:pPr>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365E7D4E">
                    <w:pPr>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9A9B7">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6A3FE6">
                          <w:pPr>
                            <w:rPr>
                              <w:rFonts w:hint="eastAsia" w:eastAsiaTheme="minorEastAsia"/>
                              <w:sz w:val="28"/>
                              <w:szCs w:val="28"/>
                              <w:lang w:eastAsia="zh-CN"/>
                            </w:rPr>
                          </w:pP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r>
                            <w:rPr>
                              <w:rFonts w:hint="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B6A3FE6">
                    <w:pPr>
                      <w:rPr>
                        <w:rFonts w:hint="eastAsia" w:eastAsiaTheme="minorEastAsia"/>
                        <w:sz w:val="28"/>
                        <w:szCs w:val="28"/>
                        <w:lang w:eastAsia="zh-CN"/>
                      </w:rPr>
                    </w:pPr>
                    <w:r>
                      <w:rPr>
                        <w:rFonts w:hint="eastAsia"/>
                        <w:sz w:val="28"/>
                        <w:szCs w:val="28"/>
                        <w:lang w:eastAsia="zh-CN"/>
                      </w:rPr>
                      <w:t xml:space="preserve">— </w:t>
                    </w: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1</w:t>
                    </w:r>
                    <w:r>
                      <w:rPr>
                        <w:rFonts w:hint="eastAsia"/>
                        <w:sz w:val="28"/>
                        <w:szCs w:val="28"/>
                        <w:lang w:eastAsia="zh-CN"/>
                      </w:rPr>
                      <w:fldChar w:fldCharType="end"/>
                    </w:r>
                    <w:r>
                      <w:rPr>
                        <w:rFonts w:hint="eastAsia"/>
                        <w:sz w:val="28"/>
                        <w:szCs w:val="28"/>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2E0298"/>
    <w:multiLevelType w:val="singleLevel"/>
    <w:tmpl w:val="852E0298"/>
    <w:lvl w:ilvl="0" w:tentative="0">
      <w:start w:val="1"/>
      <w:numFmt w:val="decimal"/>
      <w:suff w:val="space"/>
      <w:lvlText w:val="%1."/>
      <w:lvlJc w:val="left"/>
    </w:lvl>
  </w:abstractNum>
  <w:abstractNum w:abstractNumId="1">
    <w:nsid w:val="9A4AB931"/>
    <w:multiLevelType w:val="singleLevel"/>
    <w:tmpl w:val="9A4AB931"/>
    <w:lvl w:ilvl="0" w:tentative="0">
      <w:start w:val="1"/>
      <w:numFmt w:val="decimal"/>
      <w:suff w:val="space"/>
      <w:lvlText w:val="%1."/>
      <w:lvlJc w:val="left"/>
    </w:lvl>
  </w:abstractNum>
  <w:abstractNum w:abstractNumId="2">
    <w:nsid w:val="A578BD32"/>
    <w:multiLevelType w:val="singleLevel"/>
    <w:tmpl w:val="A578BD32"/>
    <w:lvl w:ilvl="0" w:tentative="0">
      <w:start w:val="1"/>
      <w:numFmt w:val="decimal"/>
      <w:suff w:val="space"/>
      <w:lvlText w:val="%1."/>
      <w:lvlJc w:val="left"/>
    </w:lvl>
  </w:abstractNum>
  <w:abstractNum w:abstractNumId="3">
    <w:nsid w:val="A6E093F8"/>
    <w:multiLevelType w:val="singleLevel"/>
    <w:tmpl w:val="A6E093F8"/>
    <w:lvl w:ilvl="0" w:tentative="0">
      <w:start w:val="1"/>
      <w:numFmt w:val="chineseCounting"/>
      <w:suff w:val="space"/>
      <w:lvlText w:val="第%1条"/>
      <w:lvlJc w:val="left"/>
      <w:rPr>
        <w:rFonts w:hint="eastAsia"/>
      </w:rPr>
    </w:lvl>
  </w:abstractNum>
  <w:abstractNum w:abstractNumId="4">
    <w:nsid w:val="B2F204AB"/>
    <w:multiLevelType w:val="singleLevel"/>
    <w:tmpl w:val="B2F204AB"/>
    <w:lvl w:ilvl="0" w:tentative="0">
      <w:start w:val="1"/>
      <w:numFmt w:val="chineseCounting"/>
      <w:suff w:val="space"/>
      <w:lvlText w:val="第%1章"/>
      <w:lvlJc w:val="left"/>
      <w:pPr>
        <w:ind w:left="0" w:firstLine="0"/>
      </w:pPr>
      <w:rPr>
        <w:rFonts w:hint="eastAsia"/>
      </w:rPr>
    </w:lvl>
  </w:abstractNum>
  <w:abstractNum w:abstractNumId="5">
    <w:nsid w:val="048C276C"/>
    <w:multiLevelType w:val="singleLevel"/>
    <w:tmpl w:val="048C276C"/>
    <w:lvl w:ilvl="0" w:tentative="0">
      <w:start w:val="1"/>
      <w:numFmt w:val="decimal"/>
      <w:suff w:val="space"/>
      <w:lvlText w:val="%1."/>
      <w:lvlJc w:val="left"/>
    </w:lvl>
  </w:abstractNum>
  <w:abstractNum w:abstractNumId="6">
    <w:nsid w:val="1862155D"/>
    <w:multiLevelType w:val="singleLevel"/>
    <w:tmpl w:val="1862155D"/>
    <w:lvl w:ilvl="0" w:tentative="0">
      <w:start w:val="1"/>
      <w:numFmt w:val="decimal"/>
      <w:suff w:val="space"/>
      <w:lvlText w:val="%1."/>
      <w:lvlJc w:val="left"/>
    </w:lvl>
  </w:abstractNum>
  <w:abstractNum w:abstractNumId="7">
    <w:nsid w:val="20681050"/>
    <w:multiLevelType w:val="singleLevel"/>
    <w:tmpl w:val="20681050"/>
    <w:lvl w:ilvl="0" w:tentative="0">
      <w:start w:val="1"/>
      <w:numFmt w:val="decimal"/>
      <w:suff w:val="space"/>
      <w:lvlText w:val="%1."/>
      <w:lvlJc w:val="left"/>
    </w:lvl>
  </w:abstractNum>
  <w:abstractNum w:abstractNumId="8">
    <w:nsid w:val="3FDDF43E"/>
    <w:multiLevelType w:val="singleLevel"/>
    <w:tmpl w:val="3FDDF43E"/>
    <w:lvl w:ilvl="0" w:tentative="0">
      <w:start w:val="1"/>
      <w:numFmt w:val="decimal"/>
      <w:suff w:val="space"/>
      <w:lvlText w:val="%1."/>
      <w:lvlJc w:val="left"/>
    </w:lvl>
  </w:abstractNum>
  <w:abstractNum w:abstractNumId="9">
    <w:nsid w:val="432D6B49"/>
    <w:multiLevelType w:val="singleLevel"/>
    <w:tmpl w:val="432D6B49"/>
    <w:lvl w:ilvl="0" w:tentative="0">
      <w:start w:val="1"/>
      <w:numFmt w:val="decimal"/>
      <w:suff w:val="space"/>
      <w:lvlText w:val="%1."/>
      <w:lvlJc w:val="left"/>
    </w:lvl>
  </w:abstractNum>
  <w:abstractNum w:abstractNumId="10">
    <w:nsid w:val="4B3714D6"/>
    <w:multiLevelType w:val="singleLevel"/>
    <w:tmpl w:val="4B3714D6"/>
    <w:lvl w:ilvl="0" w:tentative="0">
      <w:start w:val="1"/>
      <w:numFmt w:val="decimal"/>
      <w:suff w:val="space"/>
      <w:lvlText w:val="%1."/>
      <w:lvlJc w:val="left"/>
    </w:lvl>
  </w:abstractNum>
  <w:num w:numId="1">
    <w:abstractNumId w:val="4"/>
  </w:num>
  <w:num w:numId="2">
    <w:abstractNumId w:val="3"/>
  </w:num>
  <w:num w:numId="3">
    <w:abstractNumId w:val="8"/>
  </w:num>
  <w:num w:numId="4">
    <w:abstractNumId w:val="7"/>
  </w:num>
  <w:num w:numId="5">
    <w:abstractNumId w:val="9"/>
  </w:num>
  <w:num w:numId="6">
    <w:abstractNumId w:val="6"/>
  </w:num>
  <w:num w:numId="7">
    <w:abstractNumId w:val="10"/>
  </w:num>
  <w:num w:numId="8">
    <w:abstractNumId w:val="0"/>
  </w:num>
  <w:num w:numId="9">
    <w:abstractNumId w:val="5"/>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zZGY3ODNiOWJhNzRlMTU2NzVkY2Y0NzkyYjBkOGQifQ=="/>
  </w:docVars>
  <w:rsids>
    <w:rsidRoot w:val="73864EFD"/>
    <w:rsid w:val="015F1180"/>
    <w:rsid w:val="059C570D"/>
    <w:rsid w:val="05E13978"/>
    <w:rsid w:val="0D7E1655"/>
    <w:rsid w:val="130F0CEA"/>
    <w:rsid w:val="15CF6199"/>
    <w:rsid w:val="1A845156"/>
    <w:rsid w:val="1BC259AF"/>
    <w:rsid w:val="1BE52C77"/>
    <w:rsid w:val="1C7D00AF"/>
    <w:rsid w:val="29530DEA"/>
    <w:rsid w:val="2B102DAD"/>
    <w:rsid w:val="36F017B8"/>
    <w:rsid w:val="3B946C4B"/>
    <w:rsid w:val="487E719F"/>
    <w:rsid w:val="4A4041B7"/>
    <w:rsid w:val="4E835793"/>
    <w:rsid w:val="50305215"/>
    <w:rsid w:val="50591A4F"/>
    <w:rsid w:val="50B810E7"/>
    <w:rsid w:val="637D2F60"/>
    <w:rsid w:val="6B582BF2"/>
    <w:rsid w:val="6DDD2579"/>
    <w:rsid w:val="73864EFD"/>
    <w:rsid w:val="73B22D03"/>
    <w:rsid w:val="7C8C152C"/>
    <w:rsid w:val="7EF7A3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NUL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a77ef7af-21ec-409b-a53e-9fa6f477ae3a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6EFD63FE</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15c02ee0-81bf-41c4-8a9c-d1a223e57649</errorID>
      <errorWord xmlns="http://schemas.wps.cn/vas-ai-hub/contract-review">）</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年）</item>
      </candidateList>
      <explain xmlns="http://schemas.wps.cn/vas-ai-hub/contract-review"/>
      <paraID xmlns="http://schemas.wps.cn/vas-ai-hub/contract-review">56B489E0</paraID>
      <start xmlns="http://schemas.wps.cn/vas-ai-hub/contract-review">28</start>
      <end xmlns="http://schemas.wps.cn/vas-ai-hub/contract-review">30</end>
      <status xmlns="http://schemas.wps.cn/vas-ai-hub/contract-review">modified</status>
      <modifiedWord xmlns="http://schemas.wps.cn/vas-ai-hub/contract-review">年）</modifiedWord>
      <trackRevisions xmlns="http://schemas.wps.cn/vas-ai-hub/contract-review">false</trackRevisions>
    </reviewItem>
    <reviewItem xmlns="http://schemas.wps.cn/vas-ai-hub/contract-review">
      <errorID xmlns="http://schemas.wps.cn/vas-ai-hub/contract-review">9b19df1f-8a6b-4643-b7f6-482896c8de92</errorID>
      <errorWord xmlns="http://schemas.wps.cn/vas-ai-hub/contract-review">意见反馈至</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意见发送至</item>
      </candidateList>
      <explain xmlns="http://schemas.wps.cn/vas-ai-hub/contract-review"/>
      <paraID xmlns="http://schemas.wps.cn/vas-ai-hub/contract-review"> BF96C74</paraID>
      <start xmlns="http://schemas.wps.cn/vas-ai-hub/contract-review">84</start>
      <end xmlns="http://schemas.wps.cn/vas-ai-hub/contract-review">89</end>
      <status xmlns="http://schemas.wps.cn/vas-ai-hub/contract-review">modified</status>
      <modifiedWord xmlns="http://schemas.wps.cn/vas-ai-hub/contract-review">意见发送至</modifiedWord>
      <trackRevisions xmlns="http://schemas.wps.cn/vas-ai-hub/contract-review">false</trackRevisions>
    </reviewItem>
    <reviewItem xmlns="http://schemas.wps.cn/vas-ai-hub/contract-review">
      <errorID xmlns="http://schemas.wps.cn/vas-ai-hub/contract-review">2352fb83-7acd-48a1-88f4-1e2b9e7f3e21</errorID>
      <errorWord xmlns="http://schemas.wps.cn/vas-ai-hub/contract-review">0874—6038061</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0874-6038061</item>
      </candidateList>
      <explain xmlns="http://schemas.wps.cn/vas-ai-hub/contract-review">电话号码使用短横线。</explain>
      <paraID xmlns="http://schemas.wps.cn/vas-ai-hub/contract-review"> BF96C74</paraID>
      <start xmlns="http://schemas.wps.cn/vas-ai-hub/contract-review">167</start>
      <end xmlns="http://schemas.wps.cn/vas-ai-hub/contract-review">179</end>
      <status xmlns="http://schemas.wps.cn/vas-ai-hub/contract-review">modified</status>
      <modifiedWord xmlns="http://schemas.wps.cn/vas-ai-hub/contract-review">0874-6038061</modifiedWord>
      <trackRevisions xmlns="http://schemas.wps.cn/vas-ai-hub/contract-review">false</trackRevisions>
    </reviewItem>
    <reviewItem xmlns="http://schemas.wps.cn/vas-ai-hub/contract-review">
      <errorID xmlns="http://schemas.wps.cn/vas-ai-hub/contract-review">5c13fcde-ae86-4864-a53b-23023452c6dc</errorID>
      <errorWord xmlns="http://schemas.wps.cn/vas-ai-hub/contract-review">0874—6038050</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0874-6038050</item>
      </candidateList>
      <explain xmlns="http://schemas.wps.cn/vas-ai-hub/contract-review">电话号码使用短横线。</explain>
      <paraID xmlns="http://schemas.wps.cn/vas-ai-hub/contract-review"> BF96C74</paraID>
      <start xmlns="http://schemas.wps.cn/vas-ai-hub/contract-review">189</start>
      <end xmlns="http://schemas.wps.cn/vas-ai-hub/contract-review">201</end>
      <status xmlns="http://schemas.wps.cn/vas-ai-hub/contract-review">modified</status>
      <modifiedWord xmlns="http://schemas.wps.cn/vas-ai-hub/contract-review">0874-6038050</modifiedWord>
      <trackRevisions xmlns="http://schemas.wps.cn/vas-ai-hub/contract-review">false</trackRevisions>
    </reviewItem>
    <reviewItem xmlns="http://schemas.wps.cn/vas-ai-hub/contract-review">
      <errorID xmlns="http://schemas.wps.cn/vas-ai-hub/contract-review">8579235d-ddac-4188-8dbd-daf626b18c0a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448BB981</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b620a940-2884-46cb-a992-9b981a626d64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7D72A7A6</paraID>
      <start xmlns="http://schemas.wps.cn/vas-ai-hub/contract-review">3</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103ccf69-9b3e-480e-a830-a6372f70ddcf</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item>
      </candidateList>
      <explain xmlns="http://schemas.wps.cn/vas-ai-hub/contract-review"/>
      <paraID xmlns="http://schemas.wps.cn/vas-ai-hub/contract-review">7E5A6750</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e4c5e05d-2573-40ad-8b77-ad40e21de989</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
      </candidateList>
      <explain xmlns="http://schemas.wps.cn/vas-ai-hub/contract-review"/>
      <paraID xmlns="http://schemas.wps.cn/vas-ai-hub/contract-review">7E5A6750</paraID>
      <start xmlns="http://schemas.wps.cn/vas-ai-hub/contract-review">19</start>
      <end xmlns="http://schemas.wps.cn/vas-ai-hub/contract-review">19</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b1cbbb18-77ed-4b0c-9be6-8075e2f1cc57</errorID>
      <errorWord xmlns="http://schemas.wps.cn/vas-ai-hub/contract-review">床位</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，床位</item>
      </candidateList>
      <explain xmlns="http://schemas.wps.cn/vas-ai-hub/contract-review"/>
      <paraID xmlns="http://schemas.wps.cn/vas-ai-hub/contract-review">3D25A9EC</paraID>
      <start xmlns="http://schemas.wps.cn/vas-ai-hub/contract-review">51</start>
      <end xmlns="http://schemas.wps.cn/vas-ai-hub/contract-review">54</end>
      <status xmlns="http://schemas.wps.cn/vas-ai-hub/contract-review">modified</status>
      <modifiedWord xmlns="http://schemas.wps.cn/vas-ai-hub/contract-review">，床位</modifiedWord>
      <trackRevisions xmlns="http://schemas.wps.cn/vas-ai-hub/contract-review">false</trackRevisions>
    </reviewItem>
    <reviewItem xmlns="http://schemas.wps.cn/vas-ai-hub/contract-review">
      <errorID xmlns="http://schemas.wps.cn/vas-ai-hub/contract-review">b66ae2ef-bf41-4b47-9a43-566a2cb689c5</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item>
      </candidateList>
      <explain xmlns="http://schemas.wps.cn/vas-ai-hub/contract-review"/>
      <paraID xmlns="http://schemas.wps.cn/vas-ai-hub/contract-review">3D25A9EC</paraID>
      <start xmlns="http://schemas.wps.cn/vas-ai-hub/contract-review">58</start>
      <end xmlns="http://schemas.wps.cn/vas-ai-hub/contract-review">59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94a2805a-04e0-4f0c-aef5-42effbb01123</errorID>
      <errorWord xmlns="http://schemas.wps.cn/vas-ai-hub/contract-review">床位</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，床位</item>
      </candidateList>
      <explain xmlns="http://schemas.wps.cn/vas-ai-hub/contract-review"/>
      <paraID xmlns="http://schemas.wps.cn/vas-ai-hub/contract-review">3D25A9EC</paraID>
      <start xmlns="http://schemas.wps.cn/vas-ai-hub/contract-review">75</start>
      <end xmlns="http://schemas.wps.cn/vas-ai-hub/contract-review">78</end>
      <status xmlns="http://schemas.wps.cn/vas-ai-hub/contract-review">modified</status>
      <modifiedWord xmlns="http://schemas.wps.cn/vas-ai-hub/contract-review">，床位</modifiedWord>
      <trackRevisions xmlns="http://schemas.wps.cn/vas-ai-hub/contract-review">false</trackRevisions>
    </reviewItem>
    <reviewItem xmlns="http://schemas.wps.cn/vas-ai-hub/contract-review">
      <errorID xmlns="http://schemas.wps.cn/vas-ai-hub/contract-review">24d32e07-a4e7-40c9-bdcf-3a58ed7aa894</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item>
      </candidateList>
      <explain xmlns="http://schemas.wps.cn/vas-ai-hub/contract-review"/>
      <paraID xmlns="http://schemas.wps.cn/vas-ai-hub/contract-review">3D25A9EC</paraID>
      <start xmlns="http://schemas.wps.cn/vas-ai-hub/contract-review">88</start>
      <end xmlns="http://schemas.wps.cn/vas-ai-hub/contract-review">89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84af4eb1-151f-4c38-9a0c-9783d1d393c3</errorID>
      <errorWord xmlns="http://schemas.wps.cn/vas-ai-hub/contract-review">床位</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，床位</item>
      </candidateList>
      <explain xmlns="http://schemas.wps.cn/vas-ai-hub/contract-review"/>
      <paraID xmlns="http://schemas.wps.cn/vas-ai-hub/contract-review">3D25A9EC</paraID>
      <start xmlns="http://schemas.wps.cn/vas-ai-hub/contract-review">102</start>
      <end xmlns="http://schemas.wps.cn/vas-ai-hub/contract-review">105</end>
      <status xmlns="http://schemas.wps.cn/vas-ai-hub/contract-review">modified</status>
      <modifiedWord xmlns="http://schemas.wps.cn/vas-ai-hub/contract-review">，床位</modifiedWord>
      <trackRevisions xmlns="http://schemas.wps.cn/vas-ai-hub/contract-review">false</trackRevisions>
    </reviewItem>
    <reviewItem xmlns="http://schemas.wps.cn/vas-ai-hub/contract-review">
      <errorID xmlns="http://schemas.wps.cn/vas-ai-hub/contract-review">28359e17-5601-47ad-a8ea-db7114fbcf79</errorID>
      <errorWord xmlns="http://schemas.wps.cn/vas-ai-hub/contract-review">麒麟区</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其中麒麟区</item>
      </candidateList>
      <explain xmlns="http://schemas.wps.cn/vas-ai-hub/contract-review"/>
      <paraID xmlns="http://schemas.wps.cn/vas-ai-hub/contract-review">3D25A9EC</paraID>
      <start xmlns="http://schemas.wps.cn/vas-ai-hub/contract-review">110</start>
      <end xmlns="http://schemas.wps.cn/vas-ai-hub/contract-review">115</end>
      <status xmlns="http://schemas.wps.cn/vas-ai-hub/contract-review">modified</status>
      <modifiedWord xmlns="http://schemas.wps.cn/vas-ai-hub/contract-review">其中麒麟区</modifiedWord>
      <trackRevisions xmlns="http://schemas.wps.cn/vas-ai-hub/contract-review">false</trackRevisions>
    </reviewItem>
    <reviewItem xmlns="http://schemas.wps.cn/vas-ai-hub/contract-review">
      <errorID xmlns="http://schemas.wps.cn/vas-ai-hub/contract-review">d1d23cb2-a59d-4e8a-815d-f737945bfa37</errorID>
      <errorWord xmlns="http://schemas.wps.cn/vas-ai-hub/contract-review">个</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座</item>
      </candidateList>
      <explain xmlns="http://schemas.wps.cn/vas-ai-hub/contract-review">请检查“个”是否为量词使用错误，建议修改为“座”。</explain>
      <paraID xmlns="http://schemas.wps.cn/vas-ai-hub/contract-review">7C26796C</paraID>
      <start xmlns="http://schemas.wps.cn/vas-ai-hub/contract-review">51</start>
      <end xmlns="http://schemas.wps.cn/vas-ai-hub/contract-review">52</end>
      <status xmlns="http://schemas.wps.cn/vas-ai-hub/contract-review">modified</status>
      <modifiedWord xmlns="http://schemas.wps.cn/vas-ai-hub/contract-review">座</modifiedWord>
      <trackRevisions xmlns="http://schemas.wps.cn/vas-ai-hub/contract-review">false</trackRevisions>
    </reviewItem>
    <reviewItem xmlns="http://schemas.wps.cn/vas-ai-hub/contract-review">
      <errorID xmlns="http://schemas.wps.cn/vas-ai-hub/contract-review">e302755e-ba6b-4280-983b-3d18644bd95b</errorID>
      <errorWord xmlns="http://schemas.wps.cn/vas-ai-hub/contract-review">设施的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设施</item>
      </candidateList>
      <explain xmlns="http://schemas.wps.cn/vas-ai-hub/contract-review"/>
      <paraID xmlns="http://schemas.wps.cn/vas-ai-hub/contract-review">14539224</paraID>
      <start xmlns="http://schemas.wps.cn/vas-ai-hub/contract-review">14</start>
      <end xmlns="http://schemas.wps.cn/vas-ai-hub/contract-review">16</end>
      <status xmlns="http://schemas.wps.cn/vas-ai-hub/contract-review">modified</status>
      <modifiedWord xmlns="http://schemas.wps.cn/vas-ai-hub/contract-review">设施</modifiedWord>
      <trackRevisions xmlns="http://schemas.wps.cn/vas-ai-hub/contract-review">false</trackRevisions>
    </reviewItem>
    <reviewItem xmlns="http://schemas.wps.cn/vas-ai-hub/contract-review">
      <errorID xmlns="http://schemas.wps.cn/vas-ai-hub/contract-review">772c02e0-c5b5-448b-9169-7439d6e35998</errorID>
      <errorWord xmlns="http://schemas.wps.cn/vas-ai-hub/contract-review">详实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翔实</item>
      </candidateList>
      <explain xmlns="http://schemas.wps.cn/vas-ai-hub/contract-review"/>
      <paraID xmlns="http://schemas.wps.cn/vas-ai-hub/contract-review">  BE9FF4</paraID>
      <start xmlns="http://schemas.wps.cn/vas-ai-hub/contract-review">27</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37e59526-8379-45b9-95ec-a9ec7f1a0cca</errorID>
      <errorWord xmlns="http://schemas.wps.cn/vas-ai-hub/contract-review">以及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及</item>
      </candidateList>
      <explain xmlns="http://schemas.wps.cn/vas-ai-hub/contract-review">〈连〉连接并列的名词或名词性词组：图书、仪器、标本～其他。注意用“及”连接的成分多在意义上有主次之分，主要的成分放在“及”的前面。</explain>
      <paraID xmlns="http://schemas.wps.cn/vas-ai-hub/contract-review">  BE9FF4</paraID>
      <start xmlns="http://schemas.wps.cn/vas-ai-hub/contract-review">160</start>
      <end xmlns="http://schemas.wps.cn/vas-ai-hub/contract-review">161</end>
      <status xmlns="http://schemas.wps.cn/vas-ai-hub/contract-review">modified</status>
      <modifiedWord xmlns="http://schemas.wps.cn/vas-ai-hub/contract-review">及</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2bc33f-66f9-4c49-95e9-195a3ac02a79}">
  <ds:schemaRefs/>
</ds:datastoreItem>
</file>

<file path=docProps/app.xml><?xml version="1.0" encoding="utf-8"?>
<Properties xmlns="http://schemas.openxmlformats.org/officeDocument/2006/extended-properties" xmlns:vt="http://schemas.openxmlformats.org/officeDocument/2006/docPropsVTypes">
  <Pages>32</Pages>
  <Words>2021</Words>
  <Characters>2244</Characters>
  <TotalTime>1</TotalTime>
  <ScaleCrop>false</ScaleCrop>
  <LinksUpToDate>false</LinksUpToDate>
  <CharactersWithSpaces>2247</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2026-10-09T08:09:18Z</dcterms:created>
  <dc:creator>QJ</dc:creator>
  <cp:lastModifiedBy>郭丽娜</cp:lastModifiedBy>
  <dcterms:modified xsi:type="dcterms:W3CDTF">2026-10-09T08:10:46Z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3E624841A5DA469EBB92016BE6967481_13</vt:lpwstr>
  </property>
</Properties>
</file>