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pPr w:leftFromText="180" w:rightFromText="180" w:vertAnchor="text" w:horzAnchor="page" w:tblpX="1590" w:tblpY="469"/>
        <w:tblOverlap w:val="never"/>
        <w:tblW w:w="0" w:type="auto"/>
        <w:tblInd w:w="0" w:type="dxa"/>
        <w:tblLayout w:type="fixed"/>
        <w:tblCellMar>
          <w:top w:w="0" w:type="dxa"/>
          <w:left w:w="108" w:type="dxa"/>
          <w:bottom w:w="0" w:type="dxa"/>
          <w:right w:w="108" w:type="dxa"/>
        </w:tblCellMar>
      </w:tblPr>
      <w:tblGrid>
        <w:gridCol w:w="1756"/>
        <w:gridCol w:w="2246"/>
        <w:gridCol w:w="1276"/>
        <w:gridCol w:w="1559"/>
        <w:gridCol w:w="1276"/>
        <w:gridCol w:w="1701"/>
      </w:tblGrid>
      <w:tr w14:paraId="3225A69C">
        <w:tblPrEx>
          <w:tblCellMar>
            <w:top w:w="0" w:type="dxa"/>
            <w:left w:w="108" w:type="dxa"/>
            <w:bottom w:w="0" w:type="dxa"/>
            <w:right w:w="108" w:type="dxa"/>
          </w:tblCellMar>
        </w:tblPrEx>
        <w:trPr>
          <w:trHeight w:val="571" w:hRule="atLeast"/>
        </w:trPr>
        <w:tc>
          <w:tcPr>
            <w:tcW w:w="1756" w:type="dxa"/>
            <w:tcBorders>
              <w:top w:val="single" w:color="auto" w:sz="4" w:space="0"/>
              <w:left w:val="single" w:color="auto" w:sz="4" w:space="0"/>
              <w:bottom w:val="single" w:color="auto" w:sz="4" w:space="0"/>
              <w:right w:val="single" w:color="auto" w:sz="4" w:space="0"/>
            </w:tcBorders>
            <w:shd w:val="clear" w:color="auto" w:fill="C0C0C0"/>
            <w:vAlign w:val="center"/>
          </w:tcPr>
          <w:p w14:paraId="46BF8B7C">
            <w:pPr>
              <w:widowControl/>
              <w:spacing w:line="280" w:lineRule="exact"/>
              <w:jc w:val="left"/>
              <w:rPr>
                <w:rFonts w:ascii="宋体"/>
                <w:kern w:val="0"/>
                <w:sz w:val="24"/>
                <w:szCs w:val="24"/>
              </w:rPr>
            </w:pPr>
            <w:bookmarkStart w:id="0" w:name="_GoBack"/>
            <w:bookmarkEnd w:id="0"/>
            <w:r>
              <w:rPr>
                <w:rFonts w:hint="eastAsia" w:ascii="宋体"/>
                <w:sz w:val="24"/>
                <w:szCs w:val="24"/>
              </w:rPr>
              <w:t xml:space="preserve"> </w:t>
            </w:r>
            <w:r>
              <w:rPr>
                <w:rFonts w:hint="eastAsia" w:ascii="宋体" w:hAnsi="宋体"/>
                <w:kern w:val="0"/>
                <w:sz w:val="24"/>
                <w:szCs w:val="24"/>
              </w:rPr>
              <w:t>项目名称</w:t>
            </w:r>
          </w:p>
        </w:tc>
        <w:tc>
          <w:tcPr>
            <w:tcW w:w="2246" w:type="dxa"/>
            <w:tcBorders>
              <w:top w:val="single" w:color="auto" w:sz="4" w:space="0"/>
              <w:left w:val="nil"/>
              <w:bottom w:val="single" w:color="auto" w:sz="4" w:space="0"/>
              <w:right w:val="single" w:color="auto" w:sz="4" w:space="0"/>
            </w:tcBorders>
            <w:shd w:val="clear" w:color="auto" w:fill="auto"/>
            <w:vAlign w:val="center"/>
          </w:tcPr>
          <w:p w14:paraId="620D5277">
            <w:pPr>
              <w:widowControl/>
              <w:spacing w:line="280" w:lineRule="exact"/>
              <w:jc w:val="left"/>
              <w:rPr>
                <w:rFonts w:hint="eastAsia" w:ascii="Times New Roman" w:hAnsi="Times New Roman"/>
                <w:sz w:val="24"/>
                <w:szCs w:val="24"/>
              </w:rPr>
            </w:pPr>
            <w:r>
              <w:rPr>
                <w:rFonts w:hint="eastAsia" w:ascii="Times New Roman" w:hAnsi="Times New Roman"/>
                <w:sz w:val="24"/>
                <w:szCs w:val="24"/>
                <w:lang w:val="zh-CN" w:eastAsia="zh-CN"/>
              </w:rPr>
              <w:t>曲靖市第二人民医院X射线血管造影系统（DSA）项目</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4ADA24BD">
            <w:pPr>
              <w:widowControl/>
              <w:spacing w:line="280" w:lineRule="exact"/>
              <w:jc w:val="left"/>
              <w:rPr>
                <w:rFonts w:ascii="宋体"/>
                <w:kern w:val="0"/>
                <w:sz w:val="24"/>
                <w:szCs w:val="24"/>
              </w:rPr>
            </w:pPr>
            <w:r>
              <w:rPr>
                <w:rFonts w:hint="eastAsia" w:ascii="宋体" w:hAnsi="宋体"/>
                <w:kern w:val="0"/>
                <w:sz w:val="24"/>
                <w:szCs w:val="24"/>
              </w:rPr>
              <w:t>建设地点</w:t>
            </w:r>
          </w:p>
        </w:tc>
        <w:tc>
          <w:tcPr>
            <w:tcW w:w="1559" w:type="dxa"/>
            <w:tcBorders>
              <w:top w:val="single" w:color="auto" w:sz="4" w:space="0"/>
              <w:left w:val="nil"/>
              <w:bottom w:val="single" w:color="auto" w:sz="4" w:space="0"/>
              <w:right w:val="single" w:color="auto" w:sz="4" w:space="0"/>
            </w:tcBorders>
            <w:shd w:val="clear" w:color="auto" w:fill="auto"/>
            <w:vAlign w:val="center"/>
          </w:tcPr>
          <w:p w14:paraId="1D70C373">
            <w:pPr>
              <w:widowControl/>
              <w:spacing w:line="280" w:lineRule="exact"/>
              <w:jc w:val="left"/>
              <w:rPr>
                <w:rFonts w:hint="eastAsia" w:ascii="Times New Roman" w:hAnsi="Times New Roman"/>
                <w:sz w:val="24"/>
                <w:szCs w:val="24"/>
              </w:rPr>
            </w:pPr>
            <w:r>
              <w:rPr>
                <w:rFonts w:hint="eastAsia" w:ascii="Times New Roman" w:hAnsi="Times New Roman"/>
                <w:sz w:val="24"/>
                <w:szCs w:val="24"/>
                <w:lang w:val="en-US" w:eastAsia="zh-CN"/>
              </w:rPr>
              <w:t>曲靖市第二人民医院住院楼5楼</w:t>
            </w:r>
          </w:p>
        </w:tc>
        <w:tc>
          <w:tcPr>
            <w:tcW w:w="1276" w:type="dxa"/>
            <w:tcBorders>
              <w:top w:val="single" w:color="auto" w:sz="4" w:space="0"/>
              <w:left w:val="nil"/>
              <w:bottom w:val="single" w:color="auto" w:sz="4" w:space="0"/>
              <w:right w:val="single" w:color="auto" w:sz="4" w:space="0"/>
            </w:tcBorders>
            <w:shd w:val="clear" w:color="auto" w:fill="C0C0C0"/>
            <w:vAlign w:val="center"/>
          </w:tcPr>
          <w:p w14:paraId="67DDA814">
            <w:pPr>
              <w:widowControl/>
              <w:spacing w:line="280" w:lineRule="exact"/>
              <w:jc w:val="left"/>
              <w:rPr>
                <w:rFonts w:ascii="宋体"/>
                <w:kern w:val="0"/>
                <w:sz w:val="24"/>
                <w:szCs w:val="24"/>
              </w:rPr>
            </w:pPr>
            <w:r>
              <w:rPr>
                <w:rFonts w:hint="eastAsia" w:ascii="宋体" w:hAnsi="宋体"/>
                <w:kern w:val="0"/>
                <w:sz w:val="24"/>
                <w:szCs w:val="24"/>
              </w:rPr>
              <w:t>建设单位</w:t>
            </w:r>
          </w:p>
        </w:tc>
        <w:tc>
          <w:tcPr>
            <w:tcW w:w="1701" w:type="dxa"/>
            <w:tcBorders>
              <w:top w:val="single" w:color="auto" w:sz="4" w:space="0"/>
              <w:left w:val="nil"/>
              <w:bottom w:val="single" w:color="auto" w:sz="4" w:space="0"/>
              <w:right w:val="single" w:color="auto" w:sz="4" w:space="0"/>
            </w:tcBorders>
            <w:vAlign w:val="center"/>
          </w:tcPr>
          <w:p w14:paraId="27F6A5A4">
            <w:pPr>
              <w:widowControl/>
              <w:spacing w:line="280" w:lineRule="exact"/>
              <w:jc w:val="center"/>
              <w:rPr>
                <w:rFonts w:hint="eastAsia" w:ascii="Times New Roman" w:hAnsi="Times New Roman"/>
                <w:sz w:val="24"/>
                <w:szCs w:val="24"/>
              </w:rPr>
            </w:pPr>
            <w:r>
              <w:rPr>
                <w:rFonts w:hint="eastAsia" w:ascii="Times New Roman" w:hAnsi="Times New Roman"/>
                <w:sz w:val="24"/>
                <w:szCs w:val="24"/>
                <w:lang w:val="en-US" w:eastAsia="zh-CN"/>
              </w:rPr>
              <w:t>曲靖市第二人民医院</w:t>
            </w:r>
          </w:p>
        </w:tc>
      </w:tr>
      <w:tr w14:paraId="602305DD">
        <w:tblPrEx>
          <w:tblCellMar>
            <w:top w:w="0" w:type="dxa"/>
            <w:left w:w="108" w:type="dxa"/>
            <w:bottom w:w="0" w:type="dxa"/>
            <w:right w:w="108" w:type="dxa"/>
          </w:tblCellMar>
        </w:tblPrEx>
        <w:trPr>
          <w:trHeight w:val="762" w:hRule="atLeast"/>
        </w:trPr>
        <w:tc>
          <w:tcPr>
            <w:tcW w:w="1756" w:type="dxa"/>
            <w:tcBorders>
              <w:top w:val="nil"/>
              <w:left w:val="single" w:color="auto" w:sz="4" w:space="0"/>
              <w:bottom w:val="single" w:color="auto" w:sz="4" w:space="0"/>
              <w:right w:val="single" w:color="auto" w:sz="4" w:space="0"/>
            </w:tcBorders>
            <w:shd w:val="clear" w:color="auto" w:fill="C0C0C0"/>
            <w:vAlign w:val="center"/>
          </w:tcPr>
          <w:p w14:paraId="77F55FC3">
            <w:pPr>
              <w:widowControl/>
              <w:spacing w:line="280" w:lineRule="exact"/>
              <w:jc w:val="left"/>
              <w:rPr>
                <w:rFonts w:ascii="宋体"/>
                <w:kern w:val="0"/>
                <w:sz w:val="24"/>
                <w:szCs w:val="24"/>
              </w:rPr>
            </w:pPr>
            <w:r>
              <w:rPr>
                <w:rFonts w:hint="eastAsia" w:ascii="宋体" w:hAnsi="宋体"/>
                <w:kern w:val="0"/>
                <w:sz w:val="24"/>
                <w:szCs w:val="24"/>
              </w:rPr>
              <w:t>环评文件类型</w:t>
            </w:r>
          </w:p>
        </w:tc>
        <w:tc>
          <w:tcPr>
            <w:tcW w:w="2246" w:type="dxa"/>
            <w:tcBorders>
              <w:top w:val="nil"/>
              <w:left w:val="nil"/>
              <w:bottom w:val="single" w:color="auto" w:sz="4" w:space="0"/>
              <w:right w:val="single" w:color="auto" w:sz="4" w:space="0"/>
            </w:tcBorders>
            <w:shd w:val="clear" w:color="auto" w:fill="auto"/>
            <w:vAlign w:val="center"/>
          </w:tcPr>
          <w:p w14:paraId="1DFBC8EC">
            <w:pPr>
              <w:widowControl/>
              <w:spacing w:line="280" w:lineRule="exact"/>
              <w:jc w:val="center"/>
              <w:rPr>
                <w:rFonts w:hint="eastAsia" w:ascii="宋体" w:hAnsi="宋体" w:eastAsia="宋体" w:cs="华文仿宋"/>
                <w:kern w:val="0"/>
                <w:sz w:val="24"/>
                <w:szCs w:val="24"/>
                <w:lang w:eastAsia="zh-CN"/>
              </w:rPr>
            </w:pPr>
            <w:r>
              <w:rPr>
                <w:rFonts w:hint="eastAsia" w:ascii="Times New Roman" w:hAnsi="Times New Roman"/>
                <w:sz w:val="24"/>
                <w:szCs w:val="24"/>
              </w:rPr>
              <w:t>报告表</w:t>
            </w:r>
          </w:p>
        </w:tc>
        <w:tc>
          <w:tcPr>
            <w:tcW w:w="1276" w:type="dxa"/>
            <w:tcBorders>
              <w:top w:val="nil"/>
              <w:left w:val="nil"/>
              <w:bottom w:val="single" w:color="auto" w:sz="4" w:space="0"/>
              <w:right w:val="single" w:color="auto" w:sz="4" w:space="0"/>
            </w:tcBorders>
            <w:shd w:val="clear" w:color="auto" w:fill="C0C0C0"/>
            <w:vAlign w:val="center"/>
          </w:tcPr>
          <w:p w14:paraId="5991ED4E">
            <w:pPr>
              <w:widowControl/>
              <w:spacing w:line="280" w:lineRule="exact"/>
              <w:jc w:val="left"/>
              <w:rPr>
                <w:rFonts w:ascii="宋体"/>
                <w:kern w:val="0"/>
                <w:sz w:val="24"/>
                <w:szCs w:val="24"/>
              </w:rPr>
            </w:pPr>
            <w:r>
              <w:rPr>
                <w:rFonts w:hint="eastAsia" w:ascii="宋体" w:hAnsi="宋体"/>
                <w:kern w:val="0"/>
                <w:sz w:val="24"/>
                <w:szCs w:val="24"/>
              </w:rPr>
              <w:t>环境影响评价机构</w:t>
            </w:r>
          </w:p>
        </w:tc>
        <w:tc>
          <w:tcPr>
            <w:tcW w:w="4536" w:type="dxa"/>
            <w:gridSpan w:val="3"/>
            <w:tcBorders>
              <w:top w:val="single" w:color="auto" w:sz="4" w:space="0"/>
              <w:left w:val="nil"/>
              <w:bottom w:val="single" w:color="auto" w:sz="4" w:space="0"/>
              <w:right w:val="single" w:color="000000" w:sz="4" w:space="0"/>
            </w:tcBorders>
            <w:vAlign w:val="center"/>
          </w:tcPr>
          <w:p w14:paraId="32C2A7B4">
            <w:pPr>
              <w:widowControl/>
              <w:spacing w:line="280" w:lineRule="exact"/>
              <w:jc w:val="center"/>
              <w:rPr>
                <w:rFonts w:ascii="宋体"/>
                <w:kern w:val="0"/>
                <w:sz w:val="24"/>
                <w:szCs w:val="24"/>
              </w:rPr>
            </w:pPr>
            <w:r>
              <w:rPr>
                <w:rFonts w:hint="default" w:ascii="宋体"/>
                <w:kern w:val="0"/>
                <w:sz w:val="24"/>
                <w:szCs w:val="24"/>
                <w:lang w:val="en-US" w:eastAsia="zh-CN"/>
              </w:rPr>
              <w:t>云南放卫达检测有限公司</w:t>
            </w:r>
          </w:p>
        </w:tc>
      </w:tr>
      <w:tr w14:paraId="561BC6DB">
        <w:tblPrEx>
          <w:tblCellMar>
            <w:top w:w="0" w:type="dxa"/>
            <w:left w:w="108" w:type="dxa"/>
            <w:bottom w:w="0" w:type="dxa"/>
            <w:right w:w="108" w:type="dxa"/>
          </w:tblCellMar>
        </w:tblPrEx>
        <w:trPr>
          <w:trHeight w:val="501"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0CDC8095">
            <w:pPr>
              <w:widowControl/>
              <w:spacing w:line="280" w:lineRule="exact"/>
              <w:jc w:val="center"/>
              <w:rPr>
                <w:rFonts w:ascii="宋体"/>
                <w:kern w:val="0"/>
                <w:sz w:val="24"/>
                <w:szCs w:val="24"/>
              </w:rPr>
            </w:pPr>
            <w:r>
              <w:rPr>
                <w:rFonts w:hint="eastAsia" w:ascii="宋体" w:hAnsi="宋体"/>
                <w:kern w:val="0"/>
                <w:sz w:val="24"/>
                <w:szCs w:val="24"/>
              </w:rPr>
              <w:t>项目概况</w:t>
            </w:r>
          </w:p>
        </w:tc>
      </w:tr>
      <w:tr w14:paraId="29A5E4FF">
        <w:tblPrEx>
          <w:tblCellMar>
            <w:top w:w="0" w:type="dxa"/>
            <w:left w:w="108" w:type="dxa"/>
            <w:bottom w:w="0" w:type="dxa"/>
            <w:right w:w="108" w:type="dxa"/>
          </w:tblCellMar>
        </w:tblPrEx>
        <w:trPr>
          <w:trHeight w:val="606"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52513E18">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eastAsia="方正仿宋_GBK"/>
                <w:lang w:val="en-US" w:eastAsia="zh-CN"/>
              </w:rPr>
            </w:pPr>
            <w:r>
              <w:rPr>
                <w:rFonts w:hint="eastAsia" w:ascii="Times New Roman" w:hAnsi="Times New Roman"/>
                <w:sz w:val="24"/>
                <w:szCs w:val="24"/>
                <w:lang w:val="en-US" w:eastAsia="zh-CN"/>
              </w:rPr>
              <w:t>曲靖市第二人民医院</w:t>
            </w:r>
            <w:r>
              <w:rPr>
                <w:rFonts w:hint="eastAsia" w:ascii="Times New Roman" w:hAnsi="Times New Roman"/>
                <w:sz w:val="24"/>
                <w:szCs w:val="24"/>
              </w:rPr>
              <w:t>拟</w:t>
            </w:r>
            <w:r>
              <w:rPr>
                <w:rFonts w:hint="eastAsia" w:ascii="Times New Roman" w:hAnsi="Times New Roman"/>
                <w:sz w:val="24"/>
                <w:szCs w:val="24"/>
                <w:lang w:val="en-US" w:eastAsia="zh-CN"/>
              </w:rPr>
              <w:t>将住院楼5楼原第14号手术室和第15号手术室改造为DSA介入室和DSA辅助用房，DSA介入室</w:t>
            </w:r>
            <w:r>
              <w:rPr>
                <w:rFonts w:hint="eastAsia" w:ascii="Times New Roman" w:hAnsi="Times New Roman"/>
                <w:sz w:val="24"/>
                <w:szCs w:val="24"/>
              </w:rPr>
              <w:t>配置使用1台</w:t>
            </w:r>
            <w:r>
              <w:rPr>
                <w:rFonts w:hint="eastAsia" w:ascii="Times New Roman" w:hAnsi="Times New Roman"/>
                <w:sz w:val="24"/>
                <w:szCs w:val="24"/>
                <w:lang w:val="en-US" w:eastAsia="zh-CN"/>
              </w:rPr>
              <w:t>西门子ARTIS pheno Master</w:t>
            </w:r>
            <w:r>
              <w:rPr>
                <w:rFonts w:hint="eastAsia" w:ascii="Times New Roman" w:hAnsi="Times New Roman"/>
                <w:sz w:val="24"/>
                <w:szCs w:val="24"/>
              </w:rPr>
              <w:t>型数字减影血管造影系统</w:t>
            </w:r>
            <w:r>
              <w:rPr>
                <w:rFonts w:hint="eastAsia" w:ascii="Times New Roman" w:hAnsi="Times New Roman"/>
                <w:sz w:val="24"/>
                <w:szCs w:val="24"/>
                <w:lang w:eastAsia="zh-CN"/>
              </w:rPr>
              <w:t>，</w:t>
            </w:r>
            <w:r>
              <w:rPr>
                <w:rFonts w:hint="eastAsia" w:ascii="Times New Roman" w:hAnsi="Times New Roman"/>
                <w:sz w:val="24"/>
                <w:szCs w:val="24"/>
                <w:lang w:val="en-US" w:eastAsia="zh-CN"/>
              </w:rPr>
              <w:t>设备</w:t>
            </w:r>
            <w:r>
              <w:rPr>
                <w:rFonts w:hint="eastAsia" w:ascii="Times New Roman" w:hAnsi="Times New Roman"/>
                <w:sz w:val="24"/>
                <w:szCs w:val="24"/>
              </w:rPr>
              <w:t>额定管电压为12</w:t>
            </w:r>
            <w:r>
              <w:rPr>
                <w:rFonts w:hint="eastAsia" w:ascii="Times New Roman" w:hAnsi="Times New Roman"/>
                <w:sz w:val="24"/>
                <w:szCs w:val="24"/>
                <w:lang w:val="en-US" w:eastAsia="zh-CN"/>
              </w:rPr>
              <w:t>5</w:t>
            </w:r>
            <w:r>
              <w:rPr>
                <w:rFonts w:hint="eastAsia" w:ascii="Times New Roman" w:hAnsi="Times New Roman"/>
                <w:sz w:val="24"/>
                <w:szCs w:val="24"/>
              </w:rPr>
              <w:t>kV，额定管电流为</w:t>
            </w:r>
            <w:r>
              <w:rPr>
                <w:rFonts w:hint="eastAsia" w:ascii="Times New Roman" w:hAnsi="Times New Roman"/>
                <w:sz w:val="24"/>
                <w:szCs w:val="24"/>
                <w:lang w:eastAsia="zh-CN"/>
              </w:rPr>
              <w:t>1</w:t>
            </w:r>
            <w:r>
              <w:rPr>
                <w:rFonts w:hint="eastAsia" w:ascii="Times New Roman" w:hAnsi="Times New Roman"/>
                <w:sz w:val="24"/>
                <w:szCs w:val="24"/>
                <w:lang w:val="en-US" w:eastAsia="zh-CN"/>
              </w:rPr>
              <w:t>00</w:t>
            </w:r>
            <w:r>
              <w:rPr>
                <w:rFonts w:hint="eastAsia" w:ascii="Times New Roman" w:hAnsi="Times New Roman"/>
                <w:sz w:val="24"/>
                <w:szCs w:val="24"/>
                <w:lang w:eastAsia="zh-CN"/>
              </w:rPr>
              <w:t>0</w:t>
            </w:r>
            <w:r>
              <w:rPr>
                <w:rFonts w:hint="eastAsia" w:ascii="Times New Roman" w:hAnsi="Times New Roman"/>
                <w:sz w:val="24"/>
                <w:szCs w:val="24"/>
              </w:rPr>
              <w:t>mA，属Ⅱ类射线装置，用于</w:t>
            </w:r>
            <w:r>
              <w:rPr>
                <w:rFonts w:hint="eastAsia" w:ascii="Times New Roman" w:hAnsi="Times New Roman"/>
                <w:sz w:val="24"/>
                <w:szCs w:val="24"/>
                <w:lang w:val="en-US" w:eastAsia="zh-CN"/>
              </w:rPr>
              <w:t>肝胆科、介入科、心内科开展</w:t>
            </w:r>
            <w:r>
              <w:rPr>
                <w:rFonts w:hint="eastAsia" w:ascii="Times New Roman" w:hAnsi="Times New Roman"/>
                <w:sz w:val="24"/>
                <w:szCs w:val="24"/>
              </w:rPr>
              <w:t>诊疗。项目总投资为</w:t>
            </w:r>
            <w:r>
              <w:rPr>
                <w:rFonts w:hint="eastAsia" w:ascii="Times New Roman" w:hAnsi="Times New Roman"/>
                <w:sz w:val="24"/>
                <w:szCs w:val="24"/>
                <w:lang w:val="en-US" w:eastAsia="zh-CN"/>
              </w:rPr>
              <w:t>1237.8</w:t>
            </w:r>
            <w:r>
              <w:rPr>
                <w:rFonts w:hint="eastAsia" w:ascii="Times New Roman" w:hAnsi="Times New Roman"/>
                <w:sz w:val="24"/>
                <w:szCs w:val="24"/>
              </w:rPr>
              <w:t>万元，其中环保投资为</w:t>
            </w:r>
            <w:r>
              <w:rPr>
                <w:rFonts w:hint="eastAsia" w:ascii="Times New Roman" w:hAnsi="Times New Roman"/>
                <w:sz w:val="24"/>
                <w:szCs w:val="24"/>
                <w:lang w:val="en-US" w:eastAsia="zh-CN"/>
              </w:rPr>
              <w:t>73.2</w:t>
            </w:r>
            <w:r>
              <w:rPr>
                <w:rFonts w:hint="eastAsia" w:ascii="Times New Roman" w:hAnsi="Times New Roman"/>
                <w:sz w:val="24"/>
                <w:szCs w:val="24"/>
              </w:rPr>
              <w:t>万元，占项目总投资的</w:t>
            </w:r>
            <w:r>
              <w:rPr>
                <w:rFonts w:hint="eastAsia" w:ascii="Times New Roman" w:hAnsi="Times New Roman"/>
                <w:sz w:val="24"/>
                <w:szCs w:val="24"/>
                <w:lang w:val="en-US" w:eastAsia="zh-CN"/>
              </w:rPr>
              <w:t>5.91</w:t>
            </w:r>
            <w:r>
              <w:rPr>
                <w:rFonts w:hint="eastAsia" w:ascii="Times New Roman" w:hAnsi="Times New Roman"/>
                <w:sz w:val="24"/>
                <w:szCs w:val="24"/>
              </w:rPr>
              <w:t>%</w:t>
            </w:r>
            <w:r>
              <w:rPr>
                <w:rFonts w:hint="eastAsia" w:ascii="Times New Roman" w:hAnsi="Times New Roman"/>
                <w:sz w:val="24"/>
                <w:szCs w:val="24"/>
                <w:lang w:eastAsia="zh-CN"/>
              </w:rPr>
              <w:t>。</w:t>
            </w:r>
          </w:p>
        </w:tc>
      </w:tr>
      <w:tr w14:paraId="345771F6">
        <w:tblPrEx>
          <w:tblCellMar>
            <w:top w:w="0" w:type="dxa"/>
            <w:left w:w="108" w:type="dxa"/>
            <w:bottom w:w="0" w:type="dxa"/>
            <w:right w:w="108" w:type="dxa"/>
          </w:tblCellMar>
        </w:tblPrEx>
        <w:trPr>
          <w:trHeight w:val="448"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7D0D15A1">
            <w:pPr>
              <w:widowControl/>
              <w:spacing w:line="280" w:lineRule="exact"/>
              <w:jc w:val="center"/>
              <w:rPr>
                <w:rFonts w:ascii="宋体"/>
                <w:kern w:val="0"/>
                <w:sz w:val="24"/>
                <w:szCs w:val="24"/>
              </w:rPr>
            </w:pPr>
            <w:r>
              <w:rPr>
                <w:rFonts w:hint="eastAsia" w:ascii="宋体" w:hAnsi="宋体"/>
                <w:kern w:val="0"/>
                <w:sz w:val="24"/>
                <w:szCs w:val="24"/>
              </w:rPr>
              <w:t>项目主要环境影响</w:t>
            </w:r>
          </w:p>
        </w:tc>
      </w:tr>
      <w:tr w14:paraId="6381BB89">
        <w:tblPrEx>
          <w:tblCellMar>
            <w:top w:w="0" w:type="dxa"/>
            <w:left w:w="108" w:type="dxa"/>
            <w:bottom w:w="0" w:type="dxa"/>
            <w:right w:w="108" w:type="dxa"/>
          </w:tblCellMar>
        </w:tblPrEx>
        <w:trPr>
          <w:trHeight w:val="535"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597C9E8D">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Times New Roman" w:hAnsi="Times New Roman" w:cs="Times New Roman"/>
                <w:b/>
                <w:bCs/>
                <w:sz w:val="24"/>
                <w:szCs w:val="24"/>
              </w:rPr>
            </w:pPr>
            <w:r>
              <w:rPr>
                <w:rFonts w:ascii="Times New Roman" w:hAnsi="Times New Roman" w:cs="Times New Roman"/>
                <w:b/>
                <w:bCs/>
                <w:sz w:val="24"/>
                <w:szCs w:val="24"/>
              </w:rPr>
              <w:t>一、施工期</w:t>
            </w:r>
          </w:p>
          <w:p w14:paraId="525D7471">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ascii="Times New Roman" w:hAnsi="Times New Roman" w:cs="Times New Roman"/>
                <w:sz w:val="24"/>
                <w:szCs w:val="24"/>
              </w:rPr>
            </w:pPr>
            <w:r>
              <w:rPr>
                <w:rFonts w:hint="default" w:ascii="Times New Roman" w:hAnsi="Times New Roman" w:cs="Times New Roman"/>
                <w:sz w:val="24"/>
                <w:szCs w:val="24"/>
                <w:lang w:val="en-US" w:eastAsia="zh-CN"/>
              </w:rPr>
              <w:t>本</w:t>
            </w:r>
            <w:r>
              <w:rPr>
                <w:rFonts w:hint="default" w:ascii="Times New Roman" w:hAnsi="Times New Roman" w:cs="Times New Roman"/>
                <w:sz w:val="24"/>
                <w:szCs w:val="24"/>
              </w:rPr>
              <w:t>项目拟建DSA机房位于</w:t>
            </w:r>
            <w:r>
              <w:rPr>
                <w:rFonts w:hint="default" w:ascii="Times New Roman" w:hAnsi="Times New Roman" w:cs="Times New Roman"/>
                <w:sz w:val="24"/>
                <w:szCs w:val="24"/>
                <w:lang w:val="en-US" w:eastAsia="zh-CN"/>
              </w:rPr>
              <w:t>曲靖市第二人民医院住院楼5楼</w:t>
            </w:r>
            <w:r>
              <w:rPr>
                <w:rFonts w:hint="default" w:ascii="Times New Roman" w:hAnsi="Times New Roman" w:cs="Times New Roman"/>
                <w:sz w:val="24"/>
                <w:szCs w:val="24"/>
              </w:rPr>
              <w:t>，本次建设DSA手术室</w:t>
            </w:r>
            <w:r>
              <w:rPr>
                <w:rFonts w:hint="default" w:ascii="Times New Roman" w:hAnsi="Times New Roman" w:cs="Times New Roman"/>
                <w:sz w:val="24"/>
                <w:szCs w:val="24"/>
                <w:lang w:val="en-US" w:eastAsia="zh-CN"/>
              </w:rPr>
              <w:t>建设过程中涉及墙体设置隔断、水电、通排风等基装，在安装屏蔽材料、安装防护铅门、铅玻璃等工程中，主要污染物有施工粉尘、噪声、装修废气、建筑垃圾、生活垃圾、生活污水、少量电离辐射、氮氧化物和臭气</w:t>
            </w:r>
            <w:r>
              <w:rPr>
                <w:rFonts w:hint="eastAsia" w:ascii="Times New Roman" w:hAnsi="Times New Roman" w:cs="Times New Roman"/>
                <w:sz w:val="24"/>
                <w:szCs w:val="24"/>
              </w:rPr>
              <w:t>。</w:t>
            </w:r>
          </w:p>
          <w:p w14:paraId="47D9297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Times New Roman" w:hAnsi="Times New Roman" w:cs="Times New Roman"/>
                <w:b/>
                <w:bCs/>
                <w:sz w:val="24"/>
                <w:szCs w:val="24"/>
              </w:rPr>
            </w:pPr>
            <w:r>
              <w:rPr>
                <w:rFonts w:hint="eastAsia" w:ascii="Times New Roman" w:hAnsi="Times New Roman" w:cs="Times New Roman"/>
                <w:b/>
                <w:bCs/>
                <w:sz w:val="24"/>
                <w:szCs w:val="24"/>
              </w:rPr>
              <w:t>二、运营期</w:t>
            </w:r>
          </w:p>
          <w:p w14:paraId="0465B2DD">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ascii="Times New Roman" w:hAnsi="Times New Roman" w:cs="Times New Roman"/>
                <w:sz w:val="24"/>
                <w:szCs w:val="24"/>
              </w:rPr>
            </w:pPr>
            <w:r>
              <w:rPr>
                <w:rFonts w:hint="eastAsia" w:ascii="Times New Roman" w:hAnsi="Times New Roman" w:cs="Times New Roman"/>
                <w:sz w:val="24"/>
                <w:szCs w:val="24"/>
              </w:rPr>
              <w:t>（1）X射线：X射线装置只有在开机并处于出束状态时才会发出X射线。在开机出束时，有用束和漏射、散射的X射线对周围环境造成辐射污染。X射线随设备的开机而产生，关机而消失。</w:t>
            </w:r>
          </w:p>
          <w:p w14:paraId="1C119C8A">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ascii="Times New Roman" w:hAnsi="Times New Roman" w:cs="Times New Roman"/>
                <w:sz w:val="24"/>
                <w:szCs w:val="24"/>
              </w:rPr>
            </w:pPr>
            <w:r>
              <w:rPr>
                <w:rFonts w:hint="eastAsia" w:ascii="Times New Roman" w:hAnsi="Times New Roman" w:cs="Times New Roman"/>
                <w:sz w:val="24"/>
                <w:szCs w:val="24"/>
              </w:rPr>
              <w:t>（2）废气（臭氧、氮氧化物）：在X射线装置开机及曝光过程中，X射线穿过空气会导致空气中的O</w:t>
            </w:r>
            <w:r>
              <w:rPr>
                <w:rFonts w:hint="eastAsia" w:ascii="Times New Roman" w:hAnsi="Times New Roman" w:cs="Times New Roman"/>
                <w:sz w:val="24"/>
                <w:szCs w:val="24"/>
                <w:vertAlign w:val="subscript"/>
              </w:rPr>
              <w:t>2</w:t>
            </w:r>
            <w:r>
              <w:rPr>
                <w:rFonts w:hint="eastAsia" w:ascii="Times New Roman" w:hAnsi="Times New Roman" w:cs="Times New Roman"/>
                <w:sz w:val="24"/>
                <w:szCs w:val="24"/>
              </w:rPr>
              <w:t>、N</w:t>
            </w:r>
            <w:r>
              <w:rPr>
                <w:rFonts w:hint="eastAsia" w:ascii="Times New Roman" w:hAnsi="Times New Roman" w:cs="Times New Roman"/>
                <w:sz w:val="24"/>
                <w:szCs w:val="24"/>
                <w:vertAlign w:val="subscript"/>
              </w:rPr>
              <w:t>2</w:t>
            </w:r>
            <w:r>
              <w:rPr>
                <w:rFonts w:hint="eastAsia" w:ascii="Times New Roman" w:hAnsi="Times New Roman" w:cs="Times New Roman"/>
                <w:sz w:val="24"/>
                <w:szCs w:val="24"/>
              </w:rPr>
              <w:t>发生一系列化学反应，产生臭氧和氮氧化物。</w:t>
            </w:r>
          </w:p>
          <w:p w14:paraId="19E099CD">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ascii="Times New Roman" w:hAnsi="Times New Roman" w:cs="Times New Roman"/>
                <w:sz w:val="24"/>
                <w:szCs w:val="24"/>
              </w:rPr>
            </w:pPr>
            <w:r>
              <w:rPr>
                <w:rFonts w:hint="eastAsia" w:ascii="Times New Roman" w:hAnsi="Times New Roman" w:cs="Times New Roman"/>
                <w:sz w:val="24"/>
                <w:szCs w:val="24"/>
              </w:rPr>
              <w:t>（3）废水：本项目</w:t>
            </w:r>
            <w:r>
              <w:rPr>
                <w:rFonts w:ascii="Times New Roman" w:hAnsi="Times New Roman" w:cs="Times New Roman"/>
                <w:sz w:val="24"/>
                <w:szCs w:val="24"/>
              </w:rPr>
              <w:t>DSA射线装置</w:t>
            </w:r>
            <w:r>
              <w:rPr>
                <w:rFonts w:hint="eastAsia" w:ascii="Times New Roman" w:hAnsi="Times New Roman" w:cs="Times New Roman"/>
                <w:sz w:val="24"/>
                <w:szCs w:val="24"/>
              </w:rPr>
              <w:t>采用数字成像，不使用显影液和定影液，无洗片过程，无废显、定影液产生。医务人员工作时产生少量的生活废水，介入手术、清洗器械产生少量医疗废水。</w:t>
            </w:r>
          </w:p>
          <w:p w14:paraId="2A24715B">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rPr>
            </w:pPr>
            <w:r>
              <w:rPr>
                <w:rFonts w:hint="eastAsia" w:ascii="Times New Roman" w:hAnsi="Times New Roman" w:cs="Times New Roman"/>
                <w:sz w:val="24"/>
                <w:szCs w:val="24"/>
              </w:rPr>
              <w:t>（4）噪声：本项目DSA机房依托现有动力排风系统。排气风机选用低噪声型设备，噪声值一般低于</w:t>
            </w:r>
            <w:r>
              <w:rPr>
                <w:rFonts w:hint="eastAsia" w:ascii="Times New Roman" w:hAnsi="Times New Roman" w:cs="Times New Roman"/>
                <w:sz w:val="24"/>
                <w:szCs w:val="24"/>
                <w:lang w:val="en-US" w:eastAsia="zh-CN"/>
              </w:rPr>
              <w:t>55</w:t>
            </w:r>
            <w:r>
              <w:rPr>
                <w:rFonts w:hint="eastAsia" w:ascii="Times New Roman" w:hAnsi="Times New Roman" w:cs="Times New Roman"/>
                <w:sz w:val="24"/>
                <w:szCs w:val="24"/>
              </w:rPr>
              <w:t>dB(A)，风机采用减震设计并通过建筑墙体隔声及距离衰减降低噪声影响。</w:t>
            </w:r>
          </w:p>
          <w:p w14:paraId="7CAC8F80">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rPr>
            </w:pPr>
            <w:r>
              <w:rPr>
                <w:rFonts w:hint="eastAsia" w:ascii="Times New Roman" w:hAnsi="Times New Roman" w:cs="Times New Roman"/>
                <w:sz w:val="24"/>
                <w:szCs w:val="24"/>
              </w:rPr>
              <w:t>（5）固体废物：</w:t>
            </w:r>
            <w:r>
              <w:rPr>
                <w:rFonts w:hint="eastAsia" w:ascii="Times New Roman" w:hAnsi="Times New Roman" w:cs="Times New Roman"/>
                <w:sz w:val="24"/>
                <w:szCs w:val="24"/>
                <w:lang w:val="en-US" w:eastAsia="zh-CN"/>
              </w:rPr>
              <w:t>固体废物：</w:t>
            </w:r>
            <w:r>
              <w:rPr>
                <w:rFonts w:hint="default" w:ascii="Times New Roman" w:hAnsi="Times New Roman" w:cs="Times New Roman"/>
                <w:sz w:val="24"/>
                <w:szCs w:val="24"/>
              </w:rPr>
              <w:t>本项目DSA</w:t>
            </w:r>
            <w:r>
              <w:rPr>
                <w:rFonts w:hint="eastAsia" w:ascii="Times New Roman" w:hAnsi="Times New Roman" w:cs="Times New Roman"/>
                <w:sz w:val="24"/>
                <w:szCs w:val="24"/>
                <w:lang w:val="en-US" w:eastAsia="zh-CN"/>
              </w:rPr>
              <w:t>采用数字成像，不打印胶片，会根据病人的需要刻录光盘，光盘由病人带走并自行处理，无废胶片产生；介入手术时会产生少量纱布、手套等医疗废物；医护人员在工作中会产生少量生活垃圾</w:t>
            </w:r>
            <w:r>
              <w:rPr>
                <w:rFonts w:hint="eastAsia" w:ascii="Times New Roman" w:hAnsi="Times New Roman" w:cs="Times New Roman"/>
                <w:sz w:val="24"/>
                <w:szCs w:val="24"/>
              </w:rPr>
              <w:t>。</w:t>
            </w:r>
          </w:p>
        </w:tc>
      </w:tr>
      <w:tr w14:paraId="7778CFD7">
        <w:tblPrEx>
          <w:tblCellMar>
            <w:top w:w="0" w:type="dxa"/>
            <w:left w:w="108" w:type="dxa"/>
            <w:bottom w:w="0" w:type="dxa"/>
            <w:right w:w="108" w:type="dxa"/>
          </w:tblCellMar>
        </w:tblPrEx>
        <w:trPr>
          <w:trHeight w:val="381"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14CA00DB">
            <w:pPr>
              <w:widowControl/>
              <w:spacing w:line="280" w:lineRule="exact"/>
              <w:jc w:val="center"/>
              <w:rPr>
                <w:rFonts w:ascii="宋体"/>
                <w:kern w:val="0"/>
                <w:sz w:val="24"/>
                <w:szCs w:val="24"/>
              </w:rPr>
            </w:pPr>
            <w:r>
              <w:rPr>
                <w:rFonts w:hint="eastAsia" w:ascii="宋体" w:hAnsi="宋体"/>
                <w:kern w:val="0"/>
                <w:sz w:val="24"/>
                <w:szCs w:val="24"/>
              </w:rPr>
              <w:t>项目预防及减轻不良环境影响的对策和措施</w:t>
            </w:r>
          </w:p>
        </w:tc>
      </w:tr>
      <w:tr w14:paraId="54DC6AD2">
        <w:tblPrEx>
          <w:tblCellMar>
            <w:top w:w="0" w:type="dxa"/>
            <w:left w:w="108" w:type="dxa"/>
            <w:bottom w:w="0" w:type="dxa"/>
            <w:right w:w="108" w:type="dxa"/>
          </w:tblCellMar>
        </w:tblPrEx>
        <w:trPr>
          <w:trHeight w:val="437"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7A161D9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一、辐射影响对策和措施</w:t>
            </w:r>
          </w:p>
          <w:p w14:paraId="415C4114">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1、工作区域管理</w:t>
            </w:r>
          </w:p>
          <w:p w14:paraId="297B0929">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为了便于加强管理，切实做好辐射安全防范工作，按《电离辐射防护与辐射源安全基本标准》（GB18871-2002），次环评结合现场实际将DSA介入室机房作为辐射防护控制区，将控制室、机房相邻的洁净通道和污物通道、16号手术室、设备间处划为辐射防护监督区，以便于辐射防护管理和职业照射控制。控制区内禁止外来人员进入，职业工作人员在进行日常工作时尽量不要在控制区内停留，以减少不必要的照射。监督区范围内应限制无关人员进入。</w:t>
            </w:r>
          </w:p>
          <w:p w14:paraId="6273FBA0">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2、辐射安全及防护措施</w:t>
            </w:r>
          </w:p>
          <w:p w14:paraId="6D307ED1">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（1）设备固有措施</w:t>
            </w:r>
          </w:p>
          <w:p w14:paraId="514EAC52">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①本项目DSA装有可调限束装置，使装置发射的线束宽度尽量减小，以减少泄漏辐射。</w:t>
            </w:r>
          </w:p>
          <w:p w14:paraId="6BB1D546">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②采用栅控技术：在每次脉冲曝光间隔向旋转阳极加一负电压，抵消曝光脉冲的启辉与余辉，起到消除软X射线、提高有用射线品质并减小脉冲宽度作用。</w:t>
            </w:r>
          </w:p>
          <w:p w14:paraId="49FC3A73">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③采用光谱过滤技术：在X射线管头或影像增强器的窗口处放置合适铝过滤板，可以多消除X射线以及减少二次散射，优化有用X射线谱。设备应提供适应DSA不同应用时所可以选用的各种形状与规格的准直器隔板和铝过滤板。影像增强器前面可酌情配置各种规格的滤线栅，以减少散射影响。</w:t>
            </w:r>
          </w:p>
          <w:p w14:paraId="3CC6981D">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④采用脉冲透视技术：在透视图像数字化基础上实现脉冲透视（如每秒25帧、12.5帧、6帧等可供选择），改善图像清晰度；并能明显地减少透视剂量。</w:t>
            </w:r>
          </w:p>
          <w:p w14:paraId="12812F26">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⑤采用图像冻结技术：每次透视的最后一帧图像被暂存并保留于监视器上显示，即称之为图像冻结（lastimagehold，LIH）。充分利用此方法可以明显缩短总透视时间，达到减少不必要的照射。</w:t>
            </w:r>
          </w:p>
          <w:p w14:paraId="52319531">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⑥配备相应的表征剂量的指示装置：应配备能在线监测表征输出剂量的指示装置。</w:t>
            </w:r>
          </w:p>
          <w:p w14:paraId="28A2C949">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⑦配备辅助防护设施：DSA设备配备防护屏蔽吊架、各种防护屏蔽挂帘等辅助防护用品，DSA床旁的铅防护帘，机头处的铅悬防护屏，这些屏蔽体均具有0.5mm铅当量防护水平。</w:t>
            </w:r>
          </w:p>
          <w:p w14:paraId="28879F7C">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（2）场所设计安全措施</w:t>
            </w:r>
          </w:p>
          <w:p w14:paraId="3C67E90E">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本项目按照《放射诊断放射防护要求》（GBZ130—2020）中X射线设备机房屏蔽防护要求进行设计建设，</w:t>
            </w:r>
            <w:r>
              <w:rPr>
                <w:rFonts w:hint="eastAsia" w:ascii="Times New Roman" w:hAnsi="Times New Roman" w:cs="Times New Roman"/>
                <w:sz w:val="24"/>
                <w:szCs w:val="24"/>
                <w:lang w:val="en-US" w:eastAsia="zh-CN"/>
              </w:rPr>
              <w:t>DSA手术室</w:t>
            </w:r>
            <w:r>
              <w:rPr>
                <w:rFonts w:hint="default" w:ascii="Times New Roman" w:hAnsi="Times New Roman" w:cs="Times New Roman"/>
                <w:sz w:val="24"/>
                <w:szCs w:val="24"/>
                <w:lang w:val="en-US" w:eastAsia="zh-CN"/>
              </w:rPr>
              <w:t>机房最小单边长</w:t>
            </w:r>
            <w:r>
              <w:rPr>
                <w:rFonts w:hint="eastAsia" w:ascii="Times New Roman" w:hAnsi="Times New Roman" w:cs="Times New Roman"/>
                <w:sz w:val="24"/>
                <w:szCs w:val="24"/>
                <w:lang w:val="en-US" w:eastAsia="zh-CN"/>
              </w:rPr>
              <w:t>6.0m</w:t>
            </w:r>
            <w:r>
              <w:rPr>
                <w:rFonts w:hint="default" w:ascii="Times New Roman" w:hAnsi="Times New Roman" w:cs="Times New Roman"/>
                <w:sz w:val="24"/>
                <w:szCs w:val="24"/>
                <w:lang w:val="en-US" w:eastAsia="zh-CN"/>
              </w:rPr>
              <w:t>，机房有效面积</w:t>
            </w:r>
            <w:r>
              <w:rPr>
                <w:rFonts w:hint="eastAsia" w:ascii="Times New Roman" w:hAnsi="Times New Roman" w:cs="Times New Roman"/>
                <w:sz w:val="24"/>
                <w:szCs w:val="24"/>
                <w:lang w:val="en-US" w:eastAsia="zh-CN"/>
              </w:rPr>
              <w:t>48.21m</w:t>
            </w:r>
            <w:r>
              <w:rPr>
                <w:rFonts w:hint="eastAsia" w:ascii="Times New Roman" w:hAnsi="Times New Roman" w:cs="Times New Roman"/>
                <w:sz w:val="24"/>
                <w:szCs w:val="24"/>
                <w:vertAlign w:val="superscript"/>
                <w:lang w:val="en-US" w:eastAsia="zh-CN"/>
              </w:rPr>
              <w:t>2</w:t>
            </w:r>
            <w:r>
              <w:rPr>
                <w:rFonts w:hint="default" w:ascii="Times New Roman" w:hAnsi="Times New Roman" w:cs="Times New Roman"/>
                <w:sz w:val="24"/>
                <w:szCs w:val="24"/>
                <w:lang w:val="en-US" w:eastAsia="zh-CN"/>
              </w:rPr>
              <w:t>，满足《放射诊断放射防护要求》（GBZ130—2020）中规定的“单管头X射线机设备机房内最小有效使用面积20m</w:t>
            </w:r>
            <w:r>
              <w:rPr>
                <w:rFonts w:hint="default" w:ascii="Times New Roman" w:hAnsi="Times New Roman" w:cs="Times New Roman"/>
                <w:sz w:val="24"/>
                <w:szCs w:val="24"/>
                <w:vertAlign w:val="superscript"/>
                <w:lang w:val="en-US" w:eastAsia="zh-CN"/>
              </w:rPr>
              <w:t>2</w:t>
            </w:r>
            <w:r>
              <w:rPr>
                <w:rFonts w:hint="default" w:ascii="Times New Roman" w:hAnsi="Times New Roman" w:cs="Times New Roman"/>
                <w:sz w:val="24"/>
                <w:szCs w:val="24"/>
                <w:lang w:val="en-US" w:eastAsia="zh-CN"/>
              </w:rPr>
              <w:t>，机房内最小单边长度3.5m”的要求。东墙、南墙、北墙：留有剪力墙部分：300mm钢筋混凝土剪力墙+涂刷20mm硫酸钡防护涂料进行屏蔽防护，折合铅当量：6.18mm，在无剪力墙空区采用轻钢龙骨骨架，内衬4mmpb防护铅板进行屏蔽防护，折合铅当量4mm，西墙：采用轻钢龙骨骨架，内衬4mmpb防护铅板进行屏蔽防护，铅当量约4mmPb。地面综合铅当量折算约5.16mm铅当量、顶面综合铅当量折算约5.44mm铅当量，铅门铅当量约4.0mmPb，观察窗铅玻璃铅当量约4.0mmPb</w:t>
            </w:r>
            <w:r>
              <w:rPr>
                <w:rFonts w:hint="eastAsia" w:ascii="Times New Roman" w:hAnsi="Times New Roman" w:cs="Times New Roman"/>
                <w:sz w:val="24"/>
                <w:szCs w:val="24"/>
                <w:lang w:val="en-US" w:eastAsia="zh-CN"/>
              </w:rPr>
              <w:t>，DSA手术室机房</w:t>
            </w:r>
            <w:r>
              <w:rPr>
                <w:rFonts w:hint="default" w:ascii="Times New Roman" w:hAnsi="Times New Roman" w:cs="Times New Roman"/>
                <w:sz w:val="24"/>
                <w:szCs w:val="24"/>
                <w:lang w:val="en-US" w:eastAsia="zh-CN"/>
              </w:rPr>
              <w:t>防护铅当量均满足《放射诊断放射防护要求》（GBZ130—2020）中规定的“有用线束方向铅当量2mm，非有用线束方向铅当量2mm”的要求。</w:t>
            </w:r>
          </w:p>
          <w:p w14:paraId="5493AF1A">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（3）紧急停机按钮</w:t>
            </w:r>
          </w:p>
          <w:p w14:paraId="24D5E9F9">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caps w:val="0"/>
                <w:color w:val="auto"/>
                <w:sz w:val="24"/>
                <w:szCs w:val="24"/>
                <w:highlight w:val="none"/>
              </w:rPr>
            </w:pPr>
            <w:r>
              <w:rPr>
                <w:rFonts w:hint="eastAsia" w:ascii="Times New Roman" w:hAnsi="Times New Roman" w:cs="Times New Roman"/>
                <w:caps w:val="0"/>
                <w:color w:val="auto"/>
                <w:sz w:val="24"/>
                <w:szCs w:val="24"/>
                <w:highlight w:val="none"/>
                <w:lang w:val="en-US" w:eastAsia="zh-CN"/>
              </w:rPr>
              <w:t>本项目控制室操作台、DSA设备侧，控制室铅门旁，拟分别设置1个紧急停止按钮（各按钮与X线系统连接），共3个紧急停止按钮。DSA射线装置系统的X线系统出束过程中，一旦出现异常，按动任紧急停机按钮，均可停止X线系统出束</w:t>
            </w:r>
            <w:r>
              <w:rPr>
                <w:rFonts w:hint="default" w:ascii="Times New Roman" w:hAnsi="Times New Roman" w:cs="Times New Roman"/>
                <w:caps w:val="0"/>
                <w:color w:val="auto"/>
                <w:sz w:val="24"/>
                <w:szCs w:val="24"/>
                <w:highlight w:val="none"/>
              </w:rPr>
              <w:t>。</w:t>
            </w:r>
          </w:p>
          <w:p w14:paraId="42500615">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（4）门灯联锁装置、电离辐射警示标志</w:t>
            </w:r>
          </w:p>
          <w:p w14:paraId="11AF7827">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eastAsia="方正仿宋_GBK" w:cs="Times New Roman"/>
                <w:bCs/>
                <w:caps w:val="0"/>
                <w:color w:val="auto"/>
                <w:sz w:val="24"/>
                <w:szCs w:val="24"/>
                <w:highlight w:val="none"/>
                <w:lang w:eastAsia="zh-CN"/>
              </w:rPr>
            </w:pPr>
            <w:r>
              <w:rPr>
                <w:rFonts w:hint="default" w:ascii="Times New Roman" w:hAnsi="Times New Roman" w:cs="Times New Roman"/>
                <w:caps w:val="0"/>
                <w:color w:val="auto"/>
                <w:sz w:val="24"/>
                <w:szCs w:val="24"/>
                <w:highlight w:val="none"/>
              </w:rPr>
              <w:t>门灯联锁装置、电离辐射警示标志</w:t>
            </w:r>
            <w:r>
              <w:rPr>
                <w:rFonts w:hint="default" w:ascii="Times New Roman" w:hAnsi="Times New Roman" w:cs="Times New Roman"/>
                <w:caps w:val="0"/>
                <w:color w:val="auto"/>
                <w:sz w:val="24"/>
                <w:szCs w:val="24"/>
                <w:highlight w:val="none"/>
                <w:lang w:eastAsia="zh-CN"/>
              </w:rPr>
              <w:t>主要警示和</w:t>
            </w:r>
            <w:r>
              <w:rPr>
                <w:rFonts w:hint="eastAsia" w:cs="Times New Roman"/>
                <w:caps w:val="0"/>
                <w:color w:val="auto"/>
                <w:sz w:val="24"/>
                <w:szCs w:val="24"/>
                <w:highlight w:val="none"/>
                <w:lang w:val="en-US" w:eastAsia="zh-CN"/>
              </w:rPr>
              <w:t>防止</w:t>
            </w:r>
            <w:r>
              <w:rPr>
                <w:rFonts w:hint="default" w:ascii="Times New Roman" w:hAnsi="Times New Roman" w:cs="Times New Roman"/>
                <w:caps w:val="0"/>
                <w:color w:val="auto"/>
                <w:sz w:val="24"/>
                <w:szCs w:val="24"/>
                <w:highlight w:val="none"/>
                <w:lang w:eastAsia="zh-CN"/>
              </w:rPr>
              <w:t>无关人员误入手术室造成受到误照射。</w:t>
            </w:r>
            <w:r>
              <w:rPr>
                <w:rFonts w:hint="default" w:ascii="Times New Roman" w:hAnsi="Times New Roman" w:cs="Times New Roman"/>
                <w:caps w:val="0"/>
                <w:color w:val="auto"/>
                <w:sz w:val="24"/>
                <w:szCs w:val="24"/>
                <w:highlight w:val="none"/>
              </w:rPr>
              <w:t>拟</w:t>
            </w:r>
            <w:r>
              <w:rPr>
                <w:rFonts w:hint="default" w:ascii="Times New Roman" w:hAnsi="Times New Roman" w:cs="Times New Roman"/>
                <w:caps w:val="0"/>
                <w:color w:val="auto"/>
                <w:sz w:val="24"/>
                <w:szCs w:val="24"/>
                <w:highlight w:val="none"/>
                <w:lang w:eastAsia="zh-CN"/>
              </w:rPr>
              <w:t>设置门灯联锁装置、电离辐射警示标志</w:t>
            </w:r>
            <w:r>
              <w:rPr>
                <w:rFonts w:hint="eastAsia" w:cs="Times New Roman"/>
                <w:caps w:val="0"/>
                <w:color w:val="auto"/>
                <w:sz w:val="24"/>
                <w:szCs w:val="24"/>
                <w:highlight w:val="none"/>
                <w:lang w:val="en-US" w:eastAsia="zh-CN"/>
              </w:rPr>
              <w:t>3</w:t>
            </w:r>
            <w:r>
              <w:rPr>
                <w:rFonts w:hint="default" w:ascii="Times New Roman" w:hAnsi="Times New Roman" w:cs="Times New Roman"/>
                <w:caps w:val="0"/>
                <w:color w:val="auto"/>
                <w:sz w:val="24"/>
                <w:szCs w:val="24"/>
                <w:highlight w:val="none"/>
                <w:lang w:val="en-US" w:eastAsia="zh-CN"/>
              </w:rPr>
              <w:t>套，分别设置在</w:t>
            </w:r>
            <w:r>
              <w:rPr>
                <w:rFonts w:hint="default" w:ascii="Times New Roman" w:hAnsi="Times New Roman" w:cs="Times New Roman"/>
                <w:caps w:val="0"/>
                <w:color w:val="auto"/>
                <w:sz w:val="24"/>
                <w:szCs w:val="24"/>
                <w:highlight w:val="none"/>
              </w:rPr>
              <w:t>控制室</w:t>
            </w:r>
            <w:r>
              <w:rPr>
                <w:rFonts w:hint="default" w:ascii="Times New Roman" w:hAnsi="Times New Roman" w:cs="Times New Roman"/>
                <w:caps w:val="0"/>
                <w:color w:val="auto"/>
                <w:sz w:val="24"/>
                <w:szCs w:val="24"/>
                <w:highlight w:val="none"/>
                <w:lang w:val="en-US" w:eastAsia="zh-CN"/>
              </w:rPr>
              <w:t>铅门、患者通道铅门、污物通道防护门处，</w:t>
            </w:r>
            <w:r>
              <w:rPr>
                <w:rFonts w:hint="default" w:ascii="Times New Roman" w:hAnsi="Times New Roman" w:cs="Times New Roman"/>
                <w:bCs/>
                <w:caps w:val="0"/>
                <w:color w:val="auto"/>
                <w:sz w:val="24"/>
                <w:szCs w:val="24"/>
                <w:highlight w:val="none"/>
              </w:rPr>
              <w:t>“当心电离辐射”警示标志，</w:t>
            </w:r>
            <w:r>
              <w:rPr>
                <w:rFonts w:hint="default" w:ascii="Times New Roman" w:hAnsi="Times New Roman" w:cs="Times New Roman"/>
                <w:bCs/>
                <w:caps w:val="0"/>
                <w:color w:val="auto"/>
                <w:sz w:val="24"/>
                <w:szCs w:val="24"/>
                <w:highlight w:val="none"/>
                <w:lang w:eastAsia="zh-CN"/>
              </w:rPr>
              <w:t>主要</w:t>
            </w:r>
            <w:r>
              <w:rPr>
                <w:rFonts w:hint="default" w:ascii="Times New Roman" w:hAnsi="Times New Roman" w:cs="Times New Roman"/>
                <w:bCs/>
                <w:caps w:val="0"/>
                <w:color w:val="auto"/>
                <w:sz w:val="24"/>
                <w:szCs w:val="24"/>
                <w:highlight w:val="none"/>
              </w:rPr>
              <w:t>警示人们注意可能发生的危险。</w:t>
            </w:r>
            <w:r>
              <w:rPr>
                <w:rFonts w:hint="default" w:ascii="Times New Roman" w:hAnsi="Times New Roman" w:cs="Times New Roman"/>
                <w:caps w:val="0"/>
                <w:color w:val="auto"/>
                <w:sz w:val="24"/>
                <w:szCs w:val="24"/>
                <w:highlight w:val="none"/>
                <w:lang w:eastAsia="zh-CN"/>
              </w:rPr>
              <w:t>门灯联锁装置主要在</w:t>
            </w:r>
            <w:r>
              <w:rPr>
                <w:rFonts w:hint="default" w:ascii="Times New Roman" w:hAnsi="Times New Roman" w:cs="Times New Roman"/>
                <w:bCs/>
                <w:caps w:val="0"/>
                <w:color w:val="auto"/>
                <w:sz w:val="24"/>
                <w:szCs w:val="24"/>
                <w:highlight w:val="none"/>
              </w:rPr>
              <w:t>机房门上方设置醒目的工作状态指示灯，灯箱上设置如“射线有害、灯亮勿入”的可视警示语句，同时，工作状态指示灯能与机房门有效关联。当机房门开启时，警示灯熄灭，机房门关闭时，警示灯开启。严格遵守DSA操作规程，加强门灯联锁装置维护，只有在机房完全关闭，工作状态指示灯亮时DSA才可出束诊疗，避免医务人员及公众受到误照射</w:t>
            </w:r>
            <w:r>
              <w:rPr>
                <w:rFonts w:hint="eastAsia" w:ascii="Times New Roman" w:hAnsi="Times New Roman" w:cs="Times New Roman"/>
                <w:bCs/>
                <w:caps w:val="0"/>
                <w:color w:val="auto"/>
                <w:sz w:val="24"/>
                <w:szCs w:val="24"/>
                <w:highlight w:val="none"/>
                <w:lang w:eastAsia="zh-CN"/>
              </w:rPr>
              <w:t>。</w:t>
            </w:r>
          </w:p>
          <w:p w14:paraId="28366EB1">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（5）个人防护用品、监测仪器</w:t>
            </w:r>
          </w:p>
          <w:p w14:paraId="17A8298F">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eastAsia="方正仿宋_GBK" w:cs="Times New Roman"/>
                <w:sz w:val="24"/>
                <w:szCs w:val="24"/>
                <w:lang w:val="en-US" w:eastAsia="zh-CN"/>
              </w:rPr>
            </w:pPr>
            <w:r>
              <w:rPr>
                <w:rFonts w:hint="default" w:ascii="Times New Roman" w:hAnsi="Times New Roman" w:cs="Times New Roman"/>
                <w:bCs/>
                <w:caps w:val="0"/>
                <w:color w:val="auto"/>
                <w:sz w:val="24"/>
                <w:szCs w:val="24"/>
                <w:highlight w:val="none"/>
              </w:rPr>
              <w:t>本项目拟为辐射工作人员配备0.5mmPb的铅衣、铅围脖、铅眼镜、铅围裙、铅帽等个人防护用品各</w:t>
            </w:r>
            <w:r>
              <w:rPr>
                <w:rFonts w:hint="eastAsia" w:cs="Times New Roman"/>
                <w:bCs/>
                <w:caps w:val="0"/>
                <w:color w:val="auto"/>
                <w:sz w:val="24"/>
                <w:szCs w:val="24"/>
                <w:highlight w:val="none"/>
                <w:lang w:val="en-US" w:eastAsia="zh-CN"/>
              </w:rPr>
              <w:t>10</w:t>
            </w:r>
            <w:r>
              <w:rPr>
                <w:rFonts w:hint="default" w:ascii="Times New Roman" w:hAnsi="Times New Roman" w:cs="Times New Roman"/>
                <w:bCs/>
                <w:caps w:val="0"/>
                <w:color w:val="auto"/>
                <w:sz w:val="24"/>
                <w:szCs w:val="24"/>
                <w:highlight w:val="none"/>
              </w:rPr>
              <w:t>套，</w:t>
            </w:r>
            <w:r>
              <w:rPr>
                <w:rFonts w:hint="default" w:ascii="Times New Roman" w:hAnsi="Times New Roman" w:cs="Times New Roman"/>
                <w:caps w:val="0"/>
                <w:color w:val="auto"/>
                <w:sz w:val="24"/>
                <w:szCs w:val="24"/>
                <w:highlight w:val="none"/>
              </w:rPr>
              <w:t>为受检者配备0.5mmPb围裙或方巾</w:t>
            </w:r>
            <w:r>
              <w:rPr>
                <w:rFonts w:hint="eastAsia" w:cs="Times New Roman"/>
                <w:caps w:val="0"/>
                <w:color w:val="auto"/>
                <w:sz w:val="24"/>
                <w:szCs w:val="24"/>
                <w:highlight w:val="none"/>
                <w:lang w:val="en-US" w:eastAsia="zh-CN"/>
              </w:rPr>
              <w:t>2</w:t>
            </w:r>
            <w:r>
              <w:rPr>
                <w:rFonts w:hint="default" w:ascii="Times New Roman" w:hAnsi="Times New Roman" w:cs="Times New Roman"/>
                <w:caps w:val="0"/>
                <w:color w:val="auto"/>
                <w:sz w:val="24"/>
                <w:szCs w:val="24"/>
                <w:highlight w:val="none"/>
              </w:rPr>
              <w:t>套、颈套</w:t>
            </w:r>
            <w:r>
              <w:rPr>
                <w:rFonts w:hint="eastAsia" w:cs="Times New Roman"/>
                <w:caps w:val="0"/>
                <w:color w:val="auto"/>
                <w:sz w:val="24"/>
                <w:szCs w:val="24"/>
                <w:highlight w:val="none"/>
                <w:lang w:val="en-US" w:eastAsia="zh-CN"/>
              </w:rPr>
              <w:t>2</w:t>
            </w:r>
            <w:r>
              <w:rPr>
                <w:rFonts w:hint="default" w:ascii="Times New Roman" w:hAnsi="Times New Roman" w:cs="Times New Roman"/>
                <w:caps w:val="0"/>
                <w:color w:val="auto"/>
                <w:sz w:val="24"/>
                <w:szCs w:val="24"/>
                <w:highlight w:val="none"/>
              </w:rPr>
              <w:t>套，铅橡胶帽子</w:t>
            </w:r>
            <w:r>
              <w:rPr>
                <w:rFonts w:hint="eastAsia" w:cs="Times New Roman"/>
                <w:caps w:val="0"/>
                <w:color w:val="auto"/>
                <w:sz w:val="24"/>
                <w:szCs w:val="24"/>
                <w:highlight w:val="none"/>
                <w:lang w:val="en-US" w:eastAsia="zh-CN"/>
              </w:rPr>
              <w:t>2</w:t>
            </w:r>
            <w:r>
              <w:rPr>
                <w:rFonts w:hint="default" w:ascii="Times New Roman" w:hAnsi="Times New Roman" w:cs="Times New Roman"/>
                <w:caps w:val="0"/>
                <w:color w:val="auto"/>
                <w:sz w:val="24"/>
                <w:szCs w:val="24"/>
                <w:highlight w:val="none"/>
              </w:rPr>
              <w:t>个</w:t>
            </w:r>
            <w:r>
              <w:rPr>
                <w:rFonts w:hint="eastAsia" w:ascii="Times New Roman" w:hAnsi="Times New Roman" w:cs="Times New Roman"/>
                <w:caps w:val="0"/>
                <w:color w:val="auto"/>
                <w:sz w:val="24"/>
                <w:szCs w:val="24"/>
                <w:highlight w:val="none"/>
                <w:lang w:eastAsia="zh-CN"/>
              </w:rPr>
              <w:t>。</w:t>
            </w:r>
          </w:p>
          <w:p w14:paraId="773A47F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二、“三废”的治理</w:t>
            </w:r>
          </w:p>
          <w:p w14:paraId="024BD336">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1、废气治理措施</w:t>
            </w:r>
          </w:p>
          <w:p w14:paraId="059F29FA">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机房采用净化空调换气，机组风量12000m</w:t>
            </w:r>
            <w:r>
              <w:rPr>
                <w:rFonts w:hint="default" w:ascii="Times New Roman" w:hAnsi="Times New Roman" w:cs="Times New Roman"/>
                <w:sz w:val="24"/>
                <w:szCs w:val="24"/>
                <w:vertAlign w:val="superscript"/>
                <w:lang w:val="en-US" w:eastAsia="zh-CN"/>
              </w:rPr>
              <w:t>3</w:t>
            </w:r>
            <w:r>
              <w:rPr>
                <w:rFonts w:hint="default" w:ascii="Times New Roman" w:hAnsi="Times New Roman" w:cs="Times New Roman"/>
                <w:sz w:val="24"/>
                <w:szCs w:val="24"/>
                <w:lang w:val="en-US" w:eastAsia="zh-CN"/>
              </w:rPr>
              <w:t>/h，新风量1400m</w:t>
            </w:r>
            <w:r>
              <w:rPr>
                <w:rFonts w:hint="default" w:ascii="Times New Roman" w:hAnsi="Times New Roman" w:cs="Times New Roman"/>
                <w:sz w:val="24"/>
                <w:szCs w:val="24"/>
                <w:vertAlign w:val="superscript"/>
                <w:lang w:val="en-US" w:eastAsia="zh-CN"/>
              </w:rPr>
              <w:t>3</w:t>
            </w:r>
            <w:r>
              <w:rPr>
                <w:rFonts w:hint="default" w:ascii="Times New Roman" w:hAnsi="Times New Roman" w:cs="Times New Roman"/>
                <w:sz w:val="24"/>
                <w:szCs w:val="24"/>
                <w:lang w:val="en-US" w:eastAsia="zh-CN"/>
              </w:rPr>
              <w:t>/h，回风风量10600m</w:t>
            </w:r>
            <w:r>
              <w:rPr>
                <w:rFonts w:hint="default" w:ascii="Times New Roman" w:hAnsi="Times New Roman" w:cs="Times New Roman"/>
                <w:sz w:val="24"/>
                <w:szCs w:val="24"/>
                <w:vertAlign w:val="superscript"/>
                <w:lang w:val="en-US" w:eastAsia="zh-CN"/>
              </w:rPr>
              <w:t>3</w:t>
            </w:r>
            <w:r>
              <w:rPr>
                <w:rFonts w:hint="default" w:ascii="Times New Roman" w:hAnsi="Times New Roman" w:cs="Times New Roman"/>
                <w:sz w:val="24"/>
                <w:szCs w:val="24"/>
                <w:lang w:val="en-US" w:eastAsia="zh-CN"/>
              </w:rPr>
              <w:t>/h，排风量为500m</w:t>
            </w:r>
            <w:r>
              <w:rPr>
                <w:rFonts w:hint="default" w:ascii="Times New Roman" w:hAnsi="Times New Roman" w:cs="Times New Roman"/>
                <w:sz w:val="24"/>
                <w:szCs w:val="24"/>
                <w:vertAlign w:val="superscript"/>
                <w:lang w:val="en-US" w:eastAsia="zh-CN"/>
              </w:rPr>
              <w:t>3</w:t>
            </w:r>
            <w:r>
              <w:rPr>
                <w:rFonts w:hint="default" w:ascii="Times New Roman" w:hAnsi="Times New Roman" w:cs="Times New Roman"/>
                <w:sz w:val="24"/>
                <w:szCs w:val="24"/>
                <w:lang w:val="en-US" w:eastAsia="zh-CN"/>
              </w:rPr>
              <w:t>/h，设备间安装1台精密空调，项目DSA手术室内采用顶部送风，侧吸的排风系统，排风口离地约30cm，风管从机房北侧屏蔽墙穿出机房，经机房装饰面板吊顶区域引至住院楼5楼中央空调机房，经5楼中央空调统一通过住院楼排风竖井排放。室吊顶和墙体均预留风孔，穿防护墙处采用垂直斜向45°穿墙，穿墙部位距地面均为3m，风管用3mm厚铅皮包裹，包裹长度为穿墙前后各30cm，穿墙部分间隙用硫酸钡水泥砂浆封堵填实，风管法兰接口、弯管用3mm厚铅皮搭接，经过铅皮等防护措施处理后，能够有效防止射线直接从风管照射出机房。机房内产生的臭氧和氮氧化物经排风系统抽至室外后可迅速自然分解，对周围大气环境影响很小。</w:t>
            </w:r>
          </w:p>
          <w:p w14:paraId="122D1302">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2、废水治理措施</w:t>
            </w:r>
          </w:p>
          <w:p w14:paraId="455A5441">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本建设项目DSA采用数字成像，无废显、定影液产生；本项目工作人员生活污水及手术过程中产生的医疗废水将依托曲靖市第二人民医院主体已建的化粪池和污水处理站进行处置，废水进入化粪池进行预处理后统一排入曲靖市第二人民医院已建设的800m</w:t>
            </w:r>
            <w:r>
              <w:rPr>
                <w:rFonts w:hint="eastAsia" w:ascii="Times New Roman" w:hAnsi="Times New Roman" w:cs="Times New Roman"/>
                <w:sz w:val="24"/>
                <w:szCs w:val="24"/>
                <w:vertAlign w:val="superscript"/>
                <w:lang w:val="en-US" w:eastAsia="zh-CN"/>
              </w:rPr>
              <w:t>3</w:t>
            </w:r>
            <w:r>
              <w:rPr>
                <w:rFonts w:hint="eastAsia" w:ascii="Times New Roman" w:hAnsi="Times New Roman" w:cs="Times New Roman"/>
                <w:sz w:val="24"/>
                <w:szCs w:val="24"/>
                <w:lang w:val="en-US" w:eastAsia="zh-CN"/>
              </w:rPr>
              <w:t>/d的污水处理站统一处理，经处理达标后排至市政污水管网最终进入曲靖市污水处理厂。</w:t>
            </w:r>
          </w:p>
          <w:p w14:paraId="30A981C5">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3、固体废弃物治理措施</w:t>
            </w:r>
          </w:p>
          <w:p w14:paraId="10B6A1A3">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本建设项目DSA采用数字成像，无需胶片，会根据患者的需要刻录光盘，光盘由患者带走并自行处理。介入手术过程中产生的医疗废物暂存于医疗废物暂存间，依托医院医疗废物管理制度统一处置。医护人员产生的生活垃圾经医院垃圾桶收集后委托环卫部门定期清运。</w:t>
            </w:r>
          </w:p>
          <w:p w14:paraId="649AA013">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4、噪声治理措施</w:t>
            </w:r>
          </w:p>
          <w:p w14:paraId="6FC0F779">
            <w:pPr>
              <w:keepNext w:val="0"/>
              <w:keepLines w:val="0"/>
              <w:pageBreakBefore w:val="0"/>
              <w:widowControl/>
              <w:kinsoku/>
              <w:wordWrap/>
              <w:overflowPunct/>
              <w:topLinePunct w:val="0"/>
              <w:autoSpaceDE/>
              <w:autoSpaceDN/>
              <w:bidi w:val="0"/>
              <w:adjustRightInd/>
              <w:snapToGrid/>
              <w:spacing w:line="360" w:lineRule="exact"/>
              <w:ind w:firstLine="480" w:firstLineChars="200"/>
              <w:jc w:val="left"/>
              <w:textAlignment w:val="auto"/>
            </w:pPr>
            <w:r>
              <w:rPr>
                <w:rFonts w:hint="eastAsia" w:ascii="Times New Roman" w:hAnsi="Times New Roman" w:cs="Times New Roman"/>
                <w:sz w:val="24"/>
                <w:szCs w:val="24"/>
                <w:lang w:val="en-US" w:eastAsia="zh-CN"/>
              </w:rPr>
              <w:t>DSA</w:t>
            </w:r>
            <w:r>
              <w:rPr>
                <w:rFonts w:hint="default" w:ascii="Times New Roman" w:hAnsi="Times New Roman" w:cs="Times New Roman"/>
                <w:sz w:val="24"/>
                <w:szCs w:val="24"/>
                <w:lang w:val="en-US" w:eastAsia="zh-CN"/>
              </w:rPr>
              <w:t>机房</w:t>
            </w:r>
            <w:r>
              <w:rPr>
                <w:rFonts w:hint="eastAsia" w:ascii="Times New Roman" w:hAnsi="Times New Roman" w:cs="Times New Roman"/>
                <w:sz w:val="24"/>
                <w:szCs w:val="24"/>
                <w:lang w:val="en-US" w:eastAsia="zh-CN"/>
              </w:rPr>
              <w:t>统一安装1套通排风系统。</w:t>
            </w:r>
            <w:r>
              <w:rPr>
                <w:rFonts w:hint="default" w:ascii="Times New Roman" w:hAnsi="Times New Roman" w:cs="Times New Roman"/>
                <w:sz w:val="24"/>
                <w:szCs w:val="24"/>
                <w:lang w:val="en-US" w:eastAsia="zh-CN"/>
              </w:rPr>
              <w:t>排气风机选用低噪音类型设备，噪声值≤50dB(A)，排风、新风(送风)管道上设置有消音器，外机支架上面使用减振器处理，风机噪声通过降噪措施降噪后，经过墙体阻隔和距离衰减后，对周围环境影响不大。</w:t>
            </w:r>
          </w:p>
        </w:tc>
      </w:tr>
      <w:tr w14:paraId="00C58AE9">
        <w:tblPrEx>
          <w:tblCellMar>
            <w:top w:w="0" w:type="dxa"/>
            <w:left w:w="108" w:type="dxa"/>
            <w:bottom w:w="0" w:type="dxa"/>
            <w:right w:w="108" w:type="dxa"/>
          </w:tblCellMar>
        </w:tblPrEx>
        <w:trPr>
          <w:trHeight w:val="386" w:hRule="atLeast"/>
        </w:trPr>
        <w:tc>
          <w:tcPr>
            <w:tcW w:w="9814" w:type="dxa"/>
            <w:gridSpan w:val="6"/>
            <w:tcBorders>
              <w:top w:val="single" w:color="auto" w:sz="4" w:space="0"/>
              <w:left w:val="single" w:color="auto" w:sz="4" w:space="0"/>
              <w:bottom w:val="single" w:color="auto" w:sz="4" w:space="0"/>
              <w:right w:val="single" w:color="auto" w:sz="4" w:space="0"/>
            </w:tcBorders>
            <w:shd w:val="clear" w:color="auto" w:fill="C0C0C0"/>
            <w:vAlign w:val="center"/>
          </w:tcPr>
          <w:p w14:paraId="30021CB9">
            <w:pPr>
              <w:widowControl/>
              <w:spacing w:line="280" w:lineRule="exact"/>
              <w:jc w:val="center"/>
              <w:rPr>
                <w:rFonts w:ascii="宋体"/>
                <w:kern w:val="0"/>
                <w:sz w:val="24"/>
                <w:szCs w:val="24"/>
              </w:rPr>
            </w:pPr>
            <w:r>
              <w:rPr>
                <w:rFonts w:hint="eastAsia" w:ascii="宋体" w:hAnsi="宋体"/>
                <w:kern w:val="0"/>
                <w:sz w:val="24"/>
                <w:szCs w:val="24"/>
              </w:rPr>
              <w:t>公众参与情况</w:t>
            </w:r>
          </w:p>
        </w:tc>
      </w:tr>
      <w:tr w14:paraId="3E8F5AA6">
        <w:tblPrEx>
          <w:tblCellMar>
            <w:top w:w="0" w:type="dxa"/>
            <w:left w:w="108" w:type="dxa"/>
            <w:bottom w:w="0" w:type="dxa"/>
            <w:right w:w="108" w:type="dxa"/>
          </w:tblCellMar>
        </w:tblPrEx>
        <w:trPr>
          <w:trHeight w:val="449" w:hRule="atLeast"/>
        </w:trPr>
        <w:tc>
          <w:tcPr>
            <w:tcW w:w="9814" w:type="dxa"/>
            <w:gridSpan w:val="6"/>
            <w:tcBorders>
              <w:top w:val="single" w:color="auto" w:sz="4" w:space="0"/>
              <w:left w:val="single" w:color="auto" w:sz="4" w:space="0"/>
              <w:bottom w:val="single" w:color="auto" w:sz="4" w:space="0"/>
              <w:right w:val="single" w:color="auto" w:sz="4" w:space="0"/>
            </w:tcBorders>
            <w:vAlign w:val="center"/>
          </w:tcPr>
          <w:p w14:paraId="4C5C9CDD">
            <w:pPr>
              <w:pStyle w:val="8"/>
              <w:ind w:firstLine="480" w:firstLineChars="200"/>
              <w:rPr>
                <w:rFonts w:hint="default" w:eastAsia="方正仿宋_GBK"/>
                <w:lang w:val="en-US" w:eastAsia="zh-CN"/>
              </w:rPr>
            </w:pPr>
            <w:r>
              <w:rPr>
                <w:rFonts w:hint="eastAsia" w:ascii="Times New Roman" w:hAnsi="Times New Roman"/>
                <w:sz w:val="24"/>
                <w:szCs w:val="24"/>
                <w:lang w:val="en-US" w:eastAsia="zh-CN"/>
              </w:rPr>
              <w:t>无。</w:t>
            </w:r>
          </w:p>
        </w:tc>
      </w:tr>
      <w:tr w14:paraId="5989A911">
        <w:tblPrEx>
          <w:tblCellMar>
            <w:top w:w="0" w:type="dxa"/>
            <w:left w:w="108" w:type="dxa"/>
            <w:bottom w:w="0" w:type="dxa"/>
            <w:right w:w="108" w:type="dxa"/>
          </w:tblCellMar>
        </w:tblPrEx>
        <w:trPr>
          <w:trHeight w:val="429" w:hRule="atLeast"/>
        </w:trPr>
        <w:tc>
          <w:tcPr>
            <w:tcW w:w="4002" w:type="dxa"/>
            <w:gridSpan w:val="2"/>
            <w:tcBorders>
              <w:top w:val="single" w:color="auto" w:sz="4" w:space="0"/>
              <w:left w:val="single" w:color="auto" w:sz="4" w:space="0"/>
              <w:bottom w:val="single" w:color="auto" w:sz="4" w:space="0"/>
              <w:right w:val="single" w:color="auto" w:sz="4" w:space="0"/>
            </w:tcBorders>
            <w:shd w:val="clear" w:color="auto" w:fill="C0C0C0"/>
            <w:vAlign w:val="center"/>
          </w:tcPr>
          <w:p w14:paraId="5041C35E">
            <w:pPr>
              <w:widowControl/>
              <w:spacing w:line="280" w:lineRule="exact"/>
              <w:jc w:val="left"/>
              <w:rPr>
                <w:rFonts w:ascii="宋体"/>
                <w:kern w:val="0"/>
                <w:sz w:val="24"/>
                <w:szCs w:val="24"/>
              </w:rPr>
            </w:pPr>
            <w:r>
              <w:rPr>
                <w:rFonts w:hint="eastAsia" w:ascii="宋体" w:hAnsi="宋体"/>
                <w:kern w:val="0"/>
                <w:sz w:val="24"/>
                <w:szCs w:val="24"/>
              </w:rPr>
              <w:t>建设单位或地方政府所作出的相关承诺文件</w:t>
            </w:r>
          </w:p>
        </w:tc>
        <w:tc>
          <w:tcPr>
            <w:tcW w:w="5812" w:type="dxa"/>
            <w:gridSpan w:val="4"/>
            <w:tcBorders>
              <w:top w:val="single" w:color="auto" w:sz="4" w:space="0"/>
              <w:left w:val="nil"/>
              <w:bottom w:val="single" w:color="auto" w:sz="4" w:space="0"/>
              <w:right w:val="single" w:color="auto" w:sz="4" w:space="0"/>
            </w:tcBorders>
            <w:vAlign w:val="center"/>
          </w:tcPr>
          <w:p w14:paraId="5BFB7658">
            <w:pPr>
              <w:widowControl/>
              <w:spacing w:line="280" w:lineRule="exact"/>
              <w:jc w:val="center"/>
            </w:pPr>
            <w:r>
              <w:rPr>
                <w:rFonts w:hint="eastAsia" w:ascii="宋体"/>
                <w:kern w:val="0"/>
                <w:sz w:val="24"/>
                <w:szCs w:val="24"/>
                <w:lang w:val="en-US" w:eastAsia="zh-CN"/>
              </w:rPr>
              <w:t>信息公开同意说明。</w:t>
            </w:r>
          </w:p>
        </w:tc>
      </w:tr>
      <w:tr w14:paraId="13F853E9">
        <w:tblPrEx>
          <w:tblCellMar>
            <w:top w:w="0" w:type="dxa"/>
            <w:left w:w="108" w:type="dxa"/>
            <w:bottom w:w="0" w:type="dxa"/>
            <w:right w:w="108" w:type="dxa"/>
          </w:tblCellMar>
        </w:tblPrEx>
        <w:trPr>
          <w:trHeight w:val="570" w:hRule="atLeast"/>
        </w:trPr>
        <w:tc>
          <w:tcPr>
            <w:tcW w:w="9814" w:type="dxa"/>
            <w:gridSpan w:val="6"/>
            <w:tcBorders>
              <w:top w:val="single" w:color="auto" w:sz="4" w:space="0"/>
              <w:left w:val="nil"/>
              <w:bottom w:val="nil"/>
              <w:right w:val="nil"/>
            </w:tcBorders>
            <w:vAlign w:val="center"/>
          </w:tcPr>
          <w:p w14:paraId="6E8F4DC8">
            <w:pPr>
              <w:widowControl/>
              <w:spacing w:line="280" w:lineRule="exact"/>
              <w:jc w:val="left"/>
              <w:rPr>
                <w:rFonts w:ascii="宋体"/>
                <w:kern w:val="0"/>
                <w:sz w:val="24"/>
                <w:szCs w:val="24"/>
              </w:rPr>
            </w:pPr>
            <w:r>
              <w:rPr>
                <w:rFonts w:hint="eastAsia" w:ascii="宋体" w:hAnsi="宋体"/>
                <w:kern w:val="0"/>
                <w:sz w:val="24"/>
                <w:szCs w:val="24"/>
              </w:rPr>
              <w:t>注:项目概况、项目主要环境影响、项目预防及减轻不良环境影响的对策和措施、公众参与情况、建设单位或地方政府所作出的相关承诺文件部分由建设单位填写。公众反馈意见联系方式部分由行政审批机关填写。</w:t>
            </w:r>
          </w:p>
        </w:tc>
      </w:tr>
    </w:tbl>
    <w:p w14:paraId="44111C70">
      <w:pPr>
        <w:rPr>
          <w:color w:val="FF0000"/>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_GBK">
    <w:altName w:val="Arial Unicode MS"/>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 w:name="KSOF51D5AD36">
    <w:panose1 w:val="020B0604020202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iYzQ1NDY1YjQ0MjBjMWNmZDQyYjE1NzJjMWYwMDcifQ=="/>
  </w:docVars>
  <w:rsids>
    <w:rsidRoot w:val="392E2078"/>
    <w:rsid w:val="0007389C"/>
    <w:rsid w:val="00150BE9"/>
    <w:rsid w:val="00156B39"/>
    <w:rsid w:val="001A0782"/>
    <w:rsid w:val="001A6B62"/>
    <w:rsid w:val="001B3A2B"/>
    <w:rsid w:val="001F034E"/>
    <w:rsid w:val="001F679B"/>
    <w:rsid w:val="00294DBA"/>
    <w:rsid w:val="002B6C2D"/>
    <w:rsid w:val="002C62B4"/>
    <w:rsid w:val="00322D57"/>
    <w:rsid w:val="00327286"/>
    <w:rsid w:val="00330F90"/>
    <w:rsid w:val="00335349"/>
    <w:rsid w:val="003C1AD7"/>
    <w:rsid w:val="003C4CF8"/>
    <w:rsid w:val="003C6F96"/>
    <w:rsid w:val="003E6693"/>
    <w:rsid w:val="00473C47"/>
    <w:rsid w:val="00485878"/>
    <w:rsid w:val="004A6061"/>
    <w:rsid w:val="004D701F"/>
    <w:rsid w:val="004E159E"/>
    <w:rsid w:val="005010C4"/>
    <w:rsid w:val="005107E1"/>
    <w:rsid w:val="005370B8"/>
    <w:rsid w:val="00542698"/>
    <w:rsid w:val="005A0DCF"/>
    <w:rsid w:val="005B283A"/>
    <w:rsid w:val="0060088D"/>
    <w:rsid w:val="0061485D"/>
    <w:rsid w:val="0062265A"/>
    <w:rsid w:val="006C6412"/>
    <w:rsid w:val="006D5270"/>
    <w:rsid w:val="006E4B40"/>
    <w:rsid w:val="006E5771"/>
    <w:rsid w:val="00702618"/>
    <w:rsid w:val="00705F2D"/>
    <w:rsid w:val="00773626"/>
    <w:rsid w:val="007A0516"/>
    <w:rsid w:val="007C11E2"/>
    <w:rsid w:val="0081762D"/>
    <w:rsid w:val="00833B43"/>
    <w:rsid w:val="00841044"/>
    <w:rsid w:val="00863CCD"/>
    <w:rsid w:val="00871427"/>
    <w:rsid w:val="00872120"/>
    <w:rsid w:val="00873527"/>
    <w:rsid w:val="008A3643"/>
    <w:rsid w:val="008A7183"/>
    <w:rsid w:val="008C224E"/>
    <w:rsid w:val="008C796D"/>
    <w:rsid w:val="008C7996"/>
    <w:rsid w:val="008C7D47"/>
    <w:rsid w:val="008D6010"/>
    <w:rsid w:val="00906E2D"/>
    <w:rsid w:val="009B5EE1"/>
    <w:rsid w:val="009D1793"/>
    <w:rsid w:val="009D3485"/>
    <w:rsid w:val="009D5CDC"/>
    <w:rsid w:val="00A560A2"/>
    <w:rsid w:val="00A7390A"/>
    <w:rsid w:val="00A752B3"/>
    <w:rsid w:val="00A84CD0"/>
    <w:rsid w:val="00AA08DA"/>
    <w:rsid w:val="00B22E4F"/>
    <w:rsid w:val="00B4670A"/>
    <w:rsid w:val="00B547C9"/>
    <w:rsid w:val="00B55F2A"/>
    <w:rsid w:val="00BA1007"/>
    <w:rsid w:val="00BA59BE"/>
    <w:rsid w:val="00BA7231"/>
    <w:rsid w:val="00BC32D8"/>
    <w:rsid w:val="00BD0857"/>
    <w:rsid w:val="00BD1407"/>
    <w:rsid w:val="00C36231"/>
    <w:rsid w:val="00C71183"/>
    <w:rsid w:val="00C96052"/>
    <w:rsid w:val="00CC1BB9"/>
    <w:rsid w:val="00CD2BAA"/>
    <w:rsid w:val="00CD608E"/>
    <w:rsid w:val="00D233CF"/>
    <w:rsid w:val="00DA65D2"/>
    <w:rsid w:val="00DC4E67"/>
    <w:rsid w:val="00DC7CEE"/>
    <w:rsid w:val="00E46C95"/>
    <w:rsid w:val="00E90C9E"/>
    <w:rsid w:val="00ED0EFF"/>
    <w:rsid w:val="00EE1F18"/>
    <w:rsid w:val="00EE5CE6"/>
    <w:rsid w:val="00F530BA"/>
    <w:rsid w:val="00F86E32"/>
    <w:rsid w:val="00FD24C7"/>
    <w:rsid w:val="00FD5740"/>
    <w:rsid w:val="00FF23D3"/>
    <w:rsid w:val="013830D2"/>
    <w:rsid w:val="01437794"/>
    <w:rsid w:val="03344A05"/>
    <w:rsid w:val="05275651"/>
    <w:rsid w:val="05B86C53"/>
    <w:rsid w:val="081E3E37"/>
    <w:rsid w:val="0DC0042F"/>
    <w:rsid w:val="13B34670"/>
    <w:rsid w:val="1A3C46BC"/>
    <w:rsid w:val="1B020E5E"/>
    <w:rsid w:val="1B1C64DA"/>
    <w:rsid w:val="1C8733A0"/>
    <w:rsid w:val="201D4921"/>
    <w:rsid w:val="20547DB6"/>
    <w:rsid w:val="20DF6D69"/>
    <w:rsid w:val="21602F6F"/>
    <w:rsid w:val="22862C6A"/>
    <w:rsid w:val="245D4345"/>
    <w:rsid w:val="24694EB2"/>
    <w:rsid w:val="25502092"/>
    <w:rsid w:val="2B002CE4"/>
    <w:rsid w:val="2CA10B4F"/>
    <w:rsid w:val="2CAD1D69"/>
    <w:rsid w:val="2EE11733"/>
    <w:rsid w:val="2F923676"/>
    <w:rsid w:val="2FC57EA9"/>
    <w:rsid w:val="301D5EC7"/>
    <w:rsid w:val="33682ACB"/>
    <w:rsid w:val="34185686"/>
    <w:rsid w:val="35313D1A"/>
    <w:rsid w:val="38002C65"/>
    <w:rsid w:val="382B190D"/>
    <w:rsid w:val="392E2078"/>
    <w:rsid w:val="39984AC7"/>
    <w:rsid w:val="3B020811"/>
    <w:rsid w:val="3B2E26FF"/>
    <w:rsid w:val="3C272C37"/>
    <w:rsid w:val="3EDD372A"/>
    <w:rsid w:val="4155672C"/>
    <w:rsid w:val="434C3C3E"/>
    <w:rsid w:val="43BD5ED1"/>
    <w:rsid w:val="449625B7"/>
    <w:rsid w:val="455C2301"/>
    <w:rsid w:val="45BD33BC"/>
    <w:rsid w:val="47F24AD5"/>
    <w:rsid w:val="4866291F"/>
    <w:rsid w:val="4B402719"/>
    <w:rsid w:val="4B9C7ABA"/>
    <w:rsid w:val="4C985FBF"/>
    <w:rsid w:val="4D2F5EED"/>
    <w:rsid w:val="4DC60339"/>
    <w:rsid w:val="4EC40453"/>
    <w:rsid w:val="4F7B2ACC"/>
    <w:rsid w:val="50153BC8"/>
    <w:rsid w:val="51E81108"/>
    <w:rsid w:val="52385E17"/>
    <w:rsid w:val="54752240"/>
    <w:rsid w:val="555D267C"/>
    <w:rsid w:val="5653575C"/>
    <w:rsid w:val="577942AD"/>
    <w:rsid w:val="58FF0EBE"/>
    <w:rsid w:val="5998453C"/>
    <w:rsid w:val="5A834766"/>
    <w:rsid w:val="5BED57C7"/>
    <w:rsid w:val="5D2E69AB"/>
    <w:rsid w:val="5DCC4393"/>
    <w:rsid w:val="5E643DA5"/>
    <w:rsid w:val="5F257633"/>
    <w:rsid w:val="60EA0DC0"/>
    <w:rsid w:val="614E3CA3"/>
    <w:rsid w:val="64CE0A00"/>
    <w:rsid w:val="66B00A67"/>
    <w:rsid w:val="6AB93F9D"/>
    <w:rsid w:val="6C044E5F"/>
    <w:rsid w:val="6C8A7DA4"/>
    <w:rsid w:val="714078D6"/>
    <w:rsid w:val="715F713D"/>
    <w:rsid w:val="747E39E9"/>
    <w:rsid w:val="74857523"/>
    <w:rsid w:val="77533B6A"/>
    <w:rsid w:val="78CD4DAD"/>
    <w:rsid w:val="79377A43"/>
    <w:rsid w:val="79CC62C5"/>
    <w:rsid w:val="79EF4D86"/>
    <w:rsid w:val="7E5F2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方正仿宋_GBK" w:cs="Times New Roman"/>
      <w:kern w:val="32"/>
      <w:sz w:val="32"/>
      <w:szCs w:val="32"/>
      <w:lang w:val="en-US" w:eastAsia="zh-CN" w:bidi="ar-SA"/>
    </w:rPr>
  </w:style>
  <w:style w:type="paragraph" w:styleId="2">
    <w:name w:val="heading 2"/>
    <w:basedOn w:val="1"/>
    <w:next w:val="1"/>
    <w:link w:val="26"/>
    <w:qFormat/>
    <w:uiPriority w:val="0"/>
    <w:pPr>
      <w:tabs>
        <w:tab w:val="left" w:pos="5882"/>
      </w:tabs>
      <w:adjustRightInd w:val="0"/>
      <w:snapToGrid w:val="0"/>
      <w:spacing w:beforeLines="50"/>
      <w:jc w:val="left"/>
      <w:outlineLvl w:val="1"/>
    </w:pPr>
    <w:rPr>
      <w:rFonts w:ascii="Times New Roman" w:hAnsi="Times New Roman" w:eastAsia="宋体"/>
      <w:b/>
      <w:kern w:val="0"/>
      <w:sz w:val="24"/>
      <w:szCs w:val="24"/>
    </w:rPr>
  </w:style>
  <w:style w:type="paragraph" w:styleId="3">
    <w:name w:val="heading 3"/>
    <w:basedOn w:val="1"/>
    <w:next w:val="1"/>
    <w:link w:val="21"/>
    <w:qFormat/>
    <w:uiPriority w:val="0"/>
    <w:pPr>
      <w:topLinePunct/>
      <w:spacing w:before="120" w:line="480" w:lineRule="exact"/>
      <w:outlineLvl w:val="2"/>
    </w:pPr>
    <w:rPr>
      <w:rFonts w:ascii="Times New Roman" w:hAnsi="Times New Roman" w:eastAsia="楷体_GB2312"/>
      <w:b/>
      <w:bCs/>
      <w:color w:val="000000"/>
      <w:kern w:val="2"/>
      <w:sz w:val="28"/>
      <w:szCs w:val="28"/>
    </w:rPr>
  </w:style>
  <w:style w:type="paragraph" w:styleId="4">
    <w:name w:val="heading 4"/>
    <w:basedOn w:val="1"/>
    <w:next w:val="1"/>
    <w:link w:val="24"/>
    <w:qFormat/>
    <w:uiPriority w:val="0"/>
    <w:pPr>
      <w:keepNext/>
      <w:keepLines/>
      <w:spacing w:before="280" w:after="290" w:line="376" w:lineRule="auto"/>
      <w:outlineLvl w:val="3"/>
    </w:pPr>
    <w:rPr>
      <w:rFonts w:ascii="Arial" w:hAnsi="Arial" w:eastAsia="黑体"/>
      <w:b/>
      <w:bCs/>
      <w:kern w:val="2"/>
      <w:sz w:val="28"/>
      <w:szCs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6"/>
    <w:qFormat/>
    <w:uiPriority w:val="1"/>
    <w:rPr>
      <w:sz w:val="24"/>
      <w:szCs w:val="24"/>
    </w:rPr>
  </w:style>
  <w:style w:type="paragraph" w:styleId="6">
    <w:name w:val="toc 5"/>
    <w:basedOn w:val="1"/>
    <w:next w:val="1"/>
    <w:qFormat/>
    <w:uiPriority w:val="0"/>
    <w:pPr>
      <w:ind w:left="1680" w:leftChars="800"/>
    </w:pPr>
    <w:rPr>
      <w:rFonts w:ascii="Times New Roman" w:hAnsi="Times New Roman" w:eastAsia="宋体" w:cs="Times New Roman"/>
      <w:szCs w:val="24"/>
    </w:rPr>
  </w:style>
  <w:style w:type="paragraph" w:styleId="7">
    <w:name w:val="Body Text Indent"/>
    <w:basedOn w:val="1"/>
    <w:unhideWhenUsed/>
    <w:qFormat/>
    <w:uiPriority w:val="99"/>
    <w:pPr>
      <w:tabs>
        <w:tab w:val="center" w:pos="7914"/>
      </w:tabs>
      <w:spacing w:line="480" w:lineRule="exact"/>
      <w:ind w:firstLine="520" w:firstLineChars="200"/>
    </w:pPr>
    <w:rPr>
      <w:rFonts w:ascii="Times New Roman" w:hAnsi="Times New Roman" w:eastAsia="宋体" w:cs="Times New Roman"/>
      <w:sz w:val="24"/>
      <w:szCs w:val="26"/>
    </w:rPr>
  </w:style>
  <w:style w:type="paragraph" w:styleId="8">
    <w:name w:val="Plain Text"/>
    <w:basedOn w:val="1"/>
    <w:qFormat/>
    <w:uiPriority w:val="0"/>
    <w:rPr>
      <w:rFonts w:ascii="宋体"/>
      <w:snapToGrid w:val="0"/>
      <w:kern w:val="0"/>
      <w:szCs w:val="20"/>
    </w:rPr>
  </w:style>
  <w:style w:type="paragraph" w:styleId="9">
    <w:name w:val="footer"/>
    <w:basedOn w:val="1"/>
    <w:link w:val="25"/>
    <w:qFormat/>
    <w:uiPriority w:val="0"/>
    <w:pPr>
      <w:tabs>
        <w:tab w:val="center" w:pos="4153"/>
        <w:tab w:val="right" w:pos="8306"/>
      </w:tabs>
      <w:snapToGrid w:val="0"/>
      <w:jc w:val="left"/>
    </w:pPr>
    <w:rPr>
      <w:sz w:val="18"/>
      <w:szCs w:val="18"/>
    </w:rPr>
  </w:style>
  <w:style w:type="paragraph" w:styleId="10">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jc w:val="left"/>
    </w:pPr>
    <w:rPr>
      <w:rFonts w:eastAsia="宋体"/>
      <w:kern w:val="0"/>
      <w:sz w:val="24"/>
    </w:rPr>
  </w:style>
  <w:style w:type="paragraph" w:styleId="12">
    <w:name w:val="Title"/>
    <w:basedOn w:val="1"/>
    <w:qFormat/>
    <w:uiPriority w:val="0"/>
    <w:pPr>
      <w:adjustRightInd w:val="0"/>
      <w:snapToGrid w:val="0"/>
      <w:spacing w:before="240" w:after="60" w:line="360" w:lineRule="auto"/>
      <w:ind w:firstLine="200" w:firstLineChars="200"/>
      <w:jc w:val="center"/>
      <w:outlineLvl w:val="0"/>
    </w:pPr>
    <w:rPr>
      <w:rFonts w:ascii="Cambria" w:hAnsi="Cambria"/>
      <w:b/>
      <w:bCs/>
    </w:rPr>
  </w:style>
  <w:style w:type="character" w:styleId="15">
    <w:name w:val="Strong"/>
    <w:basedOn w:val="14"/>
    <w:qFormat/>
    <w:uiPriority w:val="0"/>
    <w:rPr>
      <w:b/>
    </w:rPr>
  </w:style>
  <w:style w:type="character" w:styleId="16">
    <w:name w:val="annotation reference"/>
    <w:basedOn w:val="14"/>
    <w:qFormat/>
    <w:uiPriority w:val="0"/>
    <w:rPr>
      <w:sz w:val="21"/>
      <w:szCs w:val="21"/>
    </w:rPr>
  </w:style>
  <w:style w:type="paragraph" w:customStyle="1" w:styleId="17">
    <w:name w:val="Normal Indent1"/>
    <w:basedOn w:val="1"/>
    <w:next w:val="1"/>
    <w:qFormat/>
    <w:uiPriority w:val="99"/>
    <w:pPr>
      <w:ind w:firstLine="420"/>
    </w:pPr>
  </w:style>
  <w:style w:type="paragraph" w:customStyle="1" w:styleId="18">
    <w:name w:val="Default"/>
    <w:basedOn w:val="19"/>
    <w:qFormat/>
    <w:uiPriority w:val="99"/>
    <w:pPr>
      <w:widowControl w:val="0"/>
      <w:autoSpaceDE w:val="0"/>
      <w:autoSpaceDN w:val="0"/>
      <w:adjustRightInd w:val="0"/>
    </w:pPr>
    <w:rPr>
      <w:rFonts w:ascii="宋体" w:cs="宋体"/>
      <w:color w:val="000000"/>
      <w:sz w:val="24"/>
      <w:szCs w:val="24"/>
      <w:lang w:val="en-US" w:eastAsia="zh-CN" w:bidi="ar-SA"/>
    </w:rPr>
  </w:style>
  <w:style w:type="paragraph" w:customStyle="1" w:styleId="19">
    <w:name w:val="纯文本1"/>
    <w:basedOn w:val="1"/>
    <w:qFormat/>
    <w:uiPriority w:val="0"/>
    <w:pPr>
      <w:suppressAutoHyphens/>
    </w:pPr>
    <w:rPr>
      <w:rFonts w:ascii="宋体" w:hAnsi="宋体" w:eastAsia="宋体" w:cs="Times New Roman"/>
      <w:kern w:val="1"/>
      <w:sz w:val="28"/>
      <w:lang w:eastAsia="ar-SA"/>
    </w:rPr>
  </w:style>
  <w:style w:type="paragraph" w:customStyle="1" w:styleId="20">
    <w:name w:val="正本文字"/>
    <w:basedOn w:val="1"/>
    <w:autoRedefine/>
    <w:qFormat/>
    <w:uiPriority w:val="0"/>
    <w:pPr>
      <w:adjustRightInd w:val="0"/>
      <w:snapToGrid w:val="0"/>
      <w:spacing w:line="360" w:lineRule="auto"/>
      <w:ind w:firstLine="480" w:firstLineChars="200"/>
      <w:jc w:val="left"/>
    </w:pPr>
    <w:rPr>
      <w:rFonts w:cs="宋体"/>
      <w:kern w:val="18"/>
      <w:sz w:val="24"/>
    </w:rPr>
  </w:style>
  <w:style w:type="character" w:customStyle="1" w:styleId="21">
    <w:name w:val="标题 3 字符"/>
    <w:link w:val="3"/>
    <w:qFormat/>
    <w:uiPriority w:val="0"/>
    <w:rPr>
      <w:rFonts w:eastAsia="楷体_GB2312"/>
      <w:b/>
      <w:bCs/>
      <w:color w:val="000000"/>
      <w:kern w:val="2"/>
      <w:sz w:val="28"/>
      <w:szCs w:val="28"/>
    </w:rPr>
  </w:style>
  <w:style w:type="character" w:customStyle="1" w:styleId="22">
    <w:name w:val="标题 3 Char"/>
    <w:semiHidden/>
    <w:qFormat/>
    <w:uiPriority w:val="0"/>
    <w:rPr>
      <w:rFonts w:ascii="Calibri" w:hAnsi="Calibri" w:eastAsia="方正仿宋_GBK"/>
      <w:b/>
      <w:bCs/>
      <w:kern w:val="32"/>
      <w:sz w:val="32"/>
      <w:szCs w:val="32"/>
    </w:rPr>
  </w:style>
  <w:style w:type="character" w:customStyle="1" w:styleId="23">
    <w:name w:val="页眉 字符"/>
    <w:link w:val="10"/>
    <w:qFormat/>
    <w:uiPriority w:val="0"/>
    <w:rPr>
      <w:rFonts w:ascii="Calibri" w:hAnsi="Calibri" w:eastAsia="方正仿宋_GBK"/>
      <w:kern w:val="32"/>
      <w:sz w:val="18"/>
      <w:szCs w:val="18"/>
    </w:rPr>
  </w:style>
  <w:style w:type="character" w:customStyle="1" w:styleId="24">
    <w:name w:val="标题 4 字符"/>
    <w:link w:val="4"/>
    <w:qFormat/>
    <w:uiPriority w:val="0"/>
    <w:rPr>
      <w:rFonts w:ascii="Arial" w:hAnsi="Arial" w:eastAsia="黑体"/>
      <w:b/>
      <w:bCs/>
      <w:kern w:val="2"/>
      <w:sz w:val="28"/>
      <w:szCs w:val="28"/>
    </w:rPr>
  </w:style>
  <w:style w:type="character" w:customStyle="1" w:styleId="25">
    <w:name w:val="页脚 字符"/>
    <w:link w:val="9"/>
    <w:qFormat/>
    <w:uiPriority w:val="0"/>
    <w:rPr>
      <w:rFonts w:ascii="Calibri" w:hAnsi="Calibri" w:eastAsia="方正仿宋_GBK"/>
      <w:kern w:val="32"/>
      <w:sz w:val="18"/>
      <w:szCs w:val="18"/>
    </w:rPr>
  </w:style>
  <w:style w:type="character" w:customStyle="1" w:styleId="26">
    <w:name w:val="标题 2 字符"/>
    <w:link w:val="2"/>
    <w:qFormat/>
    <w:uiPriority w:val="0"/>
    <w:rPr>
      <w:rFonts w:eastAsia="宋体"/>
      <w:b/>
      <w:sz w:val="24"/>
      <w:szCs w:val="24"/>
    </w:rPr>
  </w:style>
  <w:style w:type="character" w:customStyle="1" w:styleId="27">
    <w:name w:val="标题 4 Char"/>
    <w:semiHidden/>
    <w:qFormat/>
    <w:uiPriority w:val="0"/>
    <w:rPr>
      <w:rFonts w:ascii="Cambria" w:hAnsi="Cambria" w:eastAsia="宋体" w:cs="Times New Roman"/>
      <w:b/>
      <w:bCs/>
      <w:kern w:val="32"/>
      <w:sz w:val="28"/>
      <w:szCs w:val="28"/>
    </w:rPr>
  </w:style>
  <w:style w:type="character" w:customStyle="1" w:styleId="28">
    <w:name w:val="正文 旺源文字段落 Char"/>
    <w:link w:val="29"/>
    <w:qFormat/>
    <w:uiPriority w:val="0"/>
    <w:rPr>
      <w:rFonts w:ascii="宋体" w:hAnsi="宋体" w:cs="宋体"/>
      <w:kern w:val="24"/>
      <w:sz w:val="24"/>
      <w:szCs w:val="24"/>
    </w:rPr>
  </w:style>
  <w:style w:type="paragraph" w:customStyle="1" w:styleId="29">
    <w:name w:val="正文 旺源文字段落"/>
    <w:basedOn w:val="1"/>
    <w:link w:val="28"/>
    <w:qFormat/>
    <w:uiPriority w:val="0"/>
    <w:pPr>
      <w:spacing w:line="500" w:lineRule="exact"/>
      <w:ind w:firstLine="420"/>
    </w:pPr>
    <w:rPr>
      <w:rFonts w:ascii="宋体" w:hAnsi="宋体" w:eastAsia="宋体"/>
      <w:kern w:val="24"/>
      <w:sz w:val="24"/>
      <w:szCs w:val="24"/>
    </w:rPr>
  </w:style>
  <w:style w:type="paragraph" w:customStyle="1" w:styleId="30">
    <w:name w:val="LH样式"/>
    <w:basedOn w:val="1"/>
    <w:qFormat/>
    <w:uiPriority w:val="0"/>
    <w:pPr>
      <w:spacing w:line="480" w:lineRule="exact"/>
      <w:ind w:firstLine="520" w:firstLineChars="200"/>
    </w:pPr>
    <w:rPr>
      <w:rFonts w:ascii="Times New Roman" w:hAnsi="Times New Roman" w:eastAsia="宋体"/>
      <w:color w:val="00B0F0"/>
      <w:kern w:val="2"/>
      <w:sz w:val="26"/>
      <w:szCs w:val="26"/>
    </w:rPr>
  </w:style>
  <w:style w:type="paragraph" w:customStyle="1" w:styleId="31">
    <w:name w:val="正文2"/>
    <w:basedOn w:val="1"/>
    <w:qFormat/>
    <w:uiPriority w:val="0"/>
    <w:pPr>
      <w:spacing w:line="360" w:lineRule="auto"/>
      <w:ind w:firstLine="200" w:firstLineChars="200"/>
    </w:pPr>
    <w:rPr>
      <w:rFonts w:ascii="Times New Roman" w:hAnsi="Times New Roman" w:eastAsia="宋体"/>
      <w:sz w:val="24"/>
      <w:szCs w:val="20"/>
    </w:rPr>
  </w:style>
  <w:style w:type="paragraph" w:customStyle="1" w:styleId="32">
    <w:name w:val="Table Text"/>
    <w:basedOn w:val="1"/>
    <w:semiHidden/>
    <w:qFormat/>
    <w:uiPriority w:val="0"/>
    <w:rPr>
      <w:rFonts w:ascii="宋体" w:hAnsi="宋体" w:eastAsia="宋体" w:cs="宋体"/>
      <w:sz w:val="21"/>
      <w:szCs w:val="21"/>
      <w:lang w:val="en-US" w:eastAsia="en-US" w:bidi="ar-SA"/>
    </w:rPr>
  </w:style>
  <w:style w:type="paragraph" w:customStyle="1" w:styleId="33">
    <w:name w:val="H正文"/>
    <w:basedOn w:val="1"/>
    <w:qFormat/>
    <w:uiPriority w:val="0"/>
    <w:pPr>
      <w:adjustRightInd w:val="0"/>
      <w:spacing w:line="400" w:lineRule="exact"/>
      <w:ind w:firstLine="200" w:firstLineChars="200"/>
      <w:textAlignment w:val="baseline"/>
    </w:pPr>
    <w:rPr>
      <w:rFonts w:ascii="Times New Roman" w:hAnsi="Times New Roman" w:eastAsia="宋体"/>
      <w:snapToGrid w:val="0"/>
      <w:spacing w:val="6"/>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4</Pages>
  <Words>3368</Words>
  <Characters>3694</Characters>
  <Lines>97</Lines>
  <Paragraphs>85</Paragraphs>
  <TotalTime>3</TotalTime>
  <ScaleCrop>false</ScaleCrop>
  <LinksUpToDate>false</LinksUpToDate>
  <CharactersWithSpaces>3698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2019-10-22T01:39:00Z</dcterms:created>
  <dc:creator>lenovo</dc:creator>
  <cp:lastModifiedBy>郭丽娜</cp:lastModifiedBy>
  <cp:lastPrinted>2016-09-13T03:08:00Z</cp:lastPrinted>
  <dcterms:modified xsi:type="dcterms:W3CDTF">2026-10-08T08:53:57Z</dcterms:modified>
  <dc:title>曲靖市环境保护局</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8CCBA1BDE3DA4217B30BEFC470194A3A_13</vt:lpwstr>
  </property>
  <property fmtid="{D5CDD505-2E9C-101B-9397-08002B2CF9AE}" pid="4" name="KSOTemplateDocerSaveRecord">
    <vt:lpwstr>eyJoZGlkIjoiYTA0OTFiNTllN2E3YTc2MDc5ZTIwYTg0ZjFlZjFlMWQiLCJ1c2VySWQiOiIzNzMyMDUyODEifQ==</vt:lpwstr>
  </property>
</Properties>
</file>